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213995</wp:posOffset>
            </wp:positionV>
            <wp:extent cx="617474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4740" cy="2603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248285</wp:posOffset>
            </wp:positionV>
            <wp:extent cx="61747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center"/>
        <w:ind w:right="-180"/>
        <w:spacing w:after="0"/>
        <w:rPr>
          <w:sz w:val="20"/>
          <w:szCs w:val="20"/>
          <w:color w:val="auto"/>
        </w:rPr>
      </w:pPr>
      <w:r>
        <w:rPr>
          <w:rFonts w:ascii="Arial" w:cs="Arial" w:eastAsia="Arial" w:hAnsi="Arial"/>
          <w:sz w:val="25"/>
          <w:szCs w:val="25"/>
          <w:b w:val="1"/>
          <w:bCs w:val="1"/>
          <w:color w:val="auto"/>
        </w:rPr>
        <w:t>SECURITIES AND EXCHANGE COMMISSION</w:t>
      </w:r>
    </w:p>
    <w:p>
      <w:pPr>
        <w:spacing w:after="0" w:line="29" w:lineRule="exact"/>
        <w:rPr>
          <w:sz w:val="20"/>
          <w:szCs w:val="20"/>
          <w:color w:val="auto"/>
        </w:rPr>
      </w:pPr>
    </w:p>
    <w:p>
      <w:pPr>
        <w:jc w:val="center"/>
        <w:ind w:right="-18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2492375</wp:posOffset>
            </wp:positionH>
            <wp:positionV relativeFrom="paragraph">
              <wp:posOffset>184785</wp:posOffset>
            </wp:positionV>
            <wp:extent cx="16122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jc w:val="center"/>
        <w:ind w:right="-18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2492375</wp:posOffset>
            </wp:positionH>
            <wp:positionV relativeFrom="paragraph">
              <wp:posOffset>203835</wp:posOffset>
            </wp:positionV>
            <wp:extent cx="16122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jc w:val="center"/>
        <w:ind w:right="-180"/>
        <w:spacing w:after="0"/>
        <w:rPr>
          <w:sz w:val="20"/>
          <w:szCs w:val="20"/>
          <w:color w:val="auto"/>
        </w:rPr>
      </w:pPr>
      <w:r>
        <w:rPr>
          <w:rFonts w:ascii="Arial" w:cs="Arial" w:eastAsia="Arial" w:hAnsi="Arial"/>
          <w:sz w:val="22"/>
          <w:szCs w:val="22"/>
          <w:b w:val="1"/>
          <w:bCs w:val="1"/>
          <w:color w:val="auto"/>
        </w:rPr>
        <w:t>QUARTERLY REPORT PURSUANT TO SECTION 13 OR 15(d) OF THE</w:t>
      </w:r>
    </w:p>
    <w:p>
      <w:pPr>
        <w:spacing w:after="0" w:line="14" w:lineRule="exact"/>
        <w:rPr>
          <w:sz w:val="20"/>
          <w:szCs w:val="20"/>
          <w:color w:val="auto"/>
        </w:rPr>
      </w:pPr>
    </w:p>
    <w:p>
      <w:pPr>
        <w:jc w:val="center"/>
        <w:ind w:right="-180"/>
        <w:spacing w:after="0"/>
        <w:rPr>
          <w:sz w:val="20"/>
          <w:szCs w:val="20"/>
          <w:color w:val="auto"/>
        </w:rPr>
      </w:pPr>
      <w:r>
        <w:rPr>
          <w:rFonts w:ascii="Arial" w:cs="Arial" w:eastAsia="Arial" w:hAnsi="Arial"/>
          <w:sz w:val="22"/>
          <w:szCs w:val="22"/>
          <w:b w:val="1"/>
          <w:bCs w:val="1"/>
          <w:color w:val="auto"/>
        </w:rPr>
        <w:t>SECURITIES EXCHANGE ACT OF 1934</w:t>
      </w:r>
    </w:p>
    <w:p>
      <w:pPr>
        <w:spacing w:after="0" w:line="151"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For the quarterly period ended January 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2492375</wp:posOffset>
            </wp:positionH>
            <wp:positionV relativeFrom="paragraph">
              <wp:posOffset>197485</wp:posOffset>
            </wp:positionV>
            <wp:extent cx="16122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Commission File #1-4224</w:t>
      </w:r>
    </w:p>
    <w:p>
      <w:pPr>
        <w:spacing w:after="0" w:line="160" w:lineRule="exact"/>
        <w:rPr>
          <w:sz w:val="20"/>
          <w:szCs w:val="20"/>
          <w:color w:val="auto"/>
        </w:rPr>
      </w:pPr>
    </w:p>
    <w:p>
      <w:pPr>
        <w:jc w:val="center"/>
        <w:ind w:right="-180"/>
        <w:spacing w:after="0"/>
        <w:rPr>
          <w:sz w:val="20"/>
          <w:szCs w:val="20"/>
          <w:color w:val="auto"/>
        </w:rPr>
      </w:pPr>
      <w:r>
        <w:rPr>
          <w:rFonts w:ascii="Arial" w:cs="Arial" w:eastAsia="Arial" w:hAnsi="Arial"/>
          <w:sz w:val="43"/>
          <w:szCs w:val="43"/>
          <w:b w:val="1"/>
          <w:bCs w:val="1"/>
          <w:color w:val="auto"/>
        </w:rPr>
        <w:t>AVNET, INC.</w:t>
      </w:r>
    </w:p>
    <w:p>
      <w:pPr>
        <w:spacing w:after="0" w:line="210"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Incorporated in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2492375</wp:posOffset>
            </wp:positionH>
            <wp:positionV relativeFrom="paragraph">
              <wp:posOffset>203835</wp:posOffset>
            </wp:positionV>
            <wp:extent cx="16122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IRS Employer Identification No. 11-1890605</w:t>
      </w:r>
    </w:p>
    <w:p>
      <w:pPr>
        <w:spacing w:after="0" w:line="185"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2211 South 47</w:t>
      </w:r>
      <w:r>
        <w:rPr>
          <w:rFonts w:ascii="Arial" w:cs="Arial" w:eastAsia="Arial" w:hAnsi="Arial"/>
          <w:sz w:val="15"/>
          <w:szCs w:val="15"/>
          <w:color w:val="auto"/>
        </w:rPr>
        <w:t>th</w:t>
      </w:r>
      <w:r>
        <w:rPr>
          <w:rFonts w:ascii="Arial" w:cs="Arial" w:eastAsia="Arial" w:hAnsi="Arial"/>
          <w:sz w:val="18"/>
          <w:szCs w:val="18"/>
          <w:color w:val="auto"/>
        </w:rPr>
        <w:t xml:space="preserve"> Street, Phoenix, Arizona 85034</w:t>
      </w:r>
    </w:p>
    <w:p>
      <w:pPr>
        <w:spacing w:after="0" w:line="2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(480) 643-2000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2492375</wp:posOffset>
            </wp:positionH>
            <wp:positionV relativeFrom="paragraph">
              <wp:posOffset>194310</wp:posOffset>
            </wp:positionV>
            <wp:extent cx="16122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jc w:val="both"/>
        <w:ind w:left="340" w:right="179" w:firstLine="389"/>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43" w:lineRule="exact"/>
        <w:rPr>
          <w:sz w:val="20"/>
          <w:szCs w:val="20"/>
          <w:color w:val="auto"/>
        </w:rPr>
      </w:pPr>
    </w:p>
    <w:p>
      <w:pPr>
        <w:jc w:val="both"/>
        <w:ind w:left="340" w:right="159" w:firstLine="389"/>
        <w:spacing w:after="0" w:line="228"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156"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0219"/>
          </w:cols>
          <w:pgMar w:left="240" w:top="122" w:right="1440" w:bottom="1440" w:gutter="0" w:footer="0" w:header="0"/>
        </w:sectPr>
      </w:pPr>
    </w:p>
    <w:p>
      <w:pPr>
        <w:spacing w:after="0" w:line="181" w:lineRule="exact"/>
        <w:rPr>
          <w:sz w:val="20"/>
          <w:szCs w:val="20"/>
          <w:color w:val="auto"/>
        </w:rPr>
      </w:pPr>
    </w:p>
    <w:p>
      <w:pPr>
        <w:jc w:val="center"/>
        <w:ind w:left="380"/>
        <w:spacing w:after="0"/>
        <w:rPr>
          <w:sz w:val="20"/>
          <w:szCs w:val="20"/>
          <w:color w:val="auto"/>
        </w:rPr>
      </w:pPr>
      <w:r>
        <w:rPr>
          <w:rFonts w:ascii="Arial" w:cs="Arial" w:eastAsia="Arial" w:hAnsi="Arial"/>
          <w:sz w:val="16"/>
          <w:szCs w:val="16"/>
          <w:color w:val="auto"/>
        </w:rPr>
        <w:t>Large accelerated filer</w:t>
      </w:r>
    </w:p>
    <w:p>
      <w:pPr>
        <w:spacing w:after="0" w:line="41" w:lineRule="exact"/>
        <w:rPr>
          <w:sz w:val="20"/>
          <w:szCs w:val="20"/>
          <w:color w:val="auto"/>
        </w:rPr>
      </w:pPr>
    </w:p>
    <w:p>
      <w:pPr>
        <w:jc w:val="center"/>
        <w:ind w:left="38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91" w:lineRule="exact"/>
        <w:rPr>
          <w:sz w:val="20"/>
          <w:szCs w:val="20"/>
          <w:color w:val="auto"/>
        </w:rPr>
      </w:pPr>
    </w:p>
    <w:p>
      <w:pPr>
        <w:sectPr>
          <w:pgSz w:w="11900" w:h="16838" w:orient="portrait"/>
          <w:cols w:equalWidth="0" w:num="4">
            <w:col w:w="2000" w:space="500"/>
            <w:col w:w="1340" w:space="420"/>
            <w:col w:w="3340" w:space="240"/>
            <w:col w:w="2379"/>
          </w:cols>
          <w:pgMar w:left="240" w:top="122" w:right="1440" w:bottom="1440" w:gutter="0" w:footer="0" w:header="0"/>
          <w:type w:val="continuous"/>
        </w:sectPr>
      </w:pPr>
    </w:p>
    <w:p>
      <w:pPr>
        <w:ind w:left="72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o No </w:t>
      </w:r>
      <w:r>
        <w:rPr>
          <w:rFonts w:ascii="MS PGothic" w:cs="MS PGothic" w:eastAsia="MS PGothic" w:hAnsi="MS PGothic"/>
          <w:sz w:val="16"/>
          <w:szCs w:val="16"/>
          <w:color w:val="auto"/>
        </w:rPr>
        <w:t>☑</w:t>
      </w:r>
    </w:p>
    <w:p>
      <w:pPr>
        <w:spacing w:after="0" w:line="240" w:lineRule="exact"/>
        <w:rPr>
          <w:sz w:val="20"/>
          <w:szCs w:val="20"/>
          <w:color w:val="auto"/>
        </w:rPr>
      </w:pPr>
    </w:p>
    <w:p>
      <w:pPr>
        <w:ind w:left="340" w:right="179" w:firstLine="389"/>
        <w:spacing w:after="0" w:line="277" w:lineRule="auto"/>
        <w:rPr>
          <w:sz w:val="20"/>
          <w:szCs w:val="20"/>
          <w:color w:val="auto"/>
        </w:rPr>
      </w:pPr>
      <w:r>
        <w:rPr>
          <w:rFonts w:ascii="Arial" w:cs="Arial" w:eastAsia="Arial" w:hAnsi="Arial"/>
          <w:sz w:val="18"/>
          <w:szCs w:val="18"/>
          <w:color w:val="auto"/>
        </w:rPr>
        <w:t>As of January 21, 2011, the total number of shares outstanding of the registrant’s Common Stock was 152,679,766 shares, net of treasury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108585</wp:posOffset>
            </wp:positionV>
            <wp:extent cx="61747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7474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125730</wp:posOffset>
            </wp:positionV>
            <wp:extent cx="617474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7474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784225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2" w:right="1440"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320" w:type="dxa"/>
            <w:vAlign w:val="bottom"/>
            <w:gridSpan w:val="10"/>
          </w:tcPr>
          <w:p>
            <w:pPr>
              <w:jc w:val="center"/>
              <w:ind w:right="2300"/>
              <w:spacing w:after="0"/>
              <w:rPr>
                <w:sz w:val="20"/>
                <w:szCs w:val="20"/>
                <w:color w:val="auto"/>
              </w:rPr>
            </w:pPr>
            <w:r>
              <w:rPr>
                <w:rFonts w:ascii="Arial" w:cs="Arial" w:eastAsia="Arial" w:hAnsi="Arial"/>
                <w:sz w:val="18"/>
                <w:szCs w:val="18"/>
                <w:b w:val="1"/>
                <w:bCs w:val="1"/>
                <w:color w:val="auto"/>
                <w:w w:val="99"/>
              </w:rPr>
              <w:t>AVNET, INC. AND SUBSIDIARIES</w:t>
            </w:r>
          </w:p>
        </w:tc>
        <w:tc>
          <w:tcPr>
            <w:tcW w:w="960" w:type="dxa"/>
            <w:vAlign w:val="bottom"/>
          </w:tcPr>
          <w:p>
            <w:pPr>
              <w:spacing w:after="0"/>
              <w:rPr>
                <w:sz w:val="20"/>
                <w:szCs w:val="20"/>
                <w:color w:val="auto"/>
              </w:rPr>
            </w:pPr>
          </w:p>
        </w:tc>
      </w:tr>
      <w:tr>
        <w:trPr>
          <w:trHeight w:val="405"/>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180" w:type="dxa"/>
            <w:vAlign w:val="bottom"/>
            <w:gridSpan w:val="9"/>
          </w:tcPr>
          <w:p>
            <w:pPr>
              <w:jc w:val="center"/>
              <w:ind w:right="2440"/>
              <w:spacing w:after="0"/>
              <w:rPr>
                <w:sz w:val="20"/>
                <w:szCs w:val="20"/>
                <w:color w:val="auto"/>
              </w:rPr>
            </w:pPr>
            <w:r>
              <w:rPr>
                <w:rFonts w:ascii="Arial" w:cs="Arial" w:eastAsia="Arial" w:hAnsi="Arial"/>
                <w:sz w:val="18"/>
                <w:szCs w:val="18"/>
                <w:b w:val="1"/>
                <w:bCs w:val="1"/>
                <w:color w:val="auto"/>
              </w:rPr>
              <w:t>INDEX</w:t>
            </w:r>
          </w:p>
        </w:tc>
        <w:tc>
          <w:tcPr>
            <w:tcW w:w="960" w:type="dxa"/>
            <w:vAlign w:val="bottom"/>
          </w:tcPr>
          <w:p>
            <w:pPr>
              <w:spacing w:after="0"/>
              <w:rPr>
                <w:sz w:val="24"/>
                <w:szCs w:val="24"/>
                <w:color w:val="auto"/>
              </w:rPr>
            </w:pPr>
          </w:p>
        </w:tc>
      </w:tr>
      <w:tr>
        <w:trPr>
          <w:trHeight w:val="43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Page No.</w:t>
            </w:r>
          </w:p>
        </w:tc>
      </w:tr>
      <w:tr>
        <w:trPr>
          <w:trHeight w:val="385"/>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340" w:type="dxa"/>
            <w:vAlign w:val="bottom"/>
            <w:gridSpan w:val="11"/>
          </w:tcPr>
          <w:p>
            <w:pPr>
              <w:jc w:val="center"/>
              <w:ind w:right="2280"/>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FINANCIAL INFORMATION</w:t>
              </w:r>
            </w:hyperlink>
          </w:p>
        </w:tc>
        <w:tc>
          <w:tcPr>
            <w:tcW w:w="960" w:type="dxa"/>
            <w:vAlign w:val="bottom"/>
          </w:tcPr>
          <w:p>
            <w:pPr>
              <w:spacing w:after="0"/>
              <w:rPr>
                <w:sz w:val="24"/>
                <w:szCs w:val="24"/>
                <w:color w:val="auto"/>
              </w:rPr>
            </w:pPr>
          </w:p>
        </w:tc>
      </w:tr>
      <w:tr>
        <w:trPr>
          <w:trHeight w:val="412"/>
        </w:trPr>
        <w:tc>
          <w:tcPr>
            <w:tcW w:w="206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Item 1. Financial Statements</w:t>
              </w:r>
            </w:hyperlink>
          </w:p>
        </w:tc>
        <w:tc>
          <w:tcPr>
            <w:tcW w:w="1260" w:type="dxa"/>
            <w:vAlign w:val="bottom"/>
            <w:gridSpan w:val="2"/>
          </w:tcPr>
          <w:p>
            <w:pPr>
              <w:spacing w:after="0"/>
              <w:rPr>
                <w:sz w:val="24"/>
                <w:szCs w:val="24"/>
                <w:color w:val="auto"/>
              </w:rPr>
            </w:pPr>
          </w:p>
        </w:tc>
        <w:tc>
          <w:tcPr>
            <w:tcW w:w="3060" w:type="dxa"/>
            <w:vAlign w:val="bottom"/>
            <w:tcBorders>
              <w:top w:val="single" w:sz="8" w:color="0000EE"/>
            </w:tcBorders>
            <w:gridSpan w:val="7"/>
          </w:tcPr>
          <w:p>
            <w:pPr>
              <w:spacing w:after="0"/>
              <w:rPr>
                <w:sz w:val="24"/>
                <w:szCs w:val="24"/>
                <w:color w:val="auto"/>
              </w:rPr>
            </w:pPr>
          </w:p>
        </w:tc>
        <w:tc>
          <w:tcPr>
            <w:tcW w:w="2280" w:type="dxa"/>
            <w:vAlign w:val="bottom"/>
            <w:gridSpan w:val="4"/>
          </w:tcPr>
          <w:p>
            <w:pPr>
              <w:spacing w:after="0"/>
              <w:rPr>
                <w:sz w:val="24"/>
                <w:szCs w:val="24"/>
                <w:color w:val="auto"/>
              </w:rPr>
            </w:pPr>
          </w:p>
        </w:tc>
        <w:tc>
          <w:tcPr>
            <w:tcW w:w="960" w:type="dxa"/>
            <w:vAlign w:val="bottom"/>
          </w:tcPr>
          <w:p>
            <w:pPr>
              <w:spacing w:after="0"/>
              <w:rPr>
                <w:sz w:val="24"/>
                <w:szCs w:val="24"/>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8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Consolidated Balance Sheets at January 1, 2011 and July 3, 2010</w:t>
              </w:r>
            </w:hyperlink>
          </w:p>
        </w:tc>
        <w:tc>
          <w:tcPr>
            <w:tcW w:w="3780" w:type="dxa"/>
            <w:vAlign w:val="bottom"/>
            <w:gridSpan w:val="8"/>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0" w:type="dxa"/>
            <w:vAlign w:val="bottom"/>
            <w:tcBorders>
              <w:bottom w:val="single" w:sz="8" w:color="0000EE"/>
            </w:tcBorders>
            <w:gridSpan w:val="20"/>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Consolidated Statements of Operations for the second quarters and six months ended January 1, 2011 and</w:t>
              </w:r>
            </w:hyperlink>
          </w:p>
        </w:tc>
        <w:tc>
          <w:tcPr>
            <w:tcW w:w="8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60" w:type="dxa"/>
            <w:vAlign w:val="bottom"/>
            <w:gridSpan w:val="20"/>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January 2, 2010</w:t>
              </w:r>
            </w:hyperlink>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60" w:type="dxa"/>
            <w:vAlign w:val="bottom"/>
            <w:gridSpan w:val="21"/>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 for the six months ended January 1, 2011 and January 2, 2010</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360" w:type="dxa"/>
            <w:vAlign w:val="bottom"/>
            <w:tcBorders>
              <w:top w:val="single" w:sz="8" w:color="0000EE"/>
            </w:tcBorders>
            <w:gridSpan w:val="19"/>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Consolidated Financial Statements</w:t>
              </w:r>
            </w:hyperlink>
          </w:p>
        </w:tc>
        <w:tc>
          <w:tcPr>
            <w:tcW w:w="1100" w:type="dxa"/>
            <w:vAlign w:val="bottom"/>
            <w:gridSpan w:val="2"/>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412"/>
        </w:trPr>
        <w:tc>
          <w:tcPr>
            <w:tcW w:w="8660" w:type="dxa"/>
            <w:vAlign w:val="bottom"/>
            <w:gridSpan w:val="23"/>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Item 2. Management’s Discussion and Analysis of Financial Condition and Results of Operations</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12"/>
        </w:trPr>
        <w:tc>
          <w:tcPr>
            <w:tcW w:w="4920" w:type="dxa"/>
            <w:vAlign w:val="bottom"/>
            <w:tcBorders>
              <w:top w:val="single" w:sz="8" w:color="0000EE"/>
              <w:bottom w:val="single" w:sz="8" w:color="0000EE"/>
            </w:tcBorders>
            <w:gridSpan w:val="17"/>
          </w:tcPr>
          <w:p>
            <w:pPr>
              <w:spacing w:after="0"/>
              <w:rPr>
                <w:rFonts w:ascii="Arial" w:cs="Arial" w:eastAsia="Arial" w:hAnsi="Arial"/>
                <w:sz w:val="18"/>
                <w:szCs w:val="18"/>
                <w:color w:val="0000EE"/>
                <w:w w:val="92"/>
              </w:rPr>
            </w:pPr>
            <w:hyperlink w:anchor="page27">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gridSpan w:val="3"/>
          </w:tcPr>
          <w:p>
            <w:pPr>
              <w:spacing w:after="0"/>
              <w:rPr>
                <w:sz w:val="24"/>
                <w:szCs w:val="24"/>
                <w:color w:val="auto"/>
              </w:rPr>
            </w:pPr>
          </w:p>
        </w:tc>
        <w:tc>
          <w:tcPr>
            <w:tcW w:w="1660" w:type="dxa"/>
            <w:vAlign w:val="bottom"/>
            <w:gridSpan w:val="3"/>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12"/>
        </w:trPr>
        <w:tc>
          <w:tcPr>
            <w:tcW w:w="8660" w:type="dxa"/>
            <w:vAlign w:val="bottom"/>
            <w:gridSpan w:val="23"/>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Item 4. Controls and Procedures</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12"/>
        </w:trPr>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60" w:type="dxa"/>
            <w:vAlign w:val="bottom"/>
            <w:tcBorders>
              <w:bottom w:val="single" w:sz="8" w:color="0000EE"/>
            </w:tcBorders>
            <w:gridSpan w:val="4"/>
          </w:tcPr>
          <w:p>
            <w:pPr>
              <w:jc w:val="cente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PART II. OTHER INFORMATION</w:t>
              </w:r>
            </w:hyperlink>
          </w:p>
        </w:tc>
        <w:tc>
          <w:tcPr>
            <w:tcW w:w="2420" w:type="dxa"/>
            <w:vAlign w:val="bottom"/>
            <w:gridSpan w:val="5"/>
          </w:tcPr>
          <w:p>
            <w:pPr>
              <w:spacing w:after="0"/>
              <w:rPr>
                <w:sz w:val="24"/>
                <w:szCs w:val="24"/>
                <w:color w:val="auto"/>
              </w:rPr>
            </w:pPr>
          </w:p>
        </w:tc>
        <w:tc>
          <w:tcPr>
            <w:tcW w:w="960" w:type="dxa"/>
            <w:vAlign w:val="bottom"/>
          </w:tcPr>
          <w:p>
            <w:pPr>
              <w:spacing w:after="0"/>
              <w:rPr>
                <w:sz w:val="24"/>
                <w:szCs w:val="24"/>
                <w:color w:val="auto"/>
              </w:rPr>
            </w:pPr>
          </w:p>
        </w:tc>
      </w:tr>
      <w:tr>
        <w:trPr>
          <w:trHeight w:val="412"/>
        </w:trPr>
        <w:tc>
          <w:tcPr>
            <w:tcW w:w="8660" w:type="dxa"/>
            <w:vAlign w:val="bottom"/>
            <w:gridSpan w:val="23"/>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Item 1. Legal Proceedings</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412"/>
        </w:trPr>
        <w:tc>
          <w:tcPr>
            <w:tcW w:w="1880" w:type="dxa"/>
            <w:vAlign w:val="bottom"/>
            <w:tcBorders>
              <w:top w:val="single" w:sz="8" w:color="0000EE"/>
            </w:tcBorders>
            <w:gridSpan w:val="9"/>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Item 1A. Risk Factors</w:t>
              </w:r>
            </w:hyperlink>
          </w:p>
        </w:tc>
        <w:tc>
          <w:tcPr>
            <w:tcW w:w="6780" w:type="dxa"/>
            <w:vAlign w:val="bottom"/>
            <w:gridSpan w:val="14"/>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4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320" w:type="dxa"/>
            <w:vAlign w:val="bottom"/>
            <w:gridSpan w:val="8"/>
          </w:tcPr>
          <w:p>
            <w:pPr>
              <w:spacing w:after="0" w:line="20" w:lineRule="exact"/>
              <w:rPr>
                <w:sz w:val="1"/>
                <w:szCs w:val="1"/>
                <w:color w:val="auto"/>
              </w:rPr>
            </w:pPr>
          </w:p>
        </w:tc>
        <w:tc>
          <w:tcPr>
            <w:tcW w:w="3760" w:type="dxa"/>
            <w:vAlign w:val="bottom"/>
            <w:gridSpan w:val="7"/>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412"/>
        </w:trPr>
        <w:tc>
          <w:tcPr>
            <w:tcW w:w="490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Item 2. Unregistered Sales of Equity Securities and Use of Proceeds</w:t>
              </w:r>
            </w:hyperlink>
          </w:p>
        </w:tc>
        <w:tc>
          <w:tcPr>
            <w:tcW w:w="3760" w:type="dxa"/>
            <w:vAlign w:val="bottom"/>
            <w:gridSpan w:val="7"/>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412"/>
        </w:trPr>
        <w:tc>
          <w:tcPr>
            <w:tcW w:w="8660" w:type="dxa"/>
            <w:vAlign w:val="bottom"/>
            <w:gridSpan w:val="23"/>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Item 6. Exhibits</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412"/>
        </w:trPr>
        <w:tc>
          <w:tcPr>
            <w:tcW w:w="108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5"/>
              </w:rPr>
            </w:pPr>
            <w:hyperlink w:anchor="page30">
              <w:r>
                <w:rPr>
                  <w:rFonts w:ascii="Arial" w:cs="Arial" w:eastAsia="Arial" w:hAnsi="Arial"/>
                  <w:sz w:val="18"/>
                  <w:szCs w:val="18"/>
                  <w:color w:val="0000EE"/>
                  <w:w w:val="85"/>
                </w:rPr>
                <w:t>Signature Page</w:t>
              </w:r>
            </w:hyperlink>
          </w:p>
        </w:tc>
        <w:tc>
          <w:tcPr>
            <w:tcW w:w="60" w:type="dxa"/>
            <w:vAlign w:val="bottom"/>
            <w:tcBorders>
              <w:top w:val="single" w:sz="8" w:color="0000EE"/>
            </w:tcBorders>
          </w:tcPr>
          <w:p>
            <w:pPr>
              <w:spacing w:after="0"/>
              <w:rPr>
                <w:sz w:val="24"/>
                <w:szCs w:val="24"/>
                <w:color w:val="auto"/>
              </w:rPr>
            </w:pPr>
          </w:p>
        </w:tc>
        <w:tc>
          <w:tcPr>
            <w:tcW w:w="7520" w:type="dxa"/>
            <w:vAlign w:val="bottom"/>
            <w:gridSpan w:val="17"/>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12"/>
        </w:trPr>
        <w:tc>
          <w:tcPr>
            <w:tcW w:w="40" w:type="dxa"/>
            <w:vAlign w:val="bottom"/>
          </w:tcPr>
          <w:p>
            <w:pPr>
              <w:spacing w:after="0"/>
              <w:rPr>
                <w:sz w:val="24"/>
                <w:szCs w:val="24"/>
                <w:color w:val="auto"/>
              </w:rPr>
            </w:pPr>
          </w:p>
        </w:tc>
        <w:tc>
          <w:tcPr>
            <w:tcW w:w="8620" w:type="dxa"/>
            <w:vAlign w:val="bottom"/>
            <w:gridSpan w:val="22"/>
          </w:tcPr>
          <w:p>
            <w:pPr>
              <w:spacing w:after="0"/>
              <w:rPr>
                <w:sz w:val="20"/>
                <w:szCs w:val="20"/>
                <w:color w:val="auto"/>
              </w:rPr>
            </w:pPr>
            <w:r>
              <w:rPr>
                <w:rFonts w:ascii="Arial" w:cs="Arial" w:eastAsia="Arial" w:hAnsi="Arial"/>
                <w:sz w:val="18"/>
                <w:szCs w:val="18"/>
                <w:color w:val="0000EE"/>
              </w:rPr>
              <w:t>Exhibit 10.2</w:t>
            </w:r>
          </w:p>
        </w:tc>
        <w:tc>
          <w:tcPr>
            <w:tcW w:w="96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7760" w:type="dxa"/>
            <w:vAlign w:val="bottom"/>
            <w:gridSpan w:val="19"/>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8620" w:type="dxa"/>
            <w:vAlign w:val="bottom"/>
            <w:gridSpan w:val="22"/>
          </w:tcPr>
          <w:p>
            <w:pPr>
              <w:spacing w:after="0" w:line="196" w:lineRule="exact"/>
              <w:rPr>
                <w:sz w:val="20"/>
                <w:szCs w:val="20"/>
                <w:color w:val="auto"/>
              </w:rPr>
            </w:pPr>
            <w:r>
              <w:rPr>
                <w:rFonts w:ascii="Arial" w:cs="Arial" w:eastAsia="Arial" w:hAnsi="Arial"/>
                <w:sz w:val="18"/>
                <w:szCs w:val="18"/>
                <w:color w:val="0000EE"/>
              </w:rPr>
              <w:t>Exhibit 31.1</w:t>
            </w:r>
          </w:p>
        </w:tc>
        <w:tc>
          <w:tcPr>
            <w:tcW w:w="96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7760" w:type="dxa"/>
            <w:vAlign w:val="bottom"/>
            <w:gridSpan w:val="19"/>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8620" w:type="dxa"/>
            <w:vAlign w:val="bottom"/>
            <w:gridSpan w:val="22"/>
          </w:tcPr>
          <w:p>
            <w:pPr>
              <w:spacing w:after="0" w:line="196" w:lineRule="exact"/>
              <w:rPr>
                <w:sz w:val="20"/>
                <w:szCs w:val="20"/>
                <w:color w:val="auto"/>
              </w:rPr>
            </w:pPr>
            <w:r>
              <w:rPr>
                <w:rFonts w:ascii="Arial" w:cs="Arial" w:eastAsia="Arial" w:hAnsi="Arial"/>
                <w:sz w:val="18"/>
                <w:szCs w:val="18"/>
                <w:color w:val="0000EE"/>
              </w:rPr>
              <w:t>Exhibit 31.2</w:t>
            </w:r>
          </w:p>
        </w:tc>
        <w:tc>
          <w:tcPr>
            <w:tcW w:w="96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bl>
    <w:p>
      <w:pPr>
        <w:spacing w:after="0" w:line="1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32.1</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32.2</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INSTANCE DOCUMENT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SCHEMA DOCUMENT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CALCULATION LINKBASE DOCUMENT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LABELS LINKBASE DOCUMENT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PRESENTATION LINKBASE DOCUMENT</w:t>
      </w:r>
    </w:p>
    <w:p>
      <w:pPr>
        <w:spacing w:after="0" w:line="200" w:lineRule="exact"/>
        <w:rPr>
          <w:sz w:val="20"/>
          <w:szCs w:val="20"/>
          <w:color w:val="auto"/>
        </w:rPr>
      </w:pPr>
    </w:p>
    <w:p>
      <w:pPr>
        <w:spacing w:after="0" w:line="36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730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5940" w:type="dxa"/>
            <w:vAlign w:val="bottom"/>
          </w:tcPr>
          <w:p>
            <w:pPr>
              <w:jc w:val="center"/>
              <w:ind w:left="1630"/>
              <w:spacing w:after="0"/>
              <w:rPr>
                <w:sz w:val="20"/>
                <w:szCs w:val="20"/>
                <w:color w:val="auto"/>
              </w:rPr>
            </w:pPr>
            <w:r>
              <w:rPr>
                <w:rFonts w:ascii="Arial" w:cs="Arial" w:eastAsia="Arial" w:hAnsi="Arial"/>
                <w:sz w:val="18"/>
                <w:szCs w:val="18"/>
                <w:b w:val="1"/>
                <w:bCs w:val="1"/>
                <w:color w:val="auto"/>
                <w:w w:val="98"/>
              </w:rPr>
              <w:t>PART I</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940" w:type="dxa"/>
            <w:vAlign w:val="bottom"/>
          </w:tcPr>
          <w:p>
            <w:pPr>
              <w:jc w:val="center"/>
              <w:ind w:left="1630"/>
              <w:spacing w:after="0"/>
              <w:rPr>
                <w:sz w:val="20"/>
                <w:szCs w:val="20"/>
                <w:color w:val="auto"/>
              </w:rPr>
            </w:pPr>
            <w:r>
              <w:rPr>
                <w:rFonts w:ascii="Arial" w:cs="Arial" w:eastAsia="Arial" w:hAnsi="Arial"/>
                <w:sz w:val="18"/>
                <w:szCs w:val="18"/>
                <w:b w:val="1"/>
                <w:bCs w:val="1"/>
                <w:color w:val="auto"/>
              </w:rPr>
              <w:t>FINANCIAL INFORMATION</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40" w:type="dxa"/>
            <w:vAlign w:val="bottom"/>
          </w:tcPr>
          <w:p>
            <w:pPr>
              <w:spacing w:after="0"/>
              <w:rPr>
                <w:sz w:val="24"/>
                <w:szCs w:val="24"/>
                <w:color w:val="auto"/>
              </w:rPr>
            </w:pPr>
          </w:p>
        </w:tc>
        <w:tc>
          <w:tcPr>
            <w:tcW w:w="696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940" w:type="dxa"/>
            <w:vAlign w:val="bottom"/>
          </w:tcPr>
          <w:p>
            <w:pPr>
              <w:jc w:val="center"/>
              <w:ind w:left="1630"/>
              <w:spacing w:after="0"/>
              <w:rPr>
                <w:sz w:val="20"/>
                <w:szCs w:val="20"/>
                <w:color w:val="auto"/>
              </w:rPr>
            </w:pPr>
            <w:r>
              <w:rPr>
                <w:rFonts w:ascii="Arial" w:cs="Arial" w:eastAsia="Arial" w:hAnsi="Arial"/>
                <w:sz w:val="18"/>
                <w:szCs w:val="18"/>
                <w:b w:val="1"/>
                <w:bCs w:val="1"/>
                <w:color w:val="auto"/>
                <w:w w:val="99"/>
              </w:rPr>
              <w:t>AVNET, INC. AND SUBSIDIARIES</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940" w:type="dxa"/>
            <w:vAlign w:val="bottom"/>
          </w:tcPr>
          <w:p>
            <w:pPr>
              <w:jc w:val="center"/>
              <w:ind w:left="1650"/>
              <w:spacing w:after="0"/>
              <w:rPr>
                <w:sz w:val="20"/>
                <w:szCs w:val="20"/>
                <w:color w:val="auto"/>
              </w:rPr>
            </w:pPr>
            <w:r>
              <w:rPr>
                <w:rFonts w:ascii="Arial" w:cs="Arial" w:eastAsia="Arial" w:hAnsi="Arial"/>
                <w:sz w:val="18"/>
                <w:szCs w:val="18"/>
                <w:b w:val="1"/>
                <w:bCs w:val="1"/>
                <w:color w:val="auto"/>
                <w:w w:val="99"/>
              </w:rPr>
              <w:t>CONSOLIDATED BALANCE SHEETS</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940" w:type="dxa"/>
            <w:vAlign w:val="bottom"/>
          </w:tcPr>
          <w:p>
            <w:pPr>
              <w:jc w:val="center"/>
              <w:ind w:left="1630"/>
              <w:spacing w:after="0"/>
              <w:rPr>
                <w:sz w:val="20"/>
                <w:szCs w:val="20"/>
                <w:color w:val="auto"/>
              </w:rPr>
            </w:pPr>
            <w:r>
              <w:rPr>
                <w:rFonts w:ascii="Arial" w:cs="Arial" w:eastAsia="Arial" w:hAnsi="Arial"/>
                <w:sz w:val="18"/>
                <w:szCs w:val="18"/>
                <w:b w:val="1"/>
                <w:bCs w:val="1"/>
                <w:color w:val="auto"/>
                <w:w w:val="93"/>
              </w:rPr>
              <w:t>(Unaudited)</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w w:val="98"/>
              </w:rPr>
              <w:t>January 1,</w:t>
            </w:r>
          </w:p>
        </w:tc>
        <w:tc>
          <w:tcPr>
            <w:tcW w:w="160" w:type="dxa"/>
            <w:vAlign w:val="bottom"/>
          </w:tcPr>
          <w:p>
            <w:pPr>
              <w:spacing w:after="0"/>
              <w:rPr>
                <w:sz w:val="24"/>
                <w:szCs w:val="24"/>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9"/>
              </w:rPr>
              <w:t>July 3,</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40" w:type="dxa"/>
            <w:vAlign w:val="bottom"/>
            <w:gridSpan w:val="5"/>
          </w:tcPr>
          <w:p>
            <w:pPr>
              <w:jc w:val="right"/>
              <w:ind w:right="520"/>
              <w:spacing w:after="0" w:line="191" w:lineRule="exact"/>
              <w:rPr>
                <w:sz w:val="20"/>
                <w:szCs w:val="20"/>
                <w:color w:val="auto"/>
              </w:rPr>
            </w:pPr>
            <w:r>
              <w:rPr>
                <w:rFonts w:ascii="Arial" w:cs="Arial" w:eastAsia="Arial" w:hAnsi="Arial"/>
                <w:sz w:val="18"/>
                <w:szCs w:val="18"/>
                <w:b w:val="1"/>
                <w:bCs w:val="1"/>
                <w:color w:val="auto"/>
              </w:rPr>
              <w:t>(Thousands, except</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4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share amounts)</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940" w:type="dxa"/>
            <w:vAlign w:val="bottom"/>
            <w:shd w:val="clear" w:color="auto" w:fill="CCEEFF"/>
          </w:tcPr>
          <w:p>
            <w:pPr>
              <w:jc w:val="center"/>
              <w:ind w:right="890"/>
              <w:spacing w:after="0"/>
              <w:rPr>
                <w:sz w:val="20"/>
                <w:szCs w:val="20"/>
                <w:color w:val="auto"/>
              </w:rPr>
            </w:pPr>
            <w:r>
              <w:rPr>
                <w:rFonts w:ascii="Arial" w:cs="Arial" w:eastAsia="Arial" w:hAnsi="Arial"/>
                <w:sz w:val="18"/>
                <w:szCs w:val="18"/>
                <w:b w:val="1"/>
                <w:bCs w:val="1"/>
                <w:color w:val="auto"/>
                <w:w w:val="94"/>
              </w:rPr>
              <w:t>ASSETS</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tcPr>
          <w:p>
            <w:pPr>
              <w:ind w:left="200"/>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Cash and cash equivalents</w:t>
            </w:r>
          </w:p>
        </w:tc>
        <w:tc>
          <w:tcPr>
            <w:tcW w:w="5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756,931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1,092,102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tcPr>
          <w:p>
            <w:pPr>
              <w:ind w:left="400"/>
              <w:spacing w:after="0"/>
              <w:rPr>
                <w:sz w:val="20"/>
                <w:szCs w:val="20"/>
                <w:color w:val="auto"/>
              </w:rPr>
            </w:pPr>
            <w:r>
              <w:rPr>
                <w:rFonts w:ascii="Arial" w:cs="Arial" w:eastAsia="Arial" w:hAnsi="Arial"/>
                <w:sz w:val="18"/>
                <w:szCs w:val="18"/>
                <w:color w:val="auto"/>
              </w:rPr>
              <w:t>Receivables, less allowances of $102,592 and $81,197 respectively</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4,816,088</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3,574,541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Inventories</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7"/>
              </w:rPr>
              <w:t>2,549,591</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1,812,766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tcPr>
          <w:p>
            <w:pPr>
              <w:ind w:left="400"/>
              <w:spacing w:after="0"/>
              <w:rPr>
                <w:sz w:val="20"/>
                <w:szCs w:val="20"/>
                <w:color w:val="auto"/>
              </w:rPr>
            </w:pPr>
            <w:r>
              <w:rPr>
                <w:rFonts w:ascii="Arial" w:cs="Arial" w:eastAsia="Arial" w:hAnsi="Arial"/>
                <w:sz w:val="18"/>
                <w:szCs w:val="18"/>
                <w:color w:val="auto"/>
              </w:rPr>
              <w:t>Prepaid and other current assets</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245,301</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150,759</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Total current assets</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7"/>
              </w:rPr>
              <w:t>8,367,911</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6,630,168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tcPr>
          <w:p>
            <w:pPr>
              <w:ind w:left="200"/>
              <w:spacing w:after="0"/>
              <w:rPr>
                <w:sz w:val="20"/>
                <w:szCs w:val="20"/>
                <w:color w:val="auto"/>
              </w:rPr>
            </w:pPr>
            <w:r>
              <w:rPr>
                <w:rFonts w:ascii="Arial" w:cs="Arial" w:eastAsia="Arial" w:hAnsi="Arial"/>
                <w:sz w:val="18"/>
                <w:szCs w:val="18"/>
                <w:color w:val="auto"/>
              </w:rPr>
              <w:t>Property, plant and equipment, net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367,410</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302,583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Goodwill (Notes 2 and 3)</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847,954</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566,309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tcPr>
          <w:p>
            <w:pPr>
              <w:ind w:left="200"/>
              <w:spacing w:after="0"/>
              <w:rPr>
                <w:sz w:val="20"/>
                <w:szCs w:val="20"/>
                <w:color w:val="auto"/>
              </w:rPr>
            </w:pPr>
            <w:r>
              <w:rPr>
                <w:rFonts w:ascii="Arial" w:cs="Arial" w:eastAsia="Arial" w:hAnsi="Arial"/>
                <w:sz w:val="18"/>
                <w:szCs w:val="18"/>
                <w:color w:val="auto"/>
              </w:rPr>
              <w:t>Other assets</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320,314</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283,322</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Total assets</w:t>
            </w:r>
          </w:p>
        </w:tc>
        <w:tc>
          <w:tcPr>
            <w:tcW w:w="5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7"/>
              </w:rPr>
              <w:t>9,903,589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7,782,382</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940" w:type="dxa"/>
            <w:vAlign w:val="bottom"/>
            <w:vMerge w:val="restart"/>
          </w:tcPr>
          <w:p>
            <w:pPr>
              <w:jc w:val="center"/>
              <w:ind w:right="910"/>
              <w:spacing w:after="0"/>
              <w:rPr>
                <w:sz w:val="20"/>
                <w:szCs w:val="20"/>
                <w:color w:val="auto"/>
              </w:rPr>
            </w:pPr>
            <w:r>
              <w:rPr>
                <w:rFonts w:ascii="Arial" w:cs="Arial" w:eastAsia="Arial" w:hAnsi="Arial"/>
                <w:sz w:val="18"/>
                <w:szCs w:val="18"/>
                <w:b w:val="1"/>
                <w:bCs w:val="1"/>
                <w:color w:val="auto"/>
              </w:rPr>
              <w:t>LIABILITIES AND SHAREHOLDERS’ EQUITY</w:t>
            </w: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9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Current liabilities:</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tcPr>
          <w:p>
            <w:pPr>
              <w:ind w:left="400"/>
              <w:spacing w:after="0"/>
              <w:rPr>
                <w:sz w:val="20"/>
                <w:szCs w:val="20"/>
                <w:color w:val="auto"/>
              </w:rPr>
            </w:pPr>
            <w:r>
              <w:rPr>
                <w:rFonts w:ascii="Arial" w:cs="Arial" w:eastAsia="Arial" w:hAnsi="Arial"/>
                <w:sz w:val="18"/>
                <w:szCs w:val="18"/>
                <w:color w:val="auto"/>
              </w:rPr>
              <w:t>Borrowings due within one year (Note 4)</w:t>
            </w:r>
          </w:p>
        </w:tc>
        <w:tc>
          <w:tcPr>
            <w:tcW w:w="5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777,235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36,549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Accounts payable</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7"/>
              </w:rPr>
              <w:t>3,610,080</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2,862,290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tcPr>
          <w:p>
            <w:pPr>
              <w:ind w:left="400"/>
              <w:spacing w:after="0"/>
              <w:rPr>
                <w:sz w:val="20"/>
                <w:szCs w:val="20"/>
                <w:color w:val="auto"/>
              </w:rPr>
            </w:pPr>
            <w:r>
              <w:rPr>
                <w:rFonts w:ascii="Arial" w:cs="Arial" w:eastAsia="Arial" w:hAnsi="Arial"/>
                <w:sz w:val="18"/>
                <w:szCs w:val="18"/>
                <w:color w:val="auto"/>
              </w:rPr>
              <w:t>Accrued expenses and other</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706,669</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540,776</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Total current liabilities</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7"/>
              </w:rPr>
              <w:t>5,093,984</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3,439,615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tcPr>
          <w:p>
            <w:pPr>
              <w:ind w:left="200"/>
              <w:spacing w:after="0"/>
              <w:rPr>
                <w:sz w:val="20"/>
                <w:szCs w:val="20"/>
                <w:color w:val="auto"/>
              </w:rPr>
            </w:pPr>
            <w:r>
              <w:rPr>
                <w:rFonts w:ascii="Arial" w:cs="Arial" w:eastAsia="Arial" w:hAnsi="Arial"/>
                <w:sz w:val="18"/>
                <w:szCs w:val="18"/>
                <w:color w:val="auto"/>
              </w:rPr>
              <w:t>Long-term debt (Note 4)</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1,247,906</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1,243,681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long-term liabilities</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119,499</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89,969</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960" w:type="dxa"/>
            <w:vAlign w:val="bottom"/>
            <w:gridSpan w:val="2"/>
          </w:tcPr>
          <w:p>
            <w:pPr>
              <w:ind w:left="600"/>
              <w:spacing w:after="0"/>
              <w:rPr>
                <w:sz w:val="20"/>
                <w:szCs w:val="20"/>
                <w:color w:val="auto"/>
              </w:rPr>
            </w:pPr>
            <w:r>
              <w:rPr>
                <w:rFonts w:ascii="Arial" w:cs="Arial" w:eastAsia="Arial" w:hAnsi="Arial"/>
                <w:sz w:val="18"/>
                <w:szCs w:val="18"/>
                <w:color w:val="auto"/>
              </w:rPr>
              <w:t>Total liabilities</w:t>
            </w:r>
          </w:p>
        </w:tc>
        <w:tc>
          <w:tcPr>
            <w:tcW w:w="3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6,461,389</w:t>
            </w:r>
          </w:p>
        </w:tc>
        <w:tc>
          <w:tcPr>
            <w:tcW w:w="3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4,773,265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Commitments and contingencies (Note 6)</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Shareholders’ equity (Notes 8 and 9):</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696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w w:val="93"/>
              </w:rPr>
              <w:t>Common stock $1.00 par; authorized 300,000,000 shares; Issued 152,098,000 shares and</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151,874,000 shares, respectively</w:t>
            </w:r>
          </w:p>
        </w:tc>
        <w:tc>
          <w:tcPr>
            <w:tcW w:w="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152,098</w:t>
            </w: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151,874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tcPr>
          <w:p>
            <w:pPr>
              <w:ind w:left="200"/>
              <w:spacing w:after="0"/>
              <w:rPr>
                <w:sz w:val="20"/>
                <w:szCs w:val="20"/>
                <w:color w:val="auto"/>
              </w:rPr>
            </w:pPr>
            <w:r>
              <w:rPr>
                <w:rFonts w:ascii="Arial" w:cs="Arial" w:eastAsia="Arial" w:hAnsi="Arial"/>
                <w:sz w:val="18"/>
                <w:szCs w:val="18"/>
                <w:color w:val="auto"/>
              </w:rPr>
              <w:t>Additional paid-in capital</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1,226,230</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1,206,132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Retained earnings</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7"/>
              </w:rPr>
              <w:t>1,903,649</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1,624,441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tcPr>
          <w:p>
            <w:pPr>
              <w:ind w:left="200"/>
              <w:spacing w:after="0"/>
              <w:rPr>
                <w:sz w:val="20"/>
                <w:szCs w:val="20"/>
                <w:color w:val="auto"/>
              </w:rPr>
            </w:pPr>
            <w:r>
              <w:rPr>
                <w:rFonts w:ascii="Arial" w:cs="Arial" w:eastAsia="Arial" w:hAnsi="Arial"/>
                <w:sz w:val="18"/>
                <w:szCs w:val="18"/>
                <w:color w:val="auto"/>
              </w:rPr>
              <w:t>Accumulated other comprehensive income (Note 8)</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160,915</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27,362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Treasury stock at cost, 37,744 shares and 37,769 shares, respectively</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(692)</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960" w:type="dxa"/>
            <w:vAlign w:val="bottom"/>
            <w:gridSpan w:val="2"/>
          </w:tcPr>
          <w:p>
            <w:pPr>
              <w:ind w:left="600"/>
              <w:spacing w:after="0"/>
              <w:rPr>
                <w:sz w:val="20"/>
                <w:szCs w:val="20"/>
                <w:color w:val="auto"/>
              </w:rPr>
            </w:pPr>
            <w:r>
              <w:rPr>
                <w:rFonts w:ascii="Arial" w:cs="Arial" w:eastAsia="Arial" w:hAnsi="Arial"/>
                <w:sz w:val="18"/>
                <w:szCs w:val="18"/>
                <w:color w:val="auto"/>
              </w:rPr>
              <w:t>Total shareholders’ equity</w:t>
            </w:r>
          </w:p>
        </w:tc>
        <w:tc>
          <w:tcPr>
            <w:tcW w:w="3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3,442,200</w:t>
            </w:r>
          </w:p>
        </w:tc>
        <w:tc>
          <w:tcPr>
            <w:tcW w:w="3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3,009,117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Total liabilities and shareholders’ equity</w:t>
            </w:r>
          </w:p>
        </w:tc>
        <w:tc>
          <w:tcPr>
            <w:tcW w:w="5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7"/>
              </w:rPr>
              <w:t>9,903,589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7,782,382</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448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6300" w:type="dxa"/>
            <w:vAlign w:val="bottom"/>
            <w:gridSpan w:val="9"/>
          </w:tcPr>
          <w:p>
            <w:pPr>
              <w:jc w:val="center"/>
              <w:ind w:left="1270"/>
              <w:spacing w:after="0"/>
              <w:rPr>
                <w:sz w:val="20"/>
                <w:szCs w:val="20"/>
                <w:color w:val="auto"/>
              </w:rPr>
            </w:pPr>
            <w:r>
              <w:rPr>
                <w:rFonts w:ascii="Arial" w:cs="Arial" w:eastAsia="Arial" w:hAnsi="Arial"/>
                <w:sz w:val="18"/>
                <w:szCs w:val="18"/>
                <w:b w:val="1"/>
                <w:bCs w:val="1"/>
                <w:color w:val="auto"/>
                <w:w w:val="99"/>
              </w:rPr>
              <w:t>AVNET, INC. AND SUBSIDIARIES</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300" w:type="dxa"/>
            <w:vAlign w:val="bottom"/>
            <w:gridSpan w:val="9"/>
          </w:tcPr>
          <w:p>
            <w:pPr>
              <w:jc w:val="center"/>
              <w:ind w:left="1270"/>
              <w:spacing w:after="0"/>
              <w:rPr>
                <w:sz w:val="20"/>
                <w:szCs w:val="20"/>
                <w:color w:val="auto"/>
              </w:rPr>
            </w:pPr>
            <w:r>
              <w:rPr>
                <w:rFonts w:ascii="Arial" w:cs="Arial" w:eastAsia="Arial" w:hAnsi="Arial"/>
                <w:sz w:val="18"/>
                <w:szCs w:val="18"/>
                <w:b w:val="1"/>
                <w:bCs w:val="1"/>
                <w:color w:val="auto"/>
                <w:w w:val="99"/>
              </w:rPr>
              <w:t>CONSOLIDATED STATEMENTS OF OPERATIONS</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54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3"/>
              </w:rPr>
              <w:t>(Unaudited)</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8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w w:val="93"/>
              </w:rPr>
              <w:t>Second Quarters Ended</w:t>
            </w:r>
          </w:p>
        </w:tc>
        <w:tc>
          <w:tcPr>
            <w:tcW w:w="120" w:type="dxa"/>
            <w:vAlign w:val="bottom"/>
          </w:tcPr>
          <w:p>
            <w:pPr>
              <w:spacing w:after="0"/>
              <w:rPr>
                <w:sz w:val="24"/>
                <w:szCs w:val="24"/>
                <w:color w:val="auto"/>
              </w:rPr>
            </w:pPr>
          </w:p>
        </w:tc>
        <w:tc>
          <w:tcPr>
            <w:tcW w:w="228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91"/>
        </w:trPr>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00" w:type="dxa"/>
            <w:vAlign w:val="bottom"/>
            <w:tcBorders>
              <w:top w:val="single" w:sz="8" w:color="auto"/>
            </w:tcBorders>
            <w:gridSpan w:val="3"/>
          </w:tcPr>
          <w:p>
            <w:pPr>
              <w:jc w:val="right"/>
              <w:ind w:right="200"/>
              <w:spacing w:after="0" w:line="191" w:lineRule="exact"/>
              <w:rPr>
                <w:sz w:val="20"/>
                <w:szCs w:val="20"/>
                <w:color w:val="auto"/>
              </w:rPr>
            </w:pPr>
            <w:r>
              <w:rPr>
                <w:rFonts w:ascii="Arial" w:cs="Arial" w:eastAsia="Arial" w:hAnsi="Arial"/>
                <w:sz w:val="18"/>
                <w:szCs w:val="18"/>
                <w:b w:val="1"/>
                <w:bCs w:val="1"/>
                <w:color w:val="auto"/>
                <w:w w:val="98"/>
              </w:rPr>
              <w:t>January 1,</w:t>
            </w:r>
          </w:p>
        </w:tc>
        <w:tc>
          <w:tcPr>
            <w:tcW w:w="2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8"/>
                <w:szCs w:val="18"/>
                <w:b w:val="1"/>
                <w:bCs w:val="1"/>
                <w:color w:val="auto"/>
                <w:w w:val="98"/>
              </w:rPr>
              <w:t>January 2,</w:t>
            </w:r>
          </w:p>
        </w:tc>
        <w:tc>
          <w:tcPr>
            <w:tcW w:w="380" w:type="dxa"/>
            <w:vAlign w:val="bottom"/>
          </w:tcPr>
          <w:p>
            <w:pPr>
              <w:spacing w:after="0"/>
              <w:rPr>
                <w:sz w:val="16"/>
                <w:szCs w:val="16"/>
                <w:color w:val="auto"/>
              </w:rPr>
            </w:pPr>
          </w:p>
        </w:tc>
        <w:tc>
          <w:tcPr>
            <w:tcW w:w="1340" w:type="dxa"/>
            <w:vAlign w:val="bottom"/>
            <w:tcBorders>
              <w:top w:val="single" w:sz="8" w:color="auto"/>
            </w:tcBorders>
            <w:gridSpan w:val="3"/>
          </w:tcPr>
          <w:p>
            <w:pPr>
              <w:jc w:val="right"/>
              <w:ind w:right="440"/>
              <w:spacing w:after="0" w:line="191" w:lineRule="exact"/>
              <w:rPr>
                <w:sz w:val="20"/>
                <w:szCs w:val="20"/>
                <w:color w:val="auto"/>
              </w:rPr>
            </w:pPr>
            <w:r>
              <w:rPr>
                <w:rFonts w:ascii="Arial" w:cs="Arial" w:eastAsia="Arial" w:hAnsi="Arial"/>
                <w:sz w:val="18"/>
                <w:szCs w:val="18"/>
                <w:b w:val="1"/>
                <w:bCs w:val="1"/>
                <w:color w:val="auto"/>
                <w:w w:val="98"/>
              </w:rPr>
              <w:t>January 1,</w:t>
            </w:r>
          </w:p>
        </w:tc>
        <w:tc>
          <w:tcPr>
            <w:tcW w:w="96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8"/>
                <w:szCs w:val="18"/>
                <w:b w:val="1"/>
                <w:bCs w:val="1"/>
                <w:color w:val="auto"/>
                <w:w w:val="98"/>
              </w:rPr>
              <w:t>January 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00" w:type="dxa"/>
            <w:vAlign w:val="bottom"/>
            <w:gridSpan w:val="6"/>
          </w:tcPr>
          <w:p>
            <w:pPr>
              <w:spacing w:after="0"/>
              <w:rPr>
                <w:sz w:val="20"/>
                <w:szCs w:val="20"/>
                <w:color w:val="auto"/>
              </w:rPr>
            </w:pPr>
            <w:r>
              <w:rPr>
                <w:rFonts w:ascii="Arial" w:cs="Arial" w:eastAsia="Arial" w:hAnsi="Arial"/>
                <w:sz w:val="18"/>
                <w:szCs w:val="18"/>
                <w:b w:val="1"/>
                <w:bCs w:val="1"/>
                <w:color w:val="auto"/>
                <w:w w:val="88"/>
              </w:rPr>
              <w:t>(Thousands, except per share data)</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6,767,495</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7"/>
              </w:rPr>
              <w:t>4,834,524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0"/>
              </w:rPr>
              <w:t>12,949,883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9,189,560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5,994,301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4,282,633</w:t>
            </w: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w w:val="90"/>
              </w:rPr>
              <w:t>11,453,544</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8,137,932</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773,194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551,891</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1,496,339</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1,051,628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516,480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389,604</w:t>
            </w: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1,017,096</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782,269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Restructuring, integration and other charges (Note 12)</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29,112</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57,179</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18,072</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4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227,602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162,287</w:t>
            </w:r>
          </w:p>
        </w:tc>
        <w:tc>
          <w:tcPr>
            <w:tcW w:w="3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422,064</w:t>
            </w:r>
          </w:p>
        </w:tc>
        <w:tc>
          <w:tcPr>
            <w:tcW w:w="3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251,287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(360)</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(835)</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2,979</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(24,248)</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(15,316)</w:t>
            </w:r>
          </w:p>
        </w:tc>
        <w:tc>
          <w:tcPr>
            <w:tcW w:w="1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(46,273)</w:t>
            </w:r>
          </w:p>
        </w:tc>
        <w:tc>
          <w:tcPr>
            <w:tcW w:w="1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(30,597)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on sale of assets (Note 2)</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5,549</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5,549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Gain on bargain purchase and other (Note 2)</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29,023</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202,994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151,685</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407,793</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228,320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Income tax provision</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61,960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47,834</w:t>
            </w: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128,585</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73,574</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141,034</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103,851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279,208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154,746</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140" w:type="dxa"/>
            <w:vAlign w:val="bottom"/>
            <w:gridSpan w:val="2"/>
            <w:vMerge w:val="restart"/>
          </w:tcPr>
          <w:p>
            <w:pPr>
              <w:spacing w:after="0"/>
              <w:rPr>
                <w:sz w:val="20"/>
                <w:szCs w:val="20"/>
                <w:color w:val="auto"/>
              </w:rPr>
            </w:pPr>
            <w:r>
              <w:rPr>
                <w:rFonts w:ascii="Arial" w:cs="Arial" w:eastAsia="Arial" w:hAnsi="Arial"/>
                <w:sz w:val="18"/>
                <w:szCs w:val="18"/>
                <w:color w:val="auto"/>
              </w:rPr>
              <w:t>Net earnings per share (Note 9):</w:t>
            </w: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414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0.93</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0.69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140" w:type="dxa"/>
            <w:vAlign w:val="bottom"/>
            <w:gridSpan w:val="2"/>
            <w:vMerge w:val="restart"/>
          </w:tcPr>
          <w:p>
            <w:pPr>
              <w:ind w:left="200"/>
              <w:spacing w:after="0"/>
              <w:rPr>
                <w:sz w:val="20"/>
                <w:szCs w:val="20"/>
                <w:color w:val="auto"/>
              </w:rPr>
            </w:pPr>
            <w:r>
              <w:rPr>
                <w:rFonts w:ascii="Arial" w:cs="Arial" w:eastAsia="Arial" w:hAnsi="Arial"/>
                <w:sz w:val="18"/>
                <w:szCs w:val="18"/>
                <w:color w:val="auto"/>
              </w:rPr>
              <w:t>Diluted</w:t>
            </w: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414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0.68</w:t>
            </w:r>
          </w:p>
        </w:tc>
        <w:tc>
          <w:tcPr>
            <w:tcW w:w="3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3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Shares used to compute earnings per share (Note 9):</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40" w:type="dxa"/>
            <w:vAlign w:val="bottom"/>
            <w:gridSpan w:val="2"/>
          </w:tcPr>
          <w:p>
            <w:pPr>
              <w:ind w:left="200"/>
              <w:spacing w:after="0"/>
              <w:rPr>
                <w:sz w:val="20"/>
                <w:szCs w:val="20"/>
                <w:color w:val="auto"/>
              </w:rPr>
            </w:pPr>
            <w:r>
              <w:rPr>
                <w:rFonts w:ascii="Arial" w:cs="Arial" w:eastAsia="Arial" w:hAnsi="Arial"/>
                <w:sz w:val="18"/>
                <w:szCs w:val="18"/>
                <w:color w:val="auto"/>
              </w:rPr>
              <w:t>Basic</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152,137</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151,391</w:t>
            </w: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152,071</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151,333</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4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154,259</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152,945</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153,952</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152,790</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748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6120" w:type="dxa"/>
            <w:vAlign w:val="bottom"/>
          </w:tcPr>
          <w:p>
            <w:pPr>
              <w:jc w:val="center"/>
              <w:ind w:left="1450"/>
              <w:spacing w:after="0"/>
              <w:rPr>
                <w:sz w:val="20"/>
                <w:szCs w:val="20"/>
                <w:color w:val="auto"/>
              </w:rPr>
            </w:pPr>
            <w:r>
              <w:rPr>
                <w:rFonts w:ascii="Arial" w:cs="Arial" w:eastAsia="Arial" w:hAnsi="Arial"/>
                <w:sz w:val="18"/>
                <w:szCs w:val="18"/>
                <w:b w:val="1"/>
                <w:bCs w:val="1"/>
                <w:color w:val="auto"/>
                <w:w w:val="99"/>
              </w:rPr>
              <w:t>AVNET, INC. AND SUBSIDIARIES</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120" w:type="dxa"/>
            <w:vAlign w:val="bottom"/>
          </w:tcPr>
          <w:p>
            <w:pPr>
              <w:jc w:val="center"/>
              <w:ind w:left="1450"/>
              <w:spacing w:after="0"/>
              <w:rPr>
                <w:sz w:val="20"/>
                <w:szCs w:val="20"/>
                <w:color w:val="auto"/>
              </w:rPr>
            </w:pPr>
            <w:r>
              <w:rPr>
                <w:rFonts w:ascii="Arial" w:cs="Arial" w:eastAsia="Arial" w:hAnsi="Arial"/>
                <w:sz w:val="18"/>
                <w:szCs w:val="18"/>
                <w:b w:val="1"/>
                <w:bCs w:val="1"/>
                <w:color w:val="auto"/>
                <w:w w:val="98"/>
              </w:rPr>
              <w:t>CONSOLIDATED STATEMENTS OF CASH FLOWS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120" w:type="dxa"/>
            <w:vAlign w:val="bottom"/>
          </w:tcPr>
          <w:p>
            <w:pPr>
              <w:jc w:val="center"/>
              <w:ind w:left="1450"/>
              <w:spacing w:after="0"/>
              <w:rPr>
                <w:sz w:val="20"/>
                <w:szCs w:val="20"/>
                <w:color w:val="auto"/>
              </w:rPr>
            </w:pPr>
            <w:r>
              <w:rPr>
                <w:rFonts w:ascii="Arial" w:cs="Arial" w:eastAsia="Arial" w:hAnsi="Arial"/>
                <w:sz w:val="18"/>
                <w:szCs w:val="18"/>
                <w:b w:val="1"/>
                <w:bCs w:val="1"/>
                <w:color w:val="auto"/>
                <w:w w:val="93"/>
              </w:rPr>
              <w:t>(Unaudited)</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4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rPr>
              <w:t>Six Months Ended</w:t>
            </w:r>
          </w:p>
        </w:tc>
      </w:tr>
      <w:tr>
        <w:trPr>
          <w:trHeight w:val="191"/>
        </w:trPr>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Borders>
              <w:top w:val="single" w:sz="8" w:color="auto"/>
            </w:tcBorders>
            <w:gridSpan w:val="3"/>
          </w:tcPr>
          <w:p>
            <w:pPr>
              <w:jc w:val="right"/>
              <w:ind w:right="460"/>
              <w:spacing w:after="0" w:line="191" w:lineRule="exact"/>
              <w:rPr>
                <w:sz w:val="20"/>
                <w:szCs w:val="20"/>
                <w:color w:val="auto"/>
              </w:rPr>
            </w:pPr>
            <w:r>
              <w:rPr>
                <w:rFonts w:ascii="Arial" w:cs="Arial" w:eastAsia="Arial" w:hAnsi="Arial"/>
                <w:sz w:val="18"/>
                <w:szCs w:val="18"/>
                <w:b w:val="1"/>
                <w:bCs w:val="1"/>
                <w:color w:val="auto"/>
                <w:w w:val="98"/>
              </w:rPr>
              <w:t>January 1,</w:t>
            </w:r>
          </w:p>
        </w:tc>
        <w:tc>
          <w:tcPr>
            <w:tcW w:w="96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8"/>
                <w:szCs w:val="18"/>
                <w:b w:val="1"/>
                <w:bCs w:val="1"/>
                <w:color w:val="auto"/>
                <w:w w:val="98"/>
              </w:rPr>
              <w:t>January 2,</w:t>
            </w:r>
          </w:p>
        </w:tc>
        <w:tc>
          <w:tcPr>
            <w:tcW w:w="100" w:type="dxa"/>
            <w:vAlign w:val="bottom"/>
          </w:tcPr>
          <w:p>
            <w:pPr>
              <w:spacing w:after="0"/>
              <w:rPr>
                <w:sz w:val="16"/>
                <w:szCs w:val="16"/>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3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84"/>
              </w:rPr>
              <w:t>2010</w:t>
            </w:r>
          </w:p>
        </w:tc>
        <w:tc>
          <w:tcPr>
            <w:tcW w:w="10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b w:val="1"/>
                <w:bCs w:val="1"/>
                <w:color w:val="auto"/>
              </w:rPr>
              <w:t>(Thousands)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140" w:type="dxa"/>
            <w:vAlign w:val="bottom"/>
            <w:gridSpan w:val="2"/>
          </w:tcPr>
          <w:p>
            <w:pPr>
              <w:ind w:left="200"/>
              <w:spacing w:after="0"/>
              <w:rPr>
                <w:sz w:val="20"/>
                <w:szCs w:val="20"/>
                <w:color w:val="auto"/>
              </w:rPr>
            </w:pPr>
            <w:r>
              <w:rPr>
                <w:rFonts w:ascii="Arial" w:cs="Arial" w:eastAsia="Arial" w:hAnsi="Arial"/>
                <w:sz w:val="18"/>
                <w:szCs w:val="18"/>
                <w:color w:val="auto"/>
              </w:rPr>
              <w:t>Net income</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279,208</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154,746</w:t>
            </w:r>
          </w:p>
        </w:tc>
      </w:tr>
      <w:tr>
        <w:trPr>
          <w:trHeight w:val="216"/>
        </w:trPr>
        <w:tc>
          <w:tcPr>
            <w:tcW w:w="340" w:type="dxa"/>
            <w:vAlign w:val="bottom"/>
          </w:tcPr>
          <w:p>
            <w:pPr>
              <w:spacing w:after="0"/>
              <w:rPr>
                <w:sz w:val="18"/>
                <w:szCs w:val="18"/>
                <w:color w:val="auto"/>
              </w:rPr>
            </w:pPr>
          </w:p>
        </w:tc>
        <w:tc>
          <w:tcPr>
            <w:tcW w:w="7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Non-cash and other reconciling items: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140" w:type="dxa"/>
            <w:vAlign w:val="bottom"/>
            <w:gridSpan w:val="2"/>
          </w:tcPr>
          <w:p>
            <w:pPr>
              <w:ind w:left="40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39,490</w:t>
            </w:r>
          </w:p>
        </w:tc>
        <w:tc>
          <w:tcPr>
            <w:tcW w:w="3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31,127</w:t>
            </w:r>
          </w:p>
        </w:tc>
      </w:tr>
      <w:tr>
        <w:trPr>
          <w:trHeight w:val="216"/>
        </w:trPr>
        <w:tc>
          <w:tcPr>
            <w:tcW w:w="340" w:type="dxa"/>
            <w:vAlign w:val="bottom"/>
          </w:tcPr>
          <w:p>
            <w:pPr>
              <w:spacing w:after="0"/>
              <w:rPr>
                <w:sz w:val="18"/>
                <w:szCs w:val="18"/>
                <w:color w:val="auto"/>
              </w:rPr>
            </w:pPr>
          </w:p>
        </w:tc>
        <w:tc>
          <w:tcPr>
            <w:tcW w:w="71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Deferred income taxes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(21,696)</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16,019</w:t>
            </w:r>
          </w:p>
        </w:tc>
      </w:tr>
      <w:tr>
        <w:trPr>
          <w:trHeight w:val="216"/>
        </w:trPr>
        <w:tc>
          <w:tcPr>
            <w:tcW w:w="340" w:type="dxa"/>
            <w:vAlign w:val="bottom"/>
          </w:tcPr>
          <w:p>
            <w:pPr>
              <w:spacing w:after="0"/>
              <w:rPr>
                <w:sz w:val="18"/>
                <w:szCs w:val="18"/>
                <w:color w:val="auto"/>
              </w:rPr>
            </w:pPr>
          </w:p>
        </w:tc>
        <w:tc>
          <w:tcPr>
            <w:tcW w:w="7140" w:type="dxa"/>
            <w:vAlign w:val="bottom"/>
            <w:gridSpan w:val="2"/>
          </w:tcPr>
          <w:p>
            <w:pPr>
              <w:ind w:left="400"/>
              <w:spacing w:after="0"/>
              <w:rPr>
                <w:sz w:val="20"/>
                <w:szCs w:val="20"/>
                <w:color w:val="auto"/>
              </w:rPr>
            </w:pPr>
            <w:r>
              <w:rPr>
                <w:rFonts w:ascii="Arial" w:cs="Arial" w:eastAsia="Arial" w:hAnsi="Arial"/>
                <w:sz w:val="18"/>
                <w:szCs w:val="18"/>
                <w:color w:val="auto"/>
              </w:rPr>
              <w:t>Stock-based compensation</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20,769</w:t>
            </w:r>
          </w:p>
        </w:tc>
        <w:tc>
          <w:tcPr>
            <w:tcW w:w="3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19,799</w:t>
            </w:r>
          </w:p>
        </w:tc>
      </w:tr>
      <w:tr>
        <w:trPr>
          <w:trHeight w:val="216"/>
        </w:trPr>
        <w:tc>
          <w:tcPr>
            <w:tcW w:w="340" w:type="dxa"/>
            <w:vAlign w:val="bottom"/>
          </w:tcPr>
          <w:p>
            <w:pPr>
              <w:spacing w:after="0"/>
              <w:rPr>
                <w:sz w:val="18"/>
                <w:szCs w:val="18"/>
                <w:color w:val="auto"/>
              </w:rPr>
            </w:pPr>
          </w:p>
        </w:tc>
        <w:tc>
          <w:tcPr>
            <w:tcW w:w="71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Gain on bargain purchase and other (Note 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(29,023)</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18"/>
                <w:szCs w:val="18"/>
                <w:color w:val="auto"/>
              </w:rPr>
            </w:pPr>
          </w:p>
        </w:tc>
        <w:tc>
          <w:tcPr>
            <w:tcW w:w="7140" w:type="dxa"/>
            <w:vAlign w:val="bottom"/>
            <w:gridSpan w:val="2"/>
          </w:tcPr>
          <w:p>
            <w:pPr>
              <w:ind w:left="400"/>
              <w:spacing w:after="0"/>
              <w:rPr>
                <w:sz w:val="20"/>
                <w:szCs w:val="20"/>
                <w:color w:val="auto"/>
              </w:rPr>
            </w:pPr>
            <w:r>
              <w:rPr>
                <w:rFonts w:ascii="Arial" w:cs="Arial" w:eastAsia="Arial" w:hAnsi="Arial"/>
                <w:sz w:val="18"/>
                <w:szCs w:val="18"/>
                <w:color w:val="auto"/>
              </w:rPr>
              <w:t>Gain on sale of assets (Note 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(5,549)</w:t>
            </w:r>
          </w:p>
        </w:tc>
      </w:tr>
      <w:tr>
        <w:trPr>
          <w:trHeight w:val="216"/>
        </w:trPr>
        <w:tc>
          <w:tcPr>
            <w:tcW w:w="340" w:type="dxa"/>
            <w:vAlign w:val="bottom"/>
          </w:tcPr>
          <w:p>
            <w:pPr>
              <w:spacing w:after="0"/>
              <w:rPr>
                <w:sz w:val="18"/>
                <w:szCs w:val="18"/>
                <w:color w:val="auto"/>
              </w:rPr>
            </w:pPr>
          </w:p>
        </w:tc>
        <w:tc>
          <w:tcPr>
            <w:tcW w:w="71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Other, net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31,017</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8,363</w:t>
            </w:r>
          </w:p>
        </w:tc>
      </w:tr>
      <w:tr>
        <w:trPr>
          <w:trHeight w:val="216"/>
        </w:trPr>
        <w:tc>
          <w:tcPr>
            <w:tcW w:w="340" w:type="dxa"/>
            <w:vAlign w:val="bottom"/>
          </w:tcPr>
          <w:p>
            <w:pPr>
              <w:spacing w:after="0"/>
              <w:rPr>
                <w:sz w:val="18"/>
                <w:szCs w:val="18"/>
                <w:color w:val="auto"/>
              </w:rPr>
            </w:pPr>
          </w:p>
        </w:tc>
        <w:tc>
          <w:tcPr>
            <w:tcW w:w="7140" w:type="dxa"/>
            <w:vAlign w:val="bottom"/>
            <w:gridSpan w:val="2"/>
          </w:tcPr>
          <w:p>
            <w:pPr>
              <w:ind w:left="200"/>
              <w:spacing w:after="0"/>
              <w:rPr>
                <w:sz w:val="20"/>
                <w:szCs w:val="20"/>
                <w:color w:val="auto"/>
              </w:rPr>
            </w:pPr>
            <w:r>
              <w:rPr>
                <w:rFonts w:ascii="Arial" w:cs="Arial" w:eastAsia="Arial" w:hAnsi="Arial"/>
                <w:sz w:val="18"/>
                <w:szCs w:val="18"/>
                <w:color w:val="auto"/>
              </w:rPr>
              <w:t>Changes in (net of effects from businesses acquired):</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1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Receivables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(545,192)</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(793,294)</w:t>
            </w:r>
          </w:p>
        </w:tc>
      </w:tr>
      <w:tr>
        <w:trPr>
          <w:trHeight w:val="216"/>
        </w:trPr>
        <w:tc>
          <w:tcPr>
            <w:tcW w:w="340" w:type="dxa"/>
            <w:vAlign w:val="bottom"/>
          </w:tcPr>
          <w:p>
            <w:pPr>
              <w:spacing w:after="0"/>
              <w:rPr>
                <w:sz w:val="18"/>
                <w:szCs w:val="18"/>
                <w:color w:val="auto"/>
              </w:rPr>
            </w:pPr>
          </w:p>
        </w:tc>
        <w:tc>
          <w:tcPr>
            <w:tcW w:w="7140" w:type="dxa"/>
            <w:vAlign w:val="bottom"/>
            <w:gridSpan w:val="2"/>
          </w:tcPr>
          <w:p>
            <w:pPr>
              <w:ind w:left="40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(341,101)</w:t>
            </w:r>
          </w:p>
        </w:tc>
        <w:tc>
          <w:tcPr>
            <w:tcW w:w="3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(272,882)</w:t>
            </w:r>
          </w:p>
        </w:tc>
      </w:tr>
      <w:tr>
        <w:trPr>
          <w:trHeight w:val="216"/>
        </w:trPr>
        <w:tc>
          <w:tcPr>
            <w:tcW w:w="340" w:type="dxa"/>
            <w:vAlign w:val="bottom"/>
          </w:tcPr>
          <w:p>
            <w:pPr>
              <w:spacing w:after="0"/>
              <w:rPr>
                <w:sz w:val="18"/>
                <w:szCs w:val="18"/>
                <w:color w:val="auto"/>
              </w:rPr>
            </w:pPr>
          </w:p>
        </w:tc>
        <w:tc>
          <w:tcPr>
            <w:tcW w:w="71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295,374</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753,354</w:t>
            </w:r>
          </w:p>
        </w:tc>
      </w:tr>
      <w:tr>
        <w:trPr>
          <w:trHeight w:val="216"/>
        </w:trPr>
        <w:tc>
          <w:tcPr>
            <w:tcW w:w="340" w:type="dxa"/>
            <w:vAlign w:val="bottom"/>
          </w:tcPr>
          <w:p>
            <w:pPr>
              <w:spacing w:after="0"/>
              <w:rPr>
                <w:sz w:val="18"/>
                <w:szCs w:val="18"/>
                <w:color w:val="auto"/>
              </w:rPr>
            </w:pPr>
          </w:p>
        </w:tc>
        <w:tc>
          <w:tcPr>
            <w:tcW w:w="7140" w:type="dxa"/>
            <w:vAlign w:val="bottom"/>
            <w:gridSpan w:val="2"/>
          </w:tcPr>
          <w:p>
            <w:pPr>
              <w:ind w:left="400"/>
              <w:spacing w:after="0"/>
              <w:rPr>
                <w:sz w:val="20"/>
                <w:szCs w:val="20"/>
                <w:color w:val="auto"/>
              </w:rPr>
            </w:pPr>
            <w:r>
              <w:rPr>
                <w:rFonts w:ascii="Arial" w:cs="Arial" w:eastAsia="Arial" w:hAnsi="Arial"/>
                <w:sz w:val="18"/>
                <w:szCs w:val="18"/>
                <w:color w:val="auto"/>
              </w:rPr>
              <w:t>Accrued expenses and other, net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79,682</w:t>
            </w:r>
          </w:p>
        </w:tc>
        <w:tc>
          <w:tcPr>
            <w:tcW w:w="3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(2,988)</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71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Net cash flows used for operating activities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(191,472)</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(91,305)</w:t>
            </w:r>
          </w:p>
        </w:tc>
      </w:tr>
      <w:tr>
        <w:trPr>
          <w:trHeight w:val="439"/>
        </w:trPr>
        <w:tc>
          <w:tcPr>
            <w:tcW w:w="340" w:type="dxa"/>
            <w:vAlign w:val="bottom"/>
          </w:tcPr>
          <w:p>
            <w:pPr>
              <w:spacing w:after="0"/>
              <w:rPr>
                <w:sz w:val="24"/>
                <w:szCs w:val="24"/>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7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Borrowings under accounts receivable securitization program, net (Note 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450,000</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18"/>
                <w:szCs w:val="18"/>
                <w:color w:val="auto"/>
              </w:rPr>
            </w:pPr>
          </w:p>
        </w:tc>
        <w:tc>
          <w:tcPr>
            <w:tcW w:w="7140" w:type="dxa"/>
            <w:vAlign w:val="bottom"/>
            <w:gridSpan w:val="2"/>
          </w:tcPr>
          <w:p>
            <w:pPr>
              <w:ind w:left="200"/>
              <w:spacing w:after="0"/>
              <w:rPr>
                <w:sz w:val="20"/>
                <w:szCs w:val="20"/>
                <w:color w:val="auto"/>
              </w:rPr>
            </w:pPr>
            <w:r>
              <w:rPr>
                <w:rFonts w:ascii="Arial" w:cs="Arial" w:eastAsia="Arial" w:hAnsi="Arial"/>
                <w:sz w:val="18"/>
                <w:szCs w:val="18"/>
                <w:color w:val="auto"/>
              </w:rPr>
              <w:t>Repayments of notes (Note 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(5,205)</w:t>
            </w:r>
          </w:p>
        </w:tc>
        <w:tc>
          <w:tcPr>
            <w:tcW w:w="3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18"/>
                <w:szCs w:val="18"/>
                <w:color w:val="auto"/>
              </w:rPr>
            </w:pPr>
          </w:p>
        </w:tc>
        <w:tc>
          <w:tcPr>
            <w:tcW w:w="7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Proceeds from bank debt, net (Note 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62,520</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39,660</w:t>
            </w:r>
          </w:p>
        </w:tc>
      </w:tr>
      <w:tr>
        <w:trPr>
          <w:trHeight w:val="216"/>
        </w:trPr>
        <w:tc>
          <w:tcPr>
            <w:tcW w:w="340" w:type="dxa"/>
            <w:vAlign w:val="bottom"/>
          </w:tcPr>
          <w:p>
            <w:pPr>
              <w:spacing w:after="0"/>
              <w:rPr>
                <w:sz w:val="18"/>
                <w:szCs w:val="18"/>
                <w:color w:val="auto"/>
              </w:rPr>
            </w:pPr>
          </w:p>
        </w:tc>
        <w:tc>
          <w:tcPr>
            <w:tcW w:w="7140" w:type="dxa"/>
            <w:vAlign w:val="bottom"/>
            <w:gridSpan w:val="2"/>
          </w:tcPr>
          <w:p>
            <w:pPr>
              <w:ind w:left="200"/>
              <w:spacing w:after="0"/>
              <w:rPr>
                <w:sz w:val="20"/>
                <w:szCs w:val="20"/>
                <w:color w:val="auto"/>
              </w:rPr>
            </w:pPr>
            <w:r>
              <w:rPr>
                <w:rFonts w:ascii="Arial" w:cs="Arial" w:eastAsia="Arial" w:hAnsi="Arial"/>
                <w:sz w:val="18"/>
                <w:szCs w:val="18"/>
                <w:color w:val="auto"/>
              </w:rPr>
              <w:t>Proceeds from other debt, net (Note 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13,570</w:t>
            </w:r>
          </w:p>
        </w:tc>
        <w:tc>
          <w:tcPr>
            <w:tcW w:w="3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r>
      <w:tr>
        <w:trPr>
          <w:trHeight w:val="216"/>
        </w:trPr>
        <w:tc>
          <w:tcPr>
            <w:tcW w:w="340" w:type="dxa"/>
            <w:vAlign w:val="bottom"/>
          </w:tcPr>
          <w:p>
            <w:pPr>
              <w:spacing w:after="0"/>
              <w:rPr>
                <w:sz w:val="18"/>
                <w:szCs w:val="18"/>
                <w:color w:val="auto"/>
              </w:rPr>
            </w:pPr>
          </w:p>
        </w:tc>
        <w:tc>
          <w:tcPr>
            <w:tcW w:w="7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1,219</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2,767</w:t>
            </w:r>
          </w:p>
        </w:tc>
      </w:tr>
      <w:tr>
        <w:trPr>
          <w:trHeight w:val="223"/>
        </w:trPr>
        <w:tc>
          <w:tcPr>
            <w:tcW w:w="340" w:type="dxa"/>
            <w:vAlign w:val="bottom"/>
          </w:tcPr>
          <w:p>
            <w:pPr>
              <w:spacing w:after="0"/>
              <w:rPr>
                <w:sz w:val="19"/>
                <w:szCs w:val="19"/>
                <w:color w:val="auto"/>
              </w:rPr>
            </w:pPr>
          </w:p>
        </w:tc>
        <w:tc>
          <w:tcPr>
            <w:tcW w:w="7140" w:type="dxa"/>
            <w:vAlign w:val="bottom"/>
            <w:gridSpan w:val="2"/>
          </w:tcPr>
          <w:p>
            <w:pPr>
              <w:ind w:left="600"/>
              <w:spacing w:after="0"/>
              <w:rPr>
                <w:sz w:val="20"/>
                <w:szCs w:val="20"/>
                <w:color w:val="auto"/>
              </w:rPr>
            </w:pPr>
            <w:r>
              <w:rPr>
                <w:rFonts w:ascii="Arial" w:cs="Arial" w:eastAsia="Arial" w:hAnsi="Arial"/>
                <w:sz w:val="18"/>
                <w:szCs w:val="18"/>
                <w:color w:val="auto"/>
              </w:rPr>
              <w:t>Net cash flows provided by financing activities</w:t>
            </w: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522,104</w:t>
            </w:r>
          </w:p>
        </w:tc>
        <w:tc>
          <w:tcPr>
            <w:tcW w:w="38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42,435</w:t>
            </w:r>
          </w:p>
        </w:tc>
        <w:tc>
          <w:tcPr>
            <w:tcW w:w="100" w:type="dxa"/>
            <w:vAlign w:val="bottom"/>
          </w:tcPr>
          <w:p>
            <w:pPr>
              <w:spacing w:after="0"/>
              <w:rPr>
                <w:sz w:val="19"/>
                <w:szCs w:val="19"/>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140" w:type="dxa"/>
            <w:vAlign w:val="bottom"/>
            <w:gridSpan w:val="2"/>
          </w:tcPr>
          <w:p>
            <w:pPr>
              <w:ind w:left="200"/>
              <w:spacing w:after="0"/>
              <w:rPr>
                <w:sz w:val="20"/>
                <w:szCs w:val="20"/>
                <w:color w:val="auto"/>
              </w:rPr>
            </w:pPr>
            <w:r>
              <w:rPr>
                <w:rFonts w:ascii="Arial" w:cs="Arial" w:eastAsia="Arial" w:hAnsi="Arial"/>
                <w:sz w:val="18"/>
                <w:szCs w:val="18"/>
                <w:color w:val="auto"/>
              </w:rPr>
              <w:t>Purchases of property, plant and equipment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(70,205)</w:t>
            </w:r>
          </w:p>
        </w:tc>
        <w:tc>
          <w:tcPr>
            <w:tcW w:w="3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(24,465)</w:t>
            </w:r>
          </w:p>
        </w:tc>
      </w:tr>
      <w:tr>
        <w:trPr>
          <w:trHeight w:val="216"/>
        </w:trPr>
        <w:tc>
          <w:tcPr>
            <w:tcW w:w="340" w:type="dxa"/>
            <w:vAlign w:val="bottom"/>
          </w:tcPr>
          <w:p>
            <w:pPr>
              <w:spacing w:after="0"/>
              <w:rPr>
                <w:sz w:val="18"/>
                <w:szCs w:val="18"/>
                <w:color w:val="auto"/>
              </w:rPr>
            </w:pPr>
          </w:p>
        </w:tc>
        <w:tc>
          <w:tcPr>
            <w:tcW w:w="7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Cash proceeds from sales of property, plant and equipment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1,727</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5,441</w:t>
            </w:r>
          </w:p>
        </w:tc>
      </w:tr>
      <w:tr>
        <w:trPr>
          <w:trHeight w:val="216"/>
        </w:trPr>
        <w:tc>
          <w:tcPr>
            <w:tcW w:w="340" w:type="dxa"/>
            <w:vAlign w:val="bottom"/>
          </w:tcPr>
          <w:p>
            <w:pPr>
              <w:spacing w:after="0"/>
              <w:rPr>
                <w:sz w:val="18"/>
                <w:szCs w:val="18"/>
                <w:color w:val="auto"/>
              </w:rPr>
            </w:pPr>
          </w:p>
        </w:tc>
        <w:tc>
          <w:tcPr>
            <w:tcW w:w="7140" w:type="dxa"/>
            <w:vAlign w:val="bottom"/>
            <w:gridSpan w:val="2"/>
          </w:tcPr>
          <w:p>
            <w:pPr>
              <w:ind w:left="200"/>
              <w:spacing w:after="0"/>
              <w:rPr>
                <w:sz w:val="20"/>
                <w:szCs w:val="20"/>
                <w:color w:val="auto"/>
              </w:rPr>
            </w:pPr>
            <w:r>
              <w:rPr>
                <w:rFonts w:ascii="Arial" w:cs="Arial" w:eastAsia="Arial" w:hAnsi="Arial"/>
                <w:sz w:val="18"/>
                <w:szCs w:val="18"/>
                <w:color w:val="auto"/>
              </w:rPr>
              <w:t>Acquisitions of operations, net of cash acquired (Note 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(626,871)</w:t>
            </w:r>
          </w:p>
        </w:tc>
        <w:tc>
          <w:tcPr>
            <w:tcW w:w="3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(5,606)</w:t>
            </w:r>
          </w:p>
        </w:tc>
      </w:tr>
      <w:tr>
        <w:trPr>
          <w:trHeight w:val="216"/>
        </w:trPr>
        <w:tc>
          <w:tcPr>
            <w:tcW w:w="340" w:type="dxa"/>
            <w:vAlign w:val="bottom"/>
          </w:tcPr>
          <w:p>
            <w:pPr>
              <w:spacing w:after="0"/>
              <w:rPr>
                <w:sz w:val="18"/>
                <w:szCs w:val="18"/>
                <w:color w:val="auto"/>
              </w:rPr>
            </w:pPr>
          </w:p>
        </w:tc>
        <w:tc>
          <w:tcPr>
            <w:tcW w:w="7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Cash proceeds from divestitures (Note 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8,583</w:t>
            </w:r>
          </w:p>
        </w:tc>
      </w:tr>
      <w:tr>
        <w:trPr>
          <w:trHeight w:val="223"/>
        </w:trPr>
        <w:tc>
          <w:tcPr>
            <w:tcW w:w="340" w:type="dxa"/>
            <w:vAlign w:val="bottom"/>
          </w:tcPr>
          <w:p>
            <w:pPr>
              <w:spacing w:after="0"/>
              <w:rPr>
                <w:sz w:val="19"/>
                <w:szCs w:val="19"/>
                <w:color w:val="auto"/>
              </w:rPr>
            </w:pPr>
          </w:p>
        </w:tc>
        <w:tc>
          <w:tcPr>
            <w:tcW w:w="7140" w:type="dxa"/>
            <w:vAlign w:val="bottom"/>
            <w:gridSpan w:val="2"/>
          </w:tcPr>
          <w:p>
            <w:pPr>
              <w:ind w:left="600"/>
              <w:spacing w:after="0"/>
              <w:rPr>
                <w:sz w:val="20"/>
                <w:szCs w:val="20"/>
                <w:color w:val="auto"/>
              </w:rPr>
            </w:pPr>
            <w:r>
              <w:rPr>
                <w:rFonts w:ascii="Arial" w:cs="Arial" w:eastAsia="Arial" w:hAnsi="Arial"/>
                <w:sz w:val="18"/>
                <w:szCs w:val="18"/>
                <w:color w:val="auto"/>
              </w:rPr>
              <w:t>Net cash flows used for investing activities</w:t>
            </w: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(695,349)</w:t>
            </w:r>
          </w:p>
        </w:tc>
        <w:tc>
          <w:tcPr>
            <w:tcW w:w="38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(16,047)</w:t>
            </w:r>
          </w:p>
        </w:tc>
        <w:tc>
          <w:tcPr>
            <w:tcW w:w="100" w:type="dxa"/>
            <w:vAlign w:val="bottom"/>
          </w:tcPr>
          <w:p>
            <w:pPr>
              <w:spacing w:after="0"/>
              <w:rPr>
                <w:sz w:val="19"/>
                <w:szCs w:val="19"/>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29,546</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15,867</w:t>
            </w:r>
          </w:p>
        </w:tc>
      </w:tr>
      <w:tr>
        <w:trPr>
          <w:trHeight w:val="439"/>
        </w:trPr>
        <w:tc>
          <w:tcPr>
            <w:tcW w:w="340" w:type="dxa"/>
            <w:vAlign w:val="bottom"/>
          </w:tcPr>
          <w:p>
            <w:pPr>
              <w:spacing w:after="0"/>
              <w:rPr>
                <w:sz w:val="24"/>
                <w:szCs w:val="24"/>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7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 decrease</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(335,171)</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(49,050)</w:t>
            </w:r>
          </w:p>
        </w:tc>
      </w:tr>
      <w:tr>
        <w:trPr>
          <w:trHeight w:val="216"/>
        </w:trPr>
        <w:tc>
          <w:tcPr>
            <w:tcW w:w="340" w:type="dxa"/>
            <w:vAlign w:val="bottom"/>
          </w:tcPr>
          <w:p>
            <w:pPr>
              <w:spacing w:after="0"/>
              <w:rPr>
                <w:sz w:val="18"/>
                <w:szCs w:val="18"/>
                <w:color w:val="auto"/>
              </w:rPr>
            </w:pPr>
          </w:p>
        </w:tc>
        <w:tc>
          <w:tcPr>
            <w:tcW w:w="7140" w:type="dxa"/>
            <w:vAlign w:val="bottom"/>
            <w:gridSpan w:val="2"/>
          </w:tcPr>
          <w:p>
            <w:pPr>
              <w:ind w:left="200"/>
              <w:spacing w:after="0"/>
              <w:rPr>
                <w:sz w:val="20"/>
                <w:szCs w:val="20"/>
                <w:color w:val="auto"/>
              </w:rPr>
            </w:pPr>
            <w:r>
              <w:rPr>
                <w:rFonts w:ascii="Arial" w:cs="Arial" w:eastAsia="Arial" w:hAnsi="Arial"/>
                <w:sz w:val="18"/>
                <w:szCs w:val="18"/>
                <w:color w:val="auto"/>
              </w:rPr>
              <w:t>— at beginning of period</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1,092,102</w:t>
            </w:r>
          </w:p>
        </w:tc>
        <w:tc>
          <w:tcPr>
            <w:tcW w:w="3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943,921</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7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 at end of period</w:t>
            </w:r>
          </w:p>
        </w:tc>
        <w:tc>
          <w:tcPr>
            <w:tcW w:w="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756,931</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894,871</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Additional cash flow information (Note 10)</w:t>
      </w:r>
    </w:p>
    <w:p>
      <w:pPr>
        <w:spacing w:after="0" w:line="19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 Basis of presentation</w:t>
      </w:r>
    </w:p>
    <w:p>
      <w:pPr>
        <w:spacing w:after="0" w:line="189"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In the opinion of management, the accompanying unaudited interim consolidated financial statements contain all adjustments necessary to present fairly the Company’s financial position, results of operations and cash flows. All such adjustments are of a normal recurring nature, except for (i) the gain on bargain purchase discussed in Note 2 and (ii) the restructuring, integration and other charges discussed in Note 12.</w:t>
      </w:r>
    </w:p>
    <w:p>
      <w:pPr>
        <w:spacing w:after="0" w:line="146" w:lineRule="exact"/>
        <w:rPr>
          <w:sz w:val="20"/>
          <w:szCs w:val="20"/>
          <w:color w:val="auto"/>
        </w:rPr>
      </w:pPr>
    </w:p>
    <w:p>
      <w:pPr>
        <w:jc w:val="both"/>
        <w:ind w:left="340" w:right="179" w:firstLine="389"/>
        <w:spacing w:after="0" w:line="264" w:lineRule="auto"/>
        <w:rPr>
          <w:sz w:val="20"/>
          <w:szCs w:val="20"/>
          <w:color w:val="auto"/>
        </w:rPr>
      </w:pPr>
      <w:r>
        <w:rPr>
          <w:rFonts w:ascii="Arial" w:cs="Arial" w:eastAsia="Arial" w:hAnsi="Arial"/>
          <w:sz w:val="18"/>
          <w:szCs w:val="18"/>
          <w:color w:val="auto"/>
        </w:rPr>
        <w:t>The preparation of financial statements in accordance with generally accepted accounting principles requires management to make estimates and assumptions that affect the amounts reported in the consolidated financial statements. Actual results may differ from these estimates.</w:t>
      </w:r>
    </w:p>
    <w:p>
      <w:pPr>
        <w:spacing w:after="0" w:line="154"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The Company operates on a “52/53 week” fiscal year, and as a result, the six months ended January 1, 2011 contained twenty six weeks while the six months ended January 2, 2010 contained twenty seven weeks. Interim results of operations are not necessarily indicative of the results to be expected for the full fiscal year. The information included in this Form 10-Q should be read in conjunction with the consolidated financial statements and accompanying notes included in the Company’s Annual Report on Form 10-K for the fiscal year ended July 3, 2010.</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 Acquisitions and divestitures</w:t>
      </w:r>
    </w:p>
    <w:p>
      <w:pPr>
        <w:spacing w:after="0" w:line="189"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During the first quarter of fiscal 2011, the Company acquired three businesses: Bell Microproducts Inc. (“Bell”), which is described further below; Tallard Technologies, a value-added distributor of IT solutions in Latin America with annualized revenues of approximately $250 million, which is reported as part of the TS Americas region; and Unidux, Inc., (“Unidux”) an electronics component distributor in Japan with annualized revenues of approximately $370 million, which is reported as part of the EM Asia region.</w:t>
      </w:r>
    </w:p>
    <w:p>
      <w:pPr>
        <w:spacing w:after="0" w:line="161" w:lineRule="exact"/>
        <w:rPr>
          <w:sz w:val="20"/>
          <w:szCs w:val="20"/>
          <w:color w:val="auto"/>
        </w:rPr>
      </w:pPr>
    </w:p>
    <w:p>
      <w:pPr>
        <w:jc w:val="both"/>
        <w:ind w:left="340" w:right="159" w:firstLine="389"/>
        <w:spacing w:after="0" w:line="270" w:lineRule="auto"/>
        <w:rPr>
          <w:sz w:val="20"/>
          <w:szCs w:val="20"/>
          <w:color w:val="auto"/>
        </w:rPr>
      </w:pPr>
      <w:r>
        <w:rPr>
          <w:rFonts w:ascii="Arial" w:cs="Arial" w:eastAsia="Arial" w:hAnsi="Arial"/>
          <w:sz w:val="17"/>
          <w:szCs w:val="17"/>
          <w:color w:val="auto"/>
        </w:rPr>
        <w:t>Unidux, a Japanese publicly traded company, was acquired through a tender offer in which the Company obtained over 95% controlling interest. The non-controlling interest was recorded at fair value but was not material. The acquisition of the non-controlling interest in Unidux was completed during the second quarter of fiscal 2011. As mentioned, Unidux was a publicly traded company which shares were trading below its book value for a period of time. In a tender offer, Avnet offered a purchase price per share for Unidux that was above the prevailing trading price thereby representing a premium to the then recent trading levels. Even though the purchase price was below book value, 95% of the Unidux shareholders tendered their shares. As a result, the Company acquired Unidux for a purchase price of $132,780,000, net of cash acquired, and recognized a gain on bargain purchase of $30,990,000 pre- and after tax and $0.20 per share on a diluted basis. Prior to recognizing the gain, the Company reassessed the assets acquired and liabilities assumed in the acquisition.</w:t>
      </w:r>
    </w:p>
    <w:p>
      <w:pPr>
        <w:spacing w:after="0" w:line="141"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During the second quarter of fiscal 2011, the Company acquired three businesses with annualized revenues of approximately $50 million for an aggregate purchase price of $43,525,000, net of cash acquired. Of the three businesses acquired, two are reported as part of the EM Americas region and one is reported as part of the EM Asia region.</w:t>
      </w:r>
    </w:p>
    <w:p>
      <w:pPr>
        <w:spacing w:after="0" w:line="141" w:lineRule="exact"/>
        <w:rPr>
          <w:sz w:val="20"/>
          <w:szCs w:val="20"/>
          <w:color w:val="auto"/>
        </w:rPr>
      </w:pPr>
    </w:p>
    <w:p>
      <w:pPr>
        <w:jc w:val="both"/>
        <w:ind w:left="340" w:right="179" w:firstLine="389"/>
        <w:spacing w:after="0" w:line="342" w:lineRule="auto"/>
        <w:rPr>
          <w:sz w:val="20"/>
          <w:szCs w:val="20"/>
          <w:color w:val="auto"/>
        </w:rPr>
      </w:pPr>
      <w:r>
        <w:rPr>
          <w:rFonts w:ascii="Arial" w:cs="Arial" w:eastAsia="Arial" w:hAnsi="Arial"/>
          <w:sz w:val="16"/>
          <w:szCs w:val="16"/>
          <w:color w:val="auto"/>
        </w:rPr>
        <w:t>During fiscal 2011, the Company recognized restructuring and integration charges, and transaction and other costs associated with the acquisitions, all of which were recognized in the consolidated statement of operations and are described further in Note 12.</w:t>
      </w:r>
    </w:p>
    <w:p>
      <w:pPr>
        <w:spacing w:after="0" w:line="9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Bell</w:t>
      </w:r>
    </w:p>
    <w:p>
      <w:pPr>
        <w:spacing w:after="0" w:line="189" w:lineRule="exact"/>
        <w:rPr>
          <w:sz w:val="20"/>
          <w:szCs w:val="20"/>
          <w:color w:val="auto"/>
        </w:rPr>
      </w:pPr>
    </w:p>
    <w:p>
      <w:pPr>
        <w:jc w:val="both"/>
        <w:ind w:left="340" w:right="159" w:firstLine="389"/>
        <w:spacing w:after="0" w:line="270" w:lineRule="auto"/>
        <w:rPr>
          <w:sz w:val="20"/>
          <w:szCs w:val="20"/>
          <w:color w:val="auto"/>
        </w:rPr>
      </w:pPr>
      <w:r>
        <w:rPr>
          <w:rFonts w:ascii="Arial" w:cs="Arial" w:eastAsia="Arial" w:hAnsi="Arial"/>
          <w:sz w:val="17"/>
          <w:szCs w:val="17"/>
          <w:color w:val="auto"/>
        </w:rPr>
        <w:t>On July 6, 2010, subsequent to fiscal year 2010, the Company completed its previously announced acquisition of Bell, a value-added distributor of storage and server products and solutions and computer components products, providing integration and support services to OEMs, VARs, system builders and end users in the US, Canada, EMEA and Latin America. Bell operated both a distribution and single tier reseller business and generated sales of approximately $3.0 billion in calendar 2009, of which 42%, 41% and 17% was generated in North America, EMEA and Latin America, respectively. The consideration for the transaction totaled $255,691,000 which consisted of $7.00 cash per share of Bell common stock, cash payment for Bell equity awards, and cash payments required under existing Bell change of control agreements plus the assumption of $323,321,000 of Bell net debt. Of the debt acquired, Avnet repaid approximately $209,651,000 of debt (including associated fees) immediately after closing. The Company is integrating Bell into both the EM and TS operating groups and expects significant cost saving synergies upon completion of the integration activities, which are anticipated to be completed by the end of fiscal 2011.</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Preliminary allocation of purchase price</w:t>
      </w:r>
    </w:p>
    <w:p>
      <w:pPr>
        <w:spacing w:after="0" w:line="185"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The Bell acquisition is accounted for as a purchase business combination. Assets acquired and liabilities assumed are recorded in the accompanying consolidated balance sheet at their estimated fair values, using management’s estimates and assumptions, as of July 6, 2010 (see following table). As of the end of the first quarter, the Company had not yet completed its evaluation of the fair value of certain assets and liabilities acquired, primarily (i) the final valuation of amortizable intangible assets identified as a result of the acquisition (see Note 3), (ii) the final valuation of certain income tax accounts, and (iii) certain contingent liabilities associated with the former Bell Latin America business.</w:t>
      </w:r>
    </w:p>
    <w:p>
      <w:pPr>
        <w:spacing w:after="0" w:line="153"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color w:val="auto"/>
        </w:rPr>
        <w:t>During the second quarter of fiscal 2011, the Company completed its valuation of the identifiable amortizable intangible assets and adjusted it to $60,000,000 (see Note 3).</w:t>
      </w:r>
    </w:p>
    <w:p>
      <w:pPr>
        <w:spacing w:after="0" w:line="143" w:lineRule="exact"/>
        <w:rPr>
          <w:sz w:val="20"/>
          <w:szCs w:val="20"/>
          <w:color w:val="auto"/>
        </w:rPr>
      </w:pPr>
    </w:p>
    <w:p>
      <w:pPr>
        <w:jc w:val="both"/>
        <w:ind w:left="340" w:right="159" w:firstLine="389"/>
        <w:spacing w:after="0" w:line="254" w:lineRule="auto"/>
        <w:rPr>
          <w:sz w:val="20"/>
          <w:szCs w:val="20"/>
          <w:color w:val="auto"/>
        </w:rPr>
      </w:pPr>
      <w:r>
        <w:rPr>
          <w:rFonts w:ascii="Arial" w:cs="Arial" w:eastAsia="Arial" w:hAnsi="Arial"/>
          <w:sz w:val="18"/>
          <w:szCs w:val="18"/>
          <w:color w:val="auto"/>
        </w:rPr>
        <w:t>The Company also recognized a contingent liability of $18,000,000 for potential unpaid import duties associated with the former Bell Latin America business. Prior to the acquisition of Bell by Avnet, the US Customs and Border Protection (“CBP”) initiated a review of the importing process at one of Bell’s subsidiaries and identified compliance deficiencies. Subsequent to the acquisition of Bell by Avnet, CBP began a compliance audit to identify any duty owed as a result of the prior non-compliance. The Company has evaluated projected duties, interest and penalties that potentially may be imposed as a result of the audit and believes the contingent liability recorded is a reasonable estimate of the liability based upon facts available. Depending on the ultimate resolution of the matter with CBP, there may be additional exposure in excess of the recorded amount but a reasonably possible range is not currently estimable.</w:t>
      </w:r>
    </w:p>
    <w:p>
      <w:pPr>
        <w:spacing w:after="0" w:line="152"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color w:val="auto"/>
        </w:rPr>
        <w:t>The Company expects remaining final evaluations for certain income tax accounts to be completed in fiscal 2011 which may result in additional adjustments to the preliminary values presented in the following table.</w:t>
      </w:r>
    </w:p>
    <w:p>
      <w:pPr>
        <w:spacing w:after="0" w:line="130"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The Company acquired accounts receivable which were recorded at the estimated fair value amounts; however, adjustments to acquired amounts were not significant as book value approximated fair value due to the short term nature of accounts receivables. The gross amount of accounts receivable acquired was $381,805,000 and the fair value recorded was $363,589,000, which is expected to be collected.</w:t>
      </w:r>
    </w:p>
    <w:p>
      <w:pPr>
        <w:spacing w:after="0" w:line="183"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8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July 6,</w:t>
            </w:r>
          </w:p>
        </w:tc>
      </w:tr>
      <w:tr>
        <w:trPr>
          <w:trHeight w:val="234"/>
        </w:trPr>
        <w:tc>
          <w:tcPr>
            <w:tcW w:w="86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2010</w:t>
            </w:r>
          </w:p>
        </w:tc>
        <w:tc>
          <w:tcPr>
            <w:tcW w:w="100" w:type="dxa"/>
            <w:vAlign w:val="bottom"/>
          </w:tcPr>
          <w:p>
            <w:pPr>
              <w:spacing w:after="0"/>
              <w:rPr>
                <w:sz w:val="20"/>
                <w:szCs w:val="20"/>
                <w:color w:val="auto"/>
              </w:rPr>
            </w:pPr>
          </w:p>
        </w:tc>
      </w:tr>
      <w:tr>
        <w:trPr>
          <w:trHeight w:val="210"/>
        </w:trPr>
        <w:tc>
          <w:tcPr>
            <w:tcW w:w="8660" w:type="dxa"/>
            <w:vAlign w:val="bottom"/>
          </w:tcPr>
          <w:p>
            <w:pPr>
              <w:spacing w:after="0"/>
              <w:rPr>
                <w:sz w:val="18"/>
                <w:szCs w:val="18"/>
                <w:color w:val="auto"/>
              </w:rPr>
            </w:pPr>
          </w:p>
        </w:tc>
        <w:tc>
          <w:tcPr>
            <w:tcW w:w="960" w:type="dxa"/>
            <w:vAlign w:val="bottom"/>
            <w:gridSpan w:val="2"/>
          </w:tcPr>
          <w:p>
            <w:pPr>
              <w:jc w:val="center"/>
              <w:spacing w:after="0"/>
              <w:rPr>
                <w:sz w:val="20"/>
                <w:szCs w:val="20"/>
                <w:color w:val="auto"/>
              </w:rPr>
            </w:pPr>
            <w:r>
              <w:rPr>
                <w:rFonts w:ascii="Arial" w:cs="Arial" w:eastAsia="Arial" w:hAnsi="Arial"/>
                <w:sz w:val="18"/>
                <w:szCs w:val="18"/>
                <w:color w:val="auto"/>
                <w:w w:val="89"/>
              </w:rPr>
              <w:t>(Thousands)</w:t>
            </w:r>
          </w:p>
        </w:tc>
        <w:tc>
          <w:tcPr>
            <w:tcW w:w="100" w:type="dxa"/>
            <w:vAlign w:val="bottom"/>
          </w:tcPr>
          <w:p>
            <w:pPr>
              <w:spacing w:after="0"/>
              <w:rPr>
                <w:sz w:val="18"/>
                <w:szCs w:val="18"/>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710,339</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12,873</w:t>
            </w: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218,915</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Identifiable intangible asset</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60,000</w:t>
            </w: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37,964</w:t>
            </w:r>
          </w:p>
        </w:tc>
      </w:tr>
      <w:tr>
        <w:trPr>
          <w:trHeight w:val="230"/>
        </w:trPr>
        <w:tc>
          <w:tcPr>
            <w:tcW w:w="8660" w:type="dxa"/>
            <w:vAlign w:val="bottom"/>
          </w:tcPr>
          <w:p>
            <w:pPr>
              <w:ind w:left="200"/>
              <w:spacing w:after="0"/>
              <w:rPr>
                <w:sz w:val="20"/>
                <w:szCs w:val="20"/>
                <w:color w:val="auto"/>
              </w:rPr>
            </w:pPr>
            <w:r>
              <w:rPr>
                <w:rFonts w:ascii="Arial" w:cs="Arial" w:eastAsia="Arial" w:hAnsi="Arial"/>
                <w:sz w:val="18"/>
                <w:szCs w:val="18"/>
                <w:color w:val="auto"/>
              </w:rPr>
              <w:t>Total assets acquired</w:t>
            </w:r>
          </w:p>
        </w:tc>
        <w:tc>
          <w:tcPr>
            <w:tcW w:w="16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1,040,091</w:t>
            </w:r>
          </w:p>
        </w:tc>
        <w:tc>
          <w:tcPr>
            <w:tcW w:w="100" w:type="dxa"/>
            <w:vAlign w:val="bottom"/>
          </w:tcPr>
          <w:p>
            <w:pPr>
              <w:spacing w:after="0"/>
              <w:rPr>
                <w:sz w:val="20"/>
                <w:szCs w:val="20"/>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 excluding current portion of long-term debt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395,729</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Long-term liabilities</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30,218</w:t>
            </w: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358,453</w:t>
            </w:r>
          </w:p>
        </w:tc>
      </w:tr>
      <w:tr>
        <w:trPr>
          <w:trHeight w:val="230"/>
        </w:trPr>
        <w:tc>
          <w:tcPr>
            <w:tcW w:w="8660" w:type="dxa"/>
            <w:vAlign w:val="bottom"/>
          </w:tcPr>
          <w:p>
            <w:pPr>
              <w:ind w:left="200"/>
              <w:spacing w:after="0"/>
              <w:rPr>
                <w:sz w:val="20"/>
                <w:szCs w:val="20"/>
                <w:color w:val="auto"/>
              </w:rPr>
            </w:pPr>
            <w:r>
              <w:rPr>
                <w:rFonts w:ascii="Arial" w:cs="Arial" w:eastAsia="Arial" w:hAnsi="Arial"/>
                <w:sz w:val="18"/>
                <w:szCs w:val="18"/>
                <w:color w:val="auto"/>
              </w:rPr>
              <w:t>Total liabilities assumed</w:t>
            </w:r>
          </w:p>
        </w:tc>
        <w:tc>
          <w:tcPr>
            <w:tcW w:w="16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784,400</w:t>
            </w:r>
          </w:p>
        </w:tc>
        <w:tc>
          <w:tcPr>
            <w:tcW w:w="100" w:type="dxa"/>
            <w:vAlign w:val="bottom"/>
          </w:tcPr>
          <w:p>
            <w:pPr>
              <w:spacing w:after="0"/>
              <w:rPr>
                <w:sz w:val="20"/>
                <w:szCs w:val="20"/>
                <w:color w:val="auto"/>
              </w:rPr>
            </w:pPr>
          </w:p>
        </w:tc>
      </w:tr>
      <w:tr>
        <w:trPr>
          <w:trHeight w:val="216"/>
        </w:trPr>
        <w:tc>
          <w:tcPr>
            <w:tcW w:w="8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assets acquired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255,691</w:t>
            </w:r>
          </w:p>
        </w:tc>
      </w:tr>
      <w:tr>
        <w:trPr>
          <w:trHeight w:val="20"/>
        </w:trPr>
        <w:tc>
          <w:tcPr>
            <w:tcW w:w="8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left="720"/>
        <w:spacing w:after="0"/>
        <w:rPr>
          <w:sz w:val="20"/>
          <w:szCs w:val="20"/>
          <w:color w:val="auto"/>
        </w:rPr>
      </w:pPr>
      <w:r>
        <w:rPr>
          <w:rFonts w:ascii="Arial" w:cs="Arial" w:eastAsia="Arial" w:hAnsi="Arial"/>
          <w:sz w:val="17"/>
          <w:szCs w:val="17"/>
          <w:color w:val="auto"/>
        </w:rPr>
        <w:t>Approximately $22,000,000 of goodwill associated with the Bell acquisition is expected to be deductible for tax purposes.</w:t>
      </w:r>
    </w:p>
    <w:p>
      <w:pPr>
        <w:spacing w:after="0" w:line="196"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Synergies related to integration actions taken to date have already been obtained in the combined business of Avnet and Bell, and management expects additional synergies to be obtained which will allow for operating cost reductions upon completion of the integration of Bell; such expense synergy savings were a primary driver of the excess of purchase price paid over the value of assets and liabilities acquired.</w:t>
      </w:r>
    </w:p>
    <w:p>
      <w:pPr>
        <w:spacing w:after="0" w:line="200" w:lineRule="exact"/>
        <w:rPr>
          <w:sz w:val="20"/>
          <w:szCs w:val="20"/>
          <w:color w:val="auto"/>
        </w:rPr>
      </w:pPr>
    </w:p>
    <w:p>
      <w:pPr>
        <w:spacing w:after="0" w:line="352"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 forma results</w:t>
      </w:r>
    </w:p>
    <w:p>
      <w:pPr>
        <w:spacing w:after="0" w:line="185" w:lineRule="exact"/>
        <w:rPr>
          <w:sz w:val="20"/>
          <w:szCs w:val="20"/>
          <w:color w:val="auto"/>
        </w:rPr>
      </w:pPr>
    </w:p>
    <w:p>
      <w:pPr>
        <w:jc w:val="both"/>
        <w:ind w:left="340" w:right="179" w:firstLine="389"/>
        <w:spacing w:after="0" w:line="286" w:lineRule="auto"/>
        <w:rPr>
          <w:sz w:val="20"/>
          <w:szCs w:val="20"/>
          <w:color w:val="auto"/>
        </w:rPr>
      </w:pPr>
      <w:r>
        <w:rPr>
          <w:rFonts w:ascii="Arial" w:cs="Arial" w:eastAsia="Arial" w:hAnsi="Arial"/>
          <w:sz w:val="17"/>
          <w:szCs w:val="17"/>
          <w:color w:val="auto"/>
        </w:rPr>
        <w:t>Unaudited pro forma financial information is presented below as if the acquisition of Bell occurred at the beginning of fiscal 2010. The pro forma information presented below does not purport to present what actual results would have been had the acquisition in fact occurred at the beginning of fiscal 2010, nor does the information project results for any future period.</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6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Pro Forma Results</w:t>
            </w:r>
          </w:p>
        </w:tc>
        <w:tc>
          <w:tcPr>
            <w:tcW w:w="180" w:type="dxa"/>
            <w:vAlign w:val="bottom"/>
          </w:tcPr>
          <w:p>
            <w:pPr>
              <w:spacing w:after="0"/>
              <w:rPr>
                <w:sz w:val="18"/>
                <w:szCs w:val="18"/>
                <w:color w:val="auto"/>
              </w:rPr>
            </w:pPr>
          </w:p>
        </w:tc>
        <w:tc>
          <w:tcPr>
            <w:tcW w:w="1440" w:type="dxa"/>
            <w:vAlign w:val="bottom"/>
            <w:gridSpan w:val="3"/>
          </w:tcPr>
          <w:p>
            <w:pPr>
              <w:spacing w:after="0"/>
              <w:rPr>
                <w:sz w:val="20"/>
                <w:szCs w:val="20"/>
                <w:color w:val="auto"/>
              </w:rPr>
            </w:pPr>
            <w:r>
              <w:rPr>
                <w:rFonts w:ascii="Arial" w:cs="Arial" w:eastAsia="Arial" w:hAnsi="Arial"/>
                <w:sz w:val="18"/>
                <w:szCs w:val="18"/>
                <w:color w:val="auto"/>
                <w:w w:val="94"/>
              </w:rPr>
              <w:t>Pro Forma Results</w:t>
            </w:r>
          </w:p>
        </w:tc>
      </w:tr>
      <w:tr>
        <w:trPr>
          <w:trHeight w:val="216"/>
        </w:trPr>
        <w:tc>
          <w:tcPr>
            <w:tcW w:w="6300" w:type="dxa"/>
            <w:vAlign w:val="bottom"/>
          </w:tcPr>
          <w:p>
            <w:pPr>
              <w:spacing w:after="0"/>
              <w:rPr>
                <w:sz w:val="18"/>
                <w:szCs w:val="18"/>
                <w:color w:val="auto"/>
              </w:rPr>
            </w:pPr>
          </w:p>
        </w:tc>
        <w:tc>
          <w:tcPr>
            <w:tcW w:w="1800" w:type="dxa"/>
            <w:vAlign w:val="bottom"/>
            <w:gridSpan w:val="3"/>
          </w:tcPr>
          <w:p>
            <w:pPr>
              <w:spacing w:after="0"/>
              <w:rPr>
                <w:sz w:val="20"/>
                <w:szCs w:val="20"/>
                <w:color w:val="auto"/>
              </w:rPr>
            </w:pPr>
            <w:r>
              <w:rPr>
                <w:rFonts w:ascii="Arial" w:cs="Arial" w:eastAsia="Arial" w:hAnsi="Arial"/>
                <w:sz w:val="18"/>
                <w:szCs w:val="18"/>
                <w:color w:val="auto"/>
                <w:w w:val="96"/>
              </w:rPr>
              <w:t>Second Quarter Ended</w:t>
            </w:r>
          </w:p>
        </w:tc>
        <w:tc>
          <w:tcPr>
            <w:tcW w:w="180" w:type="dxa"/>
            <w:vAlign w:val="bottom"/>
          </w:tcPr>
          <w:p>
            <w:pPr>
              <w:spacing w:after="0"/>
              <w:rPr>
                <w:sz w:val="18"/>
                <w:szCs w:val="18"/>
                <w:color w:val="auto"/>
              </w:rPr>
            </w:pPr>
          </w:p>
        </w:tc>
        <w:tc>
          <w:tcPr>
            <w:tcW w:w="1440" w:type="dxa"/>
            <w:vAlign w:val="bottom"/>
            <w:gridSpan w:val="3"/>
          </w:tcPr>
          <w:p>
            <w:pPr>
              <w:spacing w:after="0"/>
              <w:rPr>
                <w:sz w:val="20"/>
                <w:szCs w:val="20"/>
                <w:color w:val="auto"/>
              </w:rPr>
            </w:pPr>
            <w:r>
              <w:rPr>
                <w:rFonts w:ascii="Arial" w:cs="Arial" w:eastAsia="Arial" w:hAnsi="Arial"/>
                <w:sz w:val="18"/>
                <w:szCs w:val="18"/>
                <w:color w:val="auto"/>
                <w:w w:val="97"/>
              </w:rPr>
              <w:t>Six Months Ended</w:t>
            </w:r>
          </w:p>
        </w:tc>
      </w:tr>
      <w:tr>
        <w:trPr>
          <w:trHeight w:val="230"/>
        </w:trPr>
        <w:tc>
          <w:tcPr>
            <w:tcW w:w="6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6"/>
              </w:rPr>
              <w:t>January 2, 2010</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8"/>
              </w:rPr>
              <w:t>January 2, 2010</w:t>
            </w:r>
          </w:p>
        </w:tc>
        <w:tc>
          <w:tcPr>
            <w:tcW w:w="100" w:type="dxa"/>
            <w:vAlign w:val="bottom"/>
          </w:tcPr>
          <w:p>
            <w:pPr>
              <w:spacing w:after="0"/>
              <w:rPr>
                <w:sz w:val="20"/>
                <w:szCs w:val="20"/>
                <w:color w:val="auto"/>
              </w:rPr>
            </w:pPr>
          </w:p>
        </w:tc>
      </w:tr>
      <w:tr>
        <w:trPr>
          <w:trHeight w:val="224"/>
        </w:trPr>
        <w:tc>
          <w:tcPr>
            <w:tcW w:w="6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00" w:type="dxa"/>
            <w:vAlign w:val="bottom"/>
            <w:gridSpan w:val="6"/>
          </w:tcPr>
          <w:p>
            <w:pPr>
              <w:jc w:val="right"/>
              <w:ind w:right="500"/>
              <w:spacing w:after="0"/>
              <w:rPr>
                <w:sz w:val="20"/>
                <w:szCs w:val="20"/>
                <w:color w:val="auto"/>
              </w:rPr>
            </w:pPr>
            <w:r>
              <w:rPr>
                <w:rFonts w:ascii="Arial" w:cs="Arial" w:eastAsia="Arial" w:hAnsi="Arial"/>
                <w:sz w:val="18"/>
                <w:szCs w:val="18"/>
                <w:color w:val="auto"/>
                <w:w w:val="97"/>
              </w:rPr>
              <w:t>(Thousands, except per share data)</w:t>
            </w:r>
          </w:p>
        </w:tc>
      </w:tr>
      <w:tr>
        <w:trPr>
          <w:trHeight w:val="202"/>
        </w:trPr>
        <w:tc>
          <w:tcPr>
            <w:tcW w:w="6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Pro forma sales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5,671,491</w:t>
            </w: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10,791,683</w:t>
            </w: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Pro forma operating income</w:t>
            </w:r>
          </w:p>
        </w:tc>
        <w:tc>
          <w:tcPr>
            <w:tcW w:w="120" w:type="dxa"/>
            <w:vAlign w:val="bottom"/>
          </w:tcPr>
          <w:p>
            <w:pPr>
              <w:spacing w:after="0"/>
              <w:rPr>
                <w:sz w:val="18"/>
                <w:szCs w:val="18"/>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8"/>
                <w:szCs w:val="18"/>
                <w:color w:val="auto"/>
              </w:rPr>
              <w:t>177,998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268,453</w:t>
            </w: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Pro forma net income</w:t>
            </w:r>
          </w:p>
        </w:tc>
        <w:tc>
          <w:tcPr>
            <w:tcW w:w="1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115,489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163,570</w:t>
            </w:r>
          </w:p>
        </w:tc>
      </w:tr>
      <w:tr>
        <w:trPr>
          <w:trHeight w:val="432"/>
        </w:trPr>
        <w:tc>
          <w:tcPr>
            <w:tcW w:w="6300" w:type="dxa"/>
            <w:vAlign w:val="bottom"/>
          </w:tcPr>
          <w:p>
            <w:pPr>
              <w:spacing w:after="0"/>
              <w:rPr>
                <w:sz w:val="20"/>
                <w:szCs w:val="20"/>
                <w:color w:val="auto"/>
              </w:rPr>
            </w:pPr>
            <w:r>
              <w:rPr>
                <w:rFonts w:ascii="Arial" w:cs="Arial" w:eastAsia="Arial" w:hAnsi="Arial"/>
                <w:sz w:val="18"/>
                <w:szCs w:val="18"/>
                <w:color w:val="auto"/>
              </w:rPr>
              <w:t>Pro forma diluted earnings per share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680" w:type="dxa"/>
            <w:vAlign w:val="bottom"/>
            <w:gridSpan w:val="2"/>
          </w:tcPr>
          <w:p>
            <w:pPr>
              <w:jc w:val="right"/>
              <w:ind w:right="180"/>
              <w:spacing w:after="0"/>
              <w:rPr>
                <w:sz w:val="20"/>
                <w:szCs w:val="20"/>
                <w:color w:val="auto"/>
              </w:rPr>
            </w:pPr>
            <w:r>
              <w:rPr>
                <w:rFonts w:ascii="Arial" w:cs="Arial" w:eastAsia="Arial" w:hAnsi="Arial"/>
                <w:sz w:val="18"/>
                <w:szCs w:val="18"/>
                <w:color w:val="auto"/>
              </w:rPr>
              <w:t>0.75</w:t>
            </w:r>
          </w:p>
        </w:tc>
        <w:tc>
          <w:tcPr>
            <w:tcW w:w="260" w:type="dxa"/>
            <w:vAlign w:val="bottom"/>
            <w:gridSpan w:val="2"/>
          </w:tcPr>
          <w:p>
            <w:pPr>
              <w:ind w:left="180"/>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1.07</w:t>
            </w:r>
          </w:p>
        </w:tc>
      </w:tr>
    </w:tbl>
    <w:p>
      <w:pPr>
        <w:spacing w:after="0" w:line="161"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The combined results for Avnet and Bell for the second quarter and six months ended fiscal 2010 were adjusted for the following in order to create the pro forma results in the table above:</w:t>
      </w:r>
    </w:p>
    <w:p>
      <w:pPr>
        <w:spacing w:after="0" w:line="143" w:lineRule="exact"/>
        <w:rPr>
          <w:sz w:val="20"/>
          <w:szCs w:val="20"/>
          <w:color w:val="auto"/>
        </w:rPr>
      </w:pPr>
    </w:p>
    <w:p>
      <w:pPr>
        <w:jc w:val="both"/>
        <w:ind w:left="1080" w:right="159" w:hanging="370"/>
        <w:spacing w:after="0" w:line="264" w:lineRule="auto"/>
        <w:tabs>
          <w:tab w:leader="none" w:pos="108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$2,143,000 pre-tax, $1,310,000 after tax, or $0.01 per diluted share for the second quarter of fiscal 2010 and $4,286,000 pre-tax, $2,621,000 after-tax, or $0.02 per diluted share for the first six months of fiscal 2010, of intangible asset amortization associated with the Bell acquisition; and</w:t>
      </w:r>
    </w:p>
    <w:p>
      <w:pPr>
        <w:spacing w:after="0" w:line="140" w:lineRule="exact"/>
        <w:rPr>
          <w:rFonts w:ascii="Arial" w:cs="Arial" w:eastAsia="Arial" w:hAnsi="Arial"/>
          <w:sz w:val="18"/>
          <w:szCs w:val="18"/>
          <w:b w:val="1"/>
          <w:bCs w:val="1"/>
          <w:color w:val="auto"/>
        </w:rPr>
      </w:pPr>
    </w:p>
    <w:p>
      <w:pPr>
        <w:ind w:left="1080" w:right="179" w:hanging="370"/>
        <w:spacing w:after="0" w:line="277" w:lineRule="auto"/>
        <w:tabs>
          <w:tab w:leader="none" w:pos="108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$5,181,000 pre-tax, $3,168,000 after tax, or $0.02 per diluted share for the first six months of fiscal 2010 for Bell transaction costs that were expensed upon closing.</w:t>
      </w:r>
    </w:p>
    <w:p>
      <w:pPr>
        <w:spacing w:after="0" w:line="130" w:lineRule="exact"/>
        <w:rPr>
          <w:sz w:val="20"/>
          <w:szCs w:val="20"/>
          <w:color w:val="auto"/>
        </w:rPr>
      </w:pPr>
    </w:p>
    <w:p>
      <w:pPr>
        <w:ind w:left="720"/>
        <w:spacing w:after="0"/>
        <w:rPr>
          <w:sz w:val="20"/>
          <w:szCs w:val="20"/>
          <w:color w:val="auto"/>
        </w:rPr>
      </w:pPr>
      <w:r>
        <w:rPr>
          <w:rFonts w:ascii="Arial" w:cs="Arial" w:eastAsia="Arial" w:hAnsi="Arial"/>
          <w:sz w:val="17"/>
          <w:szCs w:val="17"/>
          <w:color w:val="auto"/>
        </w:rPr>
        <w:t>Pro forma results above exclude the impact of synergies that may be realized upon completion of the integration activity.</w:t>
      </w:r>
    </w:p>
    <w:p>
      <w:pPr>
        <w:spacing w:after="0" w:line="210"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Pro forma financial information is not presented for fiscal 2011 because the Bell acquisition occurred on July 6, 2010, which is three days after the beginning of the Company’s fiscal year 2011. The accompanying consolidated statement of operations for the first quarter of fiscal 2011 included sales of $781,135,000 related to the acquired Bell business. The Company is in the process of integrating the Bell business into the Avnet existing business, which includes IT systems integration, and administrative, sales and logistics operations integrations. As a result, after the first quarter of fiscal 2011, the Company is no longer able to identify the acquired Bell business separately from the on-going Avnet business.</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Prior year acquisition-related exit activity accounted for in purchase accounting</w:t>
      </w:r>
    </w:p>
    <w:p>
      <w:pPr>
        <w:spacing w:after="0" w:line="185" w:lineRule="exact"/>
        <w:rPr>
          <w:sz w:val="20"/>
          <w:szCs w:val="20"/>
          <w:color w:val="auto"/>
        </w:rPr>
      </w:pPr>
    </w:p>
    <w:p>
      <w:pPr>
        <w:jc w:val="both"/>
        <w:ind w:left="340" w:right="159" w:firstLine="389"/>
        <w:spacing w:after="0" w:line="271" w:lineRule="auto"/>
        <w:rPr>
          <w:sz w:val="20"/>
          <w:szCs w:val="20"/>
          <w:color w:val="auto"/>
        </w:rPr>
      </w:pPr>
      <w:r>
        <w:rPr>
          <w:rFonts w:ascii="Arial" w:cs="Arial" w:eastAsia="Arial" w:hAnsi="Arial"/>
          <w:sz w:val="17"/>
          <w:szCs w:val="17"/>
          <w:color w:val="auto"/>
        </w:rPr>
        <w:t>Prior to fiscal 2010, certain restructuring charges were recognized as part of purchase accounting under previous accounting standards. During fiscal 2007 and 2006, the Company recorded certain exit-related liabilities through purchase accounting which consisted of severance for workforce reductions, non-cancelable lease commitments and lease termination charges for leased facilities, and other contract termination costs associated with the exit activities. During the first six months of fiscal 2011, the Company paid $235,000 in cash associated with these reserves. In addition, Company released $1,402,000 of lease reserves that were determined no longer necessary and recorded a credit through “restructuring, integration and other charges.” As of January 1, 2011, the total remaining reserve was $3,905,000 which related primarily to facility exit costs and other contractual lease obligations which management expects to be substantially utilized by fiscal 2013.</w:t>
      </w:r>
    </w:p>
    <w:p>
      <w:pPr>
        <w:spacing w:after="0" w:line="200" w:lineRule="exact"/>
        <w:rPr>
          <w:sz w:val="20"/>
          <w:szCs w:val="20"/>
          <w:color w:val="auto"/>
        </w:rPr>
      </w:pPr>
    </w:p>
    <w:p>
      <w:pPr>
        <w:spacing w:after="0" w:line="344"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Divestitures</w:t>
      </w:r>
    </w:p>
    <w:p>
      <w:pPr>
        <w:spacing w:after="0" w:line="185"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During the second quarter and first half of fiscal 2010, the Company recognized a gain on the sale of assets amounting to $5,549,000 pre-tax, $3,383,000 after tax and $0.02 per share on a diluted basis, as a result of certain earn-out provisions associated with the prior sale of the Company’s equity investment in Calence LLC. In addition, the Company sold a cost method investment and received proceeds of approximately $3,034,000. As a result, the Company received a total of $8,583,000 in cash proceeds from divestitures for the first half of fiscal 2010.</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3. Goodwill and intangible assets</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The following table presents the carrying amount of goodwill, by reportable segment, for the six months ended January 1, 2011:</w:t>
      </w:r>
    </w:p>
    <w:p>
      <w:pPr>
        <w:spacing w:after="0" w:line="244"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w w:val="90"/>
              </w:rPr>
              <w:t>Electronics</w:t>
            </w:r>
          </w:p>
        </w:tc>
        <w:tc>
          <w:tcPr>
            <w:tcW w:w="380" w:type="dxa"/>
            <w:vAlign w:val="bottom"/>
          </w:tcPr>
          <w:p>
            <w:pPr>
              <w:spacing w:after="0"/>
              <w:rPr>
                <w:sz w:val="18"/>
                <w:szCs w:val="18"/>
                <w:color w:val="auto"/>
              </w:rPr>
            </w:pPr>
          </w:p>
        </w:tc>
        <w:tc>
          <w:tcPr>
            <w:tcW w:w="134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w w:val="89"/>
              </w:rPr>
              <w:t>Technology</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Marketing</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85"/>
              </w:rPr>
              <w:t>Solutions</w:t>
            </w:r>
          </w:p>
        </w:tc>
        <w:tc>
          <w:tcPr>
            <w:tcW w:w="180" w:type="dxa"/>
            <w:vAlign w:val="bottom"/>
          </w:tcPr>
          <w:p>
            <w:pPr>
              <w:spacing w:after="0"/>
              <w:rPr>
                <w:sz w:val="20"/>
                <w:szCs w:val="20"/>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Total</w:t>
            </w:r>
          </w:p>
        </w:tc>
      </w:tr>
      <w:tr>
        <w:trPr>
          <w:trHeight w:val="210"/>
        </w:trPr>
        <w:tc>
          <w:tcPr>
            <w:tcW w:w="5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86"/>
              </w:rPr>
              <w:t>(Thousands)</w:t>
            </w:r>
          </w:p>
        </w:tc>
        <w:tc>
          <w:tcPr>
            <w:tcW w:w="3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Carrying value at July 3, 2010</w:t>
            </w:r>
          </w:p>
        </w:tc>
        <w:tc>
          <w:tcPr>
            <w:tcW w:w="240" w:type="dxa"/>
            <w:vAlign w:val="bottom"/>
            <w:gridSpan w:val="2"/>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242,626</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323,683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566,309</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Additions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100,577</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174,738</w:t>
            </w: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275,315</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3,343</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2,987</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6,330</w:t>
            </w:r>
          </w:p>
        </w:tc>
      </w:tr>
      <w:tr>
        <w:trPr>
          <w:trHeight w:val="223"/>
        </w:trPr>
        <w:tc>
          <w:tcPr>
            <w:tcW w:w="5940" w:type="dxa"/>
            <w:vAlign w:val="bottom"/>
          </w:tcPr>
          <w:p>
            <w:pPr>
              <w:spacing w:after="0"/>
              <w:rPr>
                <w:sz w:val="20"/>
                <w:szCs w:val="20"/>
                <w:color w:val="auto"/>
              </w:rPr>
            </w:pPr>
            <w:r>
              <w:rPr>
                <w:rFonts w:ascii="Arial" w:cs="Arial" w:eastAsia="Arial" w:hAnsi="Arial"/>
                <w:sz w:val="18"/>
                <w:szCs w:val="18"/>
                <w:color w:val="auto"/>
              </w:rPr>
              <w:t>Carrying value at January 1, 2011</w:t>
            </w: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346,546</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501,408</w:t>
            </w:r>
          </w:p>
        </w:tc>
        <w:tc>
          <w:tcPr>
            <w:tcW w:w="3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847,954</w:t>
            </w:r>
          </w:p>
        </w:tc>
        <w:tc>
          <w:tcPr>
            <w:tcW w:w="100" w:type="dxa"/>
            <w:vAlign w:val="bottom"/>
          </w:tcPr>
          <w:p>
            <w:pPr>
              <w:spacing w:after="0"/>
              <w:rPr>
                <w:sz w:val="19"/>
                <w:szCs w:val="19"/>
                <w:color w:val="auto"/>
              </w:rPr>
            </w:pPr>
          </w:p>
        </w:tc>
      </w:tr>
      <w:tr>
        <w:trPr>
          <w:trHeight w:val="20"/>
        </w:trPr>
        <w:tc>
          <w:tcPr>
            <w:tcW w:w="5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The goodwill additions are a result of the Bell and Tallard acquisitions that occurred in the first quarter of fiscal 2011 (see Note</w:t>
      </w:r>
    </w:p>
    <w:p>
      <w:pPr>
        <w:spacing w:after="0" w:line="46" w:lineRule="exact"/>
        <w:rPr>
          <w:sz w:val="20"/>
          <w:szCs w:val="20"/>
          <w:color w:val="auto"/>
        </w:rPr>
      </w:pPr>
    </w:p>
    <w:p>
      <w:pPr>
        <w:ind w:left="340" w:right="159" w:hanging="8"/>
        <w:spacing w:after="0" w:line="323" w:lineRule="auto"/>
        <w:tabs>
          <w:tab w:leader="none" w:pos="540" w:val="left"/>
        </w:tabs>
        <w:numPr>
          <w:ilvl w:val="0"/>
          <w:numId w:val="2"/>
        </w:numPr>
        <w:rPr>
          <w:rFonts w:ascii="Arial" w:cs="Arial" w:eastAsia="Arial" w:hAnsi="Arial"/>
          <w:sz w:val="16"/>
          <w:szCs w:val="16"/>
          <w:color w:val="auto"/>
        </w:rPr>
      </w:pPr>
      <w:r>
        <w:rPr>
          <w:rFonts w:ascii="Arial" w:cs="Arial" w:eastAsia="Arial" w:hAnsi="Arial"/>
          <w:sz w:val="16"/>
          <w:szCs w:val="16"/>
          <w:color w:val="auto"/>
        </w:rPr>
        <w:t>and three acquired businesses that occurred in the second quarter of fiscal 2011. The Unidux acquisition resulted in $30,990,000 of negative goodwill which was included in “Gain on bargain purchase and other” on the consolidated statement of operations.</w:t>
      </w:r>
    </w:p>
    <w:p>
      <w:pPr>
        <w:spacing w:after="0" w:line="98"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color w:val="auto"/>
        </w:rPr>
        <w:t>The following table presents the gross amount of goodwill and accumulated impairment since fiscal 2009 as of July 3, 2010 and January 1, 2011. All of the accumulated impairment was recognized in fiscal 2009.</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gridSpan w:val="4"/>
          </w:tcPr>
          <w:p>
            <w:pPr>
              <w:jc w:val="right"/>
              <w:ind w:right="280"/>
              <w:spacing w:after="0"/>
              <w:rPr>
                <w:sz w:val="20"/>
                <w:szCs w:val="20"/>
                <w:color w:val="auto"/>
              </w:rPr>
            </w:pPr>
            <w:r>
              <w:rPr>
                <w:rFonts w:ascii="Arial" w:cs="Arial" w:eastAsia="Arial" w:hAnsi="Arial"/>
                <w:sz w:val="18"/>
                <w:szCs w:val="18"/>
                <w:b w:val="1"/>
                <w:bCs w:val="1"/>
                <w:color w:val="auto"/>
                <w:w w:val="90"/>
              </w:rPr>
              <w:t>Electronics</w:t>
            </w:r>
          </w:p>
        </w:tc>
        <w:tc>
          <w:tcPr>
            <w:tcW w:w="180" w:type="dxa"/>
            <w:vAlign w:val="bottom"/>
          </w:tcPr>
          <w:p>
            <w:pPr>
              <w:spacing w:after="0"/>
              <w:rPr>
                <w:sz w:val="18"/>
                <w:szCs w:val="18"/>
                <w:color w:val="auto"/>
              </w:rPr>
            </w:pPr>
          </w:p>
        </w:tc>
        <w:tc>
          <w:tcPr>
            <w:tcW w:w="134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w w:val="89"/>
              </w:rPr>
              <w:t>Technology</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gridSpan w:val="4"/>
          </w:tcPr>
          <w:p>
            <w:pPr>
              <w:jc w:val="right"/>
              <w:ind w:right="300"/>
              <w:spacing w:after="0"/>
              <w:rPr>
                <w:sz w:val="20"/>
                <w:szCs w:val="20"/>
                <w:color w:val="auto"/>
              </w:rPr>
            </w:pPr>
            <w:r>
              <w:rPr>
                <w:rFonts w:ascii="Arial" w:cs="Arial" w:eastAsia="Arial" w:hAnsi="Arial"/>
                <w:sz w:val="18"/>
                <w:szCs w:val="18"/>
                <w:b w:val="1"/>
                <w:bCs w:val="1"/>
                <w:color w:val="auto"/>
              </w:rPr>
              <w:t>Marketing</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85"/>
              </w:rPr>
              <w:t>Solutions</w:t>
            </w:r>
          </w:p>
        </w:tc>
        <w:tc>
          <w:tcPr>
            <w:tcW w:w="140" w:type="dxa"/>
            <w:vAlign w:val="bottom"/>
          </w:tcPr>
          <w:p>
            <w:pPr>
              <w:spacing w:after="0"/>
              <w:rPr>
                <w:sz w:val="20"/>
                <w:szCs w:val="20"/>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Total</w:t>
            </w:r>
          </w:p>
        </w:tc>
      </w:tr>
      <w:tr>
        <w:trPr>
          <w:trHeight w:val="210"/>
        </w:trPr>
        <w:tc>
          <w:tcPr>
            <w:tcW w:w="5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86"/>
              </w:rPr>
              <w:t>(Thousands)</w:t>
            </w:r>
          </w:p>
        </w:tc>
        <w:tc>
          <w:tcPr>
            <w:tcW w:w="3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Gross goodwill at July 3, 2010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1,287,736</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658,307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1,946,043</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Accumulated impairment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w w:val="95"/>
              </w:rPr>
              <w:t>(1,045,110)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(334,624)</w:t>
            </w:r>
          </w:p>
        </w:tc>
        <w:tc>
          <w:tcPr>
            <w:tcW w:w="1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(1,379,734)</w:t>
            </w:r>
          </w:p>
        </w:tc>
      </w:tr>
      <w:tr>
        <w:trPr>
          <w:trHeight w:val="27"/>
        </w:trPr>
        <w:tc>
          <w:tcPr>
            <w:tcW w:w="5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Carrying value at July 3, 2010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242,626</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323,683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566,309</w:t>
            </w:r>
          </w:p>
        </w:tc>
      </w:tr>
      <w:tr>
        <w:trPr>
          <w:trHeight w:val="20"/>
        </w:trPr>
        <w:tc>
          <w:tcPr>
            <w:tcW w:w="5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5940" w:type="dxa"/>
            <w:vAlign w:val="bottom"/>
          </w:tcPr>
          <w:p>
            <w:pPr>
              <w:spacing w:after="0"/>
              <w:rPr>
                <w:sz w:val="20"/>
                <w:szCs w:val="20"/>
                <w:color w:val="auto"/>
              </w:rPr>
            </w:pPr>
            <w:r>
              <w:rPr>
                <w:rFonts w:ascii="Arial" w:cs="Arial" w:eastAsia="Arial" w:hAnsi="Arial"/>
                <w:sz w:val="18"/>
                <w:szCs w:val="18"/>
                <w:color w:val="auto"/>
              </w:rPr>
              <w:t>Gross goodwill at January 1, 2011</w:t>
            </w:r>
          </w:p>
        </w:tc>
        <w:tc>
          <w:tcPr>
            <w:tcW w:w="14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1,391,656</w:t>
            </w:r>
          </w:p>
        </w:tc>
        <w:tc>
          <w:tcPr>
            <w:tcW w:w="200" w:type="dxa"/>
            <w:vAlign w:val="bottom"/>
          </w:tcPr>
          <w:p>
            <w:pPr>
              <w:spacing w:after="0"/>
              <w:rPr>
                <w:sz w:val="24"/>
                <w:szCs w:val="24"/>
                <w:color w:val="auto"/>
              </w:rPr>
            </w:pP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836,032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2,227,688</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Accumulated impairment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5"/>
              </w:rPr>
              <w:t>(1,045,110)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(334,624)</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(1,379,734)</w:t>
            </w:r>
          </w:p>
        </w:tc>
      </w:tr>
      <w:tr>
        <w:trPr>
          <w:trHeight w:val="223"/>
        </w:trPr>
        <w:tc>
          <w:tcPr>
            <w:tcW w:w="5940" w:type="dxa"/>
            <w:vAlign w:val="bottom"/>
          </w:tcPr>
          <w:p>
            <w:pPr>
              <w:spacing w:after="0"/>
              <w:rPr>
                <w:sz w:val="20"/>
                <w:szCs w:val="20"/>
                <w:color w:val="auto"/>
              </w:rPr>
            </w:pPr>
            <w:r>
              <w:rPr>
                <w:rFonts w:ascii="Arial" w:cs="Arial" w:eastAsia="Arial" w:hAnsi="Arial"/>
                <w:sz w:val="18"/>
                <w:szCs w:val="18"/>
                <w:color w:val="auto"/>
              </w:rPr>
              <w:t>Carrying value at January 1, 2011</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346,546</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501,408</w:t>
            </w:r>
          </w:p>
        </w:tc>
        <w:tc>
          <w:tcPr>
            <w:tcW w:w="3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847,954</w:t>
            </w:r>
          </w:p>
        </w:tc>
        <w:tc>
          <w:tcPr>
            <w:tcW w:w="100" w:type="dxa"/>
            <w:vAlign w:val="bottom"/>
          </w:tcPr>
          <w:p>
            <w:pPr>
              <w:spacing w:after="0"/>
              <w:rPr>
                <w:sz w:val="19"/>
                <w:szCs w:val="19"/>
                <w:color w:val="auto"/>
              </w:rPr>
            </w:pPr>
          </w:p>
        </w:tc>
      </w:tr>
      <w:tr>
        <w:trPr>
          <w:trHeight w:val="20"/>
        </w:trPr>
        <w:tc>
          <w:tcPr>
            <w:tcW w:w="5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In the first quarter of fiscal 2011, the Company recognized a preliminary estimate for a customer relationship intangible asset. During the second quarter of fiscal 2011, the Company completed its evaluation of the intangible asset and recognized a final valuation of $60,000,000, which has an estimated life of seven years.</w:t>
      </w:r>
    </w:p>
    <w:p>
      <w:pPr>
        <w:spacing w:after="0" w:line="141"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As of January 1, 2011, “Other assets” included customer relationship intangible assets with a carrying value of $107,410,000; consisting of $145,094,000 in original cost value and $37,684,000 of accumulated amortization and foreign currency translation. These assets are being amortized over a weighted average life of 8 years. Intangible asset amortization expense was $4,761,000 and $2,158,000 for the second quarter of fiscal 2011 and 2010, respectively, and $9,770,000 and $4,334,000 for the first six months of fiscal 2011 and 2010, respectively. Amortization expense for fiscal 2012 through 2015 is expected to be approximately $17,000,000 each year and $13,000,000 for fiscal 2016.</w:t>
      </w:r>
    </w:p>
    <w:p>
      <w:pPr>
        <w:spacing w:after="0" w:line="200" w:lineRule="exact"/>
        <w:rPr>
          <w:sz w:val="20"/>
          <w:szCs w:val="20"/>
          <w:color w:val="auto"/>
        </w:rPr>
      </w:pPr>
    </w:p>
    <w:p>
      <w:pPr>
        <w:spacing w:after="0" w:line="35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0"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000" w:type="dxa"/>
            <w:vAlign w:val="bottom"/>
          </w:tcPr>
          <w:p>
            <w:pPr>
              <w:spacing w:after="0"/>
              <w:rPr>
                <w:sz w:val="20"/>
                <w:szCs w:val="20"/>
                <w:color w:val="auto"/>
              </w:rPr>
            </w:pPr>
            <w:r>
              <w:rPr>
                <w:rFonts w:ascii="Arial" w:cs="Arial" w:eastAsia="Arial" w:hAnsi="Arial"/>
                <w:sz w:val="18"/>
                <w:szCs w:val="18"/>
                <w:b w:val="1"/>
                <w:bCs w:val="1"/>
                <w:color w:val="auto"/>
              </w:rPr>
              <w:t>4. External financing</w:t>
            </w: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2"/>
        </w:trPr>
        <w:tc>
          <w:tcPr>
            <w:tcW w:w="6000" w:type="dxa"/>
            <w:vAlign w:val="bottom"/>
          </w:tcPr>
          <w:p>
            <w:pPr>
              <w:ind w:left="380"/>
              <w:spacing w:after="0"/>
              <w:rPr>
                <w:sz w:val="20"/>
                <w:szCs w:val="20"/>
                <w:color w:val="auto"/>
              </w:rPr>
            </w:pPr>
            <w:r>
              <w:rPr>
                <w:rFonts w:ascii="Arial" w:cs="Arial" w:eastAsia="Arial" w:hAnsi="Arial"/>
                <w:sz w:val="18"/>
                <w:szCs w:val="18"/>
                <w:color w:val="auto"/>
              </w:rPr>
              <w:t>Short-term debt consists of the following:</w:t>
            </w: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60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2"/>
              </w:rPr>
              <w:t>January 1,</w:t>
            </w:r>
          </w:p>
        </w:tc>
        <w:tc>
          <w:tcPr>
            <w:tcW w:w="160" w:type="dxa"/>
            <w:vAlign w:val="bottom"/>
          </w:tcPr>
          <w:p>
            <w:pPr>
              <w:spacing w:after="0"/>
              <w:rPr>
                <w:sz w:val="24"/>
                <w:szCs w:val="24"/>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9"/>
              </w:rPr>
              <w:t>July 3,</w:t>
            </w:r>
          </w:p>
        </w:tc>
      </w:tr>
      <w:tr>
        <w:trPr>
          <w:trHeight w:val="234"/>
        </w:trPr>
        <w:tc>
          <w:tcPr>
            <w:tcW w:w="60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r>
      <w:tr>
        <w:trPr>
          <w:trHeight w:val="210"/>
        </w:trPr>
        <w:tc>
          <w:tcPr>
            <w:tcW w:w="60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2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(Thousands)</w:t>
            </w: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Bank credit facilities</w:t>
            </w:r>
          </w:p>
        </w:tc>
        <w:tc>
          <w:tcPr>
            <w:tcW w:w="15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165,717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35,617</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Borrowings under the accounts receivable securitization program</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450,000</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3.75% Notes due March 2024 (redeemable in March 2011)</w:t>
            </w: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104,795</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Other debt due within one year</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56,723</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932</w:t>
            </w:r>
          </w:p>
        </w:tc>
      </w:tr>
      <w:tr>
        <w:trPr>
          <w:trHeight w:val="27"/>
        </w:trPr>
        <w:tc>
          <w:tcPr>
            <w:tcW w:w="60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Short-term debt</w:t>
            </w:r>
          </w:p>
        </w:tc>
        <w:tc>
          <w:tcPr>
            <w:tcW w:w="15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777,235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36,549</w:t>
            </w:r>
          </w:p>
        </w:tc>
      </w:tr>
      <w:tr>
        <w:trPr>
          <w:trHeight w:val="20"/>
        </w:trPr>
        <w:tc>
          <w:tcPr>
            <w:tcW w:w="60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360" w:firstLine="389"/>
        <w:spacing w:after="0" w:line="255" w:lineRule="auto"/>
        <w:rPr>
          <w:sz w:val="20"/>
          <w:szCs w:val="20"/>
          <w:color w:val="auto"/>
        </w:rPr>
      </w:pPr>
      <w:r>
        <w:rPr>
          <w:rFonts w:ascii="Arial" w:cs="Arial" w:eastAsia="Arial" w:hAnsi="Arial"/>
          <w:sz w:val="18"/>
          <w:szCs w:val="18"/>
          <w:color w:val="auto"/>
        </w:rPr>
        <w:t>Bank credit facilities consist of various committed and uncommitted lines of credit with financial institutions utilized primarily to support the working capital requirements of foreign operations. The weighted average interest rate on the outstanding bank credit facilities was 1.9% at January 1, 2011 and 4.0% at July 3, 2010. In connection with recent acquisitions (see Note 2), the Company acquired debt of $420,259,000, of which $211,933,000 was repaid (including associated fees) at the acquisition dates. As of the end of the second quarter of fiscal 2011, the outstanding balances associated with the acquired debt and credit facilities consisted of $114,752,000 in bank credit facilities and other debt primarly used to support the acquired foreign operations and $104,795,000 of 3.75% Notes due March 2024.</w:t>
      </w:r>
    </w:p>
    <w:p>
      <w:pPr>
        <w:spacing w:after="0" w:line="162" w:lineRule="exact"/>
        <w:rPr>
          <w:sz w:val="20"/>
          <w:szCs w:val="20"/>
          <w:color w:val="auto"/>
        </w:rPr>
      </w:pPr>
    </w:p>
    <w:p>
      <w:pPr>
        <w:jc w:val="both"/>
        <w:ind w:left="340" w:right="1360" w:firstLine="389"/>
        <w:spacing w:after="0" w:line="272" w:lineRule="auto"/>
        <w:rPr>
          <w:sz w:val="20"/>
          <w:szCs w:val="20"/>
          <w:color w:val="auto"/>
        </w:rPr>
      </w:pPr>
      <w:r>
        <w:rPr>
          <w:rFonts w:ascii="Arial" w:cs="Arial" w:eastAsia="Arial" w:hAnsi="Arial"/>
          <w:sz w:val="17"/>
          <w:szCs w:val="17"/>
          <w:color w:val="auto"/>
        </w:rPr>
        <w:t>Prior to the Bell acquisition, the 3.75% Notes were convertible into Bell common stock; however, as a result of the acquisition, the debt is no longer convertible into shares. Under the terms of the 3.75% Notes, the Company may redeem some or all of the 3.75% Notes for cash anytime on or after March 5, 2011 and the note holders may require the Company to purchase for cash some or all of the 3.75% Notes on March 5, 2011, March 5, 2014 or March 5, 2019 at a redemption price equal to 100% of the principal amount plus interest. During the first quarter of fiscal 2011, the Company issued a tender offer for the 3.75% Notes for which $5,205,000 was tendered and paid in September 2010. As the note holders may require the Company to repurchase all of the remaining 3.75% Notes in March 2011 for cash, the debt has been classified as short-term.</w:t>
      </w:r>
    </w:p>
    <w:p>
      <w:pPr>
        <w:spacing w:after="0" w:line="137" w:lineRule="exact"/>
        <w:rPr>
          <w:sz w:val="20"/>
          <w:szCs w:val="20"/>
          <w:color w:val="auto"/>
        </w:rPr>
      </w:pPr>
    </w:p>
    <w:p>
      <w:pPr>
        <w:jc w:val="both"/>
        <w:ind w:left="340" w:right="1360" w:firstLine="389"/>
        <w:spacing w:after="0" w:line="272" w:lineRule="auto"/>
        <w:rPr>
          <w:sz w:val="20"/>
          <w:szCs w:val="20"/>
          <w:color w:val="auto"/>
        </w:rPr>
      </w:pPr>
      <w:r>
        <w:rPr>
          <w:rFonts w:ascii="Arial" w:cs="Arial" w:eastAsia="Arial" w:hAnsi="Arial"/>
          <w:sz w:val="17"/>
          <w:szCs w:val="17"/>
          <w:color w:val="auto"/>
        </w:rPr>
        <w:t>In August 2010, the Company amended its accounts receivable securitization program (the “Program”) with a group of financial institutions to allow the Company to sell, on a revolving basis, an undivided interest of up to $600,000,000 ($450,000,000 prior to the amendment) in eligible receivables while retaining a subordinated interest in a portion of the receivables. The Program does not qualify for sale treatment and, as a result, any borrowings under the Program are recorded as debt on the consolidated balance sheet. The Program contains certain covenants, all of which the Company was in compliance with as of January 1, 2011. The Program has a one year term that expires in August 2011. There were $450,000,000 in borrowings outstanding under the Program at January 1, 2011. There were no borrowings outstanding at July 3, 2010.</w:t>
      </w:r>
    </w:p>
    <w:p>
      <w:pPr>
        <w:spacing w:after="0" w:line="13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Long-term debt consists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36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w w:val="98"/>
              </w:rPr>
              <w:t>January 1,</w:t>
            </w:r>
          </w:p>
        </w:tc>
        <w:tc>
          <w:tcPr>
            <w:tcW w:w="16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9"/>
              </w:rPr>
              <w:t>July 3,</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4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(Thousands)</w:t>
            </w: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w w:val="88"/>
              </w:rPr>
              <w:t>5.875%</w:t>
            </w:r>
          </w:p>
        </w:tc>
        <w:tc>
          <w:tcPr>
            <w:tcW w:w="3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Notes due March 15, 2014</w:t>
            </w:r>
          </w:p>
        </w:tc>
        <w:tc>
          <w:tcPr>
            <w:tcW w:w="3700" w:type="dxa"/>
            <w:vAlign w:val="bottom"/>
            <w:gridSpan w:val="2"/>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300,000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6.00% Notes due September 1, 2015</w:t>
            </w:r>
          </w:p>
        </w:tc>
        <w:tc>
          <w:tcPr>
            <w:tcW w:w="3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250,000</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250,000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w w:val="88"/>
              </w:rPr>
              <w:t>6.625%</w:t>
            </w:r>
          </w:p>
        </w:tc>
        <w:tc>
          <w:tcPr>
            <w:tcW w:w="3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Notes due September 15, 2016</w:t>
            </w:r>
          </w:p>
        </w:tc>
        <w:tc>
          <w:tcPr>
            <w:tcW w:w="3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300,000</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w w:val="88"/>
              </w:rPr>
              <w:t>5.875%</w:t>
            </w:r>
          </w:p>
        </w:tc>
        <w:tc>
          <w:tcPr>
            <w:tcW w:w="3220" w:type="dxa"/>
            <w:vAlign w:val="bottom"/>
          </w:tcPr>
          <w:p>
            <w:pPr>
              <w:ind w:left="40"/>
              <w:spacing w:after="0"/>
              <w:rPr>
                <w:sz w:val="20"/>
                <w:szCs w:val="20"/>
                <w:color w:val="auto"/>
              </w:rPr>
            </w:pPr>
            <w:r>
              <w:rPr>
                <w:rFonts w:ascii="Arial" w:cs="Arial" w:eastAsia="Arial" w:hAnsi="Arial"/>
                <w:sz w:val="18"/>
                <w:szCs w:val="18"/>
                <w:color w:val="auto"/>
              </w:rPr>
              <w:t>Notes due June 15, 2020</w:t>
            </w:r>
          </w:p>
        </w:tc>
        <w:tc>
          <w:tcPr>
            <w:tcW w:w="3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300,000</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300,000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debt</w:t>
            </w:r>
          </w:p>
        </w:tc>
        <w:tc>
          <w:tcPr>
            <w:tcW w:w="3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101,176</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97,217</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3780" w:type="dxa"/>
            <w:vAlign w:val="bottom"/>
            <w:gridSpan w:val="2"/>
          </w:tcPr>
          <w:p>
            <w:pPr>
              <w:ind w:left="200"/>
              <w:spacing w:after="0"/>
              <w:rPr>
                <w:sz w:val="20"/>
                <w:szCs w:val="20"/>
                <w:color w:val="auto"/>
              </w:rPr>
            </w:pPr>
            <w:r>
              <w:rPr>
                <w:rFonts w:ascii="Arial" w:cs="Arial" w:eastAsia="Arial" w:hAnsi="Arial"/>
                <w:sz w:val="18"/>
                <w:szCs w:val="18"/>
                <w:color w:val="auto"/>
              </w:rPr>
              <w:t>Subtotal</w:t>
            </w:r>
          </w:p>
        </w:tc>
        <w:tc>
          <w:tcPr>
            <w:tcW w:w="35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1,251,176</w:t>
            </w:r>
          </w:p>
        </w:tc>
        <w:tc>
          <w:tcPr>
            <w:tcW w:w="3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1,247,217</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Discount on notes</w:t>
            </w:r>
          </w:p>
        </w:tc>
        <w:tc>
          <w:tcPr>
            <w:tcW w:w="3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(3,270)</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(3,536)</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3780" w:type="dxa"/>
            <w:vAlign w:val="bottom"/>
            <w:gridSpan w:val="2"/>
          </w:tcPr>
          <w:p>
            <w:pPr>
              <w:ind w:left="400"/>
              <w:spacing w:after="0"/>
              <w:rPr>
                <w:sz w:val="20"/>
                <w:szCs w:val="20"/>
                <w:color w:val="auto"/>
              </w:rPr>
            </w:pPr>
            <w:r>
              <w:rPr>
                <w:rFonts w:ascii="Arial" w:cs="Arial" w:eastAsia="Arial" w:hAnsi="Arial"/>
                <w:sz w:val="18"/>
                <w:szCs w:val="18"/>
                <w:color w:val="auto"/>
              </w:rPr>
              <w:t>Long-term debt</w:t>
            </w:r>
          </w:p>
        </w:tc>
        <w:tc>
          <w:tcPr>
            <w:tcW w:w="35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1,247,906</w:t>
            </w:r>
          </w:p>
        </w:tc>
        <w:tc>
          <w:tcPr>
            <w:tcW w:w="3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1,243,681</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520" w:type="dxa"/>
            <w:vAlign w:val="bottom"/>
            <w:vMerge w:val="restart"/>
          </w:tcPr>
          <w:p>
            <w:pPr>
              <w:jc w:val="right"/>
              <w:ind w:right="2270"/>
              <w:spacing w:after="0"/>
              <w:rPr>
                <w:sz w:val="20"/>
                <w:szCs w:val="20"/>
                <w:color w:val="auto"/>
              </w:rPr>
            </w:pPr>
            <w:r>
              <w:rPr>
                <w:rFonts w:ascii="Arial" w:cs="Arial" w:eastAsia="Arial" w:hAnsi="Arial"/>
                <w:sz w:val="18"/>
                <w:szCs w:val="18"/>
                <w:color w:val="auto"/>
              </w:rPr>
              <w:t>10</w:t>
            </w: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1"/>
        </w:trPr>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35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220" w:type="dxa"/>
            <w:vAlign w:val="bottom"/>
            <w:tcBorders>
              <w:bottom w:val="single" w:sz="8" w:color="808080"/>
            </w:tcBorders>
          </w:tcPr>
          <w:p>
            <w:pPr>
              <w:spacing w:after="0"/>
              <w:rPr>
                <w:sz w:val="19"/>
                <w:szCs w:val="19"/>
                <w:color w:val="auto"/>
              </w:rPr>
            </w:pPr>
          </w:p>
        </w:tc>
        <w:tc>
          <w:tcPr>
            <w:tcW w:w="35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4" w:lineRule="exact"/>
        <w:rPr>
          <w:sz w:val="20"/>
          <w:szCs w:val="20"/>
          <w:color w:val="auto"/>
        </w:rPr>
      </w:pPr>
    </w:p>
    <w:p>
      <w:pPr>
        <w:jc w:val="both"/>
        <w:ind w:left="340" w:right="159" w:firstLine="389"/>
        <w:spacing w:after="0" w:line="271" w:lineRule="auto"/>
        <w:rPr>
          <w:sz w:val="20"/>
          <w:szCs w:val="20"/>
          <w:color w:val="auto"/>
        </w:rPr>
      </w:pPr>
      <w:r>
        <w:rPr>
          <w:rFonts w:ascii="Arial" w:cs="Arial" w:eastAsia="Arial" w:hAnsi="Arial"/>
          <w:sz w:val="17"/>
          <w:szCs w:val="17"/>
          <w:color w:val="auto"/>
        </w:rPr>
        <w:t>The Company has a five-year $500,000,000 unsecured revolving credit facility (the “Credit Agreement”) with a syndicate of banks that expires in September 2012. Under the Credit Agreement, the Company may elect from various interest rate options, currencies and maturities. The Credit Agreement contains certain covenants, all of which the Company was in compliance with as of January 1, 2011. At January 1, 2011, there were $98,135,000 in borrowings outstanding under the Credit Agreement included in “other long-term debt” in the preceding table. In addition, there were $14,254,000 in letters of credit issued under the Credit Agreement which represent a utilization of the Credit Agreement capacity but are not recorded in the consolidated balance sheet as the letters of credit are not debt. At July 3, 2010, there were $93,682,000 in borrowings outstanding under the Credit Agreement and $8,597,000 in letters of credit issued under the Credit Agreement.</w:t>
      </w:r>
    </w:p>
    <w:p>
      <w:pPr>
        <w:spacing w:after="0" w:line="138"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color w:val="auto"/>
        </w:rPr>
        <w:t>At January 1, 2011, the carrying value and fair value of the Company’s debt was $2,025,141,000 and $2,101,960,000, respectively. Fair value was estimated primarily based upon quoted market prices.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5. Derivative financial instruments</w:t>
      </w:r>
    </w:p>
    <w:p>
      <w:pPr>
        <w:spacing w:after="0" w:line="202" w:lineRule="exact"/>
        <w:rPr>
          <w:sz w:val="20"/>
          <w:szCs w:val="20"/>
          <w:color w:val="auto"/>
        </w:rPr>
      </w:pPr>
    </w:p>
    <w:p>
      <w:pPr>
        <w:jc w:val="both"/>
        <w:ind w:left="340" w:right="159" w:firstLine="389"/>
        <w:spacing w:after="0" w:line="269" w:lineRule="auto"/>
        <w:rPr>
          <w:sz w:val="20"/>
          <w:szCs w:val="20"/>
          <w:color w:val="auto"/>
        </w:rPr>
      </w:pPr>
      <w:r>
        <w:rPr>
          <w:rFonts w:ascii="Arial" w:cs="Arial" w:eastAsia="Arial" w:hAnsi="Arial"/>
          <w:sz w:val="17"/>
          <w:szCs w:val="17"/>
          <w:color w:val="auto"/>
        </w:rPr>
        <w:t>Many of the Company’s subsidiaries, on occasion, purchase and sell products in currencies other than their functional currencies. This subjects the Company to the risks associated with fluctuations in foreign currency exchange rates. The Company reduces this risk by utilizing natural hedging (i.e. offsetting receivables and payables) as well as by creating offsetting positions through the use of derivative financial instruments, primarily forward foreign exchange contracts with maturities of less than sixty days. The Company continues to have exposure to foreign currency risks to the extent they are not hedged. The Company adjusts all foreign denominated balances and any outstanding foreign exchange contracts to fair market value through the consolidated statements of operations. Therefore, the market risk related to the foreign exchange contracts is offset by the changes in valuation of the underlying items being hedged. The asset or liability representing the fair value of foreign exchange contracts, based upon level 2 criteria under the fair value measurements standard, is classified in the captions “other current assets” or “accrued expenses and other,” as applicable, in the accompanying consolidated balance sheets and were not material. In addition, the Company did not have material gains or losses related to the forward contracts which are recorded in “other income (expense), net” in the accompanying consolidated statements of operations.</w:t>
      </w:r>
    </w:p>
    <w:p>
      <w:pPr>
        <w:spacing w:after="0" w:line="139" w:lineRule="exact"/>
        <w:rPr>
          <w:sz w:val="20"/>
          <w:szCs w:val="20"/>
          <w:color w:val="auto"/>
        </w:rPr>
      </w:pPr>
    </w:p>
    <w:p>
      <w:pPr>
        <w:jc w:val="both"/>
        <w:ind w:left="340" w:right="179" w:firstLine="389"/>
        <w:spacing w:after="0" w:line="342" w:lineRule="auto"/>
        <w:rPr>
          <w:sz w:val="20"/>
          <w:szCs w:val="20"/>
          <w:color w:val="auto"/>
        </w:rPr>
      </w:pPr>
      <w:r>
        <w:rPr>
          <w:rFonts w:ascii="Arial" w:cs="Arial" w:eastAsia="Arial" w:hAnsi="Arial"/>
          <w:sz w:val="16"/>
          <w:szCs w:val="16"/>
          <w:color w:val="auto"/>
        </w:rPr>
        <w:t>The Company generally does not hedge its investment in its foreign operations. The Company does not enter into derivative financial instruments for trading or speculative purposes and monitors the financial stability and credit standing of its counterparties.</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6. Commitments and contingencies</w:t>
      </w:r>
    </w:p>
    <w:p>
      <w:pPr>
        <w:spacing w:after="0" w:line="202" w:lineRule="exact"/>
        <w:rPr>
          <w:sz w:val="20"/>
          <w:szCs w:val="20"/>
          <w:color w:val="auto"/>
        </w:rPr>
      </w:pPr>
    </w:p>
    <w:p>
      <w:pPr>
        <w:jc w:val="both"/>
        <w:ind w:left="340" w:right="179" w:firstLine="389"/>
        <w:spacing w:after="0" w:line="286" w:lineRule="auto"/>
        <w:rPr>
          <w:sz w:val="20"/>
          <w:szCs w:val="20"/>
          <w:color w:val="auto"/>
        </w:rPr>
      </w:pPr>
      <w:r>
        <w:rPr>
          <w:rFonts w:ascii="Arial" w:cs="Arial" w:eastAsia="Arial" w:hAnsi="Arial"/>
          <w:sz w:val="17"/>
          <w:szCs w:val="17"/>
          <w:color w:val="auto"/>
        </w:rPr>
        <w:t>From time to time, the Company may become a party to, or otherwise involved in pending and threatened litigation, tax, environmental and other matters arising in the ordinary course of conducting its business. Management does not anticipate that any contingent matters will have a material adverse effect on the Company’s financial condition, liquidity or results of operations.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7. Pension plan</w:t>
      </w:r>
    </w:p>
    <w:p>
      <w:pPr>
        <w:spacing w:after="0" w:line="189" w:lineRule="exact"/>
        <w:rPr>
          <w:sz w:val="20"/>
          <w:szCs w:val="20"/>
          <w:color w:val="auto"/>
        </w:rPr>
      </w:pPr>
    </w:p>
    <w:p>
      <w:pPr>
        <w:jc w:val="both"/>
        <w:ind w:left="340" w:right="179" w:firstLine="389"/>
        <w:spacing w:after="0" w:line="264" w:lineRule="auto"/>
        <w:rPr>
          <w:sz w:val="20"/>
          <w:szCs w:val="20"/>
          <w:color w:val="auto"/>
        </w:rPr>
      </w:pPr>
      <w:r>
        <w:rPr>
          <w:rFonts w:ascii="Arial" w:cs="Arial" w:eastAsia="Arial" w:hAnsi="Arial"/>
          <w:sz w:val="18"/>
          <w:szCs w:val="18"/>
          <w:color w:val="auto"/>
        </w:rPr>
        <w:t>The Company’s noncontributory defined benefit pension plan (the “Plan”) covers substantially all domestic employees. Components of net periodic pension costs during the quarters and six months ended January 1, 2011 and January 2, 2010 were as follows:</w:t>
      </w:r>
    </w:p>
    <w:p>
      <w:pPr>
        <w:spacing w:after="0" w:line="177"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80" w:type="dxa"/>
            <w:vAlign w:val="bottom"/>
            <w:gridSpan w:val="7"/>
          </w:tcPr>
          <w:p>
            <w:pPr>
              <w:jc w:val="right"/>
              <w:ind w:right="640"/>
              <w:spacing w:after="0"/>
              <w:rPr>
                <w:sz w:val="20"/>
                <w:szCs w:val="20"/>
                <w:color w:val="auto"/>
              </w:rPr>
            </w:pPr>
            <w:r>
              <w:rPr>
                <w:rFonts w:ascii="Arial" w:cs="Arial" w:eastAsia="Arial" w:hAnsi="Arial"/>
                <w:sz w:val="18"/>
                <w:szCs w:val="18"/>
                <w:b w:val="1"/>
                <w:bCs w:val="1"/>
                <w:color w:val="auto"/>
                <w:w w:val="93"/>
              </w:rPr>
              <w:t>Second Quarters Ended</w:t>
            </w:r>
          </w:p>
        </w:tc>
        <w:tc>
          <w:tcPr>
            <w:tcW w:w="280" w:type="dxa"/>
            <w:vAlign w:val="bottom"/>
          </w:tcPr>
          <w:p>
            <w:pPr>
              <w:spacing w:after="0"/>
              <w:rPr>
                <w:sz w:val="20"/>
                <w:szCs w:val="20"/>
                <w:color w:val="auto"/>
              </w:rPr>
            </w:pPr>
          </w:p>
        </w:tc>
        <w:tc>
          <w:tcPr>
            <w:tcW w:w="212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w w:val="99"/>
              </w:rPr>
              <w:t>Six Months Ended</w:t>
            </w:r>
          </w:p>
        </w:tc>
      </w:tr>
      <w:tr>
        <w:trPr>
          <w:trHeight w:val="191"/>
        </w:trPr>
        <w:tc>
          <w:tcPr>
            <w:tcW w:w="4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tcBorders>
              <w:top w:val="single" w:sz="8" w:color="auto"/>
            </w:tcBorders>
            <w:gridSpan w:val="4"/>
          </w:tcPr>
          <w:p>
            <w:pPr>
              <w:jc w:val="right"/>
              <w:ind w:right="300"/>
              <w:spacing w:after="0" w:line="191" w:lineRule="exact"/>
              <w:rPr>
                <w:sz w:val="20"/>
                <w:szCs w:val="20"/>
                <w:color w:val="auto"/>
              </w:rPr>
            </w:pPr>
            <w:r>
              <w:rPr>
                <w:rFonts w:ascii="Arial" w:cs="Arial" w:eastAsia="Arial" w:hAnsi="Arial"/>
                <w:sz w:val="18"/>
                <w:szCs w:val="18"/>
                <w:b w:val="1"/>
                <w:bCs w:val="1"/>
                <w:color w:val="auto"/>
                <w:w w:val="96"/>
              </w:rPr>
              <w:t>January 1,</w:t>
            </w: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8"/>
                <w:szCs w:val="18"/>
                <w:b w:val="1"/>
                <w:bCs w:val="1"/>
                <w:color w:val="auto"/>
                <w:w w:val="98"/>
              </w:rPr>
              <w:t>January 2,</w:t>
            </w:r>
          </w:p>
        </w:tc>
        <w:tc>
          <w:tcPr>
            <w:tcW w:w="380" w:type="dxa"/>
            <w:vAlign w:val="bottom"/>
          </w:tcPr>
          <w:p>
            <w:pPr>
              <w:spacing w:after="0"/>
              <w:rPr>
                <w:sz w:val="16"/>
                <w:szCs w:val="16"/>
                <w:color w:val="auto"/>
              </w:rPr>
            </w:pPr>
          </w:p>
        </w:tc>
        <w:tc>
          <w:tcPr>
            <w:tcW w:w="1340" w:type="dxa"/>
            <w:vAlign w:val="bottom"/>
            <w:tcBorders>
              <w:top w:val="single" w:sz="8" w:color="auto"/>
            </w:tcBorders>
            <w:gridSpan w:val="3"/>
          </w:tcPr>
          <w:p>
            <w:pPr>
              <w:jc w:val="right"/>
              <w:ind w:right="440"/>
              <w:spacing w:after="0" w:line="191" w:lineRule="exact"/>
              <w:rPr>
                <w:sz w:val="20"/>
                <w:szCs w:val="20"/>
                <w:color w:val="auto"/>
              </w:rPr>
            </w:pPr>
            <w:r>
              <w:rPr>
                <w:rFonts w:ascii="Arial" w:cs="Arial" w:eastAsia="Arial" w:hAnsi="Arial"/>
                <w:sz w:val="18"/>
                <w:szCs w:val="18"/>
                <w:b w:val="1"/>
                <w:bCs w:val="1"/>
                <w:color w:val="auto"/>
                <w:w w:val="98"/>
              </w:rPr>
              <w:t>January 1,</w:t>
            </w:r>
          </w:p>
        </w:tc>
        <w:tc>
          <w:tcPr>
            <w:tcW w:w="96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8"/>
                <w:szCs w:val="18"/>
                <w:b w:val="1"/>
                <w:bCs w:val="1"/>
                <w:color w:val="auto"/>
                <w:w w:val="98"/>
              </w:rPr>
              <w:t>January 2,</w:t>
            </w:r>
          </w:p>
        </w:tc>
        <w:tc>
          <w:tcPr>
            <w:tcW w:w="100" w:type="dxa"/>
            <w:vAlign w:val="bottom"/>
          </w:tcPr>
          <w:p>
            <w:pPr>
              <w:spacing w:after="0"/>
              <w:rPr>
                <w:sz w:val="16"/>
                <w:szCs w:val="16"/>
                <w:color w:val="auto"/>
              </w:rPr>
            </w:pPr>
          </w:p>
        </w:tc>
      </w:tr>
      <w:tr>
        <w:trPr>
          <w:trHeight w:val="234"/>
        </w:trPr>
        <w:tc>
          <w:tcPr>
            <w:tcW w:w="4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89"/>
              </w:rPr>
              <w:t>2011</w:t>
            </w:r>
          </w:p>
        </w:tc>
        <w:tc>
          <w:tcPr>
            <w:tcW w:w="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r>
      <w:tr>
        <w:trPr>
          <w:trHeight w:val="210"/>
        </w:trPr>
        <w:tc>
          <w:tcPr>
            <w:tcW w:w="4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b w:val="1"/>
                <w:bCs w:val="1"/>
                <w:color w:val="auto"/>
              </w:rPr>
              <w:t>(Thousands)</w:t>
            </w: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6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7,275</w:t>
            </w:r>
          </w:p>
        </w:tc>
        <w:tc>
          <w:tcPr>
            <w:tcW w:w="2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14,550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Interest cost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3,600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3,937</w:t>
            </w:r>
          </w:p>
        </w:tc>
        <w:tc>
          <w:tcPr>
            <w:tcW w:w="28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7,200</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7,874</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(6,975)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(7,534)</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(13,950)</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(15,068)</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Recognized net actuarial loss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2,325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1,422</w:t>
            </w:r>
          </w:p>
        </w:tc>
        <w:tc>
          <w:tcPr>
            <w:tcW w:w="28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4,650</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2,844</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credit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(475)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(1,221)</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(950)</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(2,442)</w:t>
            </w:r>
          </w:p>
        </w:tc>
      </w:tr>
      <w:tr>
        <w:trPr>
          <w:trHeight w:val="223"/>
        </w:trPr>
        <w:tc>
          <w:tcPr>
            <w:tcW w:w="4580" w:type="dxa"/>
            <w:vAlign w:val="bottom"/>
          </w:tcPr>
          <w:p>
            <w:pPr>
              <w:ind w:left="200"/>
              <w:spacing w:after="0"/>
              <w:rPr>
                <w:sz w:val="20"/>
                <w:szCs w:val="20"/>
                <w:color w:val="auto"/>
              </w:rPr>
            </w:pPr>
            <w:r>
              <w:rPr>
                <w:rFonts w:ascii="Arial" w:cs="Arial" w:eastAsia="Arial" w:hAnsi="Arial"/>
                <w:sz w:val="18"/>
                <w:szCs w:val="18"/>
                <w:color w:val="auto"/>
              </w:rPr>
              <w:t>Net periodic pension cost (income)</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5,750</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(3,396)</w:t>
            </w:r>
          </w:p>
        </w:tc>
        <w:tc>
          <w:tcPr>
            <w:tcW w:w="3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11,500</w:t>
            </w:r>
          </w:p>
        </w:tc>
        <w:tc>
          <w:tcPr>
            <w:tcW w:w="3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(6,792)</w:t>
            </w:r>
          </w:p>
        </w:tc>
        <w:tc>
          <w:tcPr>
            <w:tcW w:w="100" w:type="dxa"/>
            <w:vAlign w:val="bottom"/>
          </w:tcPr>
          <w:p>
            <w:pPr>
              <w:spacing w:after="0"/>
              <w:rPr>
                <w:sz w:val="19"/>
                <w:szCs w:val="19"/>
                <w:color w:val="auto"/>
              </w:rPr>
            </w:pPr>
          </w:p>
        </w:tc>
      </w:tr>
      <w:tr>
        <w:trPr>
          <w:trHeight w:val="20"/>
        </w:trPr>
        <w:tc>
          <w:tcPr>
            <w:tcW w:w="4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There were no contributions made to the Plan during the first six months of fiscal 2011. The significant increase in pension cost as compared with last year was primarily due to the resumption of benefits at the beginning of fiscal 2011 (reflected in “Service cost” in the above table) which had been temporarily suspended during fiscal 2010.</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0"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Arial" w:cs="Arial" w:eastAsia="Arial" w:hAnsi="Arial"/>
                <w:sz w:val="18"/>
                <w:szCs w:val="18"/>
                <w:b w:val="1"/>
                <w:bCs w:val="1"/>
                <w:color w:val="auto"/>
              </w:rPr>
              <w:t>8. Comprehensive income</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80" w:type="dxa"/>
            <w:vAlign w:val="bottom"/>
            <w:gridSpan w:val="7"/>
          </w:tcPr>
          <w:p>
            <w:pPr>
              <w:jc w:val="right"/>
              <w:ind w:right="640"/>
              <w:spacing w:after="0"/>
              <w:rPr>
                <w:sz w:val="20"/>
                <w:szCs w:val="20"/>
                <w:color w:val="auto"/>
              </w:rPr>
            </w:pPr>
            <w:r>
              <w:rPr>
                <w:rFonts w:ascii="Arial" w:cs="Arial" w:eastAsia="Arial" w:hAnsi="Arial"/>
                <w:sz w:val="18"/>
                <w:szCs w:val="18"/>
                <w:b w:val="1"/>
                <w:bCs w:val="1"/>
                <w:color w:val="auto"/>
                <w:w w:val="93"/>
              </w:rPr>
              <w:t>Second Quarters Ended</w:t>
            </w:r>
          </w:p>
        </w:tc>
        <w:tc>
          <w:tcPr>
            <w:tcW w:w="280" w:type="dxa"/>
            <w:vAlign w:val="bottom"/>
          </w:tcPr>
          <w:p>
            <w:pPr>
              <w:spacing w:after="0"/>
              <w:rPr>
                <w:sz w:val="24"/>
                <w:szCs w:val="24"/>
                <w:color w:val="auto"/>
              </w:rPr>
            </w:pPr>
          </w:p>
        </w:tc>
        <w:tc>
          <w:tcPr>
            <w:tcW w:w="212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w w:val="99"/>
              </w:rPr>
              <w:t>Six Months Ended</w:t>
            </w:r>
          </w:p>
        </w:tc>
        <w:tc>
          <w:tcPr>
            <w:tcW w:w="0" w:type="dxa"/>
            <w:vAlign w:val="bottom"/>
          </w:tcPr>
          <w:p>
            <w:pPr>
              <w:spacing w:after="0"/>
              <w:rPr>
                <w:sz w:val="1"/>
                <w:szCs w:val="1"/>
                <w:color w:val="auto"/>
              </w:rPr>
            </w:pPr>
          </w:p>
        </w:tc>
      </w:tr>
      <w:tr>
        <w:trPr>
          <w:trHeight w:val="191"/>
        </w:trPr>
        <w:tc>
          <w:tcPr>
            <w:tcW w:w="4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Borders>
              <w:top w:val="single" w:sz="8" w:color="auto"/>
            </w:tcBorders>
            <w:gridSpan w:val="4"/>
          </w:tcPr>
          <w:p>
            <w:pPr>
              <w:jc w:val="center"/>
              <w:ind w:right="140"/>
              <w:spacing w:after="0" w:line="191" w:lineRule="exact"/>
              <w:rPr>
                <w:sz w:val="20"/>
                <w:szCs w:val="20"/>
                <w:color w:val="auto"/>
              </w:rPr>
            </w:pPr>
            <w:r>
              <w:rPr>
                <w:rFonts w:ascii="Arial" w:cs="Arial" w:eastAsia="Arial" w:hAnsi="Arial"/>
                <w:sz w:val="18"/>
                <w:szCs w:val="18"/>
                <w:b w:val="1"/>
                <w:bCs w:val="1"/>
                <w:color w:val="auto"/>
                <w:w w:val="92"/>
              </w:rPr>
              <w:t>January 1,</w:t>
            </w:r>
          </w:p>
        </w:tc>
        <w:tc>
          <w:tcPr>
            <w:tcW w:w="2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92"/>
              </w:rPr>
              <w:t>January 2,</w:t>
            </w:r>
          </w:p>
        </w:tc>
        <w:tc>
          <w:tcPr>
            <w:tcW w:w="380" w:type="dxa"/>
            <w:vAlign w:val="bottom"/>
          </w:tcPr>
          <w:p>
            <w:pPr>
              <w:spacing w:after="0"/>
              <w:rPr>
                <w:sz w:val="16"/>
                <w:szCs w:val="16"/>
                <w:color w:val="auto"/>
              </w:rPr>
            </w:pPr>
          </w:p>
        </w:tc>
        <w:tc>
          <w:tcPr>
            <w:tcW w:w="1340" w:type="dxa"/>
            <w:vAlign w:val="bottom"/>
            <w:tcBorders>
              <w:top w:val="single" w:sz="8" w:color="auto"/>
            </w:tcBorders>
            <w:gridSpan w:val="3"/>
          </w:tcPr>
          <w:p>
            <w:pPr>
              <w:jc w:val="center"/>
              <w:ind w:right="360"/>
              <w:spacing w:after="0" w:line="191" w:lineRule="exact"/>
              <w:rPr>
                <w:sz w:val="20"/>
                <w:szCs w:val="20"/>
                <w:color w:val="auto"/>
              </w:rPr>
            </w:pPr>
            <w:r>
              <w:rPr>
                <w:rFonts w:ascii="Arial" w:cs="Arial" w:eastAsia="Arial" w:hAnsi="Arial"/>
                <w:sz w:val="18"/>
                <w:szCs w:val="18"/>
                <w:b w:val="1"/>
                <w:bCs w:val="1"/>
                <w:color w:val="auto"/>
                <w:w w:val="92"/>
              </w:rPr>
              <w:t>January 1,</w:t>
            </w:r>
          </w:p>
        </w:tc>
        <w:tc>
          <w:tcPr>
            <w:tcW w:w="96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92"/>
              </w:rPr>
              <w:t>January 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2010</w:t>
            </w:r>
          </w:p>
        </w:tc>
        <w:tc>
          <w:tcPr>
            <w:tcW w:w="3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4"/>
              </w:rPr>
              <w:t>2011</w:t>
            </w:r>
          </w:p>
        </w:tc>
        <w:tc>
          <w:tcPr>
            <w:tcW w:w="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b w:val="1"/>
                <w:bCs w:val="1"/>
                <w:color w:val="auto"/>
              </w:rPr>
              <w:t>(Thousands)</w:t>
            </w: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0" w:type="dxa"/>
            <w:vAlign w:val="bottom"/>
            <w:gridSpan w:val="2"/>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141,034</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103,851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279,208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154,746</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Foreign currency translation adjustments and other</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(42,099)</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(16,921)</w:t>
            </w:r>
          </w:p>
        </w:tc>
        <w:tc>
          <w:tcPr>
            <w:tcW w:w="28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133,553</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43,292</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comprehensive income</w:t>
            </w:r>
          </w:p>
        </w:tc>
        <w:tc>
          <w:tcPr>
            <w:tcW w:w="160" w:type="dxa"/>
            <w:vAlign w:val="bottom"/>
            <w:gridSpan w:val="2"/>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98,935</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86,930</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412,761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198,038</w:t>
            </w: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8"/>
                <w:szCs w:val="18"/>
                <w:b w:val="1"/>
                <w:bCs w:val="1"/>
                <w:color w:val="auto"/>
              </w:rPr>
              <w:t>9. Earnings per share</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5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80" w:type="dxa"/>
            <w:vAlign w:val="bottom"/>
            <w:gridSpan w:val="7"/>
          </w:tcPr>
          <w:p>
            <w:pPr>
              <w:jc w:val="right"/>
              <w:ind w:right="640"/>
              <w:spacing w:after="0"/>
              <w:rPr>
                <w:sz w:val="20"/>
                <w:szCs w:val="20"/>
                <w:color w:val="auto"/>
              </w:rPr>
            </w:pPr>
            <w:r>
              <w:rPr>
                <w:rFonts w:ascii="Arial" w:cs="Arial" w:eastAsia="Arial" w:hAnsi="Arial"/>
                <w:sz w:val="18"/>
                <w:szCs w:val="18"/>
                <w:b w:val="1"/>
                <w:bCs w:val="1"/>
                <w:color w:val="auto"/>
                <w:w w:val="93"/>
              </w:rPr>
              <w:t>Second Quarters Ended</w:t>
            </w:r>
          </w:p>
        </w:tc>
        <w:tc>
          <w:tcPr>
            <w:tcW w:w="280" w:type="dxa"/>
            <w:vAlign w:val="bottom"/>
          </w:tcPr>
          <w:p>
            <w:pPr>
              <w:spacing w:after="0"/>
              <w:rPr>
                <w:sz w:val="24"/>
                <w:szCs w:val="24"/>
                <w:color w:val="auto"/>
              </w:rPr>
            </w:pPr>
          </w:p>
        </w:tc>
        <w:tc>
          <w:tcPr>
            <w:tcW w:w="212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w w:val="99"/>
              </w:rPr>
              <w:t>Six Months Ended</w:t>
            </w:r>
          </w:p>
        </w:tc>
        <w:tc>
          <w:tcPr>
            <w:tcW w:w="0" w:type="dxa"/>
            <w:vAlign w:val="bottom"/>
          </w:tcPr>
          <w:p>
            <w:pPr>
              <w:spacing w:after="0"/>
              <w:rPr>
                <w:sz w:val="1"/>
                <w:szCs w:val="1"/>
                <w:color w:val="auto"/>
              </w:rPr>
            </w:pPr>
          </w:p>
        </w:tc>
      </w:tr>
      <w:tr>
        <w:trPr>
          <w:trHeight w:val="191"/>
        </w:trPr>
        <w:tc>
          <w:tcPr>
            <w:tcW w:w="4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Borders>
              <w:top w:val="single" w:sz="8" w:color="auto"/>
            </w:tcBorders>
            <w:gridSpan w:val="4"/>
          </w:tcPr>
          <w:p>
            <w:pPr>
              <w:jc w:val="center"/>
              <w:ind w:right="140"/>
              <w:spacing w:after="0" w:line="191" w:lineRule="exact"/>
              <w:rPr>
                <w:sz w:val="20"/>
                <w:szCs w:val="20"/>
                <w:color w:val="auto"/>
              </w:rPr>
            </w:pPr>
            <w:r>
              <w:rPr>
                <w:rFonts w:ascii="Arial" w:cs="Arial" w:eastAsia="Arial" w:hAnsi="Arial"/>
                <w:sz w:val="18"/>
                <w:szCs w:val="18"/>
                <w:b w:val="1"/>
                <w:bCs w:val="1"/>
                <w:color w:val="auto"/>
                <w:w w:val="92"/>
              </w:rPr>
              <w:t>January 1,</w:t>
            </w:r>
          </w:p>
        </w:tc>
        <w:tc>
          <w:tcPr>
            <w:tcW w:w="2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92"/>
              </w:rPr>
              <w:t>January 2,</w:t>
            </w:r>
          </w:p>
        </w:tc>
        <w:tc>
          <w:tcPr>
            <w:tcW w:w="380" w:type="dxa"/>
            <w:vAlign w:val="bottom"/>
          </w:tcPr>
          <w:p>
            <w:pPr>
              <w:spacing w:after="0"/>
              <w:rPr>
                <w:sz w:val="16"/>
                <w:szCs w:val="16"/>
                <w:color w:val="auto"/>
              </w:rPr>
            </w:pPr>
          </w:p>
        </w:tc>
        <w:tc>
          <w:tcPr>
            <w:tcW w:w="1340" w:type="dxa"/>
            <w:vAlign w:val="bottom"/>
            <w:tcBorders>
              <w:top w:val="single" w:sz="8" w:color="auto"/>
            </w:tcBorders>
            <w:gridSpan w:val="3"/>
          </w:tcPr>
          <w:p>
            <w:pPr>
              <w:jc w:val="center"/>
              <w:ind w:right="360"/>
              <w:spacing w:after="0" w:line="191" w:lineRule="exact"/>
              <w:rPr>
                <w:sz w:val="20"/>
                <w:szCs w:val="20"/>
                <w:color w:val="auto"/>
              </w:rPr>
            </w:pPr>
            <w:r>
              <w:rPr>
                <w:rFonts w:ascii="Arial" w:cs="Arial" w:eastAsia="Arial" w:hAnsi="Arial"/>
                <w:sz w:val="18"/>
                <w:szCs w:val="18"/>
                <w:b w:val="1"/>
                <w:bCs w:val="1"/>
                <w:color w:val="auto"/>
                <w:w w:val="92"/>
              </w:rPr>
              <w:t>January 1,</w:t>
            </w:r>
          </w:p>
        </w:tc>
        <w:tc>
          <w:tcPr>
            <w:tcW w:w="96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92"/>
              </w:rPr>
              <w:t>January 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2010</w:t>
            </w:r>
          </w:p>
        </w:tc>
        <w:tc>
          <w:tcPr>
            <w:tcW w:w="3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4"/>
              </w:rPr>
              <w:t>2011</w:t>
            </w:r>
          </w:p>
        </w:tc>
        <w:tc>
          <w:tcPr>
            <w:tcW w:w="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00" w:type="dxa"/>
            <w:vAlign w:val="bottom"/>
            <w:gridSpan w:val="6"/>
          </w:tcPr>
          <w:p>
            <w:pPr>
              <w:spacing w:after="0"/>
              <w:rPr>
                <w:sz w:val="20"/>
                <w:szCs w:val="20"/>
                <w:color w:val="auto"/>
              </w:rPr>
            </w:pPr>
            <w:r>
              <w:rPr>
                <w:rFonts w:ascii="Arial" w:cs="Arial" w:eastAsia="Arial" w:hAnsi="Arial"/>
                <w:sz w:val="18"/>
                <w:szCs w:val="18"/>
                <w:b w:val="1"/>
                <w:bCs w:val="1"/>
                <w:color w:val="auto"/>
                <w:w w:val="88"/>
              </w:rPr>
              <w:t>(Thousands, except per share data)</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60" w:type="dxa"/>
            <w:vAlign w:val="bottom"/>
            <w:gridSpan w:val="2"/>
          </w:tcPr>
          <w:p>
            <w:pPr>
              <w:jc w:val="right"/>
              <w:ind w:right="3"/>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141,034</w:t>
            </w:r>
          </w:p>
        </w:tc>
        <w:tc>
          <w:tcPr>
            <w:tcW w:w="100" w:type="dxa"/>
            <w:vAlign w:val="bottom"/>
          </w:tcPr>
          <w:p>
            <w:pPr>
              <w:spacing w:after="0"/>
              <w:rPr>
                <w:sz w:val="18"/>
                <w:szCs w:val="18"/>
                <w:color w:val="auto"/>
              </w:rPr>
            </w:pPr>
          </w:p>
        </w:tc>
        <w:tc>
          <w:tcPr>
            <w:tcW w:w="4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103,851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279,208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154,746</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580" w:type="dxa"/>
            <w:vAlign w:val="bottom"/>
          </w:tcPr>
          <w:p>
            <w:pPr>
              <w:ind w:left="200"/>
              <w:spacing w:after="0" w:line="201" w:lineRule="exact"/>
              <w:rPr>
                <w:sz w:val="20"/>
                <w:szCs w:val="20"/>
                <w:color w:val="auto"/>
              </w:rPr>
            </w:pPr>
            <w:r>
              <w:rPr>
                <w:rFonts w:ascii="Arial" w:cs="Arial" w:eastAsia="Arial" w:hAnsi="Arial"/>
                <w:sz w:val="18"/>
                <w:szCs w:val="18"/>
                <w:color w:val="auto"/>
                <w:w w:val="95"/>
              </w:rPr>
              <w:t>Weighted average common shares for basic earnings per</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400"/>
              <w:spacing w:after="0"/>
              <w:rPr>
                <w:sz w:val="20"/>
                <w:szCs w:val="20"/>
                <w:color w:val="auto"/>
              </w:rPr>
            </w:pPr>
            <w:r>
              <w:rPr>
                <w:rFonts w:ascii="Arial" w:cs="Arial" w:eastAsia="Arial" w:hAnsi="Arial"/>
                <w:sz w:val="18"/>
                <w:szCs w:val="18"/>
                <w:color w:val="auto"/>
              </w:rPr>
              <w:t>share</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152,137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151,391</w:t>
            </w:r>
          </w:p>
        </w:tc>
        <w:tc>
          <w:tcPr>
            <w:tcW w:w="280" w:type="dxa"/>
            <w:vAlign w:val="bottom"/>
          </w:tcPr>
          <w:p>
            <w:pPr>
              <w:spacing w:after="0"/>
              <w:rPr>
                <w:sz w:val="20"/>
                <w:szCs w:val="20"/>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152,071</w:t>
            </w:r>
          </w:p>
        </w:tc>
        <w:tc>
          <w:tcPr>
            <w:tcW w:w="2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151,333</w:t>
            </w:r>
          </w:p>
        </w:tc>
        <w:tc>
          <w:tcPr>
            <w:tcW w:w="0" w:type="dxa"/>
            <w:vAlign w:val="bottom"/>
          </w:tcPr>
          <w:p>
            <w:pPr>
              <w:spacing w:after="0"/>
              <w:rPr>
                <w:sz w:val="1"/>
                <w:szCs w:val="1"/>
                <w:color w:val="auto"/>
              </w:rPr>
            </w:pPr>
          </w:p>
        </w:tc>
      </w:tr>
      <w:tr>
        <w:trPr>
          <w:trHeight w:val="202"/>
        </w:trPr>
        <w:tc>
          <w:tcPr>
            <w:tcW w:w="45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Net effect of dilutive stock options and performance</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share awards</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2,122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1,554</w:t>
            </w:r>
          </w:p>
        </w:tc>
        <w:tc>
          <w:tcPr>
            <w:tcW w:w="2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1,881</w:t>
            </w: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1,457</w:t>
            </w:r>
          </w:p>
        </w:tc>
        <w:tc>
          <w:tcPr>
            <w:tcW w:w="0" w:type="dxa"/>
            <w:vAlign w:val="bottom"/>
          </w:tcPr>
          <w:p>
            <w:pPr>
              <w:spacing w:after="0"/>
              <w:rPr>
                <w:sz w:val="1"/>
                <w:szCs w:val="1"/>
                <w:color w:val="auto"/>
              </w:rPr>
            </w:pPr>
          </w:p>
        </w:tc>
      </w:tr>
      <w:tr>
        <w:trPr>
          <w:trHeight w:val="209"/>
        </w:trPr>
        <w:tc>
          <w:tcPr>
            <w:tcW w:w="4580" w:type="dxa"/>
            <w:vAlign w:val="bottom"/>
          </w:tcPr>
          <w:p>
            <w:pPr>
              <w:ind w:left="200"/>
              <w:spacing w:after="0"/>
              <w:rPr>
                <w:sz w:val="20"/>
                <w:szCs w:val="20"/>
                <w:color w:val="auto"/>
              </w:rPr>
            </w:pPr>
            <w:r>
              <w:rPr>
                <w:rFonts w:ascii="Arial" w:cs="Arial" w:eastAsia="Arial" w:hAnsi="Arial"/>
                <w:sz w:val="18"/>
                <w:szCs w:val="18"/>
                <w:color w:val="auto"/>
                <w:w w:val="99"/>
              </w:rPr>
              <w:t>Weighted average common shares for diluted earnings</w:t>
            </w: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400"/>
              <w:spacing w:after="0"/>
              <w:rPr>
                <w:sz w:val="20"/>
                <w:szCs w:val="20"/>
                <w:color w:val="auto"/>
              </w:rPr>
            </w:pPr>
            <w:r>
              <w:rPr>
                <w:rFonts w:ascii="Arial" w:cs="Arial" w:eastAsia="Arial" w:hAnsi="Arial"/>
                <w:sz w:val="18"/>
                <w:szCs w:val="18"/>
                <w:color w:val="auto"/>
              </w:rPr>
              <w:t>per share</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154,259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152,945</w:t>
            </w:r>
          </w:p>
        </w:tc>
        <w:tc>
          <w:tcPr>
            <w:tcW w:w="280" w:type="dxa"/>
            <w:vAlign w:val="bottom"/>
          </w:tcPr>
          <w:p>
            <w:pPr>
              <w:spacing w:after="0"/>
              <w:rPr>
                <w:sz w:val="20"/>
                <w:szCs w:val="20"/>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153,952</w:t>
            </w:r>
          </w:p>
        </w:tc>
        <w:tc>
          <w:tcPr>
            <w:tcW w:w="2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152,790</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60" w:type="dxa"/>
            <w:vAlign w:val="bottom"/>
            <w:gridSpan w:val="2"/>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0.93</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0.69</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8"/>
                <w:szCs w:val="18"/>
                <w:color w:val="auto"/>
              </w:rPr>
              <w:t>Diluted earnings per share</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8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ind w:right="3"/>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0.91</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0.68</w:t>
            </w:r>
          </w:p>
        </w:tc>
        <w:tc>
          <w:tcPr>
            <w:tcW w:w="38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38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360" w:firstLine="389"/>
        <w:spacing w:after="0" w:line="257" w:lineRule="auto"/>
        <w:rPr>
          <w:sz w:val="20"/>
          <w:szCs w:val="20"/>
          <w:color w:val="auto"/>
        </w:rPr>
      </w:pPr>
      <w:r>
        <w:rPr>
          <w:rFonts w:ascii="Arial" w:cs="Arial" w:eastAsia="Arial" w:hAnsi="Arial"/>
          <w:sz w:val="18"/>
          <w:szCs w:val="18"/>
          <w:color w:val="auto"/>
        </w:rPr>
        <w:t>Options to purchase 252,000 and 991,000 shares of the Company’s stock were excluded from the calculations of diluted earnings per share for the quarters ended January 1, 2011 and January 2, 2010, respectively, and 610,000 and 1,036,000 shares were excluded for the six months ended January 1, 2011 and January 2, 2010, respectively, because the exercise price for those options was above the average market price of the Company’s stock. Therefore, inclusion of these options in the diluted earnings per share calculation would have had an anti-dilutive effect.</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10. Additional cash flow information</w:t>
      </w:r>
    </w:p>
    <w:p>
      <w:pPr>
        <w:spacing w:after="0" w:line="18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Interest and income taxes paid in the six months ended January 1, 2011 and January 2, 2010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242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92"/>
              </w:rPr>
              <w:t>Six Months Ended</w:t>
            </w:r>
          </w:p>
        </w:tc>
        <w:tc>
          <w:tcPr>
            <w:tcW w:w="1360" w:type="dxa"/>
            <w:vAlign w:val="bottom"/>
          </w:tcPr>
          <w:p>
            <w:pPr>
              <w:spacing w:after="0"/>
              <w:rPr>
                <w:sz w:val="20"/>
                <w:szCs w:val="20"/>
                <w:color w:val="auto"/>
              </w:rPr>
            </w:pPr>
          </w:p>
        </w:tc>
      </w:tr>
      <w:tr>
        <w:trPr>
          <w:trHeight w:val="191"/>
        </w:trPr>
        <w:tc>
          <w:tcPr>
            <w:tcW w:w="34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98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w w:val="98"/>
              </w:rPr>
              <w:t>January 1,</w:t>
            </w:r>
          </w:p>
        </w:tc>
        <w:tc>
          <w:tcPr>
            <w:tcW w:w="3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92"/>
              </w:rPr>
              <w:t>January 2,</w:t>
            </w: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34"/>
        </w:trPr>
        <w:tc>
          <w:tcPr>
            <w:tcW w:w="3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3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84"/>
              </w:rPr>
              <w:t>2010</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660" w:type="dxa"/>
            <w:vAlign w:val="bottom"/>
            <w:gridSpan w:val="3"/>
          </w:tcPr>
          <w:p>
            <w:pPr>
              <w:jc w:val="center"/>
              <w:ind w:left="570"/>
              <w:spacing w:after="0"/>
              <w:rPr>
                <w:sz w:val="20"/>
                <w:szCs w:val="20"/>
                <w:color w:val="auto"/>
              </w:rPr>
            </w:pPr>
            <w:r>
              <w:rPr>
                <w:rFonts w:ascii="Arial" w:cs="Arial" w:eastAsia="Arial" w:hAnsi="Arial"/>
                <w:sz w:val="18"/>
                <w:szCs w:val="18"/>
                <w:b w:val="1"/>
                <w:bCs w:val="1"/>
                <w:color w:val="auto"/>
                <w:w w:val="88"/>
              </w:rPr>
              <w:t>(Thousands)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542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$44,088</w:t>
            </w:r>
          </w:p>
        </w:tc>
        <w:tc>
          <w:tcPr>
            <w:tcW w:w="6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29,594</w:t>
            </w:r>
          </w:p>
        </w:tc>
        <w:tc>
          <w:tcPr>
            <w:tcW w:w="13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Income taxes</w:t>
            </w:r>
          </w:p>
        </w:tc>
        <w:tc>
          <w:tcPr>
            <w:tcW w:w="5420" w:type="dxa"/>
            <w:vAlign w:val="bottom"/>
            <w:gridSpan w:val="2"/>
          </w:tcPr>
          <w:p>
            <w:pPr>
              <w:jc w:val="right"/>
              <w:ind w:right="290"/>
              <w:spacing w:after="0"/>
              <w:rPr>
                <w:sz w:val="20"/>
                <w:szCs w:val="20"/>
                <w:color w:val="auto"/>
              </w:rPr>
            </w:pPr>
            <w:r>
              <w:rPr>
                <w:rFonts w:ascii="Arial" w:cs="Arial" w:eastAsia="Arial" w:hAnsi="Arial"/>
                <w:sz w:val="18"/>
                <w:szCs w:val="18"/>
                <w:color w:val="auto"/>
              </w:rPr>
              <w:t>85,581</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46,616</w:t>
            </w:r>
          </w:p>
        </w:tc>
        <w:tc>
          <w:tcPr>
            <w:tcW w:w="1360" w:type="dxa"/>
            <w:vAlign w:val="bottom"/>
          </w:tcPr>
          <w:p>
            <w:pPr>
              <w:spacing w:after="0"/>
              <w:rPr>
                <w:sz w:val="20"/>
                <w:szCs w:val="20"/>
                <w:color w:val="auto"/>
              </w:rPr>
            </w:pPr>
          </w:p>
        </w:tc>
      </w:tr>
      <w:tr>
        <w:trPr>
          <w:trHeight w:val="782"/>
        </w:trPr>
        <w:tc>
          <w:tcPr>
            <w:tcW w:w="3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4440" w:type="dxa"/>
            <w:vAlign w:val="bottom"/>
          </w:tcPr>
          <w:p>
            <w:pPr>
              <w:jc w:val="right"/>
              <w:ind w:right="2270"/>
              <w:spacing w:after="0"/>
              <w:rPr>
                <w:sz w:val="20"/>
                <w:szCs w:val="20"/>
                <w:color w:val="auto"/>
              </w:rPr>
            </w:pPr>
            <w:r>
              <w:rPr>
                <w:rFonts w:ascii="Arial" w:cs="Arial" w:eastAsia="Arial" w:hAnsi="Arial"/>
                <w:sz w:val="18"/>
                <w:szCs w:val="18"/>
                <w:color w:val="auto"/>
              </w:rPr>
              <w:t>12</w:t>
            </w: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2860" w:type="dxa"/>
            <w:vAlign w:val="bottom"/>
            <w:tcBorders>
              <w:bottom w:val="single" w:sz="8" w:color="808080"/>
            </w:tcBorders>
          </w:tcPr>
          <w:p>
            <w:pPr>
              <w:spacing w:after="0"/>
              <w:rPr>
                <w:sz w:val="19"/>
                <w:szCs w:val="19"/>
                <w:color w:val="auto"/>
              </w:rPr>
            </w:pPr>
          </w:p>
        </w:tc>
        <w:tc>
          <w:tcPr>
            <w:tcW w:w="444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0"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11. Segment information</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7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80" w:type="dxa"/>
            <w:vAlign w:val="bottom"/>
            <w:gridSpan w:val="7"/>
          </w:tcPr>
          <w:p>
            <w:pPr>
              <w:jc w:val="right"/>
              <w:ind w:right="640"/>
              <w:spacing w:after="0"/>
              <w:rPr>
                <w:sz w:val="20"/>
                <w:szCs w:val="20"/>
                <w:color w:val="auto"/>
              </w:rPr>
            </w:pPr>
            <w:r>
              <w:rPr>
                <w:rFonts w:ascii="Arial" w:cs="Arial" w:eastAsia="Arial" w:hAnsi="Arial"/>
                <w:sz w:val="18"/>
                <w:szCs w:val="18"/>
                <w:b w:val="1"/>
                <w:bCs w:val="1"/>
                <w:color w:val="auto"/>
                <w:w w:val="93"/>
              </w:rPr>
              <w:t>Second Quarters Ended</w:t>
            </w:r>
          </w:p>
        </w:tc>
        <w:tc>
          <w:tcPr>
            <w:tcW w:w="120" w:type="dxa"/>
            <w:vAlign w:val="bottom"/>
          </w:tcPr>
          <w:p>
            <w:pPr>
              <w:spacing w:after="0"/>
              <w:rPr>
                <w:sz w:val="24"/>
                <w:szCs w:val="24"/>
                <w:color w:val="auto"/>
              </w:rPr>
            </w:pPr>
          </w:p>
        </w:tc>
        <w:tc>
          <w:tcPr>
            <w:tcW w:w="228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91"/>
        </w:trPr>
        <w:tc>
          <w:tcPr>
            <w:tcW w:w="174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tcBorders>
              <w:top w:val="single" w:sz="8" w:color="auto"/>
            </w:tcBorders>
            <w:gridSpan w:val="4"/>
          </w:tcPr>
          <w:p>
            <w:pPr>
              <w:jc w:val="right"/>
              <w:ind w:right="300"/>
              <w:spacing w:after="0" w:line="191" w:lineRule="exact"/>
              <w:rPr>
                <w:sz w:val="20"/>
                <w:szCs w:val="20"/>
                <w:color w:val="auto"/>
              </w:rPr>
            </w:pPr>
            <w:r>
              <w:rPr>
                <w:rFonts w:ascii="Arial" w:cs="Arial" w:eastAsia="Arial" w:hAnsi="Arial"/>
                <w:sz w:val="18"/>
                <w:szCs w:val="18"/>
                <w:b w:val="1"/>
                <w:bCs w:val="1"/>
                <w:color w:val="auto"/>
                <w:w w:val="96"/>
              </w:rPr>
              <w:t>January 1,</w:t>
            </w: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8"/>
                <w:szCs w:val="18"/>
                <w:b w:val="1"/>
                <w:bCs w:val="1"/>
                <w:color w:val="auto"/>
                <w:w w:val="98"/>
              </w:rPr>
              <w:t>January 2,</w:t>
            </w:r>
          </w:p>
        </w:tc>
        <w:tc>
          <w:tcPr>
            <w:tcW w:w="380" w:type="dxa"/>
            <w:vAlign w:val="bottom"/>
          </w:tcPr>
          <w:p>
            <w:pPr>
              <w:spacing w:after="0"/>
              <w:rPr>
                <w:sz w:val="16"/>
                <w:szCs w:val="16"/>
                <w:color w:val="auto"/>
              </w:rPr>
            </w:pPr>
          </w:p>
        </w:tc>
        <w:tc>
          <w:tcPr>
            <w:tcW w:w="1340" w:type="dxa"/>
            <w:vAlign w:val="bottom"/>
            <w:tcBorders>
              <w:top w:val="single" w:sz="8" w:color="auto"/>
            </w:tcBorders>
            <w:gridSpan w:val="3"/>
          </w:tcPr>
          <w:p>
            <w:pPr>
              <w:jc w:val="right"/>
              <w:ind w:right="440"/>
              <w:spacing w:after="0" w:line="191" w:lineRule="exact"/>
              <w:rPr>
                <w:sz w:val="20"/>
                <w:szCs w:val="20"/>
                <w:color w:val="auto"/>
              </w:rPr>
            </w:pPr>
            <w:r>
              <w:rPr>
                <w:rFonts w:ascii="Arial" w:cs="Arial" w:eastAsia="Arial" w:hAnsi="Arial"/>
                <w:sz w:val="18"/>
                <w:szCs w:val="18"/>
                <w:b w:val="1"/>
                <w:bCs w:val="1"/>
                <w:color w:val="auto"/>
                <w:w w:val="98"/>
              </w:rPr>
              <w:t>January 1,</w:t>
            </w:r>
          </w:p>
        </w:tc>
        <w:tc>
          <w:tcPr>
            <w:tcW w:w="96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8"/>
                <w:szCs w:val="18"/>
                <w:b w:val="1"/>
                <w:bCs w:val="1"/>
                <w:color w:val="auto"/>
                <w:w w:val="98"/>
              </w:rPr>
              <w:t>January 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74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7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5"/>
          </w:tcPr>
          <w:p>
            <w:pPr>
              <w:jc w:val="right"/>
              <w:ind w:right="1080"/>
              <w:spacing w:after="0"/>
              <w:rPr>
                <w:sz w:val="20"/>
                <w:szCs w:val="20"/>
                <w:color w:val="auto"/>
              </w:rPr>
            </w:pPr>
            <w:r>
              <w:rPr>
                <w:rFonts w:ascii="Arial" w:cs="Arial" w:eastAsia="Arial" w:hAnsi="Arial"/>
                <w:sz w:val="18"/>
                <w:szCs w:val="18"/>
                <w:b w:val="1"/>
                <w:bCs w:val="1"/>
                <w:color w:val="auto"/>
              </w:rPr>
              <w:t>(Thousands)</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Electronics Marketing</w:t>
            </w:r>
          </w:p>
        </w:tc>
        <w:tc>
          <w:tcPr>
            <w:tcW w:w="160" w:type="dxa"/>
            <w:vAlign w:val="bottom"/>
            <w:gridSpan w:val="2"/>
          </w:tcPr>
          <w:p>
            <w:pPr>
              <w:jc w:val="right"/>
              <w:ind w:right="17"/>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3,558,614</w:t>
            </w:r>
          </w:p>
        </w:tc>
        <w:tc>
          <w:tcPr>
            <w:tcW w:w="20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2,517,200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7,179,218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4,955,282</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Technology Solutions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3,208,881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7"/>
              </w:rPr>
              <w:t>2,317,324</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5,770,665</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4,234,278</w:t>
            </w:r>
          </w:p>
        </w:tc>
        <w:tc>
          <w:tcPr>
            <w:tcW w:w="0" w:type="dxa"/>
            <w:vAlign w:val="bottom"/>
          </w:tcPr>
          <w:p>
            <w:pPr>
              <w:spacing w:after="0"/>
              <w:rPr>
                <w:sz w:val="1"/>
                <w:szCs w:val="1"/>
                <w:color w:val="auto"/>
              </w:rPr>
            </w:pPr>
          </w:p>
        </w:tc>
      </w:tr>
      <w:tr>
        <w:trPr>
          <w:trHeight w:val="223"/>
        </w:trPr>
        <w:tc>
          <w:tcPr>
            <w:tcW w:w="174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6,767,495</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4,834,524</w:t>
            </w:r>
          </w:p>
        </w:tc>
        <w:tc>
          <w:tcPr>
            <w:tcW w:w="3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12,949,883</w:t>
            </w:r>
          </w:p>
        </w:tc>
        <w:tc>
          <w:tcPr>
            <w:tcW w:w="3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9,189,560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Electronics Marketing</w:t>
            </w:r>
          </w:p>
        </w:tc>
        <w:tc>
          <w:tcPr>
            <w:tcW w:w="160" w:type="dxa"/>
            <w:vAlign w:val="bottom"/>
            <w:gridSpan w:val="2"/>
          </w:tcPr>
          <w:p>
            <w:pPr>
              <w:jc w:val="right"/>
              <w:ind w:right="17"/>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183,448</w:t>
            </w:r>
          </w:p>
        </w:tc>
        <w:tc>
          <w:tcPr>
            <w:tcW w:w="20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92,194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375,532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173,605</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Technology Solutions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105,168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88,150</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161,857</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139,547</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Corporate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(31,902)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(18,057)</w:t>
            </w:r>
          </w:p>
        </w:tc>
        <w:tc>
          <w:tcPr>
            <w:tcW w:w="1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(58,146)</w:t>
            </w:r>
          </w:p>
        </w:tc>
        <w:tc>
          <w:tcPr>
            <w:tcW w:w="1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(43,793)</w:t>
            </w:r>
          </w:p>
        </w:tc>
        <w:tc>
          <w:tcPr>
            <w:tcW w:w="0" w:type="dxa"/>
            <w:vAlign w:val="bottom"/>
          </w:tcPr>
          <w:p>
            <w:pPr>
              <w:spacing w:after="0"/>
              <w:rPr>
                <w:sz w:val="1"/>
                <w:szCs w:val="1"/>
                <w:color w:val="auto"/>
              </w:rPr>
            </w:pPr>
          </w:p>
        </w:tc>
      </w:tr>
      <w:tr>
        <w:trPr>
          <w:trHeight w:val="27"/>
        </w:trPr>
        <w:tc>
          <w:tcPr>
            <w:tcW w:w="17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74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256,714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162,287</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479,243</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269,359</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Restructuring, integration and other charges (Note 12)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(29,112)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(57,179)</w:t>
            </w:r>
          </w:p>
        </w:tc>
        <w:tc>
          <w:tcPr>
            <w:tcW w:w="1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(18,072)</w:t>
            </w:r>
          </w:p>
        </w:tc>
        <w:tc>
          <w:tcPr>
            <w:tcW w:w="0" w:type="dxa"/>
            <w:vAlign w:val="bottom"/>
          </w:tcPr>
          <w:p>
            <w:pPr>
              <w:spacing w:after="0"/>
              <w:rPr>
                <w:sz w:val="1"/>
                <w:szCs w:val="1"/>
                <w:color w:val="auto"/>
              </w:rPr>
            </w:pPr>
          </w:p>
        </w:tc>
      </w:tr>
      <w:tr>
        <w:trPr>
          <w:trHeight w:val="27"/>
        </w:trPr>
        <w:tc>
          <w:tcPr>
            <w:tcW w:w="17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74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17"/>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227,602</w:t>
            </w:r>
          </w:p>
        </w:tc>
        <w:tc>
          <w:tcPr>
            <w:tcW w:w="2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162,287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422,064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251,287</w:t>
            </w:r>
          </w:p>
        </w:tc>
        <w:tc>
          <w:tcPr>
            <w:tcW w:w="0" w:type="dxa"/>
            <w:vAlign w:val="bottom"/>
          </w:tcPr>
          <w:p>
            <w:pPr>
              <w:spacing w:after="0"/>
              <w:rPr>
                <w:sz w:val="1"/>
                <w:szCs w:val="1"/>
                <w:color w:val="auto"/>
              </w:rPr>
            </w:pPr>
          </w:p>
        </w:tc>
      </w:tr>
      <w:tr>
        <w:trPr>
          <w:trHeight w:val="20"/>
        </w:trPr>
        <w:tc>
          <w:tcPr>
            <w:tcW w:w="4580" w:type="dxa"/>
            <w:vAlign w:val="bottom"/>
            <w:gridSpan w:val="2"/>
            <w:vMerge w:val="restart"/>
          </w:tcPr>
          <w:p>
            <w:pPr>
              <w:spacing w:after="0"/>
              <w:rPr>
                <w:sz w:val="20"/>
                <w:szCs w:val="20"/>
                <w:color w:val="auto"/>
              </w:rPr>
            </w:pPr>
            <w:r>
              <w:rPr>
                <w:rFonts w:ascii="Arial" w:cs="Arial" w:eastAsia="Arial" w:hAnsi="Arial"/>
                <w:sz w:val="18"/>
                <w:szCs w:val="18"/>
                <w:color w:val="auto"/>
              </w:rPr>
              <w:t>Sales, by geographic area:</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Americas </w:t>
            </w:r>
            <w:r>
              <w:rPr>
                <w:rFonts w:ascii="Arial" w:cs="Arial" w:eastAsia="Arial" w:hAnsi="Arial"/>
                <w:sz w:val="15"/>
                <w:szCs w:val="15"/>
                <w:color w:val="auto"/>
              </w:rPr>
              <w:t>(1)</w:t>
            </w:r>
          </w:p>
        </w:tc>
        <w:tc>
          <w:tcPr>
            <w:tcW w:w="160" w:type="dxa"/>
            <w:vAlign w:val="bottom"/>
            <w:gridSpan w:val="2"/>
            <w:shd w:val="clear" w:color="auto" w:fill="CCEEFF"/>
          </w:tcPr>
          <w:p>
            <w:pPr>
              <w:jc w:val="right"/>
              <w:ind w:right="17"/>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3,043,652</w:t>
            </w:r>
          </w:p>
        </w:tc>
        <w:tc>
          <w:tcPr>
            <w:tcW w:w="2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7"/>
              </w:rPr>
              <w:t>2,189,480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5,764,866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4,108,607</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 xml:space="preserve">EMEA </w:t>
            </w:r>
            <w:r>
              <w:rPr>
                <w:rFonts w:ascii="Arial" w:cs="Arial" w:eastAsia="Arial" w:hAnsi="Arial"/>
                <w:sz w:val="15"/>
                <w:szCs w:val="15"/>
                <w:color w:val="auto"/>
              </w:rPr>
              <w:t>(2)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2,124,597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1,476,187</w:t>
            </w: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4,012,101</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2,823,502</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Asia/Pacific </w:t>
            </w:r>
            <w:r>
              <w:rPr>
                <w:rFonts w:ascii="Arial" w:cs="Arial" w:eastAsia="Arial" w:hAnsi="Arial"/>
                <w:sz w:val="15"/>
                <w:szCs w:val="15"/>
                <w:color w:val="auto"/>
              </w:rPr>
              <w:t>(3)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1,599,246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7"/>
              </w:rPr>
              <w:t>1,168,857</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3,172,916</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2,257,451</w:t>
            </w:r>
          </w:p>
        </w:tc>
        <w:tc>
          <w:tcPr>
            <w:tcW w:w="0" w:type="dxa"/>
            <w:vAlign w:val="bottom"/>
          </w:tcPr>
          <w:p>
            <w:pPr>
              <w:spacing w:after="0"/>
              <w:rPr>
                <w:sz w:val="1"/>
                <w:szCs w:val="1"/>
                <w:color w:val="auto"/>
              </w:rPr>
            </w:pPr>
          </w:p>
        </w:tc>
      </w:tr>
      <w:tr>
        <w:trPr>
          <w:trHeight w:val="223"/>
        </w:trPr>
        <w:tc>
          <w:tcPr>
            <w:tcW w:w="174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6,767,495</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4,834,524</w:t>
            </w:r>
          </w:p>
        </w:tc>
        <w:tc>
          <w:tcPr>
            <w:tcW w:w="3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12,949,883</w:t>
            </w:r>
          </w:p>
        </w:tc>
        <w:tc>
          <w:tcPr>
            <w:tcW w:w="3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9,189,560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740" w:type="dxa"/>
            <w:vAlign w:val="bottom"/>
            <w:tcBorders>
              <w:bottom w:val="single" w:sz="8" w:color="auto"/>
            </w:tcBorders>
          </w:tcPr>
          <w:p>
            <w:pPr>
              <w:spacing w:after="0"/>
              <w:rPr>
                <w:sz w:val="14"/>
                <w:szCs w:val="14"/>
                <w:color w:val="auto"/>
              </w:rPr>
            </w:pPr>
          </w:p>
        </w:tc>
        <w:tc>
          <w:tcPr>
            <w:tcW w:w="2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left="720" w:right="159" w:hanging="388"/>
        <w:spacing w:after="0" w:line="264" w:lineRule="auto"/>
        <w:tabs>
          <w:tab w:leader="none" w:pos="720" w:val="left"/>
        </w:tabs>
        <w:numPr>
          <w:ilvl w:val="0"/>
          <w:numId w:val="3"/>
        </w:numPr>
        <w:rPr>
          <w:rFonts w:ascii="Arial" w:cs="Arial" w:eastAsia="Arial" w:hAnsi="Arial"/>
          <w:sz w:val="15"/>
          <w:szCs w:val="15"/>
          <w:color w:val="auto"/>
        </w:rPr>
      </w:pPr>
      <w:r>
        <w:rPr>
          <w:rFonts w:ascii="Arial" w:cs="Arial" w:eastAsia="Arial" w:hAnsi="Arial"/>
          <w:sz w:val="18"/>
          <w:szCs w:val="18"/>
          <w:color w:val="auto"/>
        </w:rPr>
        <w:t>Includes sales in the United States of $2.63 billion and $1.98 billion for the second quarters ended January 1, 2011 and January 2, 2010, respectively. Includes sales in the United States of $5.04 billion and $3.73 billion for the first half of fiscal 2011 and 2010, respectively.</w:t>
      </w:r>
    </w:p>
    <w:p>
      <w:pPr>
        <w:spacing w:after="0" w:line="32" w:lineRule="exact"/>
        <w:rPr>
          <w:rFonts w:ascii="Arial" w:cs="Arial" w:eastAsia="Arial" w:hAnsi="Arial"/>
          <w:sz w:val="15"/>
          <w:szCs w:val="15"/>
          <w:color w:val="auto"/>
        </w:rPr>
      </w:pPr>
    </w:p>
    <w:p>
      <w:pPr>
        <w:jc w:val="both"/>
        <w:ind w:left="720" w:right="159" w:hanging="388"/>
        <w:spacing w:after="0" w:line="259" w:lineRule="auto"/>
        <w:tabs>
          <w:tab w:leader="none" w:pos="720" w:val="left"/>
        </w:tabs>
        <w:numPr>
          <w:ilvl w:val="0"/>
          <w:numId w:val="3"/>
        </w:numPr>
        <w:rPr>
          <w:rFonts w:ascii="Arial" w:cs="Arial" w:eastAsia="Arial" w:hAnsi="Arial"/>
          <w:sz w:val="15"/>
          <w:szCs w:val="15"/>
          <w:color w:val="auto"/>
        </w:rPr>
      </w:pPr>
      <w:r>
        <w:rPr>
          <w:rFonts w:ascii="Arial" w:cs="Arial" w:eastAsia="Arial" w:hAnsi="Arial"/>
          <w:sz w:val="18"/>
          <w:szCs w:val="18"/>
          <w:color w:val="auto"/>
        </w:rPr>
        <w:t>Includes sales in Germany and the United Kingdom of $779.6 million and $445.4 million, respectively, for the second quarter of fiscal 2011, and $1.48 billion and $871.3 million, respectively, for the first half of fiscal 2011. Includes sales in Germany and the United Kingdom of $515.9 million and $289.8 million, respectively, for the second quarter of fiscal 2010, and $982.0 million and $574.7 million, respectively, for the first half of fiscal 2010.</w:t>
      </w:r>
    </w:p>
    <w:p>
      <w:pPr>
        <w:spacing w:after="0" w:line="38" w:lineRule="exact"/>
        <w:rPr>
          <w:rFonts w:ascii="Arial" w:cs="Arial" w:eastAsia="Arial" w:hAnsi="Arial"/>
          <w:sz w:val="15"/>
          <w:szCs w:val="15"/>
          <w:color w:val="auto"/>
        </w:rPr>
      </w:pPr>
    </w:p>
    <w:p>
      <w:pPr>
        <w:jc w:val="both"/>
        <w:ind w:left="720" w:right="159" w:hanging="388"/>
        <w:spacing w:after="0" w:line="257" w:lineRule="auto"/>
        <w:tabs>
          <w:tab w:leader="none" w:pos="720" w:val="left"/>
        </w:tabs>
        <w:numPr>
          <w:ilvl w:val="0"/>
          <w:numId w:val="3"/>
        </w:numPr>
        <w:rPr>
          <w:rFonts w:ascii="Arial" w:cs="Arial" w:eastAsia="Arial" w:hAnsi="Arial"/>
          <w:sz w:val="15"/>
          <w:szCs w:val="15"/>
          <w:color w:val="auto"/>
        </w:rPr>
      </w:pPr>
      <w:r>
        <w:rPr>
          <w:rFonts w:ascii="Arial" w:cs="Arial" w:eastAsia="Arial" w:hAnsi="Arial"/>
          <w:sz w:val="18"/>
          <w:szCs w:val="18"/>
          <w:color w:val="auto"/>
        </w:rPr>
        <w:t>Includes sales in Taiwan, Singapore and China (including Hong Kong) of $422.6 million, $294.3 million and $578.6 million, respectively, for the second quarter of fiscal 2011, and $865.6 million, $581.9 million and $1.17 billion, respectively, for the first half of fiscal 2011. Includes sales in Taiwan, Singapore and China (including Hong Kong) of $307.4 million, $238.6 million and $492.1 million, respectively, for the second quarter of fiscal 2010, and $626.2 million, $469.8 million and $909.7 million, respectively, for the first half of fiscal 2010.</w:t>
      </w:r>
    </w:p>
    <w:p>
      <w:pPr>
        <w:spacing w:after="0" w:line="184"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174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gridSpan w:val="4"/>
          </w:tcPr>
          <w:p>
            <w:pPr>
              <w:ind w:left="60"/>
              <w:spacing w:after="0"/>
              <w:rPr>
                <w:sz w:val="20"/>
                <w:szCs w:val="20"/>
                <w:color w:val="auto"/>
              </w:rPr>
            </w:pPr>
            <w:r>
              <w:rPr>
                <w:rFonts w:ascii="Arial" w:cs="Arial" w:eastAsia="Arial" w:hAnsi="Arial"/>
                <w:sz w:val="18"/>
                <w:szCs w:val="18"/>
                <w:b w:val="1"/>
                <w:bCs w:val="1"/>
                <w:color w:val="auto"/>
              </w:rPr>
              <w:t>January 1,</w:t>
            </w:r>
          </w:p>
        </w:tc>
        <w:tc>
          <w:tcPr>
            <w:tcW w:w="16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9"/>
              </w:rPr>
              <w:t>July 3,</w:t>
            </w:r>
          </w:p>
        </w:tc>
        <w:tc>
          <w:tcPr>
            <w:tcW w:w="0" w:type="dxa"/>
            <w:vAlign w:val="bottom"/>
          </w:tcPr>
          <w:p>
            <w:pPr>
              <w:spacing w:after="0"/>
              <w:rPr>
                <w:sz w:val="1"/>
                <w:szCs w:val="1"/>
                <w:color w:val="auto"/>
              </w:rPr>
            </w:pPr>
          </w:p>
        </w:tc>
      </w:tr>
      <w:tr>
        <w:trPr>
          <w:trHeight w:val="234"/>
        </w:trPr>
        <w:tc>
          <w:tcPr>
            <w:tcW w:w="174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74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40" w:type="dxa"/>
            <w:vAlign w:val="bottom"/>
            <w:gridSpan w:val="6"/>
          </w:tcPr>
          <w:p>
            <w:pPr>
              <w:jc w:val="right"/>
              <w:ind w:right="780"/>
              <w:spacing w:after="0"/>
              <w:rPr>
                <w:sz w:val="20"/>
                <w:szCs w:val="20"/>
                <w:color w:val="auto"/>
              </w:rPr>
            </w:pPr>
            <w:r>
              <w:rPr>
                <w:rFonts w:ascii="Arial" w:cs="Arial" w:eastAsia="Arial" w:hAnsi="Arial"/>
                <w:sz w:val="18"/>
                <w:szCs w:val="18"/>
                <w:b w:val="1"/>
                <w:bCs w:val="1"/>
                <w:color w:val="auto"/>
              </w:rPr>
              <w:t>(Thousands)</w:t>
            </w:r>
          </w:p>
        </w:tc>
        <w:tc>
          <w:tcPr>
            <w:tcW w:w="0" w:type="dxa"/>
            <w:vAlign w:val="bottom"/>
          </w:tcPr>
          <w:p>
            <w:pPr>
              <w:spacing w:after="0"/>
              <w:rPr>
                <w:sz w:val="1"/>
                <w:szCs w:val="1"/>
                <w:color w:val="auto"/>
              </w:rPr>
            </w:pPr>
          </w:p>
        </w:tc>
      </w:tr>
      <w:tr>
        <w:trPr>
          <w:trHeight w:val="216"/>
        </w:trPr>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gridSpan w:val="2"/>
          </w:tcPr>
          <w:p>
            <w:pPr>
              <w:ind w:left="200"/>
              <w:spacing w:after="0"/>
              <w:rPr>
                <w:sz w:val="20"/>
                <w:szCs w:val="20"/>
                <w:color w:val="auto"/>
              </w:rPr>
            </w:pPr>
            <w:r>
              <w:rPr>
                <w:rFonts w:ascii="Arial" w:cs="Arial" w:eastAsia="Arial" w:hAnsi="Arial"/>
                <w:sz w:val="18"/>
                <w:szCs w:val="18"/>
                <w:color w:val="auto"/>
              </w:rPr>
              <w:t>Electronics Marketing</w:t>
            </w:r>
          </w:p>
        </w:tc>
        <w:tc>
          <w:tcPr>
            <w:tcW w:w="18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5,526,562</w:t>
            </w:r>
          </w:p>
        </w:tc>
        <w:tc>
          <w:tcPr>
            <w:tcW w:w="3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4,441,758</w:t>
            </w:r>
          </w:p>
        </w:tc>
        <w:tc>
          <w:tcPr>
            <w:tcW w:w="0" w:type="dxa"/>
            <w:vAlign w:val="bottom"/>
          </w:tcPr>
          <w:p>
            <w:pPr>
              <w:spacing w:after="0"/>
              <w:rPr>
                <w:sz w:val="1"/>
                <w:szCs w:val="1"/>
                <w:color w:val="auto"/>
              </w:rPr>
            </w:pPr>
          </w:p>
        </w:tc>
      </w:tr>
      <w:tr>
        <w:trPr>
          <w:trHeight w:val="216"/>
        </w:trPr>
        <w:tc>
          <w:tcPr>
            <w:tcW w:w="7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Technology Solutions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4,106,554</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2,553,844</w:t>
            </w:r>
          </w:p>
        </w:tc>
        <w:tc>
          <w:tcPr>
            <w:tcW w:w="0" w:type="dxa"/>
            <w:vAlign w:val="bottom"/>
          </w:tcPr>
          <w:p>
            <w:pPr>
              <w:spacing w:after="0"/>
              <w:rPr>
                <w:sz w:val="1"/>
                <w:szCs w:val="1"/>
                <w:color w:val="auto"/>
              </w:rPr>
            </w:pPr>
          </w:p>
        </w:tc>
      </w:tr>
      <w:tr>
        <w:trPr>
          <w:trHeight w:val="216"/>
        </w:trPr>
        <w:tc>
          <w:tcPr>
            <w:tcW w:w="7300" w:type="dxa"/>
            <w:vAlign w:val="bottom"/>
            <w:gridSpan w:val="2"/>
          </w:tcPr>
          <w:p>
            <w:pPr>
              <w:ind w:left="200"/>
              <w:spacing w:after="0"/>
              <w:rPr>
                <w:sz w:val="20"/>
                <w:szCs w:val="20"/>
                <w:color w:val="auto"/>
              </w:rPr>
            </w:pPr>
            <w:r>
              <w:rPr>
                <w:rFonts w:ascii="Arial" w:cs="Arial" w:eastAsia="Arial" w:hAnsi="Arial"/>
                <w:sz w:val="18"/>
                <w:szCs w:val="18"/>
                <w:color w:val="auto"/>
              </w:rPr>
              <w:t>Corporate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270,473</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786,780</w:t>
            </w:r>
          </w:p>
        </w:tc>
        <w:tc>
          <w:tcPr>
            <w:tcW w:w="0" w:type="dxa"/>
            <w:vAlign w:val="bottom"/>
          </w:tcPr>
          <w:p>
            <w:pPr>
              <w:spacing w:after="0"/>
              <w:rPr>
                <w:sz w:val="1"/>
                <w:szCs w:val="1"/>
                <w:color w:val="auto"/>
              </w:rPr>
            </w:pPr>
          </w:p>
        </w:tc>
      </w:tr>
      <w:tr>
        <w:trPr>
          <w:trHeight w:val="27"/>
        </w:trPr>
        <w:tc>
          <w:tcPr>
            <w:tcW w:w="1740" w:type="dxa"/>
            <w:vAlign w:val="bottom"/>
          </w:tcPr>
          <w:p>
            <w:pPr>
              <w:spacing w:after="0"/>
              <w:rPr>
                <w:sz w:val="2"/>
                <w:szCs w:val="2"/>
                <w:color w:val="auto"/>
              </w:rPr>
            </w:pPr>
          </w:p>
        </w:tc>
        <w:tc>
          <w:tcPr>
            <w:tcW w:w="5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740" w:type="dxa"/>
            <w:vAlign w:val="bottom"/>
            <w:shd w:val="clear" w:color="auto" w:fill="CCEEFF"/>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9,903,589</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7,782,382</w:t>
            </w:r>
          </w:p>
        </w:tc>
        <w:tc>
          <w:tcPr>
            <w:tcW w:w="0" w:type="dxa"/>
            <w:vAlign w:val="bottom"/>
          </w:tcPr>
          <w:p>
            <w:pPr>
              <w:spacing w:after="0"/>
              <w:rPr>
                <w:sz w:val="1"/>
                <w:szCs w:val="1"/>
                <w:color w:val="auto"/>
              </w:rPr>
            </w:pPr>
          </w:p>
        </w:tc>
      </w:tr>
      <w:tr>
        <w:trPr>
          <w:trHeight w:val="20"/>
        </w:trPr>
        <w:tc>
          <w:tcPr>
            <w:tcW w:w="7300" w:type="dxa"/>
            <w:vAlign w:val="bottom"/>
            <w:gridSpan w:val="2"/>
            <w:vMerge w:val="restart"/>
          </w:tcPr>
          <w:p>
            <w:pPr>
              <w:spacing w:after="0"/>
              <w:rPr>
                <w:sz w:val="20"/>
                <w:szCs w:val="20"/>
                <w:color w:val="auto"/>
              </w:rPr>
            </w:pPr>
            <w:r>
              <w:rPr>
                <w:rFonts w:ascii="Arial" w:cs="Arial" w:eastAsia="Arial" w:hAnsi="Arial"/>
                <w:sz w:val="18"/>
                <w:szCs w:val="18"/>
                <w:color w:val="auto"/>
              </w:rPr>
              <w:t>Property, plant, and equipment, net, by geographic area</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3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 xml:space="preserve">Americas </w:t>
            </w:r>
            <w:r>
              <w:rPr>
                <w:rFonts w:ascii="Arial" w:cs="Arial" w:eastAsia="Arial" w:hAnsi="Arial"/>
                <w:sz w:val="15"/>
                <w:szCs w:val="15"/>
                <w:color w:val="auto"/>
              </w:rPr>
              <w:t>(4)</w:t>
            </w:r>
          </w:p>
        </w:tc>
        <w:tc>
          <w:tcPr>
            <w:tcW w:w="180" w:type="dxa"/>
            <w:vAlign w:val="bottom"/>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218,446</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182,231</w:t>
            </w:r>
          </w:p>
        </w:tc>
        <w:tc>
          <w:tcPr>
            <w:tcW w:w="0" w:type="dxa"/>
            <w:vAlign w:val="bottom"/>
          </w:tcPr>
          <w:p>
            <w:pPr>
              <w:spacing w:after="0"/>
              <w:rPr>
                <w:sz w:val="1"/>
                <w:szCs w:val="1"/>
                <w:color w:val="auto"/>
              </w:rPr>
            </w:pPr>
          </w:p>
        </w:tc>
      </w:tr>
      <w:tr>
        <w:trPr>
          <w:trHeight w:val="216"/>
        </w:trPr>
        <w:tc>
          <w:tcPr>
            <w:tcW w:w="7300" w:type="dxa"/>
            <w:vAlign w:val="bottom"/>
            <w:gridSpan w:val="2"/>
          </w:tcPr>
          <w:p>
            <w:pPr>
              <w:ind w:left="200"/>
              <w:spacing w:after="0"/>
              <w:rPr>
                <w:sz w:val="20"/>
                <w:szCs w:val="20"/>
                <w:color w:val="auto"/>
              </w:rPr>
            </w:pPr>
            <w:r>
              <w:rPr>
                <w:rFonts w:ascii="Arial" w:cs="Arial" w:eastAsia="Arial" w:hAnsi="Arial"/>
                <w:sz w:val="18"/>
                <w:szCs w:val="18"/>
                <w:color w:val="auto"/>
              </w:rPr>
              <w:t xml:space="preserve">EMEA </w:t>
            </w:r>
            <w:r>
              <w:rPr>
                <w:rFonts w:ascii="Arial" w:cs="Arial" w:eastAsia="Arial" w:hAnsi="Arial"/>
                <w:sz w:val="15"/>
                <w:szCs w:val="15"/>
                <w:color w:val="auto"/>
              </w:rPr>
              <w:t>(5)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123,546</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98,460</w:t>
            </w:r>
          </w:p>
        </w:tc>
        <w:tc>
          <w:tcPr>
            <w:tcW w:w="0" w:type="dxa"/>
            <w:vAlign w:val="bottom"/>
          </w:tcPr>
          <w:p>
            <w:pPr>
              <w:spacing w:after="0"/>
              <w:rPr>
                <w:sz w:val="1"/>
                <w:szCs w:val="1"/>
                <w:color w:val="auto"/>
              </w:rPr>
            </w:pPr>
          </w:p>
        </w:tc>
      </w:tr>
      <w:tr>
        <w:trPr>
          <w:trHeight w:val="216"/>
        </w:trPr>
        <w:tc>
          <w:tcPr>
            <w:tcW w:w="7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Asia/Pacific</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25,418</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21,892</w:t>
            </w:r>
          </w:p>
        </w:tc>
        <w:tc>
          <w:tcPr>
            <w:tcW w:w="0" w:type="dxa"/>
            <w:vAlign w:val="bottom"/>
          </w:tcPr>
          <w:p>
            <w:pPr>
              <w:spacing w:after="0"/>
              <w:rPr>
                <w:sz w:val="1"/>
                <w:szCs w:val="1"/>
                <w:color w:val="auto"/>
              </w:rPr>
            </w:pPr>
          </w:p>
        </w:tc>
      </w:tr>
      <w:tr>
        <w:trPr>
          <w:trHeight w:val="223"/>
        </w:trPr>
        <w:tc>
          <w:tcPr>
            <w:tcW w:w="174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367,410</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302,583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740" w:type="dxa"/>
            <w:vAlign w:val="bottom"/>
            <w:tcBorders>
              <w:bottom w:val="single" w:sz="8" w:color="auto"/>
            </w:tcBorders>
          </w:tcPr>
          <w:p>
            <w:pPr>
              <w:spacing w:after="0"/>
              <w:rPr>
                <w:sz w:val="14"/>
                <w:szCs w:val="14"/>
                <w:color w:val="auto"/>
              </w:rPr>
            </w:pPr>
          </w:p>
        </w:tc>
        <w:tc>
          <w:tcPr>
            <w:tcW w:w="5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720" w:right="179" w:hanging="388"/>
        <w:spacing w:after="0" w:line="277" w:lineRule="auto"/>
        <w:tabs>
          <w:tab w:leader="none" w:pos="720" w:val="left"/>
        </w:tabs>
        <w:numPr>
          <w:ilvl w:val="0"/>
          <w:numId w:val="4"/>
        </w:numPr>
        <w:rPr>
          <w:rFonts w:ascii="Arial" w:cs="Arial" w:eastAsia="Arial" w:hAnsi="Arial"/>
          <w:sz w:val="15"/>
          <w:szCs w:val="15"/>
          <w:color w:val="auto"/>
        </w:rPr>
      </w:pPr>
      <w:r>
        <w:rPr>
          <w:rFonts w:ascii="Arial" w:cs="Arial" w:eastAsia="Arial" w:hAnsi="Arial"/>
          <w:sz w:val="18"/>
          <w:szCs w:val="18"/>
          <w:color w:val="auto"/>
        </w:rPr>
        <w:t>Includes property, plant and equipment, net, of $209.1 million and $178.2 million as of January 1, 2011 and July 3, 2010, respectively, in the United States.</w:t>
      </w:r>
    </w:p>
    <w:p>
      <w:pPr>
        <w:spacing w:after="0" w:line="21" w:lineRule="exact"/>
        <w:rPr>
          <w:rFonts w:ascii="Arial" w:cs="Arial" w:eastAsia="Arial" w:hAnsi="Arial"/>
          <w:sz w:val="15"/>
          <w:szCs w:val="15"/>
          <w:color w:val="auto"/>
        </w:rPr>
      </w:pPr>
    </w:p>
    <w:p>
      <w:pPr>
        <w:jc w:val="both"/>
        <w:ind w:left="720" w:right="159" w:hanging="388"/>
        <w:spacing w:after="0" w:line="264" w:lineRule="auto"/>
        <w:tabs>
          <w:tab w:leader="none" w:pos="720" w:val="left"/>
        </w:tabs>
        <w:numPr>
          <w:ilvl w:val="0"/>
          <w:numId w:val="4"/>
        </w:numPr>
        <w:rPr>
          <w:rFonts w:ascii="Arial" w:cs="Arial" w:eastAsia="Arial" w:hAnsi="Arial"/>
          <w:sz w:val="15"/>
          <w:szCs w:val="15"/>
          <w:color w:val="auto"/>
        </w:rPr>
      </w:pPr>
      <w:r>
        <w:rPr>
          <w:rFonts w:ascii="Arial" w:cs="Arial" w:eastAsia="Arial" w:hAnsi="Arial"/>
          <w:sz w:val="18"/>
          <w:szCs w:val="18"/>
          <w:color w:val="auto"/>
        </w:rPr>
        <w:t>Includes property, plant and equipment, net, of $68.0 million, $21.5 million and $16.5 million in Germany, Belgium and the United Kingdom, respectively, as of January 1, 2011 and $48.0 million, $20.4 million and $13.4 million, respectively, as of July 3, 2010.</w:t>
      </w:r>
    </w:p>
    <w:p>
      <w:pPr>
        <w:sectPr>
          <w:pgSz w:w="11900" w:h="16838" w:orient="portrait"/>
          <w:cols w:equalWidth="0" w:num="1">
            <w:col w:w="10219"/>
          </w:cols>
          <w:pgMar w:left="240" w:top="419" w:right="1440" w:bottom="852"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852"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12. Restructuring, integration and other charges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Fiscal 2011</w:t>
      </w:r>
    </w:p>
    <w:p>
      <w:pPr>
        <w:spacing w:after="0" w:line="185"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color w:val="auto"/>
        </w:rPr>
        <w:t>During the second quarter and first six months of fiscal 2011, the Company incurred charges related primarily to the acquisition and integration activities associated with acquired businesses.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6660" w:type="dxa"/>
            <w:vAlign w:val="bottom"/>
          </w:tcPr>
          <w:p>
            <w:pPr>
              <w:spacing w:after="0"/>
              <w:rPr>
                <w:sz w:val="18"/>
                <w:szCs w:val="18"/>
                <w:color w:val="auto"/>
              </w:rPr>
            </w:pPr>
          </w:p>
        </w:tc>
        <w:tc>
          <w:tcPr>
            <w:tcW w:w="1440" w:type="dxa"/>
            <w:vAlign w:val="bottom"/>
            <w:gridSpan w:val="3"/>
          </w:tcPr>
          <w:p>
            <w:pPr>
              <w:ind w:left="40"/>
              <w:spacing w:after="0"/>
              <w:rPr>
                <w:sz w:val="20"/>
                <w:szCs w:val="20"/>
                <w:color w:val="auto"/>
              </w:rPr>
            </w:pPr>
            <w:r>
              <w:rPr>
                <w:rFonts w:ascii="Arial" w:cs="Arial" w:eastAsia="Arial" w:hAnsi="Arial"/>
                <w:sz w:val="18"/>
                <w:szCs w:val="18"/>
                <w:b w:val="1"/>
                <w:bCs w:val="1"/>
                <w:color w:val="auto"/>
              </w:rPr>
              <w:t>Quarter ended</w:t>
            </w:r>
          </w:p>
        </w:tc>
        <w:tc>
          <w:tcPr>
            <w:tcW w:w="1620" w:type="dxa"/>
            <w:vAlign w:val="bottom"/>
            <w:gridSpan w:val="4"/>
          </w:tcPr>
          <w:p>
            <w:pPr>
              <w:ind w:left="140"/>
              <w:spacing w:after="0"/>
              <w:rPr>
                <w:sz w:val="20"/>
                <w:szCs w:val="20"/>
                <w:color w:val="auto"/>
              </w:rPr>
            </w:pPr>
            <w:r>
              <w:rPr>
                <w:rFonts w:ascii="Arial" w:cs="Arial" w:eastAsia="Arial" w:hAnsi="Arial"/>
                <w:sz w:val="18"/>
                <w:szCs w:val="18"/>
                <w:b w:val="1"/>
                <w:bCs w:val="1"/>
                <w:color w:val="auto"/>
                <w:w w:val="94"/>
              </w:rPr>
              <w:t>Six Months ended</w:t>
            </w:r>
          </w:p>
        </w:tc>
      </w:tr>
      <w:tr>
        <w:trPr>
          <w:trHeight w:val="234"/>
        </w:trPr>
        <w:tc>
          <w:tcPr>
            <w:tcW w:w="6660" w:type="dxa"/>
            <w:vAlign w:val="bottom"/>
          </w:tcPr>
          <w:p>
            <w:pPr>
              <w:spacing w:after="0"/>
              <w:rPr>
                <w:sz w:val="20"/>
                <w:szCs w:val="20"/>
                <w:color w:val="auto"/>
              </w:rPr>
            </w:pPr>
          </w:p>
        </w:tc>
        <w:tc>
          <w:tcPr>
            <w:tcW w:w="1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9"/>
              </w:rPr>
              <w:t>January 1, 2011</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w w:val="95"/>
              </w:rPr>
              <w:t>January 1, 2011</w:t>
            </w:r>
          </w:p>
        </w:tc>
        <w:tc>
          <w:tcPr>
            <w:tcW w:w="100" w:type="dxa"/>
            <w:vAlign w:val="bottom"/>
          </w:tcPr>
          <w:p>
            <w:pPr>
              <w:spacing w:after="0"/>
              <w:rPr>
                <w:sz w:val="20"/>
                <w:szCs w:val="20"/>
                <w:color w:val="auto"/>
              </w:rPr>
            </w:pPr>
          </w:p>
        </w:tc>
      </w:tr>
      <w:tr>
        <w:trPr>
          <w:trHeight w:val="210"/>
        </w:trPr>
        <w:tc>
          <w:tcPr>
            <w:tcW w:w="6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0" w:type="dxa"/>
            <w:vAlign w:val="bottom"/>
            <w:gridSpan w:val="3"/>
          </w:tcPr>
          <w:p>
            <w:pPr>
              <w:spacing w:after="0"/>
              <w:rPr>
                <w:sz w:val="20"/>
                <w:szCs w:val="20"/>
                <w:color w:val="auto"/>
              </w:rPr>
            </w:pPr>
            <w:r>
              <w:rPr>
                <w:rFonts w:ascii="Arial" w:cs="Arial" w:eastAsia="Arial" w:hAnsi="Arial"/>
                <w:sz w:val="18"/>
                <w:szCs w:val="18"/>
                <w:b w:val="1"/>
                <w:bCs w:val="1"/>
                <w:color w:val="auto"/>
                <w:w w:val="90"/>
              </w:rPr>
              <w:t>(Thousands)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Restructuring charges</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22,143</w:t>
            </w:r>
          </w:p>
        </w:tc>
        <w:tc>
          <w:tcPr>
            <w:tcW w:w="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32,847</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Transaction costs</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1,307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12,068</w:t>
            </w: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Integration costs</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16,096</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Reversal of excess prior year restructuring reserves</w:t>
            </w:r>
          </w:p>
        </w:tc>
        <w:tc>
          <w:tcPr>
            <w:tcW w:w="400" w:type="dxa"/>
            <w:vAlign w:val="bottom"/>
          </w:tcPr>
          <w:p>
            <w:pPr>
              <w:spacing w:after="0"/>
              <w:rPr>
                <w:sz w:val="18"/>
                <w:szCs w:val="18"/>
                <w:color w:val="auto"/>
              </w:rPr>
            </w:pPr>
          </w:p>
        </w:tc>
        <w:tc>
          <w:tcPr>
            <w:tcW w:w="1040" w:type="dxa"/>
            <w:vAlign w:val="bottom"/>
            <w:gridSpan w:val="2"/>
          </w:tcPr>
          <w:p>
            <w:pPr>
              <w:jc w:val="right"/>
              <w:ind w:right="70"/>
              <w:spacing w:after="0"/>
              <w:rPr>
                <w:sz w:val="20"/>
                <w:szCs w:val="20"/>
                <w:color w:val="auto"/>
              </w:rPr>
            </w:pPr>
            <w:r>
              <w:rPr>
                <w:rFonts w:ascii="Arial" w:cs="Arial" w:eastAsia="Arial" w:hAnsi="Arial"/>
                <w:sz w:val="18"/>
                <w:szCs w:val="18"/>
                <w:color w:val="auto"/>
              </w:rPr>
              <w:t>(3,485)</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(4,205)</w:t>
            </w: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373</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w:t>
            </w:r>
          </w:p>
        </w:tc>
      </w:tr>
      <w:tr>
        <w:trPr>
          <w:trHeight w:val="223"/>
        </w:trPr>
        <w:tc>
          <w:tcPr>
            <w:tcW w:w="6660" w:type="dxa"/>
            <w:vAlign w:val="bottom"/>
          </w:tcPr>
          <w:p>
            <w:pPr>
              <w:ind w:left="200"/>
              <w:spacing w:after="0"/>
              <w:rPr>
                <w:sz w:val="20"/>
                <w:szCs w:val="20"/>
                <w:color w:val="auto"/>
              </w:rPr>
            </w:pPr>
            <w:r>
              <w:rPr>
                <w:rFonts w:ascii="Arial" w:cs="Arial" w:eastAsia="Arial" w:hAnsi="Arial"/>
                <w:sz w:val="18"/>
                <w:szCs w:val="18"/>
                <w:color w:val="auto"/>
              </w:rPr>
              <w:t>Total restructuring, integration and other charges</w:t>
            </w: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29,112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57,179</w:t>
            </w:r>
          </w:p>
        </w:tc>
        <w:tc>
          <w:tcPr>
            <w:tcW w:w="100" w:type="dxa"/>
            <w:vAlign w:val="bottom"/>
          </w:tcPr>
          <w:p>
            <w:pPr>
              <w:spacing w:after="0"/>
              <w:rPr>
                <w:sz w:val="19"/>
                <w:szCs w:val="19"/>
                <w:color w:val="auto"/>
              </w:rPr>
            </w:pPr>
          </w:p>
        </w:tc>
      </w:tr>
      <w:tr>
        <w:trPr>
          <w:trHeight w:val="20"/>
        </w:trPr>
        <w:tc>
          <w:tcPr>
            <w:tcW w:w="66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color w:val="auto"/>
        </w:rPr>
        <w:t>The activity related to the restructuring reserves established during the first six months of fiscal 2011 is presented in the following table:</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86"/>
              </w:rPr>
              <w:t>Severance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3"/>
              </w:rPr>
              <w:t>Facility</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89"/>
              </w:rPr>
              <w:t>Reserves</w:t>
            </w:r>
          </w:p>
        </w:tc>
        <w:tc>
          <w:tcPr>
            <w:tcW w:w="220" w:type="dxa"/>
            <w:vAlign w:val="bottom"/>
            <w:gridSpan w:val="2"/>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8"/>
              </w:rPr>
              <w:t>Exit Costs</w:t>
            </w:r>
          </w:p>
        </w:tc>
        <w:tc>
          <w:tcPr>
            <w:tcW w:w="3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1"/>
              </w:rPr>
              <w:t>Other</w:t>
            </w:r>
          </w:p>
        </w:tc>
        <w:tc>
          <w:tcPr>
            <w:tcW w:w="3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10"/>
        </w:trPr>
        <w:tc>
          <w:tcPr>
            <w:tcW w:w="4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b w:val="1"/>
                <w:bCs w:val="1"/>
                <w:color w:val="auto"/>
              </w:rPr>
              <w:t>(Thousands)</w:t>
            </w: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Fiscal 2011 pre-tax charges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18,934</w:t>
            </w: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12,967</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946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32,847</w:t>
            </w:r>
          </w:p>
        </w:tc>
      </w:tr>
      <w:tr>
        <w:trPr>
          <w:trHeight w:val="216"/>
        </w:trPr>
        <w:tc>
          <w:tcPr>
            <w:tcW w:w="4580" w:type="dxa"/>
            <w:vAlign w:val="bottom"/>
          </w:tcPr>
          <w:p>
            <w:pPr>
              <w:ind w:left="200"/>
              <w:spacing w:after="0"/>
              <w:rPr>
                <w:sz w:val="20"/>
                <w:szCs w:val="20"/>
                <w:color w:val="auto"/>
              </w:rPr>
            </w:pPr>
            <w:r>
              <w:rPr>
                <w:rFonts w:ascii="Arial" w:cs="Arial" w:eastAsia="Arial" w:hAnsi="Arial"/>
                <w:sz w:val="18"/>
                <w:szCs w:val="18"/>
                <w:color w:val="auto"/>
              </w:rPr>
              <w:t>Amounts utilized</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(8,415)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(5,426)</w:t>
            </w:r>
          </w:p>
        </w:tc>
        <w:tc>
          <w:tcPr>
            <w:tcW w:w="26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(492)</w:t>
            </w:r>
          </w:p>
        </w:tc>
        <w:tc>
          <w:tcPr>
            <w:tcW w:w="1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(14,333)</w:t>
            </w:r>
          </w:p>
        </w:tc>
      </w:tr>
      <w:tr>
        <w:trPr>
          <w:trHeight w:val="216"/>
        </w:trPr>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principally foreign currency translation</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174</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r>
      <w:tr>
        <w:trPr>
          <w:trHeight w:val="223"/>
        </w:trPr>
        <w:tc>
          <w:tcPr>
            <w:tcW w:w="4580" w:type="dxa"/>
            <w:vAlign w:val="bottom"/>
          </w:tcPr>
          <w:p>
            <w:pPr>
              <w:spacing w:after="0"/>
              <w:rPr>
                <w:sz w:val="20"/>
                <w:szCs w:val="20"/>
                <w:color w:val="auto"/>
              </w:rPr>
            </w:pPr>
            <w:r>
              <w:rPr>
                <w:rFonts w:ascii="Arial" w:cs="Arial" w:eastAsia="Arial" w:hAnsi="Arial"/>
                <w:sz w:val="18"/>
                <w:szCs w:val="18"/>
                <w:color w:val="auto"/>
              </w:rPr>
              <w:t>Balance at January 1, 2011</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10,373</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7,532</w:t>
            </w:r>
          </w:p>
        </w:tc>
        <w:tc>
          <w:tcPr>
            <w:tcW w:w="3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628</w:t>
            </w:r>
          </w:p>
        </w:tc>
        <w:tc>
          <w:tcPr>
            <w:tcW w:w="3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18,533</w:t>
            </w:r>
          </w:p>
        </w:tc>
        <w:tc>
          <w:tcPr>
            <w:tcW w:w="100" w:type="dxa"/>
            <w:vAlign w:val="bottom"/>
          </w:tcPr>
          <w:p>
            <w:pPr>
              <w:spacing w:after="0"/>
              <w:rPr>
                <w:sz w:val="19"/>
                <w:szCs w:val="19"/>
                <w:color w:val="auto"/>
              </w:rPr>
            </w:pPr>
          </w:p>
        </w:tc>
      </w:tr>
      <w:tr>
        <w:trPr>
          <w:trHeight w:val="20"/>
        </w:trPr>
        <w:tc>
          <w:tcPr>
            <w:tcW w:w="4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79" w:firstLine="389"/>
        <w:spacing w:after="0" w:line="289" w:lineRule="auto"/>
        <w:rPr>
          <w:sz w:val="20"/>
          <w:szCs w:val="20"/>
          <w:color w:val="auto"/>
        </w:rPr>
      </w:pPr>
      <w:r>
        <w:rPr>
          <w:rFonts w:ascii="Arial" w:cs="Arial" w:eastAsia="Arial" w:hAnsi="Arial"/>
          <w:sz w:val="16"/>
          <w:szCs w:val="16"/>
          <w:color w:val="auto"/>
        </w:rPr>
        <w:t>Severance charges recorded in the first six months of fiscal 2011 related to personnel reductions of over 350 employees in administrative, finance and sales functions primarily in connection with the integration of the acquired Bell business into the existing EM Americas, TS Americas and TS EMEA regions and, to a lesser extent, other cost reduction actions. Facility exit costs consisted of lease liabilities, fixed asset write-downs and other related charges associated with 35 vacated facilities: 19 in the Americas, 14 in EMEA and two in the Asia/Pac region. Of the $32,847,000 pre-tax restructuring charges, $14,304,000 related to EM and $17,852,000 related to TS and the remainder related to the Company’s corporate operations. Cash payments of $11,690,000 are reflected in the amounts utilized during the first six months of fiscal 2011 and the remaining amounts were related to non-cash asset write downs. As of January 1, 2011, management expects the majority of the remaining severance reserves to be utilized by the end of fiscal 2012 and the remaining facility exit cost reserves to be utilized by the end of fiscal 2014.</w:t>
      </w:r>
    </w:p>
    <w:p>
      <w:pPr>
        <w:spacing w:after="0" w:line="126" w:lineRule="exact"/>
        <w:rPr>
          <w:sz w:val="20"/>
          <w:szCs w:val="20"/>
          <w:color w:val="auto"/>
        </w:rPr>
      </w:pPr>
    </w:p>
    <w:p>
      <w:pPr>
        <w:jc w:val="both"/>
        <w:ind w:left="340" w:right="179" w:firstLine="389"/>
        <w:spacing w:after="0" w:line="308" w:lineRule="auto"/>
        <w:rPr>
          <w:sz w:val="20"/>
          <w:szCs w:val="20"/>
          <w:color w:val="auto"/>
        </w:rPr>
      </w:pPr>
      <w:r>
        <w:rPr>
          <w:rFonts w:ascii="Arial" w:cs="Arial" w:eastAsia="Arial" w:hAnsi="Arial"/>
          <w:sz w:val="17"/>
          <w:szCs w:val="17"/>
          <w:color w:val="auto"/>
        </w:rPr>
        <w:t>Transaction costs incurred during the first six months of fiscal 2011 related primarily to professional fees for advisory and broker services and legal and accounting due diligence procedures and other legal costs associated with acquisitions.</w:t>
      </w:r>
    </w:p>
    <w:p>
      <w:pPr>
        <w:spacing w:after="0" w:line="120"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Integration costs included certain professional fees, facility moving costs, travel, meeting, marketing and communication costs that were incrementally incurred as a result of the integration efforts of acquired businesses. Also included in integration costs are incremental salary and employee benefit costs, primarily of the acquired businesses’ personnel who were retained by Avnet for extended periods following the close of the acquisitions solely to assist in the integration of the acquired business’ IT systems, and administrative and logistics operations into those of Avnet. These identified personnel have no other meaningful day-to-day operational responsibilities outside of the integration effort.</w:t>
      </w:r>
    </w:p>
    <w:p>
      <w:pPr>
        <w:spacing w:after="0" w:line="200" w:lineRule="exact"/>
        <w:rPr>
          <w:sz w:val="20"/>
          <w:szCs w:val="20"/>
          <w:color w:val="auto"/>
        </w:rPr>
      </w:pPr>
    </w:p>
    <w:p>
      <w:pPr>
        <w:spacing w:after="0" w:line="344"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Fiscal 2010</w:t>
      </w:r>
    </w:p>
    <w:p>
      <w:pPr>
        <w:spacing w:after="0" w:line="185"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During fiscal 2010, the Company incurred restructuring, integration and other charges related to the remaining cost reduction actions announced in fiscal 2009, which were taken in response to market conditions, as well as integration costs associated with acquired businesses. The following table presents the activity during the first six months of fiscal 2011 related to the remaining restructuring reserves established during fiscal 2010.</w:t>
      </w:r>
    </w:p>
    <w:p>
      <w:pPr>
        <w:spacing w:after="0" w:line="183"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6"/>
              </w:rPr>
              <w:t>Severance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3"/>
              </w:rPr>
              <w:t>Facility</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0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89"/>
              </w:rPr>
              <w:t>Reserves</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8"/>
              </w:rPr>
              <w:t>Exit Costs</w:t>
            </w:r>
          </w:p>
        </w:tc>
        <w:tc>
          <w:tcPr>
            <w:tcW w:w="3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Other</w:t>
            </w:r>
          </w:p>
        </w:tc>
        <w:tc>
          <w:tcPr>
            <w:tcW w:w="3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10"/>
        </w:trPr>
        <w:tc>
          <w:tcPr>
            <w:tcW w:w="4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b w:val="1"/>
                <w:bCs w:val="1"/>
                <w:color w:val="auto"/>
              </w:rPr>
              <w:t>(Thousands)</w:t>
            </w: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Balance at July 3, 2010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1,405</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1,836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3,780</w:t>
            </w:r>
          </w:p>
        </w:tc>
      </w:tr>
      <w:tr>
        <w:trPr>
          <w:trHeight w:val="216"/>
        </w:trPr>
        <w:tc>
          <w:tcPr>
            <w:tcW w:w="4040" w:type="dxa"/>
            <w:vAlign w:val="bottom"/>
          </w:tcPr>
          <w:p>
            <w:pPr>
              <w:ind w:left="200"/>
              <w:spacing w:after="0"/>
              <w:rPr>
                <w:sz w:val="20"/>
                <w:szCs w:val="20"/>
                <w:color w:val="auto"/>
              </w:rPr>
            </w:pPr>
            <w:r>
              <w:rPr>
                <w:rFonts w:ascii="Arial" w:cs="Arial" w:eastAsia="Arial" w:hAnsi="Arial"/>
                <w:sz w:val="18"/>
                <w:szCs w:val="18"/>
                <w:color w:val="auto"/>
              </w:rPr>
              <w:t>Amounts utilized</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(188)</w:t>
            </w:r>
          </w:p>
        </w:tc>
        <w:tc>
          <w:tcPr>
            <w:tcW w:w="26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(437)</w:t>
            </w:r>
          </w:p>
        </w:tc>
        <w:tc>
          <w:tcPr>
            <w:tcW w:w="1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(1,025)</w:t>
            </w:r>
          </w:p>
        </w:tc>
      </w:tr>
      <w:tr>
        <w:trPr>
          <w:trHeight w:val="216"/>
        </w:trPr>
        <w:tc>
          <w:tcPr>
            <w:tcW w:w="4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(903)</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466</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(573)</w:t>
            </w:r>
          </w:p>
        </w:tc>
      </w:tr>
      <w:tr>
        <w:trPr>
          <w:trHeight w:val="216"/>
        </w:trPr>
        <w:tc>
          <w:tcPr>
            <w:tcW w:w="4040" w:type="dxa"/>
            <w:vAlign w:val="bottom"/>
          </w:tcPr>
          <w:p>
            <w:pPr>
              <w:ind w:left="200"/>
              <w:spacing w:after="0"/>
              <w:rPr>
                <w:sz w:val="20"/>
                <w:szCs w:val="20"/>
                <w:color w:val="auto"/>
              </w:rPr>
            </w:pPr>
            <w:r>
              <w:rPr>
                <w:rFonts w:ascii="Arial" w:cs="Arial" w:eastAsia="Arial" w:hAnsi="Arial"/>
                <w:sz w:val="18"/>
                <w:szCs w:val="18"/>
                <w:color w:val="auto"/>
              </w:rPr>
              <w:t>Other, principally foreign currency translation</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r>
      <w:tr>
        <w:trPr>
          <w:trHeight w:val="27"/>
        </w:trPr>
        <w:tc>
          <w:tcPr>
            <w:tcW w:w="4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2011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318</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1,860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2,205</w:t>
            </w:r>
          </w:p>
        </w:tc>
      </w:tr>
      <w:tr>
        <w:trPr>
          <w:trHeight w:val="20"/>
        </w:trPr>
        <w:tc>
          <w:tcPr>
            <w:tcW w:w="4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The amounts utilized during the first six months of fiscal 2011 represent cash payments. As of January 1, 2011, management expects the majority of the remaining severance reserves to be utilized by the end of fiscal 2011 and the remaining facility exit cost and other reserves to be utilized by the end of fiscal 2013.</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Fiscal 2009</w:t>
      </w:r>
    </w:p>
    <w:p>
      <w:pPr>
        <w:spacing w:after="0" w:line="185" w:lineRule="exact"/>
        <w:rPr>
          <w:sz w:val="20"/>
          <w:szCs w:val="20"/>
          <w:color w:val="auto"/>
        </w:rPr>
      </w:pPr>
    </w:p>
    <w:p>
      <w:pPr>
        <w:jc w:val="both"/>
        <w:ind w:left="340" w:right="179" w:firstLine="389"/>
        <w:spacing w:after="0" w:line="264" w:lineRule="auto"/>
        <w:rPr>
          <w:sz w:val="20"/>
          <w:szCs w:val="20"/>
          <w:color w:val="auto"/>
        </w:rPr>
      </w:pPr>
      <w:r>
        <w:rPr>
          <w:rFonts w:ascii="Arial" w:cs="Arial" w:eastAsia="Arial" w:hAnsi="Arial"/>
          <w:sz w:val="18"/>
          <w:szCs w:val="18"/>
          <w:color w:val="auto"/>
        </w:rPr>
        <w:t>During fiscal 2009, the Company incurred restructuring, integration and other charges related to cost reduction actions, costs for integration activity for acquired businesses and other items. The following table presents the activity during the first six months of fiscal 2011 related to the remaining restructuring reserves established during fiscal 2009.</w:t>
      </w:r>
    </w:p>
    <w:p>
      <w:pPr>
        <w:spacing w:after="0" w:line="17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6"/>
              </w:rPr>
              <w:t>Severance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3"/>
              </w:rPr>
              <w:t>Facility</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0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89"/>
              </w:rPr>
              <w:t>Reserves</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8"/>
              </w:rPr>
              <w:t>Exit Costs</w:t>
            </w:r>
          </w:p>
        </w:tc>
        <w:tc>
          <w:tcPr>
            <w:tcW w:w="3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Other</w:t>
            </w:r>
          </w:p>
        </w:tc>
        <w:tc>
          <w:tcPr>
            <w:tcW w:w="3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10"/>
        </w:trPr>
        <w:tc>
          <w:tcPr>
            <w:tcW w:w="4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b w:val="1"/>
                <w:bCs w:val="1"/>
                <w:color w:val="auto"/>
              </w:rPr>
              <w:t>(Thousands)</w:t>
            </w: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Balance at July 3, 2010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1,920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17,136</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1,634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20,690</w:t>
            </w:r>
          </w:p>
        </w:tc>
      </w:tr>
      <w:tr>
        <w:trPr>
          <w:trHeight w:val="216"/>
        </w:trPr>
        <w:tc>
          <w:tcPr>
            <w:tcW w:w="4040" w:type="dxa"/>
            <w:vAlign w:val="bottom"/>
          </w:tcPr>
          <w:p>
            <w:pPr>
              <w:ind w:left="200"/>
              <w:spacing w:after="0"/>
              <w:rPr>
                <w:sz w:val="20"/>
                <w:szCs w:val="20"/>
                <w:color w:val="auto"/>
              </w:rPr>
            </w:pPr>
            <w:r>
              <w:rPr>
                <w:rFonts w:ascii="Arial" w:cs="Arial" w:eastAsia="Arial" w:hAnsi="Arial"/>
                <w:sz w:val="18"/>
                <w:szCs w:val="18"/>
                <w:color w:val="auto"/>
              </w:rPr>
              <w:t>Amounts utilized</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(1,230)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(5,315)</w:t>
            </w:r>
          </w:p>
        </w:tc>
        <w:tc>
          <w:tcPr>
            <w:tcW w:w="26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(414)</w:t>
            </w:r>
          </w:p>
        </w:tc>
        <w:tc>
          <w:tcPr>
            <w:tcW w:w="1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(6,959)</w:t>
            </w:r>
          </w:p>
        </w:tc>
      </w:tr>
      <w:tr>
        <w:trPr>
          <w:trHeight w:val="216"/>
        </w:trPr>
        <w:tc>
          <w:tcPr>
            <w:tcW w:w="4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(2,935)</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(3,125)</w:t>
            </w:r>
          </w:p>
        </w:tc>
      </w:tr>
      <w:tr>
        <w:trPr>
          <w:trHeight w:val="216"/>
        </w:trPr>
        <w:tc>
          <w:tcPr>
            <w:tcW w:w="4040" w:type="dxa"/>
            <w:vAlign w:val="bottom"/>
          </w:tcPr>
          <w:p>
            <w:pPr>
              <w:ind w:left="200"/>
              <w:spacing w:after="0"/>
              <w:rPr>
                <w:sz w:val="20"/>
                <w:szCs w:val="20"/>
                <w:color w:val="auto"/>
              </w:rPr>
            </w:pPr>
            <w:r>
              <w:rPr>
                <w:rFonts w:ascii="Arial" w:cs="Arial" w:eastAsia="Arial" w:hAnsi="Arial"/>
                <w:sz w:val="18"/>
                <w:szCs w:val="18"/>
                <w:color w:val="auto"/>
              </w:rPr>
              <w:t>Other, principally foreign currency translation</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110</w:t>
            </w:r>
          </w:p>
        </w:tc>
        <w:tc>
          <w:tcPr>
            <w:tcW w:w="26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210</w:t>
            </w: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408</w:t>
            </w:r>
          </w:p>
        </w:tc>
      </w:tr>
      <w:tr>
        <w:trPr>
          <w:trHeight w:val="27"/>
        </w:trPr>
        <w:tc>
          <w:tcPr>
            <w:tcW w:w="4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2011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8,996</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1,422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11,014</w:t>
            </w:r>
          </w:p>
        </w:tc>
      </w:tr>
      <w:tr>
        <w:trPr>
          <w:trHeight w:val="20"/>
        </w:trPr>
        <w:tc>
          <w:tcPr>
            <w:tcW w:w="4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The amounts utilized during the first six months of fiscal 2011 represent cash payments. Management expects the majority of the remaining severance and other reserves to be utilized by the end of fiscal 2012 and the remaining facility exit cost reserves to be utilized by the end of fiscal 2015.</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Fiscal 2008 and prior restructuring reserves</w:t>
      </w:r>
    </w:p>
    <w:p>
      <w:pPr>
        <w:spacing w:after="0" w:line="185"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In fiscal year 2008 and prior, the Company incurred restructuring charges under five separate restructuring plans. As of January 1, 2011, the remaining reserves associated with these actions totaled $1,011,000 which are expected to be fully utilized by the end of fiscal 2012.</w:t>
      </w:r>
    </w:p>
    <w:p>
      <w:pPr>
        <w:spacing w:after="0" w:line="200" w:lineRule="exact"/>
        <w:rPr>
          <w:sz w:val="20"/>
          <w:szCs w:val="20"/>
          <w:color w:val="auto"/>
        </w:rPr>
      </w:pPr>
    </w:p>
    <w:p>
      <w:pPr>
        <w:spacing w:after="0" w:line="34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202" w:lineRule="exact"/>
        <w:rPr>
          <w:sz w:val="20"/>
          <w:szCs w:val="20"/>
          <w:color w:val="auto"/>
        </w:rPr>
      </w:pPr>
    </w:p>
    <w:p>
      <w:pPr>
        <w:jc w:val="both"/>
        <w:ind w:left="340" w:right="159" w:firstLine="389"/>
        <w:spacing w:after="0" w:line="272" w:lineRule="auto"/>
        <w:rPr>
          <w:sz w:val="20"/>
          <w:szCs w:val="20"/>
          <w:color w:val="auto"/>
        </w:rPr>
      </w:pPr>
      <w:r>
        <w:rPr>
          <w:rFonts w:ascii="Arial" w:cs="Arial" w:eastAsia="Arial" w:hAnsi="Arial"/>
          <w:sz w:val="17"/>
          <w:szCs w:val="17"/>
          <w:color w:val="auto"/>
        </w:rPr>
        <w:t xml:space="preserve">For a description of the Company’s critical accounting policies and an understanding of the significant factors that influenced the Company’s performance during the quarter and first six months ended January 1, 2011, this </w:t>
      </w:r>
      <w:r>
        <w:rPr>
          <w:rFonts w:ascii="Arial" w:cs="Arial" w:eastAsia="Arial" w:hAnsi="Arial"/>
          <w:sz w:val="17"/>
          <w:szCs w:val="17"/>
          <w:i w:val="1"/>
          <w:iCs w:val="1"/>
          <w:color w:val="auto"/>
        </w:rPr>
        <w:t>Management’s Discussion and Analysis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Financial Condition and Results of Operations </w:t>
      </w:r>
      <w:r>
        <w:rPr>
          <w:rFonts w:ascii="Arial" w:cs="Arial" w:eastAsia="Arial" w:hAnsi="Arial"/>
          <w:sz w:val="17"/>
          <w:szCs w:val="17"/>
          <w:color w:val="auto"/>
        </w:rPr>
        <w:t>(“MD&amp;A”) should be read in conjunction with the consolidated financial statements,</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the related notes, appearing in Item 1 of this Report, as well as the Company’s Annual Report on Form 10-K for the year ended July 3, 2010. The Company operates on a “52/53 week” fiscal year, and as a result, the first six months of fiscal 2011 contained 26 weeks while the first six months of fiscal 2010 contained 27 weeks. This extra week impacts the year-over-year analysis for the first six months of fiscal 2011 in this MD&amp;A.</w:t>
      </w:r>
    </w:p>
    <w:p>
      <w:pPr>
        <w:spacing w:after="0" w:line="137" w:lineRule="exact"/>
        <w:rPr>
          <w:sz w:val="20"/>
          <w:szCs w:val="20"/>
          <w:color w:val="auto"/>
        </w:rPr>
      </w:pPr>
    </w:p>
    <w:p>
      <w:pPr>
        <w:jc w:val="both"/>
        <w:ind w:left="340" w:right="159" w:firstLine="389"/>
        <w:spacing w:after="0" w:line="271" w:lineRule="auto"/>
        <w:rPr>
          <w:sz w:val="20"/>
          <w:szCs w:val="20"/>
          <w:color w:val="auto"/>
        </w:rPr>
      </w:pPr>
      <w:r>
        <w:rPr>
          <w:rFonts w:ascii="Arial" w:cs="Arial" w:eastAsia="Arial" w:hAnsi="Arial"/>
          <w:sz w:val="17"/>
          <w:szCs w:val="17"/>
          <w:color w:val="auto"/>
        </w:rPr>
        <w:t>There are references to the impact of foreign currency translation in the discussion of the Company’s results of operations. Over the past several years, the exchange rates between the US Dollar and many foreign currencies, especially the Euro, have fluctuated significantly. For example, the US Dollar has strengthened against the Euro by approximately 8% when comparing the second quarter of fiscal 2011 with the second quarter of fiscal 2010; therefore, part of the fluctuation between the second quarter of fiscal 2011 results of operations and the prior year second quarter are a result of changes in foreign currency exchange rates. When the stronger US Dollar exchange rates of the current year are used to translate the results of operations of Avnet’s subsidiaries denominated in foreign currencies, the resulting impact is a decrease in US Dollars of reported results. In the discussion that follows, this is referred to as the “translation impact of changes in foreign currency exchange rates.”</w:t>
      </w:r>
    </w:p>
    <w:p>
      <w:pPr>
        <w:spacing w:after="0" w:line="138"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In addition to disclosing financial results that are determined in accordance with US generally accepted accounting principles (“GAAP”), the Company also discloses certain non-GAAP financial information, including:</w:t>
      </w:r>
    </w:p>
    <w:p>
      <w:pPr>
        <w:spacing w:after="0" w:line="143" w:lineRule="exact"/>
        <w:rPr>
          <w:sz w:val="20"/>
          <w:szCs w:val="20"/>
          <w:color w:val="auto"/>
        </w:rPr>
      </w:pPr>
    </w:p>
    <w:p>
      <w:pPr>
        <w:ind w:left="1480" w:right="159" w:hanging="378"/>
        <w:spacing w:after="0" w:line="277" w:lineRule="auto"/>
        <w:tabs>
          <w:tab w:leader="none" w:pos="14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Income or expense items as adjusted for the translation impact of changes in foreign currency exchange rates, as discussed above.</w:t>
      </w:r>
    </w:p>
    <w:p>
      <w:pPr>
        <w:spacing w:after="0" w:line="129" w:lineRule="exact"/>
        <w:rPr>
          <w:rFonts w:ascii="Arial" w:cs="Arial" w:eastAsia="Arial" w:hAnsi="Arial"/>
          <w:sz w:val="18"/>
          <w:szCs w:val="18"/>
          <w:b w:val="1"/>
          <w:bCs w:val="1"/>
          <w:color w:val="auto"/>
        </w:rPr>
      </w:pPr>
    </w:p>
    <w:p>
      <w:pPr>
        <w:jc w:val="both"/>
        <w:ind w:left="1480" w:right="159" w:hanging="378"/>
        <w:spacing w:after="0" w:line="293" w:lineRule="auto"/>
        <w:tabs>
          <w:tab w:leader="none" w:pos="1480" w:val="left"/>
        </w:tabs>
        <w:numPr>
          <w:ilvl w:val="0"/>
          <w:numId w:val="5"/>
        </w:numPr>
        <w:rPr>
          <w:rFonts w:ascii="Arial" w:cs="Arial" w:eastAsia="Arial" w:hAnsi="Arial"/>
          <w:sz w:val="16"/>
          <w:szCs w:val="16"/>
          <w:b w:val="1"/>
          <w:bCs w:val="1"/>
          <w:color w:val="auto"/>
        </w:rPr>
      </w:pPr>
      <w:r>
        <w:rPr>
          <w:rFonts w:ascii="Arial" w:cs="Arial" w:eastAsia="Arial" w:hAnsi="Arial"/>
          <w:sz w:val="16"/>
          <w:szCs w:val="16"/>
          <w:color w:val="auto"/>
        </w:rPr>
        <w:t>Sales adjusted for certain items that impact the year-over-year analysis, which included (i) the impact of acquisitions by adjusting Avnet’s prior periods to include the sales of businesses acquired as if the acquisitions had occurred at the beginning of the period presented; and (ii) the impact of the transfer of the existing embedded business from TS Americas to EM Americas which occurred in the first quarter of fiscal 2011 in conjunction with the Bell acquisition so that substantially all embedded business in the Americas resides in the EM operating group. Sales taking into account the combination of these two adjustments are referred to as “pro forma sales” or “organic sales.”</w:t>
      </w:r>
    </w:p>
    <w:p>
      <w:pPr>
        <w:spacing w:after="0" w:line="124" w:lineRule="exact"/>
        <w:rPr>
          <w:rFonts w:ascii="Arial" w:cs="Arial" w:eastAsia="Arial" w:hAnsi="Arial"/>
          <w:sz w:val="16"/>
          <w:szCs w:val="16"/>
          <w:b w:val="1"/>
          <w:bCs w:val="1"/>
          <w:color w:val="auto"/>
        </w:rPr>
      </w:pPr>
    </w:p>
    <w:p>
      <w:pPr>
        <w:ind w:left="1480" w:right="179" w:hanging="378"/>
        <w:spacing w:after="0" w:line="308" w:lineRule="auto"/>
        <w:tabs>
          <w:tab w:leader="none" w:pos="1480" w:val="left"/>
        </w:tabs>
        <w:numPr>
          <w:ilvl w:val="0"/>
          <w:numId w:val="5"/>
        </w:numPr>
        <w:rPr>
          <w:rFonts w:ascii="Arial" w:cs="Arial" w:eastAsia="Arial" w:hAnsi="Arial"/>
          <w:sz w:val="17"/>
          <w:szCs w:val="17"/>
          <w:b w:val="1"/>
          <w:bCs w:val="1"/>
          <w:color w:val="auto"/>
        </w:rPr>
      </w:pPr>
      <w:r>
        <w:rPr>
          <w:rFonts w:ascii="Arial" w:cs="Arial" w:eastAsia="Arial" w:hAnsi="Arial"/>
          <w:sz w:val="17"/>
          <w:szCs w:val="17"/>
          <w:color w:val="auto"/>
        </w:rPr>
        <w:t>Operating income excluding restructuring, integration and other charges incurred in the second quarter and first six months of fiscal 2011 and fiscal 2010. The reconciliation to GAAP is presented in the following table.</w:t>
      </w:r>
    </w:p>
    <w:p>
      <w:pPr>
        <w:spacing w:after="0" w:line="143"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540" w:type="dxa"/>
            <w:vAlign w:val="bottom"/>
          </w:tcPr>
          <w:p>
            <w:pPr>
              <w:spacing w:after="0"/>
              <w:rPr>
                <w:sz w:val="18"/>
                <w:szCs w:val="18"/>
                <w:color w:val="auto"/>
              </w:rPr>
            </w:pPr>
          </w:p>
        </w:tc>
        <w:tc>
          <w:tcPr>
            <w:tcW w:w="2540" w:type="dxa"/>
            <w:vAlign w:val="bottom"/>
            <w:gridSpan w:val="4"/>
          </w:tcPr>
          <w:p>
            <w:pPr>
              <w:ind w:left="1200"/>
              <w:spacing w:after="0"/>
              <w:rPr>
                <w:sz w:val="20"/>
                <w:szCs w:val="20"/>
                <w:color w:val="auto"/>
              </w:rPr>
            </w:pPr>
            <w:r>
              <w:rPr>
                <w:rFonts w:ascii="Arial" w:cs="Arial" w:eastAsia="Arial" w:hAnsi="Arial"/>
                <w:sz w:val="18"/>
                <w:szCs w:val="18"/>
                <w:b w:val="1"/>
                <w:bCs w:val="1"/>
                <w:color w:val="auto"/>
                <w:w w:val="97"/>
              </w:rPr>
              <w:t>Second Quarter</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4"/>
              </w:rPr>
              <w:t>First Half</w:t>
            </w: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4"/>
              </w:rPr>
              <w:t>First Half</w:t>
            </w:r>
          </w:p>
        </w:tc>
      </w:tr>
      <w:tr>
        <w:trPr>
          <w:trHeight w:val="234"/>
        </w:trPr>
        <w:tc>
          <w:tcPr>
            <w:tcW w:w="45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1"/>
              </w:rPr>
              <w:t>Fiscal 2011</w:t>
            </w:r>
          </w:p>
        </w:tc>
        <w:tc>
          <w:tcPr>
            <w:tcW w:w="240" w:type="dxa"/>
            <w:vAlign w:val="bottom"/>
          </w:tcPr>
          <w:p>
            <w:pPr>
              <w:spacing w:after="0"/>
              <w:rPr>
                <w:sz w:val="20"/>
                <w:szCs w:val="20"/>
                <w:color w:val="auto"/>
              </w:rPr>
            </w:pPr>
          </w:p>
        </w:tc>
        <w:tc>
          <w:tcPr>
            <w:tcW w:w="134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w w:val="91"/>
              </w:rPr>
              <w:t>Fiscal 2011</w:t>
            </w:r>
          </w:p>
        </w:tc>
        <w:tc>
          <w:tcPr>
            <w:tcW w:w="106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1"/>
              </w:rPr>
              <w:t>Fiscal 2010</w:t>
            </w:r>
          </w:p>
        </w:tc>
      </w:tr>
      <w:tr>
        <w:trPr>
          <w:trHeight w:val="210"/>
        </w:trPr>
        <w:tc>
          <w:tcPr>
            <w:tcW w:w="45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86"/>
              </w:rPr>
              <w:t>(Thousands)</w:t>
            </w:r>
          </w:p>
        </w:tc>
        <w:tc>
          <w:tcPr>
            <w:tcW w:w="3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GAAP operating income</w:t>
            </w:r>
          </w:p>
        </w:tc>
        <w:tc>
          <w:tcPr>
            <w:tcW w:w="132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227,602</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422,064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251,287</w:t>
            </w:r>
          </w:p>
        </w:tc>
      </w:tr>
      <w:tr>
        <w:trPr>
          <w:trHeight w:val="216"/>
        </w:trPr>
        <w:tc>
          <w:tcPr>
            <w:tcW w:w="4540" w:type="dxa"/>
            <w:vAlign w:val="bottom"/>
          </w:tcPr>
          <w:p>
            <w:pPr>
              <w:ind w:left="200"/>
              <w:spacing w:after="0"/>
              <w:rPr>
                <w:sz w:val="20"/>
                <w:szCs w:val="20"/>
                <w:color w:val="auto"/>
              </w:rPr>
            </w:pPr>
            <w:r>
              <w:rPr>
                <w:rFonts w:ascii="Arial" w:cs="Arial" w:eastAsia="Arial" w:hAnsi="Arial"/>
                <w:sz w:val="18"/>
                <w:szCs w:val="18"/>
                <w:color w:val="auto"/>
              </w:rPr>
              <w:t>Restructuring, integration and other charges</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29,112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57,179</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18,072</w:t>
            </w:r>
          </w:p>
        </w:tc>
      </w:tr>
      <w:tr>
        <w:trPr>
          <w:trHeight w:val="27"/>
        </w:trPr>
        <w:tc>
          <w:tcPr>
            <w:tcW w:w="4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Adjusted operating income</w:t>
            </w:r>
          </w:p>
        </w:tc>
        <w:tc>
          <w:tcPr>
            <w:tcW w:w="132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256,714</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479,243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269,359</w:t>
            </w:r>
          </w:p>
        </w:tc>
      </w:tr>
      <w:tr>
        <w:trPr>
          <w:trHeight w:val="20"/>
        </w:trPr>
        <w:tc>
          <w:tcPr>
            <w:tcW w:w="45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Management believes that providing this additional information is useful to the reader to better assess and understand operating performance, especially when comparing results with previous periods or forecasting performance for future periods, primarily because management typically monitors the business both including and excluding these adjustments to GAAP results. Management also uses these non-GAAP measures to establish operational goals and, in some cases, for measuring performance for compensation purposes. However, analysis of results on a non-GAAP basis should be used as a complement to, and in conjunction with, data presented in accordance with GAAP.</w:t>
      </w:r>
    </w:p>
    <w:p>
      <w:pPr>
        <w:spacing w:after="0" w:line="200" w:lineRule="exact"/>
        <w:rPr>
          <w:sz w:val="20"/>
          <w:szCs w:val="20"/>
          <w:color w:val="auto"/>
        </w:rPr>
      </w:pPr>
    </w:p>
    <w:p>
      <w:pPr>
        <w:spacing w:after="0" w:line="344"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OVERVIEW</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Organization</w:t>
      </w:r>
    </w:p>
    <w:p>
      <w:pPr>
        <w:spacing w:after="0" w:line="185" w:lineRule="exact"/>
        <w:rPr>
          <w:sz w:val="20"/>
          <w:szCs w:val="20"/>
          <w:color w:val="auto"/>
        </w:rPr>
      </w:pPr>
    </w:p>
    <w:p>
      <w:pPr>
        <w:jc w:val="both"/>
        <w:ind w:left="340" w:right="159" w:firstLine="389"/>
        <w:spacing w:after="0" w:line="290" w:lineRule="auto"/>
        <w:rPr>
          <w:sz w:val="20"/>
          <w:szCs w:val="20"/>
          <w:color w:val="auto"/>
        </w:rPr>
      </w:pPr>
      <w:r>
        <w:rPr>
          <w:rFonts w:ascii="Arial" w:cs="Arial" w:eastAsia="Arial" w:hAnsi="Arial"/>
          <w:sz w:val="16"/>
          <w:szCs w:val="16"/>
          <w:color w:val="auto"/>
        </w:rPr>
        <w:t>Avnet, Inc., incorporated in New York in 1955, together with its consolidated subsidiaries (the “Company” or “Avnet”), is one of the world’s largest industrial distributors, based on sales, of electronic components, enterprise computer and storage products and embedded subsystems. Avnet creates a vital link in the technology supply chain that connects more than 300 of the world’s leading electronic component and computer product manufacturers and software developers with a global customer base of more than 100,000 original equipment manufacturers (“OEMs”), electronic manufacturing services (“EMS”) providers, original design manufacturers (“ODMs”), and value-added resellers (“VARs”). Avnet distributes electronic components, computer products and software as received from its suppliers or with assembly or other value added by Avnet. Additionally, Avnet provides engineering design, materials management and logistics services, system integration and configuration, and supply chain services.</w:t>
      </w:r>
    </w:p>
    <w:p>
      <w:pPr>
        <w:spacing w:after="0" w:line="126"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Avnet has two primary operating groups — Electronics Marketing (“EM”) and Technology Solutions (“TS”). Both operating groups have operations in each of the three major economic regions of the world: the Americas; Europe, the Middle East and Africa (“EMEA”); and Asia/Pacific, consisting of Asia, Australia and New Zealand (“Asia” or “Asia/Pac”). A brief summary of each operating group is provided below:</w:t>
      </w:r>
    </w:p>
    <w:p>
      <w:pPr>
        <w:spacing w:after="0" w:line="160" w:lineRule="exact"/>
        <w:rPr>
          <w:sz w:val="20"/>
          <w:szCs w:val="20"/>
          <w:color w:val="auto"/>
        </w:rPr>
      </w:pPr>
    </w:p>
    <w:p>
      <w:pPr>
        <w:jc w:val="both"/>
        <w:ind w:left="1080" w:right="159" w:hanging="370"/>
        <w:spacing w:after="0" w:line="254" w:lineRule="auto"/>
        <w:tabs>
          <w:tab w:leader="none" w:pos="10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EM markets and sells semiconductors and interconnect, passive and electromechanical devices (“IP&amp;E”) for more than 300 of the world’s leading electronic component manufacturers. EM markets and sells its products and services to a diverse customer base serving many end-markets including automotive, communications, computer hardware and peripheral, industrial and manufacturing, medical equipment, military and aerospace. EM also offers an array of value-added services that help customers evaluate, design-in and procure electronic components throughout the lifecycle of their technology products and systems. By working with EM from the design phase through new product introduction and through the product lifecycle, customers and suppliers can accelerate their time to market and realize cost efficiencies in both the design and manufacturing process.</w:t>
      </w:r>
    </w:p>
    <w:p>
      <w:pPr>
        <w:spacing w:after="0" w:line="151" w:lineRule="exact"/>
        <w:rPr>
          <w:rFonts w:ascii="Arial" w:cs="Arial" w:eastAsia="Arial" w:hAnsi="Arial"/>
          <w:sz w:val="18"/>
          <w:szCs w:val="18"/>
          <w:b w:val="1"/>
          <w:bCs w:val="1"/>
          <w:color w:val="auto"/>
        </w:rPr>
      </w:pPr>
    </w:p>
    <w:p>
      <w:pPr>
        <w:jc w:val="both"/>
        <w:ind w:left="1080" w:right="159" w:hanging="370"/>
        <w:spacing w:after="0" w:line="255" w:lineRule="auto"/>
        <w:tabs>
          <w:tab w:leader="none" w:pos="10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TS markets and sells mid- to high-end servers, data storage, software, and the services required to implement these products and solutions to the VAR channel. TS also focuses on the worldwide OEM market for computing technology, system integrators and non-PC OEMs that require embedded systems and solutions including engineering, product prototyping, integration and other value-added services. As a global technology sales and marketing organization, TS has dedicated sales and marketing divisions focused on specific customer segments including OEMs, independent software vendors, system builders, system integrators and VARs.</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185" w:lineRule="exact"/>
        <w:rPr>
          <w:sz w:val="20"/>
          <w:szCs w:val="20"/>
          <w:color w:val="auto"/>
        </w:rPr>
      </w:pPr>
    </w:p>
    <w:p>
      <w:pPr>
        <w:jc w:val="both"/>
        <w:ind w:left="340" w:right="159" w:firstLine="389"/>
        <w:spacing w:after="0" w:line="254" w:lineRule="auto"/>
        <w:rPr>
          <w:sz w:val="20"/>
          <w:szCs w:val="20"/>
          <w:color w:val="auto"/>
        </w:rPr>
      </w:pPr>
      <w:r>
        <w:rPr>
          <w:rFonts w:ascii="Arial" w:cs="Arial" w:eastAsia="Arial" w:hAnsi="Arial"/>
          <w:sz w:val="18"/>
          <w:szCs w:val="18"/>
          <w:color w:val="auto"/>
        </w:rPr>
        <w:t>Revenue for the second quarter of fiscal 2011 increased 40.0% year over year to $6.77 billion driven by acquisitions and double-digit organic growth. Organic sales increased 13.7% which was the fourth consecutive quarter of double-digit year-over-year organic revenue growth. Both operating groups contributed to the year-over-year increase with organic sales growth of 23.0% and 4.9% for EM and TS, respectively. The year-over-year comparison of second quarter results were impacted by (i) acquisitions, (ii) the transfer of the existing embedded business from TS Americas to EM Americas which occurred in the first quarter of fiscal 2011, which did not have an impact on a consolidated basis but did impact sales comparisons for the groups; and (iii) the translation impact of changes in foreign currency exchange rates. As mentioned earlier in this MD&amp;A, sales adjusted for items (i) and (ii) are defined as “pro forma” or “organic sales.”</w:t>
      </w:r>
    </w:p>
    <w:p>
      <w:pPr>
        <w:spacing w:after="0" w:line="152" w:lineRule="exact"/>
        <w:rPr>
          <w:sz w:val="20"/>
          <w:szCs w:val="20"/>
          <w:color w:val="auto"/>
        </w:rPr>
      </w:pPr>
    </w:p>
    <w:p>
      <w:pPr>
        <w:jc w:val="both"/>
        <w:ind w:left="340" w:right="159" w:firstLine="389"/>
        <w:spacing w:after="0" w:line="287" w:lineRule="auto"/>
        <w:rPr>
          <w:sz w:val="20"/>
          <w:szCs w:val="20"/>
          <w:color w:val="auto"/>
        </w:rPr>
      </w:pPr>
      <w:r>
        <w:rPr>
          <w:rFonts w:ascii="Arial" w:cs="Arial" w:eastAsia="Arial" w:hAnsi="Arial"/>
          <w:sz w:val="16"/>
          <w:szCs w:val="16"/>
          <w:color w:val="auto"/>
        </w:rPr>
        <w:t>Gross profit margin was flat year over year but, as expected, declined 27 basis points sequentially, primarily due to the mix of business between EM and TS as the lower gross profit margin TS business grew to 47% of consolidated revenue from 41% for the first quarter of fiscal 2011. EM gross profit margin increased by 22 basis points year over year as a result of margin expansion in EMEA and Asia primarily due to improved supplier pricing in connection with higher sales volume. This was partially offset by a decline in the Americas, which resulted primarily from the addition of the lower gross profit margins in the recently acquired embedded business in the Americas and the transfer of the existing embedded business from TS. TS gross profit margin was down 28 basis points year over year and was essentially flat sequentially. The year-over-year margin decrease was primarily attributable to the EMEA region due to the impact of the integration of the Bell business, which has a lower gross profit margin profile than the legacy TS EMEA business. Although the Bell business has a lower gross profit margin profile due to its product mix, it is expected to have a higher working capital velocity which should yield a similar return on working capital as the existing Avnet business upon the realization of the anticipated synergies of at least $60 million annualized, currently expected to be by the end of fiscal 2011.</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70" w:lineRule="auto"/>
        <w:rPr>
          <w:sz w:val="20"/>
          <w:szCs w:val="20"/>
          <w:color w:val="auto"/>
        </w:rPr>
      </w:pPr>
      <w:r>
        <w:rPr>
          <w:rFonts w:ascii="Arial" w:cs="Arial" w:eastAsia="Arial" w:hAnsi="Arial"/>
          <w:sz w:val="17"/>
          <w:szCs w:val="17"/>
          <w:color w:val="auto"/>
        </w:rPr>
        <w:t>Operating income margins were flat year over year but improved 22 basis points sequentially. EM operating income margins improved 150 basis points year over year to 5.2%, which is within management’s target range for EM. All three regions within EM contributed, but the improvement was primarily driven by the operating leverage in the EMEA region with its 34% year-over-year revenue growth. TS operating income margin declined 52 basis points year over year primarily due to lower operating margins of the acquired businesses as compared with the existing TS businesses. The acquired businesses are in the process of being integrated into the existing operations for which certain synergies have been obtained for the actions taken to date and management expects the benefit of the full $60 million of annualized synergies to be realized in the first quarter of fiscal 2012. Sequentially, TS operating income margin increased 107 basis points, which is in line with the seasonally strong sequential growth in TS in the December quarter, with all three regions contributing to the improvement.</w:t>
      </w:r>
    </w:p>
    <w:p>
      <w:pPr>
        <w:spacing w:after="0" w:line="155"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The Company continued to focus on managing working capital velocity, defined as quarterly sales annualized divided by the monthly average of receivables plus inventory less accounts payable, which was 7.3 times for the second quarter of fiscal 2011. Working capital increased sequentially, primarily due to the growth in accounts receivable resulting from the seasonally stronger sales at TS and an increase in inventory at EM in anticipation of a seasonally strong March quarter and a reduction in accounts payable at EM.</w:t>
      </w:r>
    </w:p>
    <w:p>
      <w:pPr>
        <w:spacing w:after="0" w:line="148" w:lineRule="exact"/>
        <w:rPr>
          <w:sz w:val="20"/>
          <w:szCs w:val="20"/>
          <w:color w:val="auto"/>
        </w:rPr>
      </w:pPr>
    </w:p>
    <w:p>
      <w:pPr>
        <w:jc w:val="both"/>
        <w:ind w:left="340" w:right="159" w:firstLine="389"/>
        <w:spacing w:after="0" w:line="253" w:lineRule="auto"/>
        <w:rPr>
          <w:sz w:val="20"/>
          <w:szCs w:val="20"/>
          <w:color w:val="auto"/>
        </w:rPr>
      </w:pPr>
      <w:r>
        <w:rPr>
          <w:rFonts w:ascii="Arial" w:cs="Arial" w:eastAsia="Arial" w:hAnsi="Arial"/>
          <w:sz w:val="18"/>
          <w:szCs w:val="18"/>
          <w:color w:val="auto"/>
        </w:rPr>
        <w:t>As mentioned above, the Company completed its previously announced acquisition of Bell, a value-added distributor of storage and server products and solutions and computer components product, providing integration and support services to OEMs, VARs, system builders and end users in the US, Canada, EMEA and Latin America. Bell operated both a distribution and single tier reseller business and generated sales of approximately $3.0 billion in calendar 2009, of which 42%, 41% and 17% was generated in North America, EMEA and Latin America, respectively. The Company is integrating Bell into the EM Americas, TS Americas and TS EMEA regions and expects cost saving synergies of at least $60 million annualized upon completion of the integration activities, which are anticipated to be completed by the end of fiscal 2011. Also during the first half of fiscal 2011, the Company acquired Tallard, a value-added distributor of IT solutions in Latin America with annualized revenues of approximately $250 million, which is reported as part of the TS Americas region, Unidux, an electronics component distributor in Japan with annualized revenues of approximately $370 million, which is reported as part of the EM Asia region, and three smaller acquisitions with annualized revenues of approximately $50 million, two of which are reported as part of the EM Americas region and one is reported as part of the EM Asia region.</w:t>
      </w:r>
    </w:p>
    <w:p>
      <w:pPr>
        <w:spacing w:after="0" w:line="150"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Sales</w:t>
      </w:r>
    </w:p>
    <w:p>
      <w:pPr>
        <w:spacing w:after="0" w:line="198" w:lineRule="exact"/>
        <w:rPr>
          <w:sz w:val="20"/>
          <w:szCs w:val="20"/>
          <w:color w:val="auto"/>
        </w:rPr>
      </w:pPr>
    </w:p>
    <w:p>
      <w:pPr>
        <w:jc w:val="both"/>
        <w:ind w:left="340" w:right="159" w:firstLine="389"/>
        <w:spacing w:after="0" w:line="254" w:lineRule="auto"/>
        <w:rPr>
          <w:sz w:val="20"/>
          <w:szCs w:val="20"/>
          <w:color w:val="auto"/>
        </w:rPr>
      </w:pPr>
      <w:r>
        <w:rPr>
          <w:rFonts w:ascii="Arial" w:cs="Arial" w:eastAsia="Arial" w:hAnsi="Arial"/>
          <w:sz w:val="18"/>
          <w:szCs w:val="18"/>
          <w:color w:val="auto"/>
        </w:rPr>
        <w:t>The table below provides the comparison of second quarter of fiscal 2011 and 2010 sales for the Company and its operating groups. Several items impacted the comparison of second quarter sales to sales in the prior year second quarter; accordingly the table below also provides pro forma (or organic) sales which represents sales adjusted for (i) the impact of acquisitions by adjusting Avnet’s prior periods to include the sales of businesses acquired as if the acquisitions had occurred at the beginning of the period presented; and (ii) the impact of the transfer of the existing embedded business from TS Americas to EM Americas which occurred in the first quarter of fiscal 2011 in conjunction with the Bell acquisition so that substantially all embedded business in the Americas resides in the EM operating group. Sales taking into account the combination of these adjustments is referred to as “pro forma sales” or “organic sales.”</w:t>
      </w:r>
    </w:p>
    <w:p>
      <w:pPr>
        <w:spacing w:after="0" w:line="188"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1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ind w:left="20"/>
              <w:spacing w:after="0"/>
              <w:rPr>
                <w:sz w:val="20"/>
                <w:szCs w:val="20"/>
                <w:color w:val="auto"/>
              </w:rPr>
            </w:pPr>
            <w:r>
              <w:rPr>
                <w:rFonts w:ascii="Arial" w:cs="Arial" w:eastAsia="Arial" w:hAnsi="Arial"/>
                <w:sz w:val="18"/>
                <w:szCs w:val="18"/>
                <w:b w:val="1"/>
                <w:bCs w:val="1"/>
                <w:color w:val="auto"/>
              </w:rPr>
              <w:t>Pro forma</w:t>
            </w:r>
          </w:p>
        </w:tc>
      </w:tr>
      <w:tr>
        <w:trPr>
          <w:trHeight w:val="216"/>
        </w:trPr>
        <w:tc>
          <w:tcPr>
            <w:tcW w:w="1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ind w:left="20"/>
              <w:spacing w:after="0"/>
              <w:rPr>
                <w:sz w:val="20"/>
                <w:szCs w:val="20"/>
                <w:color w:val="auto"/>
              </w:rPr>
            </w:pPr>
            <w:r>
              <w:rPr>
                <w:rFonts w:ascii="Arial" w:cs="Arial" w:eastAsia="Arial" w:hAnsi="Arial"/>
                <w:sz w:val="18"/>
                <w:szCs w:val="18"/>
                <w:b w:val="1"/>
                <w:bCs w:val="1"/>
                <w:color w:val="auto"/>
              </w:rPr>
              <w:t>Year-Year</w:t>
            </w: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1"/>
              </w:rPr>
              <w:t>Pro forma</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b w:val="1"/>
                <w:bCs w:val="1"/>
                <w:color w:val="auto"/>
              </w:rPr>
              <w:t>Pro forma</w:t>
            </w:r>
          </w:p>
        </w:tc>
        <w:tc>
          <w:tcPr>
            <w:tcW w:w="980" w:type="dxa"/>
            <w:vAlign w:val="bottom"/>
            <w:gridSpan w:val="2"/>
          </w:tcPr>
          <w:p>
            <w:pPr>
              <w:ind w:left="20"/>
              <w:spacing w:after="0"/>
              <w:rPr>
                <w:sz w:val="20"/>
                <w:szCs w:val="20"/>
                <w:color w:val="auto"/>
              </w:rPr>
            </w:pPr>
            <w:r>
              <w:rPr>
                <w:rFonts w:ascii="Arial" w:cs="Arial" w:eastAsia="Arial" w:hAnsi="Arial"/>
                <w:sz w:val="18"/>
                <w:szCs w:val="18"/>
                <w:b w:val="1"/>
                <w:bCs w:val="1"/>
                <w:color w:val="auto"/>
              </w:rPr>
              <w:t>Year-Year</w:t>
            </w:r>
          </w:p>
        </w:tc>
      </w:tr>
      <w:tr>
        <w:trPr>
          <w:trHeight w:val="234"/>
        </w:trPr>
        <w:tc>
          <w:tcPr>
            <w:tcW w:w="1780" w:type="dxa"/>
            <w:vAlign w:val="bottom"/>
          </w:tcPr>
          <w:p>
            <w:pPr>
              <w:spacing w:after="0"/>
              <w:rPr>
                <w:sz w:val="20"/>
                <w:szCs w:val="20"/>
                <w:color w:val="auto"/>
              </w:rPr>
            </w:pPr>
          </w:p>
        </w:tc>
        <w:tc>
          <w:tcPr>
            <w:tcW w:w="1680" w:type="dxa"/>
            <w:vAlign w:val="bottom"/>
            <w:gridSpan w:val="4"/>
          </w:tcPr>
          <w:p>
            <w:pPr>
              <w:ind w:left="500"/>
              <w:spacing w:after="0"/>
              <w:rPr>
                <w:sz w:val="20"/>
                <w:szCs w:val="20"/>
                <w:color w:val="auto"/>
              </w:rPr>
            </w:pPr>
            <w:r>
              <w:rPr>
                <w:rFonts w:ascii="Arial" w:cs="Arial" w:eastAsia="Arial" w:hAnsi="Arial"/>
                <w:sz w:val="18"/>
                <w:szCs w:val="18"/>
                <w:b w:val="1"/>
                <w:bCs w:val="1"/>
                <w:color w:val="auto"/>
              </w:rPr>
              <w:t>Q2-Fiscal ’11</w:t>
            </w:r>
          </w:p>
        </w:tc>
        <w:tc>
          <w:tcPr>
            <w:tcW w:w="1300" w:type="dxa"/>
            <w:vAlign w:val="bottom"/>
            <w:gridSpan w:val="4"/>
          </w:tcPr>
          <w:p>
            <w:pPr>
              <w:ind w:left="140"/>
              <w:spacing w:after="0"/>
              <w:rPr>
                <w:sz w:val="20"/>
                <w:szCs w:val="20"/>
                <w:color w:val="auto"/>
              </w:rPr>
            </w:pPr>
            <w:r>
              <w:rPr>
                <w:rFonts w:ascii="Arial" w:cs="Arial" w:eastAsia="Arial" w:hAnsi="Arial"/>
                <w:sz w:val="18"/>
                <w:szCs w:val="18"/>
                <w:b w:val="1"/>
                <w:bCs w:val="1"/>
                <w:color w:val="auto"/>
              </w:rPr>
              <w:t>Q2-Fiscal ’10</w:t>
            </w:r>
          </w:p>
        </w:tc>
        <w:tc>
          <w:tcPr>
            <w:tcW w:w="1340" w:type="dxa"/>
            <w:vAlign w:val="bottom"/>
            <w:gridSpan w:val="3"/>
          </w:tcPr>
          <w:p>
            <w:pPr>
              <w:ind w:left="140"/>
              <w:spacing w:after="0"/>
              <w:rPr>
                <w:sz w:val="20"/>
                <w:szCs w:val="20"/>
                <w:color w:val="auto"/>
              </w:rPr>
            </w:pPr>
            <w:r>
              <w:rPr>
                <w:rFonts w:ascii="Arial" w:cs="Arial" w:eastAsia="Arial" w:hAnsi="Arial"/>
                <w:sz w:val="18"/>
                <w:szCs w:val="18"/>
                <w:b w:val="1"/>
                <w:bCs w:val="1"/>
                <w:color w:val="auto"/>
              </w:rPr>
              <w:t>% Change</w:t>
            </w: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Q2-Fiscal ’11</w:t>
            </w:r>
          </w:p>
        </w:tc>
        <w:tc>
          <w:tcPr>
            <w:tcW w:w="1480" w:type="dxa"/>
            <w:vAlign w:val="bottom"/>
            <w:gridSpan w:val="4"/>
          </w:tcPr>
          <w:p>
            <w:pPr>
              <w:ind w:left="160"/>
              <w:spacing w:after="0"/>
              <w:rPr>
                <w:sz w:val="20"/>
                <w:szCs w:val="20"/>
                <w:color w:val="auto"/>
              </w:rPr>
            </w:pPr>
            <w:r>
              <w:rPr>
                <w:rFonts w:ascii="Arial" w:cs="Arial" w:eastAsia="Arial" w:hAnsi="Arial"/>
                <w:sz w:val="18"/>
                <w:szCs w:val="18"/>
                <w:b w:val="1"/>
                <w:bCs w:val="1"/>
                <w:color w:val="auto"/>
              </w:rPr>
              <w:t>Q2-Fiscal ’10</w:t>
            </w:r>
          </w:p>
        </w:tc>
        <w:tc>
          <w:tcPr>
            <w:tcW w:w="980" w:type="dxa"/>
            <w:vAlign w:val="bottom"/>
            <w:gridSpan w:val="2"/>
          </w:tcPr>
          <w:p>
            <w:pPr>
              <w:spacing w:after="0"/>
              <w:rPr>
                <w:sz w:val="20"/>
                <w:szCs w:val="20"/>
                <w:color w:val="auto"/>
              </w:rPr>
            </w:pPr>
            <w:r>
              <w:rPr>
                <w:rFonts w:ascii="Arial" w:cs="Arial" w:eastAsia="Arial" w:hAnsi="Arial"/>
                <w:sz w:val="18"/>
                <w:szCs w:val="18"/>
                <w:b w:val="1"/>
                <w:bCs w:val="1"/>
                <w:color w:val="auto"/>
              </w:rPr>
              <w:t>% Change</w:t>
            </w:r>
          </w:p>
        </w:tc>
      </w:tr>
      <w:tr>
        <w:trPr>
          <w:trHeight w:val="210"/>
        </w:trPr>
        <w:tc>
          <w:tcPr>
            <w:tcW w:w="1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Borders>
              <w:top w:val="single" w:sz="8" w:color="auto"/>
            </w:tcBorders>
          </w:tcPr>
          <w:p>
            <w:pPr>
              <w:ind w:left="180"/>
              <w:spacing w:after="0"/>
              <w:rPr>
                <w:sz w:val="20"/>
                <w:szCs w:val="20"/>
                <w:color w:val="auto"/>
              </w:rPr>
            </w:pPr>
            <w:r>
              <w:rPr>
                <w:rFonts w:ascii="Arial" w:cs="Arial" w:eastAsia="Arial" w:hAnsi="Arial"/>
                <w:sz w:val="18"/>
                <w:szCs w:val="18"/>
                <w:b w:val="1"/>
                <w:bCs w:val="1"/>
                <w:color w:val="auto"/>
                <w:w w:val="92"/>
              </w:rPr>
              <w:t>(Dollars</w:t>
            </w:r>
          </w:p>
        </w:tc>
        <w:tc>
          <w:tcPr>
            <w:tcW w:w="380" w:type="dxa"/>
            <w:vAlign w:val="bottom"/>
          </w:tcPr>
          <w:p>
            <w:pPr>
              <w:ind w:left="20"/>
              <w:spacing w:after="0"/>
              <w:rPr>
                <w:sz w:val="20"/>
                <w:szCs w:val="20"/>
                <w:color w:val="auto"/>
              </w:rPr>
            </w:pPr>
            <w:r>
              <w:rPr>
                <w:rFonts w:ascii="Arial" w:cs="Arial" w:eastAsia="Arial" w:hAnsi="Arial"/>
                <w:sz w:val="18"/>
                <w:szCs w:val="18"/>
                <w:b w:val="1"/>
                <w:bCs w:val="1"/>
                <w:color w:val="auto"/>
              </w:rPr>
              <w:t>in</w:t>
            </w:r>
          </w:p>
        </w:tc>
        <w:tc>
          <w:tcPr>
            <w:tcW w:w="10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thousands)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Avnet, Inc.</w:t>
            </w:r>
          </w:p>
        </w:tc>
        <w:tc>
          <w:tcPr>
            <w:tcW w:w="7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6,767,495</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4,834,524</w:t>
            </w:r>
          </w:p>
        </w:tc>
        <w:tc>
          <w:tcPr>
            <w:tcW w:w="134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6,767,786</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5,953,630</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w:t>
            </w:r>
          </w:p>
        </w:tc>
      </w:tr>
      <w:tr>
        <w:trPr>
          <w:trHeight w:val="216"/>
        </w:trPr>
        <w:tc>
          <w:tcPr>
            <w:tcW w:w="1780" w:type="dxa"/>
            <w:vAlign w:val="bottom"/>
          </w:tcPr>
          <w:p>
            <w:pPr>
              <w:ind w:left="200"/>
              <w:spacing w:after="0"/>
              <w:rPr>
                <w:sz w:val="20"/>
                <w:szCs w:val="20"/>
                <w:color w:val="auto"/>
              </w:rPr>
            </w:pPr>
            <w:r>
              <w:rPr>
                <w:rFonts w:ascii="Arial" w:cs="Arial" w:eastAsia="Arial" w:hAnsi="Arial"/>
                <w:sz w:val="18"/>
                <w:szCs w:val="18"/>
                <w:color w:val="auto"/>
              </w:rPr>
              <w:t>EM</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3,558,614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2,517,200</w:t>
            </w:r>
          </w:p>
        </w:tc>
        <w:tc>
          <w:tcPr>
            <w:tcW w:w="1340" w:type="dxa"/>
            <w:vAlign w:val="bottom"/>
            <w:gridSpan w:val="3"/>
          </w:tcPr>
          <w:p>
            <w:pPr>
              <w:ind w:left="640"/>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3,558,905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2,894,017</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23.0</w:t>
            </w:r>
          </w:p>
        </w:tc>
      </w:tr>
      <w:tr>
        <w:trPr>
          <w:trHeight w:val="216"/>
        </w:trPr>
        <w:tc>
          <w:tcPr>
            <w:tcW w:w="1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TS</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3,208,881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2,317,324</w:t>
            </w:r>
          </w:p>
        </w:tc>
        <w:tc>
          <w:tcPr>
            <w:tcW w:w="134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38.5</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3,059,613</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w:t>
            </w:r>
          </w:p>
        </w:tc>
      </w:tr>
      <w:tr>
        <w:trPr>
          <w:trHeight w:val="216"/>
        </w:trPr>
        <w:tc>
          <w:tcPr>
            <w:tcW w:w="1780" w:type="dxa"/>
            <w:vAlign w:val="bottom"/>
          </w:tcPr>
          <w:p>
            <w:pPr>
              <w:spacing w:after="0"/>
              <w:rPr>
                <w:sz w:val="20"/>
                <w:szCs w:val="20"/>
                <w:color w:val="auto"/>
              </w:rPr>
            </w:pPr>
            <w:r>
              <w:rPr>
                <w:rFonts w:ascii="Arial" w:cs="Arial" w:eastAsia="Arial" w:hAnsi="Arial"/>
                <w:sz w:val="18"/>
                <w:szCs w:val="18"/>
                <w:b w:val="1"/>
                <w:bCs w:val="1"/>
                <w:color w:val="auto"/>
              </w:rPr>
              <w:t>EM</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Americas</w:t>
            </w:r>
          </w:p>
        </w:tc>
        <w:tc>
          <w:tcPr>
            <w:tcW w:w="7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1,219,879</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790,139</w:t>
            </w:r>
          </w:p>
        </w:tc>
        <w:tc>
          <w:tcPr>
            <w:tcW w:w="134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54.4%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1,220,169</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1,045,983</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16.7%</w:t>
            </w:r>
          </w:p>
        </w:tc>
      </w:tr>
      <w:tr>
        <w:trPr>
          <w:trHeight w:val="216"/>
        </w:trPr>
        <w:tc>
          <w:tcPr>
            <w:tcW w:w="1780" w:type="dxa"/>
            <w:vAlign w:val="bottom"/>
          </w:tcPr>
          <w:p>
            <w:pPr>
              <w:ind w:left="200"/>
              <w:spacing w:after="0"/>
              <w:rPr>
                <w:sz w:val="20"/>
                <w:szCs w:val="20"/>
                <w:color w:val="auto"/>
              </w:rPr>
            </w:pPr>
            <w:r>
              <w:rPr>
                <w:rFonts w:ascii="Arial" w:cs="Arial" w:eastAsia="Arial" w:hAnsi="Arial"/>
                <w:sz w:val="18"/>
                <w:szCs w:val="18"/>
                <w:color w:val="auto"/>
              </w:rPr>
              <w:t>EMEA</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1,079,121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803,281</w:t>
            </w:r>
          </w:p>
        </w:tc>
        <w:tc>
          <w:tcPr>
            <w:tcW w:w="1340" w:type="dxa"/>
            <w:vAlign w:val="bottom"/>
            <w:gridSpan w:val="3"/>
          </w:tcPr>
          <w:p>
            <w:pPr>
              <w:ind w:left="640"/>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803,281</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34.3</w:t>
            </w:r>
          </w:p>
        </w:tc>
      </w:tr>
      <w:tr>
        <w:trPr>
          <w:trHeight w:val="216"/>
        </w:trPr>
        <w:tc>
          <w:tcPr>
            <w:tcW w:w="1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Asia</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1,259,614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923,780</w:t>
            </w:r>
          </w:p>
        </w:tc>
        <w:tc>
          <w:tcPr>
            <w:tcW w:w="134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36.4</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1,044,753</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20.6</w:t>
            </w:r>
          </w:p>
        </w:tc>
      </w:tr>
      <w:tr>
        <w:trPr>
          <w:trHeight w:val="216"/>
        </w:trPr>
        <w:tc>
          <w:tcPr>
            <w:tcW w:w="1780" w:type="dxa"/>
            <w:vAlign w:val="bottom"/>
          </w:tcPr>
          <w:p>
            <w:pPr>
              <w:spacing w:after="0"/>
              <w:rPr>
                <w:sz w:val="20"/>
                <w:szCs w:val="20"/>
                <w:color w:val="auto"/>
              </w:rPr>
            </w:pPr>
            <w:r>
              <w:rPr>
                <w:rFonts w:ascii="Arial" w:cs="Arial" w:eastAsia="Arial" w:hAnsi="Arial"/>
                <w:sz w:val="18"/>
                <w:szCs w:val="18"/>
                <w:b w:val="1"/>
                <w:bCs w:val="1"/>
                <w:color w:val="auto"/>
              </w:rPr>
              <w:t>TS</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Americas</w:t>
            </w:r>
          </w:p>
        </w:tc>
        <w:tc>
          <w:tcPr>
            <w:tcW w:w="7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1,823,773</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1,399,341</w:t>
            </w:r>
          </w:p>
        </w:tc>
        <w:tc>
          <w:tcPr>
            <w:tcW w:w="134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30.3%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1,738,806</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w:t>
            </w:r>
          </w:p>
        </w:tc>
      </w:tr>
      <w:tr>
        <w:trPr>
          <w:trHeight w:val="216"/>
        </w:trPr>
        <w:tc>
          <w:tcPr>
            <w:tcW w:w="1780" w:type="dxa"/>
            <w:vAlign w:val="bottom"/>
          </w:tcPr>
          <w:p>
            <w:pPr>
              <w:ind w:left="200"/>
              <w:spacing w:after="0"/>
              <w:rPr>
                <w:sz w:val="20"/>
                <w:szCs w:val="20"/>
                <w:color w:val="auto"/>
              </w:rPr>
            </w:pPr>
            <w:r>
              <w:rPr>
                <w:rFonts w:ascii="Arial" w:cs="Arial" w:eastAsia="Arial" w:hAnsi="Arial"/>
                <w:sz w:val="18"/>
                <w:szCs w:val="18"/>
                <w:color w:val="auto"/>
              </w:rPr>
              <w:t>EMEA</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1,045,476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672,906</w:t>
            </w:r>
          </w:p>
        </w:tc>
        <w:tc>
          <w:tcPr>
            <w:tcW w:w="1340" w:type="dxa"/>
            <w:vAlign w:val="bottom"/>
            <w:gridSpan w:val="3"/>
          </w:tcPr>
          <w:p>
            <w:pPr>
              <w:ind w:left="640"/>
              <w:spacing w:after="0"/>
              <w:rPr>
                <w:sz w:val="20"/>
                <w:szCs w:val="20"/>
                <w:color w:val="auto"/>
              </w:rPr>
            </w:pPr>
            <w:r>
              <w:rPr>
                <w:rFonts w:ascii="Arial" w:cs="Arial" w:eastAsia="Arial" w:hAnsi="Arial"/>
                <w:sz w:val="18"/>
                <w:szCs w:val="18"/>
                <w:color w:val="auto"/>
              </w:rPr>
              <w:t>55.4</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1,034,755</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r>
      <w:tr>
        <w:trPr>
          <w:trHeight w:val="216"/>
        </w:trPr>
        <w:tc>
          <w:tcPr>
            <w:tcW w:w="1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Asia</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339,632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245,077</w:t>
            </w:r>
          </w:p>
        </w:tc>
        <w:tc>
          <w:tcPr>
            <w:tcW w:w="134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38.6</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286,052</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18.7</w:t>
            </w:r>
          </w:p>
        </w:tc>
      </w:tr>
      <w:tr>
        <w:trPr>
          <w:trHeight w:val="216"/>
        </w:trPr>
        <w:tc>
          <w:tcPr>
            <w:tcW w:w="1780" w:type="dxa"/>
            <w:vAlign w:val="bottom"/>
          </w:tcPr>
          <w:p>
            <w:pPr>
              <w:spacing w:after="0"/>
              <w:rPr>
                <w:sz w:val="20"/>
                <w:szCs w:val="20"/>
                <w:color w:val="auto"/>
              </w:rPr>
            </w:pPr>
            <w:r>
              <w:rPr>
                <w:rFonts w:ascii="Arial" w:cs="Arial" w:eastAsia="Arial" w:hAnsi="Arial"/>
                <w:sz w:val="18"/>
                <w:szCs w:val="18"/>
                <w:b w:val="1"/>
                <w:bCs w:val="1"/>
                <w:color w:val="auto"/>
              </w:rPr>
              <w:t>Totals by Region</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Americas</w:t>
            </w:r>
          </w:p>
        </w:tc>
        <w:tc>
          <w:tcPr>
            <w:tcW w:w="7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3,043,652</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2,189,480</w:t>
            </w:r>
          </w:p>
        </w:tc>
        <w:tc>
          <w:tcPr>
            <w:tcW w:w="134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39.0%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3,043,942</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2,784,789</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w:t>
            </w:r>
          </w:p>
        </w:tc>
      </w:tr>
      <w:tr>
        <w:trPr>
          <w:trHeight w:val="216"/>
        </w:trPr>
        <w:tc>
          <w:tcPr>
            <w:tcW w:w="1780" w:type="dxa"/>
            <w:vAlign w:val="bottom"/>
          </w:tcPr>
          <w:p>
            <w:pPr>
              <w:ind w:left="200"/>
              <w:spacing w:after="0"/>
              <w:rPr>
                <w:sz w:val="20"/>
                <w:szCs w:val="20"/>
                <w:color w:val="auto"/>
              </w:rPr>
            </w:pPr>
            <w:r>
              <w:rPr>
                <w:rFonts w:ascii="Arial" w:cs="Arial" w:eastAsia="Arial" w:hAnsi="Arial"/>
                <w:sz w:val="18"/>
                <w:szCs w:val="18"/>
                <w:color w:val="auto"/>
              </w:rPr>
              <w:t>EMEA</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2,124,597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1,476,187</w:t>
            </w:r>
          </w:p>
        </w:tc>
        <w:tc>
          <w:tcPr>
            <w:tcW w:w="1340" w:type="dxa"/>
            <w:vAlign w:val="bottom"/>
            <w:gridSpan w:val="3"/>
          </w:tcPr>
          <w:p>
            <w:pPr>
              <w:ind w:left="640"/>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1,838,036</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15.6</w:t>
            </w:r>
          </w:p>
        </w:tc>
      </w:tr>
      <w:tr>
        <w:trPr>
          <w:trHeight w:val="216"/>
        </w:trPr>
        <w:tc>
          <w:tcPr>
            <w:tcW w:w="1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Asia</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1,599,246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1,168,857</w:t>
            </w:r>
          </w:p>
        </w:tc>
        <w:tc>
          <w:tcPr>
            <w:tcW w:w="134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36.8</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1,330,805</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20.2</w:t>
            </w:r>
          </w:p>
        </w:tc>
      </w:tr>
    </w:tbl>
    <w:p>
      <w:pPr>
        <w:spacing w:after="0" w:line="200" w:lineRule="exact"/>
        <w:rPr>
          <w:sz w:val="20"/>
          <w:szCs w:val="20"/>
          <w:color w:val="auto"/>
        </w:rPr>
      </w:pPr>
    </w:p>
    <w:p>
      <w:pPr>
        <w:sectPr>
          <w:pgSz w:w="11900" w:h="16838" w:orient="portrait"/>
          <w:cols w:equalWidth="0" w:num="1">
            <w:col w:w="10219"/>
          </w:cols>
          <w:pgMar w:left="240" w:top="419" w:right="1440" w:bottom="1440" w:gutter="0" w:footer="0" w:header="0"/>
        </w:sectPr>
      </w:pPr>
    </w:p>
    <w:p>
      <w:pPr>
        <w:spacing w:after="0" w:line="353"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The following tables present the reconciliation of the reported sales to pro forma sales for second quarter of fiscal 2011 and 2010.</w:t>
      </w:r>
    </w:p>
    <w:p>
      <w:pPr>
        <w:spacing w:after="0" w:line="244"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174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As</w:t>
            </w:r>
          </w:p>
        </w:tc>
        <w:tc>
          <w:tcPr>
            <w:tcW w:w="220" w:type="dxa"/>
            <w:vAlign w:val="bottom"/>
          </w:tcPr>
          <w:p>
            <w:pPr>
              <w:spacing w:after="0"/>
              <w:rPr>
                <w:sz w:val="18"/>
                <w:szCs w:val="18"/>
                <w:color w:val="auto"/>
              </w:rPr>
            </w:pPr>
          </w:p>
        </w:tc>
        <w:tc>
          <w:tcPr>
            <w:tcW w:w="134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89"/>
              </w:rPr>
              <w:t>Acquisition</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Pro forma</w:t>
            </w:r>
          </w:p>
        </w:tc>
      </w:tr>
      <w:tr>
        <w:trPr>
          <w:trHeight w:val="234"/>
        </w:trPr>
        <w:tc>
          <w:tcPr>
            <w:tcW w:w="56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Q2 Fiscal 2011</w:t>
            </w:r>
          </w:p>
        </w:tc>
        <w:tc>
          <w:tcPr>
            <w:tcW w:w="300" w:type="dxa"/>
            <w:vAlign w:val="bottom"/>
          </w:tcPr>
          <w:p>
            <w:pPr>
              <w:spacing w:after="0"/>
              <w:rPr>
                <w:sz w:val="20"/>
                <w:szCs w:val="20"/>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Reported</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8"/>
              </w:rPr>
              <w:t xml:space="preserve">Sales </w:t>
            </w:r>
            <w:r>
              <w:rPr>
                <w:rFonts w:ascii="Arial" w:cs="Arial" w:eastAsia="Arial" w:hAnsi="Arial"/>
                <w:sz w:val="15"/>
                <w:szCs w:val="15"/>
                <w:b w:val="1"/>
                <w:bCs w:val="1"/>
                <w:color w:val="auto"/>
                <w:w w:val="88"/>
              </w:rPr>
              <w:t>(1)</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Sales</w:t>
            </w:r>
          </w:p>
        </w:tc>
      </w:tr>
      <w:tr>
        <w:trPr>
          <w:trHeight w:val="210"/>
        </w:trPr>
        <w:tc>
          <w:tcPr>
            <w:tcW w:w="1740" w:type="dxa"/>
            <w:vAlign w:val="bottom"/>
            <w:tcBorders>
              <w:top w:val="single" w:sz="8" w:color="auto"/>
            </w:tcBorders>
          </w:tcPr>
          <w:p>
            <w:pPr>
              <w:spacing w:after="0"/>
              <w:rPr>
                <w:sz w:val="18"/>
                <w:szCs w:val="18"/>
                <w:color w:val="auto"/>
              </w:rPr>
            </w:pPr>
          </w:p>
        </w:tc>
        <w:tc>
          <w:tcPr>
            <w:tcW w:w="39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6"/>
              </w:rPr>
              <w:t>(Thousands)</w:t>
            </w:r>
          </w:p>
        </w:tc>
        <w:tc>
          <w:tcPr>
            <w:tcW w:w="3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Avnet, Inc.</w:t>
            </w:r>
          </w:p>
        </w:tc>
        <w:tc>
          <w:tcPr>
            <w:tcW w:w="14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6,767,495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291</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  6,767,786</w:t>
            </w: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EM</w:t>
            </w:r>
          </w:p>
        </w:tc>
        <w:tc>
          <w:tcPr>
            <w:tcW w:w="1460" w:type="dxa"/>
            <w:vAlign w:val="bottom"/>
            <w:gridSpan w:val="3"/>
          </w:tcPr>
          <w:p>
            <w:pPr>
              <w:jc w:val="right"/>
              <w:ind w:right="180"/>
              <w:spacing w:after="0"/>
              <w:rPr>
                <w:sz w:val="20"/>
                <w:szCs w:val="20"/>
                <w:color w:val="auto"/>
              </w:rPr>
            </w:pPr>
            <w:r>
              <w:rPr>
                <w:rFonts w:ascii="Arial" w:cs="Arial" w:eastAsia="Arial" w:hAnsi="Arial"/>
                <w:sz w:val="18"/>
                <w:szCs w:val="18"/>
                <w:color w:val="auto"/>
              </w:rPr>
              <w:t>3,558,614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291</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3,558,905</w:t>
            </w:r>
          </w:p>
        </w:tc>
      </w:tr>
      <w:tr>
        <w:trPr>
          <w:trHeight w:val="216"/>
        </w:trPr>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 Americas</w:t>
            </w:r>
          </w:p>
        </w:tc>
        <w:tc>
          <w:tcPr>
            <w:tcW w:w="14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1,219,878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291</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1,220,169</w:t>
            </w:r>
          </w:p>
        </w:tc>
      </w:tr>
      <w:tr>
        <w:trPr>
          <w:trHeight w:val="189"/>
        </w:trPr>
        <w:tc>
          <w:tcPr>
            <w:tcW w:w="1740" w:type="dxa"/>
            <w:vAlign w:val="bottom"/>
            <w:tcBorders>
              <w:bottom w:val="single" w:sz="8" w:color="auto"/>
            </w:tcBorders>
          </w:tcPr>
          <w:p>
            <w:pPr>
              <w:spacing w:after="0"/>
              <w:rPr>
                <w:sz w:val="16"/>
                <w:szCs w:val="16"/>
                <w:color w:val="auto"/>
              </w:rPr>
            </w:pPr>
          </w:p>
        </w:tc>
        <w:tc>
          <w:tcPr>
            <w:tcW w:w="3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r>
    </w:tbl>
    <w:p>
      <w:pPr>
        <w:spacing w:after="0" w:line="175" w:lineRule="exact"/>
        <w:rPr>
          <w:sz w:val="20"/>
          <w:szCs w:val="20"/>
          <w:color w:val="auto"/>
        </w:rPr>
      </w:pPr>
    </w:p>
    <w:p>
      <w:pPr>
        <w:ind w:left="720" w:hanging="388"/>
        <w:spacing w:after="0"/>
        <w:tabs>
          <w:tab w:leader="none" w:pos="720" w:val="left"/>
        </w:tabs>
        <w:numPr>
          <w:ilvl w:val="0"/>
          <w:numId w:val="7"/>
        </w:numPr>
        <w:rPr>
          <w:rFonts w:ascii="Arial" w:cs="Arial" w:eastAsia="Arial" w:hAnsi="Arial"/>
          <w:sz w:val="15"/>
          <w:szCs w:val="15"/>
          <w:color w:val="auto"/>
        </w:rPr>
      </w:pPr>
      <w:r>
        <w:rPr>
          <w:rFonts w:ascii="Arial" w:cs="Arial" w:eastAsia="Arial" w:hAnsi="Arial"/>
          <w:sz w:val="18"/>
          <w:szCs w:val="18"/>
          <w:color w:val="auto"/>
        </w:rPr>
        <w:t>Includes Center Cell which was acquired November 2010 in the EM Americas region</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17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w w:val="95"/>
              </w:rPr>
              <w:t>Transfer of</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ind w:left="280"/>
              <w:spacing w:after="0"/>
              <w:rPr>
                <w:sz w:val="20"/>
                <w:szCs w:val="20"/>
                <w:color w:val="auto"/>
              </w:rPr>
            </w:pPr>
            <w:r>
              <w:rPr>
                <w:rFonts w:ascii="Arial" w:cs="Arial" w:eastAsia="Arial" w:hAnsi="Arial"/>
                <w:sz w:val="18"/>
                <w:szCs w:val="18"/>
                <w:b w:val="1"/>
                <w:bCs w:val="1"/>
                <w:color w:val="auto"/>
              </w:rPr>
              <w:t>As</w:t>
            </w:r>
          </w:p>
        </w:tc>
        <w:tc>
          <w:tcPr>
            <w:tcW w:w="200" w:type="dxa"/>
            <w:vAlign w:val="bottom"/>
          </w:tcPr>
          <w:p>
            <w:pPr>
              <w:spacing w:after="0"/>
              <w:rPr>
                <w:sz w:val="18"/>
                <w:szCs w:val="18"/>
                <w:color w:val="auto"/>
              </w:rPr>
            </w:pPr>
          </w:p>
        </w:tc>
        <w:tc>
          <w:tcPr>
            <w:tcW w:w="136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9"/>
              </w:rPr>
              <w:t>Acquisition</w:t>
            </w: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TS Business</w:t>
            </w:r>
          </w:p>
        </w:tc>
        <w:tc>
          <w:tcPr>
            <w:tcW w:w="10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4"/>
              </w:rPr>
              <w:t>Pro forma</w:t>
            </w:r>
          </w:p>
        </w:tc>
      </w:tr>
      <w:tr>
        <w:trPr>
          <w:trHeight w:val="234"/>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i w:val="1"/>
                <w:iCs w:val="1"/>
                <w:color w:val="auto"/>
              </w:rPr>
              <w:t>Q2 Fiscal 2010</w:t>
            </w: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1"/>
              </w:rPr>
              <w:t>Reported</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8"/>
              </w:rPr>
              <w:t xml:space="preserve">Sales </w:t>
            </w:r>
            <w:r>
              <w:rPr>
                <w:rFonts w:ascii="Arial" w:cs="Arial" w:eastAsia="Arial" w:hAnsi="Arial"/>
                <w:sz w:val="15"/>
                <w:szCs w:val="15"/>
                <w:b w:val="1"/>
                <w:bCs w:val="1"/>
                <w:color w:val="auto"/>
                <w:w w:val="88"/>
              </w:rPr>
              <w:t>(1)</w:t>
            </w:r>
          </w:p>
        </w:tc>
        <w:tc>
          <w:tcPr>
            <w:tcW w:w="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to EM</w:t>
            </w:r>
          </w:p>
        </w:tc>
        <w:tc>
          <w:tcPr>
            <w:tcW w:w="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4"/>
              </w:rPr>
              <w:t>Sales</w:t>
            </w:r>
          </w:p>
        </w:tc>
        <w:tc>
          <w:tcPr>
            <w:tcW w:w="100" w:type="dxa"/>
            <w:vAlign w:val="bottom"/>
          </w:tcPr>
          <w:p>
            <w:pPr>
              <w:spacing w:after="0"/>
              <w:rPr>
                <w:sz w:val="20"/>
                <w:szCs w:val="20"/>
                <w:color w:val="auto"/>
              </w:rPr>
            </w:pPr>
          </w:p>
        </w:tc>
      </w:tr>
      <w:tr>
        <w:trPr>
          <w:trHeight w:val="210"/>
        </w:trPr>
        <w:tc>
          <w:tcPr>
            <w:tcW w:w="17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60" w:type="dxa"/>
            <w:vAlign w:val="bottom"/>
            <w:gridSpan w:val="5"/>
          </w:tcPr>
          <w:p>
            <w:pPr>
              <w:jc w:val="right"/>
              <w:ind w:right="1080"/>
              <w:spacing w:after="0"/>
              <w:rPr>
                <w:sz w:val="20"/>
                <w:szCs w:val="20"/>
                <w:color w:val="auto"/>
              </w:rPr>
            </w:pPr>
            <w:r>
              <w:rPr>
                <w:rFonts w:ascii="Arial" w:cs="Arial" w:eastAsia="Arial" w:hAnsi="Arial"/>
                <w:sz w:val="18"/>
                <w:szCs w:val="18"/>
                <w:b w:val="1"/>
                <w:bCs w:val="1"/>
                <w:color w:val="auto"/>
              </w:rPr>
              <w:t>(Thousands)</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Avnet, Inc.</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4,834,524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1,119,106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5,953,630</w:t>
            </w:r>
          </w:p>
        </w:tc>
      </w:tr>
      <w:tr>
        <w:trPr>
          <w:trHeight w:val="216"/>
        </w:trPr>
        <w:tc>
          <w:tcPr>
            <w:tcW w:w="4280" w:type="dxa"/>
            <w:vAlign w:val="bottom"/>
            <w:gridSpan w:val="2"/>
          </w:tcPr>
          <w:p>
            <w:pPr>
              <w:ind w:left="200"/>
              <w:spacing w:after="0"/>
              <w:rPr>
                <w:sz w:val="20"/>
                <w:szCs w:val="20"/>
                <w:color w:val="auto"/>
              </w:rPr>
            </w:pPr>
            <w:r>
              <w:rPr>
                <w:rFonts w:ascii="Arial" w:cs="Arial" w:eastAsia="Arial" w:hAnsi="Arial"/>
                <w:sz w:val="18"/>
                <w:szCs w:val="18"/>
                <w:color w:val="auto"/>
              </w:rPr>
              <w:t>EM</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2,517,200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283,771</w:t>
            </w:r>
          </w:p>
        </w:tc>
        <w:tc>
          <w:tcPr>
            <w:tcW w:w="16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93,046</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2,894,017</w:t>
            </w:r>
          </w:p>
        </w:tc>
      </w:tr>
      <w:tr>
        <w:trPr>
          <w:trHeight w:val="216"/>
        </w:trPr>
        <w:tc>
          <w:tcPr>
            <w:tcW w:w="42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2,317,324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835,335</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(93,046)</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3,059,613</w:t>
            </w: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EM</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Americas</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790,139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162,798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93,046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1,045,983</w:t>
            </w:r>
          </w:p>
        </w:tc>
      </w:tr>
      <w:tr>
        <w:trPr>
          <w:trHeight w:val="216"/>
        </w:trPr>
        <w:tc>
          <w:tcPr>
            <w:tcW w:w="4280" w:type="dxa"/>
            <w:vAlign w:val="bottom"/>
            <w:gridSpan w:val="2"/>
          </w:tcPr>
          <w:p>
            <w:pPr>
              <w:ind w:left="200"/>
              <w:spacing w:after="0"/>
              <w:rPr>
                <w:sz w:val="20"/>
                <w:szCs w:val="20"/>
                <w:color w:val="auto"/>
              </w:rPr>
            </w:pPr>
            <w:r>
              <w:rPr>
                <w:rFonts w:ascii="Arial" w:cs="Arial" w:eastAsia="Arial" w:hAnsi="Arial"/>
                <w:sz w:val="18"/>
                <w:szCs w:val="18"/>
                <w:color w:val="auto"/>
              </w:rPr>
              <w:t>EMEA</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803,281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803,281</w:t>
            </w:r>
          </w:p>
        </w:tc>
      </w:tr>
      <w:tr>
        <w:trPr>
          <w:trHeight w:val="216"/>
        </w:trPr>
        <w:tc>
          <w:tcPr>
            <w:tcW w:w="42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Asia</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923,780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120,973</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1,044,753</w:t>
            </w: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Americas</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1,399,341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432,511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(93,046)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1,738,806</w:t>
            </w:r>
          </w:p>
        </w:tc>
      </w:tr>
      <w:tr>
        <w:trPr>
          <w:trHeight w:val="216"/>
        </w:trPr>
        <w:tc>
          <w:tcPr>
            <w:tcW w:w="4280" w:type="dxa"/>
            <w:vAlign w:val="bottom"/>
            <w:gridSpan w:val="2"/>
          </w:tcPr>
          <w:p>
            <w:pPr>
              <w:ind w:left="200"/>
              <w:spacing w:after="0"/>
              <w:rPr>
                <w:sz w:val="20"/>
                <w:szCs w:val="20"/>
                <w:color w:val="auto"/>
              </w:rPr>
            </w:pPr>
            <w:r>
              <w:rPr>
                <w:rFonts w:ascii="Arial" w:cs="Arial" w:eastAsia="Arial" w:hAnsi="Arial"/>
                <w:sz w:val="18"/>
                <w:szCs w:val="18"/>
                <w:color w:val="auto"/>
              </w:rPr>
              <w:t>EMEA</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672,906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361,849</w:t>
            </w:r>
          </w:p>
        </w:tc>
        <w:tc>
          <w:tcPr>
            <w:tcW w:w="16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1,034,755</w:t>
            </w:r>
          </w:p>
        </w:tc>
      </w:tr>
      <w:tr>
        <w:trPr>
          <w:trHeight w:val="216"/>
        </w:trPr>
        <w:tc>
          <w:tcPr>
            <w:tcW w:w="42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Asia</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245,077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40,975</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286,052</w:t>
            </w:r>
          </w:p>
        </w:tc>
      </w:tr>
      <w:tr>
        <w:trPr>
          <w:trHeight w:val="176"/>
        </w:trPr>
        <w:tc>
          <w:tcPr>
            <w:tcW w:w="1740" w:type="dxa"/>
            <w:vAlign w:val="bottom"/>
            <w:tcBorders>
              <w:bottom w:val="single" w:sz="8" w:color="auto"/>
            </w:tcBorders>
          </w:tcPr>
          <w:p>
            <w:pPr>
              <w:spacing w:after="0"/>
              <w:rPr>
                <w:sz w:val="15"/>
                <w:szCs w:val="15"/>
                <w:color w:val="auto"/>
              </w:rPr>
            </w:pPr>
          </w:p>
        </w:tc>
        <w:tc>
          <w:tcPr>
            <w:tcW w:w="2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r>
    </w:tbl>
    <w:p>
      <w:pPr>
        <w:spacing w:after="0" w:line="175" w:lineRule="exact"/>
        <w:rPr>
          <w:sz w:val="20"/>
          <w:szCs w:val="20"/>
          <w:color w:val="auto"/>
        </w:rPr>
      </w:pPr>
    </w:p>
    <w:p>
      <w:pPr>
        <w:ind w:left="720" w:hanging="388"/>
        <w:spacing w:after="0"/>
        <w:tabs>
          <w:tab w:leader="none" w:pos="720" w:val="left"/>
        </w:tabs>
        <w:numPr>
          <w:ilvl w:val="0"/>
          <w:numId w:val="8"/>
        </w:numPr>
        <w:rPr>
          <w:rFonts w:ascii="Arial" w:cs="Arial" w:eastAsia="Arial" w:hAnsi="Arial"/>
          <w:sz w:val="15"/>
          <w:szCs w:val="15"/>
          <w:color w:val="auto"/>
        </w:rPr>
      </w:pPr>
      <w:r>
        <w:rPr>
          <w:rFonts w:ascii="Arial" w:cs="Arial" w:eastAsia="Arial" w:hAnsi="Arial"/>
          <w:sz w:val="18"/>
          <w:szCs w:val="18"/>
          <w:color w:val="auto"/>
        </w:rPr>
        <w:t>Includes the following acquisitions:</w:t>
      </w:r>
    </w:p>
    <w:p>
      <w:pPr>
        <w:spacing w:after="0" w:line="76" w:lineRule="exact"/>
        <w:rPr>
          <w:rFonts w:ascii="Arial" w:cs="Arial" w:eastAsia="Arial" w:hAnsi="Arial"/>
          <w:sz w:val="15"/>
          <w:szCs w:val="15"/>
          <w:color w:val="auto"/>
        </w:rPr>
      </w:pPr>
    </w:p>
    <w:p>
      <w:pPr>
        <w:ind w:left="720" w:right="2459"/>
        <w:spacing w:after="0" w:line="328" w:lineRule="auto"/>
        <w:rPr>
          <w:rFonts w:ascii="Arial" w:cs="Arial" w:eastAsia="Arial" w:hAnsi="Arial"/>
          <w:sz w:val="15"/>
          <w:szCs w:val="15"/>
          <w:color w:val="auto"/>
        </w:rPr>
      </w:pPr>
      <w:r>
        <w:rPr>
          <w:rFonts w:ascii="Arial" w:cs="Arial" w:eastAsia="Arial" w:hAnsi="Arial"/>
          <w:sz w:val="18"/>
          <w:szCs w:val="18"/>
          <w:color w:val="auto"/>
        </w:rPr>
        <w:t>Bell Microproducts acquired July 2010 in the EM Americas, TS Americas and TS EMEA regions Tallard Technologies acquired July 2010 in the TS Americas region</w:t>
      </w:r>
    </w:p>
    <w:p>
      <w:pPr>
        <w:spacing w:after="0" w:line="1" w:lineRule="exact"/>
        <w:rPr>
          <w:rFonts w:ascii="Arial" w:cs="Arial" w:eastAsia="Arial" w:hAnsi="Arial"/>
          <w:sz w:val="15"/>
          <w:szCs w:val="15"/>
          <w:color w:val="auto"/>
        </w:rPr>
      </w:pPr>
    </w:p>
    <w:p>
      <w:pPr>
        <w:ind w:left="720"/>
        <w:spacing w:after="0"/>
        <w:rPr>
          <w:rFonts w:ascii="Arial" w:cs="Arial" w:eastAsia="Arial" w:hAnsi="Arial"/>
          <w:sz w:val="15"/>
          <w:szCs w:val="15"/>
          <w:color w:val="auto"/>
        </w:rPr>
      </w:pPr>
      <w:r>
        <w:rPr>
          <w:rFonts w:ascii="Arial" w:cs="Arial" w:eastAsia="Arial" w:hAnsi="Arial"/>
          <w:sz w:val="18"/>
          <w:szCs w:val="18"/>
          <w:color w:val="auto"/>
        </w:rPr>
        <w:t>Unidux acquired July 2010 in the EM Asia region</w:t>
      </w:r>
    </w:p>
    <w:p>
      <w:pPr>
        <w:spacing w:after="0" w:line="76" w:lineRule="exact"/>
        <w:rPr>
          <w:rFonts w:ascii="Arial" w:cs="Arial" w:eastAsia="Arial" w:hAnsi="Arial"/>
          <w:sz w:val="15"/>
          <w:szCs w:val="15"/>
          <w:color w:val="auto"/>
        </w:rPr>
      </w:pPr>
    </w:p>
    <w:p>
      <w:pPr>
        <w:ind w:left="720" w:right="4799"/>
        <w:spacing w:after="0" w:line="369" w:lineRule="auto"/>
        <w:rPr>
          <w:rFonts w:ascii="Arial" w:cs="Arial" w:eastAsia="Arial" w:hAnsi="Arial"/>
          <w:sz w:val="15"/>
          <w:szCs w:val="15"/>
          <w:color w:val="auto"/>
        </w:rPr>
      </w:pPr>
      <w:r>
        <w:rPr>
          <w:rFonts w:ascii="Arial" w:cs="Arial" w:eastAsia="Arial" w:hAnsi="Arial"/>
          <w:sz w:val="17"/>
          <w:szCs w:val="17"/>
          <w:color w:val="auto"/>
        </w:rPr>
        <w:t>Broadband acquired October 2010 in the EM Americas region Eurotone acquired October 2010 in the EM Asia region Center Cell acquired November 2010 in the EM Americas region</w:t>
      </w:r>
    </w:p>
    <w:p>
      <w:pPr>
        <w:spacing w:after="0" w:line="57"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Consolidated sales for the second quarter of fiscal 2011 were $6.77 billion, an increase of 40.0%, or $1.93 billion, from the prior year second quarter consolidated sales of $4.83 billion due primarily to acquisitions. Organic sales (as defined earlier in this MD&amp;A) increased 13.7% and increased 15.7% excluding the translation impact of foreign currency exchange rates. This was the fourth consecutive quarter of double-digit year-over-year organic revenue growth. Both operating groups contributed to the year-over-year increase with organic sales of 23.0% at EM and 4.9% at TS.</w:t>
      </w:r>
    </w:p>
    <w:p>
      <w:pPr>
        <w:spacing w:after="0" w:line="161" w:lineRule="exact"/>
        <w:rPr>
          <w:sz w:val="20"/>
          <w:szCs w:val="20"/>
          <w:color w:val="auto"/>
        </w:rPr>
      </w:pPr>
    </w:p>
    <w:p>
      <w:pPr>
        <w:jc w:val="both"/>
        <w:ind w:left="340" w:right="159" w:firstLine="389"/>
        <w:spacing w:after="0" w:line="254" w:lineRule="auto"/>
        <w:rPr>
          <w:sz w:val="20"/>
          <w:szCs w:val="20"/>
          <w:color w:val="auto"/>
        </w:rPr>
      </w:pPr>
      <w:r>
        <w:rPr>
          <w:rFonts w:ascii="Arial" w:cs="Arial" w:eastAsia="Arial" w:hAnsi="Arial"/>
          <w:sz w:val="18"/>
          <w:szCs w:val="18"/>
          <w:color w:val="auto"/>
        </w:rPr>
        <w:t>EM sales of $3.56 billion in the second quarter of fiscal 2011 increased 41.4% over the prior year second quarter sales of $2.52 billion. The year-over-year comparisons were impacted by recent acquisitions and the transfer of the TS embedded business to EM. Organic sales increased 23.0% and increased 25.2% excluding the translation impact of foreign currency exchange rates. All three regions contributed to the year-over-year organic sales growth with 16.7%, 34.3% and 20.6% in the Americas, EMEA and Asia, respectively, driven by stronger end demand experienced across the technology industry in all three regions. The EMEA results were negatively impacted by the strengthening of the US Dollar against the Euro during the second quarter of fiscal 2011 as compared with the prior year second quarter. Excluding the translation impact of changes in foreign currency exchange rates, the EMEA region sales increased 43.8%.</w:t>
      </w:r>
    </w:p>
    <w:p>
      <w:pPr>
        <w:spacing w:after="0" w:line="200" w:lineRule="exact"/>
        <w:rPr>
          <w:sz w:val="20"/>
          <w:szCs w:val="20"/>
          <w:color w:val="auto"/>
        </w:rPr>
      </w:pPr>
    </w:p>
    <w:p>
      <w:pPr>
        <w:spacing w:after="0" w:line="34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TS sales of $3.21 billion in the second quarter of fiscal 2011 increased 38.5% over the prior year second quarter sales of $2.32 billion. The year-over-year comparisons were impacted by recent acquisitions and the transfer of the TS embedded business to EM. Organic sales increased 4.9% and increased 6.7% excluding the translation impact of foreign currency exchange rates. Organic sales increased 4.9% and 18.7% in the Americas and Asia regions, respectively. The EMEA results were negatively impacted by the strengthening of the US dollar against the Euro as organic sales increased 1.0% and increased 7.6% year over year excluding the impact of changes in foreign currency exchange rates. On a product level, year-over-year sales growth was driven by industry standard servers, storage and networking products.</w:t>
      </w:r>
    </w:p>
    <w:p>
      <w:pPr>
        <w:spacing w:after="0" w:line="162" w:lineRule="exact"/>
        <w:rPr>
          <w:sz w:val="20"/>
          <w:szCs w:val="20"/>
          <w:color w:val="auto"/>
        </w:rPr>
      </w:pPr>
    </w:p>
    <w:p>
      <w:pPr>
        <w:jc w:val="both"/>
        <w:ind w:left="340" w:right="179" w:firstLine="389"/>
        <w:spacing w:after="0" w:line="274" w:lineRule="auto"/>
        <w:rPr>
          <w:sz w:val="20"/>
          <w:szCs w:val="20"/>
          <w:color w:val="auto"/>
        </w:rPr>
      </w:pPr>
      <w:r>
        <w:rPr>
          <w:rFonts w:ascii="Arial" w:cs="Arial" w:eastAsia="Arial" w:hAnsi="Arial"/>
          <w:sz w:val="17"/>
          <w:szCs w:val="17"/>
          <w:color w:val="auto"/>
        </w:rPr>
        <w:t>Consolidated sales for the first half of fiscal 2011 were $12.9 billion, up 40.9%, over sales of $9.19 billion in the first half of fiscal 2010. The comparison of sales to the same period in prior year was impacted by (i) acquisitions, (ii) organic sales growth,</w:t>
      </w:r>
    </w:p>
    <w:p>
      <w:pPr>
        <w:jc w:val="both"/>
        <w:ind w:left="340" w:right="159" w:hanging="8"/>
        <w:spacing w:after="0" w:line="292" w:lineRule="auto"/>
        <w:tabs>
          <w:tab w:leader="none" w:pos="662"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negative impact of the strengthening of the US dollar against the Euro; and (iv) the extra week of sales, which was estimated at roughly $400 million, in fiscal 2010 due to the Company’s 52/53 fiscal calendar. EM sales of $7.18 billion for the first half of fiscal 2011 were up 44.9% as compared with the first half of fiscal 2010 and organic sales were up 31.1% year over year with all three regions contributing to the increase. TS sales of $5.77 billion for the first half of fiscal 2011 were up 36.3% as compared with the first half of fiscal 2010 and organic sales were up 7.6% year over year, primarily driven by sales growth in the Americas and Asia regions.</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Gross Profit and Gross Profit Margins</w:t>
      </w:r>
    </w:p>
    <w:p>
      <w:pPr>
        <w:spacing w:after="0" w:line="189" w:lineRule="exact"/>
        <w:rPr>
          <w:sz w:val="20"/>
          <w:szCs w:val="20"/>
          <w:color w:val="auto"/>
        </w:rPr>
      </w:pPr>
    </w:p>
    <w:p>
      <w:pPr>
        <w:jc w:val="both"/>
        <w:ind w:left="340" w:right="159" w:firstLine="389"/>
        <w:spacing w:after="0" w:line="286" w:lineRule="auto"/>
        <w:rPr>
          <w:sz w:val="20"/>
          <w:szCs w:val="20"/>
          <w:color w:val="auto"/>
        </w:rPr>
      </w:pPr>
      <w:r>
        <w:rPr>
          <w:rFonts w:ascii="Arial" w:cs="Arial" w:eastAsia="Arial" w:hAnsi="Arial"/>
          <w:sz w:val="16"/>
          <w:szCs w:val="16"/>
          <w:color w:val="auto"/>
        </w:rPr>
        <w:t>Consolidated gross profit for the second quarter of fiscal 2011 was $773.2 million, an increase of $221.3 million, or 40.1%, from the prior year second quarter due primarily to strong organic sales growth and the increase in sales related to acquisitions. Gross profit margin of 11.4% was flat year over year and, as expected, declined 27 basis points sequentially, primarily due to the mix of business between EM and TS as the lower gross profit margin TS business grew to 47% of consolidated revenue from 41% for the first quarter of fiscal 2011. For EM, gross profit margin increased 22 basis points year over year as a result of margin expansion in EMEA and Asia driven largely by improved supplier pricing in connection with higher sales volume. This was offset by a decline in the Americas, which was due to the impact of the acquisition of Bell and the transfer of the lower margin embedded business from TS Americas to EM Americas. EM gross profit margin was essentially flat, up 10 basis points, sequentially. TS gross profit margin declined 28 basis points year over year and 9 basis points sequentially. Both the year-over-year and sequential declines were primarily attributable to the EMEA region which was impacted by the acquisition of the Bell business, which has a lower gross profit margin profile than the existing TS EMEA businesses. Although the Bell business has a lower gross profit margin profile due to its product mix, it is expected to have a higher working capital velocity which should result in a similar return on working capital as the existing Avnet business upon the realization of the anticipated synergies of at least $60 million annualized, currently expected to be by the end of fiscal 2011.</w:t>
      </w:r>
    </w:p>
    <w:p>
      <w:pPr>
        <w:spacing w:after="0" w:line="148"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Consolidated gross profit and gross profit margins were $1.50 billion and 11.6%, respectively, for the first half of fiscal 2011 as compared with $1.05 billion and 11.4%, respectively, for the first half of fiscal 2010. For the first half of fiscal 2011, EM gross profit margin increased 24 basis points year over year and TS gross profit margin declined 21 basis points year over year driven largely by the same factors as discussed in the quarterly gross profit margin analysis.</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189" w:lineRule="exact"/>
        <w:rPr>
          <w:sz w:val="20"/>
          <w:szCs w:val="20"/>
          <w:color w:val="auto"/>
        </w:rPr>
      </w:pPr>
    </w:p>
    <w:p>
      <w:pPr>
        <w:jc w:val="both"/>
        <w:ind w:left="340" w:right="159" w:firstLine="389"/>
        <w:spacing w:after="0" w:line="270" w:lineRule="auto"/>
        <w:rPr>
          <w:sz w:val="20"/>
          <w:szCs w:val="20"/>
          <w:color w:val="auto"/>
        </w:rPr>
      </w:pPr>
      <w:r>
        <w:rPr>
          <w:rFonts w:ascii="Arial" w:cs="Arial" w:eastAsia="Arial" w:hAnsi="Arial"/>
          <w:sz w:val="17"/>
          <w:szCs w:val="17"/>
          <w:color w:val="auto"/>
        </w:rPr>
        <w:t>Selling, general and administrative expenses (“SG&amp;A expenses”) were $516.5 million in the second quarter of fiscal 2011, which was an increase of $126.9 million, or 32.6%, from the prior year second quarter. The increase in SG&amp;A expenses was primarily a result of approximately $79 million of additional SG&amp;A expenses associated with acquisitions partially offset by the translation impact of changes in foreign currency exchange rates of approximately $11 million. The remaining increase in SG&amp;A expenses of $59 million was primarily a result of the incremental costs necessary to support the year-over-year double digit organic sales growth. As mentioned previously in this MD&amp;A, the Company is in the process of integrating Bell into the EM Americas, TS Americas and TS EMEA regions. Some synergies have been obtained based upon the integration actions taken to date and management expects cost saving synergies of at least $60 million annualized upon completion of the integration activities, which are anticipated to be completed by the end of fiscal 2011.</w:t>
      </w:r>
    </w:p>
    <w:p>
      <w:pPr>
        <w:spacing w:after="0" w:line="200" w:lineRule="exact"/>
        <w:rPr>
          <w:sz w:val="20"/>
          <w:szCs w:val="20"/>
          <w:color w:val="auto"/>
        </w:rPr>
      </w:pPr>
    </w:p>
    <w:p>
      <w:pPr>
        <w:spacing w:after="0" w:line="346"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Metrics that management monitors with respect to its operating expenses are SG&amp;A expenses as a percentage of sales and as a percentage of gross profit. In the second quarter of fiscal 2011, SG&amp;A expenses were 7.6% of sales and 66.8% of gross profit as compared with 8.1% and 70.6%, respectively, in the second quarter of fiscal 2010. This is the fifth consecutive quarter of year-over-year improvement and represents a return to pre-recession levels for this metric. In addition to the year-over-year improvement, the Company improved these metrics sequentially as a result of incremental expense productivity improvements even while the integration of acquired businesses is still on-going.</w:t>
      </w:r>
    </w:p>
    <w:p>
      <w:pPr>
        <w:spacing w:after="0" w:line="166"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SG&amp;A expenses for the first half of fiscal 2011 were $1.02 billion, or 7.9% of consolidated sales, as compared with $782.3 million, or 8.5% of consolidated sales, in the first half of fiscal 2010. The year-over-year increase in SG&amp;A expenses as a percentage of consolidated sales in the first half of fiscal 2011 was similarly due to additional expenses associated with businesses acquired and the extra week of expenses due to the Company’s fiscal calendar, partially offset by the translation impact of changes in foreign currency exchange rates. SG&amp;A expenses were 68.0% of gross profit in the first half of fiscal 2011 as compared with 74.4% in the first half of fiscal 2010.</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Restructuring, Integration and Other Charges</w:t>
      </w:r>
    </w:p>
    <w:p>
      <w:pPr>
        <w:spacing w:after="0" w:line="189" w:lineRule="exact"/>
        <w:rPr>
          <w:sz w:val="20"/>
          <w:szCs w:val="20"/>
          <w:color w:val="auto"/>
        </w:rPr>
      </w:pPr>
    </w:p>
    <w:p>
      <w:pPr>
        <w:jc w:val="both"/>
        <w:ind w:left="340" w:right="159" w:firstLine="389"/>
        <w:spacing w:after="0" w:line="269" w:lineRule="auto"/>
        <w:rPr>
          <w:sz w:val="20"/>
          <w:szCs w:val="20"/>
          <w:color w:val="auto"/>
        </w:rPr>
      </w:pPr>
      <w:r>
        <w:rPr>
          <w:rFonts w:ascii="Arial" w:cs="Arial" w:eastAsia="Arial" w:hAnsi="Arial"/>
          <w:sz w:val="17"/>
          <w:szCs w:val="17"/>
          <w:color w:val="auto"/>
        </w:rPr>
        <w:t>Restructuring, integration and other charges amounted to $29.1 million pre-tax, $20.8 million after tax and $0.14 per share on a diluted basis for the second quarter of fiscal 2011 and included restructuring costs of $10.7 million pre-tax for severance and $11.4 million pre-tax for facility exit costs for lease liabilities, fixed asset write downs and other related charges associated with vacated facilities. Integration costs of $8.8 million pre-tax included professional fees associated with legal and IT consulting, facility moving costs, travel, meeting, marketing and communication costs that were incrementally incurred as a result of the integration activity. Also included in integration costs are incremental salary and employee benefits costs, primarily of the acquired businesses’ personnel who where retained by Avnet for extended periods following the close of the acquisitions solely to assist in the integration of the acquired businesses’ IT systems and administrative and logistics operations into those of Avnet. These identified personnel have no other meaningful day-to-day operational responsibilities outside of the integration effort. Transaction costs of $1.3 million pre-tax consisted primarily of professional fees for brokering the deals, due diligence work and other legal costs. The Company recorded other charges of $0.4 million and a reversal of $3.5 million to adjust reserves related to prior year restructuring activity which were no longer required.</w:t>
      </w:r>
    </w:p>
    <w:p>
      <w:pPr>
        <w:spacing w:after="0" w:line="153" w:lineRule="exact"/>
        <w:rPr>
          <w:sz w:val="20"/>
          <w:szCs w:val="20"/>
          <w:color w:val="auto"/>
        </w:rPr>
      </w:pPr>
    </w:p>
    <w:p>
      <w:pPr>
        <w:jc w:val="both"/>
        <w:ind w:left="340" w:right="159" w:firstLine="389"/>
        <w:spacing w:after="0" w:line="269" w:lineRule="auto"/>
        <w:rPr>
          <w:sz w:val="20"/>
          <w:szCs w:val="20"/>
          <w:color w:val="auto"/>
        </w:rPr>
      </w:pPr>
      <w:r>
        <w:rPr>
          <w:rFonts w:ascii="Arial" w:cs="Arial" w:eastAsia="Arial" w:hAnsi="Arial"/>
          <w:sz w:val="17"/>
          <w:szCs w:val="17"/>
          <w:color w:val="auto"/>
        </w:rPr>
        <w:t>During the first half of fiscal 2011, restructuring, integration and other charges amounted $57.2 million pre-tax, $41.0 million after tax and $0.27 per share on a diluted basis and consisted of $18.9 million pre-tax for severance, $13.9 million pre-tax for facility exit costs for lease liabilities, fixed asset write downs and other related charges associated with vacated facilities, $16.1 million pre-tax for integration costs, $12.1 million pre-tax for transaction costs associated with acquisitions and $0.4 million for other charges. The Company also recorded a reversal of $4.2 million to adjust reserves related to prior year restructuring activity. Comparatively, during the first half of fiscal 2010, restructuring, integration and other charges amounted to $18.1 million pre-tax, $13.2 million after tax and $0.09 per share on a diluted basis related to the remaining cost reduction actions announced in fiscal 2009 as well as costs associated with the integration of acquired businesses. Restructuring costs included $9.7 million pre-tax of severance, $3.7 million pre-tax of facility exit costs, $3.7 million pre-tax of other charges related to contract termination costs, fixed asset write-downs and other charges and $2.9 million pre-tax of integration costs. The Company also recorded a reversal of $1.9 million to adjust reserves related to prior year restructuring activity which were no longer required.</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Operating Income</w:t>
      </w:r>
    </w:p>
    <w:p>
      <w:pPr>
        <w:spacing w:after="0" w:line="189" w:lineRule="exact"/>
        <w:rPr>
          <w:sz w:val="20"/>
          <w:szCs w:val="20"/>
          <w:color w:val="auto"/>
        </w:rPr>
      </w:pPr>
    </w:p>
    <w:p>
      <w:pPr>
        <w:jc w:val="both"/>
        <w:ind w:left="340" w:right="159" w:firstLine="389"/>
        <w:spacing w:after="0" w:line="285" w:lineRule="auto"/>
        <w:rPr>
          <w:sz w:val="20"/>
          <w:szCs w:val="20"/>
          <w:color w:val="auto"/>
        </w:rPr>
      </w:pPr>
      <w:r>
        <w:rPr>
          <w:rFonts w:ascii="Arial" w:cs="Arial" w:eastAsia="Arial" w:hAnsi="Arial"/>
          <w:sz w:val="16"/>
          <w:szCs w:val="16"/>
          <w:color w:val="auto"/>
        </w:rPr>
        <w:t xml:space="preserve">During the second quarter of fiscal 2011, the Company generated operating income of $227.6 million, up 40.2% as compared with operating income of $162.3 million in the prior year second quarter. Both periods included restructuring, integration and other charges as described in </w:t>
      </w:r>
      <w:r>
        <w:rPr>
          <w:rFonts w:ascii="Arial" w:cs="Arial" w:eastAsia="Arial" w:hAnsi="Arial"/>
          <w:sz w:val="16"/>
          <w:szCs w:val="16"/>
          <w:i w:val="1"/>
          <w:iCs w:val="1"/>
          <w:color w:val="auto"/>
        </w:rPr>
        <w:t>Restructuring, Integration and Other Charges</w:t>
      </w:r>
      <w:r>
        <w:rPr>
          <w:rFonts w:ascii="Arial" w:cs="Arial" w:eastAsia="Arial" w:hAnsi="Arial"/>
          <w:sz w:val="16"/>
          <w:szCs w:val="16"/>
          <w:color w:val="auto"/>
        </w:rPr>
        <w:t xml:space="preserve"> above. Consolidated operating income margin was 3.4% in both the current and prior year second quarter. EM operating income nearly doubled year over year to $183.4 million which was driven by a combination of revenue growth and the associated growth in gross profit, along with expense productivity improvements, particularly in EMEA. EM operating income margin increased 150 basis points year over year to 5.2% and although operating income margin declined 15 basis on a sequential basis, it continues to be within management’s target range for EM. TS operating income of $105.2 million increased 19.3% year over year and, although operating income margin declined 52 basis points year over year, it did improve 107 basis points sequentially with all three regions delivering improvements. The year-over-year decline in TS operating income margin was impacted by the acquisition of Bell which, as noted above, has a lower gross margin profile than the TS legacy business. In addition, as expected the anticipated synergies for Bell of at least $60 million annualized have not yet been fully realized. Corporate operating expenses were $31.9 million in the second quarter of fiscal 2011 as compared with $18.1 million in the second quarter of fiscal 2010 with the increase primarily due to the impact of certain equity awards granted in the second quarter of this fiscal year. Annual equity awards are typically granted in the first quarter of each fiscal year; however, certain awards were delayed until the second quarter and were granted upon the approval of the new stock compensation plan by the Company’s shareholders. For fiscal 2012, all annual equity awards are expected to be granted in the September quarter.</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Operating income for the first half of fiscal 2011 was $422.1 million, or 3.3% of consolidated sales, as compared with $251.3 million, or 2.7% of consolidated sales for the first half of fiscal 2010. The 53 basis point increase in operating income margin as compared with the first half of fiscal 2010 was similarly a function of factors discussed in the quarterly analysis. In addition, during the first half of fiscal 2011, restructuring, integration and other charges amounted to $57.2 million pre-tax, $41.0 million after tax and $0.27 per share on a diluted basis as compared with $18.1 million pre-tax, $13.2 million and $0.09 per share for first half of the prior year.</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Interest Expense and Other Income (Expense), net</w:t>
      </w:r>
    </w:p>
    <w:p>
      <w:pPr>
        <w:spacing w:after="0" w:line="189"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 xml:space="preserve">Interest expense for the second quarter of fiscal 2011 was $24.2 million, up $8.9 million, or 58.3%, from interest expense of $15.3 million in the second quarter of fiscal 2010. Interest expense for the first half of fiscal 2011 was $46.3 million, up $15.7 million, or 51.2%, as compared with interest expense of $30.6 million for the first half of fiscal 2010. The year-over-year increase in interest expense was due primarily to the $300.0 million 5.875% Notes issued in June 2010, additional borrowings under the accounting receivable securitization and bank credit facilities, additional borrowings assumed through acquisitions, including foreign bank credit facilities and a $104.8 million 3.75% Note acquired in the Bell acquisition. See </w:t>
      </w:r>
      <w:r>
        <w:rPr>
          <w:rFonts w:ascii="Arial" w:cs="Arial" w:eastAsia="Arial" w:hAnsi="Arial"/>
          <w:sz w:val="18"/>
          <w:szCs w:val="18"/>
          <w:i w:val="1"/>
          <w:iCs w:val="1"/>
          <w:color w:val="auto"/>
        </w:rPr>
        <w:t>Financing Transactions</w:t>
      </w:r>
      <w:r>
        <w:rPr>
          <w:rFonts w:ascii="Arial" w:cs="Arial" w:eastAsia="Arial" w:hAnsi="Arial"/>
          <w:sz w:val="18"/>
          <w:szCs w:val="18"/>
          <w:color w:val="auto"/>
        </w:rPr>
        <w:t xml:space="preserve"> for further discussion of the Company’s outstanding debt.</w:t>
      </w:r>
    </w:p>
    <w:p>
      <w:pPr>
        <w:spacing w:after="0" w:line="149"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During the second quarter of fiscal 2011, the Company recognized $0.4 million in other expense as compared with $0.8 million in the second quarter of the prior year. During the first half of fiscal 2011, the Company recognized $3.0 million in other income as compared with $2.1 million in the first half of fiscal 2010.</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Gain on Sale of Assets</w:t>
      </w:r>
    </w:p>
    <w:p>
      <w:pPr>
        <w:spacing w:after="0" w:line="189"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During the second quarter and first half of fiscal 2010, the Company recognized the gain on sale of assets totaling $5.5 million pre-tax, $3.4 million after-tax and $0.02 per share on a diluted basis as a result of certain earn-out provisions associated with the prior sale of the Company’s equity investment in Calence LLC.</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Gain on Bargain Purchase and Other</w:t>
      </w:r>
    </w:p>
    <w:p>
      <w:pPr>
        <w:spacing w:after="0" w:line="202" w:lineRule="exact"/>
        <w:rPr>
          <w:sz w:val="20"/>
          <w:szCs w:val="20"/>
          <w:color w:val="auto"/>
        </w:rPr>
      </w:pPr>
    </w:p>
    <w:p>
      <w:pPr>
        <w:jc w:val="both"/>
        <w:ind w:left="340" w:right="159" w:firstLine="389"/>
        <w:spacing w:after="0" w:line="276" w:lineRule="auto"/>
        <w:rPr>
          <w:sz w:val="20"/>
          <w:szCs w:val="20"/>
          <w:color w:val="auto"/>
        </w:rPr>
      </w:pPr>
      <w:r>
        <w:rPr>
          <w:rFonts w:ascii="Arial" w:cs="Arial" w:eastAsia="Arial" w:hAnsi="Arial"/>
          <w:sz w:val="17"/>
          <w:szCs w:val="17"/>
          <w:color w:val="auto"/>
        </w:rPr>
        <w:t>During the first half of fiscal 2011, the Company acquired Unidux, a Japanese publicly traded company, through a tender offer in which the Company obtained over 95% of the controlling interest. After reassessing all assets acquired and liabilities assumed, the consideration paid was below the fair value of the acquired net assets and, as a result, the Company recognized a gain on bargain purchase of $31.0 million pre- and after tax and $0.20 per share on a diluted basis. In addition, the Company recognized other charges of $2.0 million primarily related to an impairment of buildings in EMEA.</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Income Tax Provision</w:t>
      </w:r>
    </w:p>
    <w:p>
      <w:pPr>
        <w:spacing w:after="0" w:line="189"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The Company’s effective tax rate on its income before income taxes was 30.5% in the second quarter of fiscal 2011 as compared with 31.5% in the second quarter of fiscal 2010. The tax rate is impacted primarily by the statutory tax rates of the countries in which the Company operates and the related levels of income in those jurisdictions. For the first half of fiscal 2011 and 2010, the Company’s effective tax rate was 31.5% and 32.2%, respectively. During the first half of fiscal 2011, the Company recognized an income tax adjustment of $16.9 million primarily related to the non-cash write-off of a deferred tax asset associated with the integration of an acquisition. As mentioned previously, the Company recognized a gain of $31.0 million on the bargain purchase of Unidux which was not taxable.</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Net Income</w:t>
      </w:r>
    </w:p>
    <w:p>
      <w:pPr>
        <w:spacing w:after="0" w:line="189" w:lineRule="exact"/>
        <w:rPr>
          <w:sz w:val="20"/>
          <w:szCs w:val="20"/>
          <w:color w:val="auto"/>
        </w:rPr>
      </w:pPr>
    </w:p>
    <w:p>
      <w:pPr>
        <w:jc w:val="both"/>
        <w:ind w:left="340" w:right="179" w:firstLine="389"/>
        <w:spacing w:after="0" w:line="279" w:lineRule="auto"/>
        <w:rPr>
          <w:sz w:val="20"/>
          <w:szCs w:val="20"/>
          <w:color w:val="auto"/>
        </w:rPr>
      </w:pPr>
      <w:r>
        <w:rPr>
          <w:rFonts w:ascii="Arial" w:cs="Arial" w:eastAsia="Arial" w:hAnsi="Arial"/>
          <w:sz w:val="17"/>
          <w:szCs w:val="17"/>
          <w:color w:val="auto"/>
        </w:rPr>
        <w:t>As a result of the factors described in the preceding sections of this MD&amp;A, the Company’s consolidated net income for the second quarter of fiscal 2011 was $141.0 million, or $0.91 per share on a diluted basis, as compared with $103.9 million, or $0.68 per share on a diluted basis, in the prior year second quarter. Net income for the first half of fiscal 2011 was $279.2 million, or $1.81 per share on a diluted basis, as compared with $154.7 million, or $1.01 per share on a diluted basis.</w:t>
      </w:r>
    </w:p>
    <w:p>
      <w:pPr>
        <w:spacing w:after="0" w:line="200" w:lineRule="exact"/>
        <w:rPr>
          <w:sz w:val="20"/>
          <w:szCs w:val="20"/>
          <w:color w:val="auto"/>
        </w:rPr>
      </w:pPr>
    </w:p>
    <w:p>
      <w:pPr>
        <w:spacing w:after="0" w:line="336"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LIQUIDITY AND CAPITAL RESOURCES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Cash Flow</w:t>
      </w:r>
    </w:p>
    <w:p>
      <w:pPr>
        <w:spacing w:after="0" w:line="189"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Cash Flow from Operating Activities</w:t>
      </w:r>
    </w:p>
    <w:p>
      <w:pPr>
        <w:spacing w:after="0" w:line="185" w:lineRule="exact"/>
        <w:rPr>
          <w:sz w:val="20"/>
          <w:szCs w:val="20"/>
          <w:color w:val="auto"/>
        </w:rPr>
      </w:pPr>
    </w:p>
    <w:p>
      <w:pPr>
        <w:jc w:val="both"/>
        <w:ind w:left="340" w:right="159" w:firstLine="389"/>
        <w:spacing w:after="0" w:line="269" w:lineRule="auto"/>
        <w:rPr>
          <w:sz w:val="20"/>
          <w:szCs w:val="20"/>
          <w:color w:val="auto"/>
        </w:rPr>
      </w:pPr>
      <w:r>
        <w:rPr>
          <w:rFonts w:ascii="Arial" w:cs="Arial" w:eastAsia="Arial" w:hAnsi="Arial"/>
          <w:sz w:val="17"/>
          <w:szCs w:val="17"/>
          <w:color w:val="auto"/>
        </w:rPr>
        <w:t>During the second quarter and first half of fiscal 2011, the Company used $79.2 million and $191.5 million, respectively, of cash and cash equivalents for its operating activities as compared with $97.5 million and $91.3 million, respectively, in the second quarter and first half of fiscal 2010. These results are comprised of: (1) cash flow generated from net income excluding non-cash and other reconciling items, which includes the add-back of depreciation and amortization, deferred income taxes, stock-based compensation and other non-cash items (primarily the provision for doubtful accounts and periodic pension costs) and (2) cash flow used for working capital, excluding cash and cash equivalents. Cash used for working capital during the second quarter of fiscal 2011 was a result of the double-digit sequential growth in business and consisted of accounts receivable growth of $434.3 million, due primarily to the seasonally strong December quarter for TS, and inventory growth of $71.3 million, due primarily to support the anticipated seasonally strong March quarter for EM, partially offset by growth in payables of $164.7 million. During growth periods, the Company has been more likely to utilize operating cash flows for working capital to support business growth. Net days outstanding, in particular, receivable days, continue to be at or near pre-recession levels as there have not been any significant change in terms provided to customers.</w:t>
      </w:r>
    </w:p>
    <w:p>
      <w:pPr>
        <w:spacing w:after="0" w:line="153"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Cash used for working capital during the second quarter of fiscal 2010 consisted of accounts receivable growth of $573.9 million and inventory growth of $137.4 million, and a reduction in accrued expenses and other of $46.7 million, partially offset by growth in payables of $440.5 million. Despite the growth in receivables, receivable days in the second quarter of fiscal 2010 decreased 8 days year over year and decreased 1 day sequentially.</w:t>
      </w:r>
    </w:p>
    <w:p>
      <w:pPr>
        <w:spacing w:after="0" w:line="146"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Cash Flow from Financing Activities</w:t>
      </w:r>
    </w:p>
    <w:p>
      <w:pPr>
        <w:spacing w:after="0" w:line="185"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During the second quarter and first half of fiscal 2011, the Company received net proceeds of $259.4 million and $520.9 million, respectively, primarily from borrowings under the accounts receivable securitization program and bank credit facilities which, along with available cash, was primarily used to fund acquisitions and the working capital needs of the business to support the sequential growth in revenue. During the second quarter and first half of fiscal 2010, the Company received proceeds of $10.1 million and $39.7 million, respectively, from bank credit facilities.</w:t>
      </w:r>
    </w:p>
    <w:p>
      <w:pPr>
        <w:spacing w:after="0" w:line="161"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Cash Flow from Investing Activities</w:t>
      </w:r>
    </w:p>
    <w:p>
      <w:pPr>
        <w:spacing w:after="0" w:line="185" w:lineRule="exact"/>
        <w:rPr>
          <w:sz w:val="20"/>
          <w:szCs w:val="20"/>
          <w:color w:val="auto"/>
        </w:rPr>
      </w:pPr>
    </w:p>
    <w:p>
      <w:pPr>
        <w:jc w:val="both"/>
        <w:ind w:left="340" w:right="159" w:firstLine="389"/>
        <w:spacing w:after="0" w:line="271" w:lineRule="auto"/>
        <w:rPr>
          <w:sz w:val="20"/>
          <w:szCs w:val="20"/>
          <w:color w:val="auto"/>
        </w:rPr>
      </w:pPr>
      <w:r>
        <w:rPr>
          <w:rFonts w:ascii="Arial" w:cs="Arial" w:eastAsia="Arial" w:hAnsi="Arial"/>
          <w:sz w:val="17"/>
          <w:szCs w:val="17"/>
          <w:color w:val="auto"/>
        </w:rPr>
        <w:t>During the second quarter and first half of fiscal 2011, the Company used $52.1 million and $626.9 million, respectively, of cash for acquisitions, net of cash acquired, and $38.3 million and $70.2 million, respectively, for capital expenditures primarily related to system development costs and computer hardware and software expenditures. The Company used $5.1 million and $5.6 million of cash associated with acquisitions in the second quarter and first half of fiscal 2010, respectively, and also received $8.6 million of cash for an earn out provision related to the prior sale of an equity method investment as well as the sale of a small cost method investment during the second quarter of fiscal 2010. The Company used $14.2 million and $24.5 million of cash during the second quarter and first half of fiscal 2010, respectively, primarily for capital expenditures related to building and leasehold improvements, system development costs, computer hardware and software.</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Capital Structure and Contractual Obligations</w:t>
      </w:r>
    </w:p>
    <w:p>
      <w:pPr>
        <w:spacing w:after="0" w:line="202"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The following table summarizes the Company’s capital structure as of the end of the second quarter of fiscal 2011 with a comparison to fiscal 2010 year-end:</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9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20" w:type="dxa"/>
            <w:vAlign w:val="bottom"/>
            <w:gridSpan w:val="3"/>
          </w:tcPr>
          <w:p>
            <w:pPr>
              <w:ind w:left="60"/>
              <w:spacing w:after="0"/>
              <w:rPr>
                <w:sz w:val="20"/>
                <w:szCs w:val="20"/>
                <w:color w:val="auto"/>
              </w:rPr>
            </w:pPr>
            <w:r>
              <w:rPr>
                <w:rFonts w:ascii="Arial" w:cs="Arial" w:eastAsia="Arial" w:hAnsi="Arial"/>
                <w:sz w:val="18"/>
                <w:szCs w:val="18"/>
                <w:b w:val="1"/>
                <w:bCs w:val="1"/>
                <w:color w:val="auto"/>
              </w:rPr>
              <w:t>January 1,</w:t>
            </w:r>
          </w:p>
        </w:tc>
        <w:tc>
          <w:tcPr>
            <w:tcW w:w="1500" w:type="dxa"/>
            <w:vAlign w:val="bottom"/>
            <w:gridSpan w:val="2"/>
          </w:tcPr>
          <w:p>
            <w:pPr>
              <w:jc w:val="right"/>
              <w:ind w:right="470"/>
              <w:spacing w:after="0"/>
              <w:rPr>
                <w:sz w:val="20"/>
                <w:szCs w:val="20"/>
                <w:color w:val="auto"/>
              </w:rPr>
            </w:pPr>
            <w:r>
              <w:rPr>
                <w:rFonts w:ascii="Arial" w:cs="Arial" w:eastAsia="Arial" w:hAnsi="Arial"/>
                <w:sz w:val="18"/>
                <w:szCs w:val="18"/>
                <w:b w:val="1"/>
                <w:bCs w:val="1"/>
                <w:color w:val="auto"/>
              </w:rPr>
              <w:t>% of Total</w:t>
            </w:r>
          </w:p>
        </w:tc>
        <w:tc>
          <w:tcPr>
            <w:tcW w:w="16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9"/>
              </w:rPr>
              <w:t>July 3,</w:t>
            </w:r>
          </w:p>
        </w:tc>
        <w:tc>
          <w:tcPr>
            <w:tcW w:w="18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 of Total</w:t>
            </w:r>
          </w:p>
        </w:tc>
      </w:tr>
      <w:tr>
        <w:trPr>
          <w:trHeight w:val="234"/>
        </w:trPr>
        <w:tc>
          <w:tcPr>
            <w:tcW w:w="29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360" w:type="dxa"/>
            <w:vAlign w:val="bottom"/>
          </w:tcPr>
          <w:p>
            <w:pPr>
              <w:spacing w:after="0"/>
              <w:rPr>
                <w:sz w:val="20"/>
                <w:szCs w:val="20"/>
                <w:color w:val="auto"/>
              </w:rPr>
            </w:pPr>
          </w:p>
        </w:tc>
        <w:tc>
          <w:tcPr>
            <w:tcW w:w="150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w w:val="90"/>
              </w:rPr>
              <w:t>Capitalization</w:t>
            </w:r>
          </w:p>
        </w:tc>
        <w:tc>
          <w:tcPr>
            <w:tcW w:w="160" w:type="dxa"/>
            <w:vAlign w:val="bottom"/>
          </w:tcPr>
          <w:p>
            <w:pPr>
              <w:spacing w:after="0"/>
              <w:rPr>
                <w:sz w:val="20"/>
                <w:szCs w:val="20"/>
                <w:color w:val="auto"/>
              </w:rPr>
            </w:pPr>
          </w:p>
        </w:tc>
        <w:tc>
          <w:tcPr>
            <w:tcW w:w="800" w:type="dxa"/>
            <w:vAlign w:val="bottom"/>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200" w:type="dxa"/>
            <w:vAlign w:val="bottom"/>
          </w:tcPr>
          <w:p>
            <w:pPr>
              <w:spacing w:after="0"/>
              <w:rPr>
                <w:sz w:val="20"/>
                <w:szCs w:val="20"/>
                <w:color w:val="auto"/>
              </w:rPr>
            </w:pPr>
          </w:p>
        </w:tc>
        <w:tc>
          <w:tcPr>
            <w:tcW w:w="14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Capitalization</w:t>
            </w:r>
          </w:p>
        </w:tc>
      </w:tr>
      <w:tr>
        <w:trPr>
          <w:trHeight w:val="210"/>
        </w:trPr>
        <w:tc>
          <w:tcPr>
            <w:tcW w:w="29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(Dollars</w:t>
            </w:r>
          </w:p>
        </w:tc>
        <w:tc>
          <w:tcPr>
            <w:tcW w:w="42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in</w:t>
            </w:r>
          </w:p>
        </w:tc>
        <w:tc>
          <w:tcPr>
            <w:tcW w:w="96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96"/>
              </w:rPr>
              <w:t>thousands)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Short-term debt</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777,235</w:t>
            </w:r>
          </w:p>
        </w:tc>
        <w:tc>
          <w:tcPr>
            <w:tcW w:w="15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14.2%</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36,549</w:t>
            </w:r>
          </w:p>
        </w:tc>
        <w:tc>
          <w:tcPr>
            <w:tcW w:w="1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0.8%</w:t>
            </w:r>
          </w:p>
        </w:tc>
      </w:tr>
      <w:tr>
        <w:trPr>
          <w:trHeight w:val="223"/>
        </w:trPr>
        <w:tc>
          <w:tcPr>
            <w:tcW w:w="2940" w:type="dxa"/>
            <w:vAlign w:val="bottom"/>
          </w:tcPr>
          <w:p>
            <w:pPr>
              <w:spacing w:after="0"/>
              <w:rPr>
                <w:sz w:val="20"/>
                <w:szCs w:val="20"/>
                <w:color w:val="auto"/>
              </w:rPr>
            </w:pPr>
            <w:r>
              <w:rPr>
                <w:rFonts w:ascii="Arial" w:cs="Arial" w:eastAsia="Arial" w:hAnsi="Arial"/>
                <w:sz w:val="18"/>
                <w:szCs w:val="18"/>
                <w:color w:val="auto"/>
              </w:rPr>
              <w:t>Long-term debt</w:t>
            </w:r>
          </w:p>
        </w:tc>
        <w:tc>
          <w:tcPr>
            <w:tcW w:w="13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1,247,906</w:t>
            </w:r>
          </w:p>
        </w:tc>
        <w:tc>
          <w:tcPr>
            <w:tcW w:w="360" w:type="dxa"/>
            <w:vAlign w:val="bottom"/>
          </w:tcPr>
          <w:p>
            <w:pPr>
              <w:spacing w:after="0"/>
              <w:rPr>
                <w:sz w:val="19"/>
                <w:szCs w:val="19"/>
                <w:color w:val="auto"/>
              </w:rPr>
            </w:pPr>
          </w:p>
        </w:tc>
        <w:tc>
          <w:tcPr>
            <w:tcW w:w="1500" w:type="dxa"/>
            <w:vAlign w:val="bottom"/>
            <w:gridSpan w:val="2"/>
          </w:tcPr>
          <w:p>
            <w:pPr>
              <w:jc w:val="right"/>
              <w:ind w:right="330"/>
              <w:spacing w:after="0"/>
              <w:rPr>
                <w:sz w:val="20"/>
                <w:szCs w:val="20"/>
                <w:color w:val="auto"/>
              </w:rPr>
            </w:pPr>
            <w:r>
              <w:rPr>
                <w:rFonts w:ascii="Arial" w:cs="Arial" w:eastAsia="Arial" w:hAnsi="Arial"/>
                <w:sz w:val="18"/>
                <w:szCs w:val="18"/>
                <w:color w:val="auto"/>
              </w:rPr>
              <w:t>22.8</w:t>
            </w: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1,243,681</w:t>
            </w:r>
          </w:p>
        </w:tc>
        <w:tc>
          <w:tcPr>
            <w:tcW w:w="200" w:type="dxa"/>
            <w:vAlign w:val="bottom"/>
          </w:tcPr>
          <w:p>
            <w:pPr>
              <w:spacing w:after="0"/>
              <w:rPr>
                <w:sz w:val="19"/>
                <w:szCs w:val="19"/>
                <w:color w:val="auto"/>
              </w:rPr>
            </w:pPr>
          </w:p>
        </w:tc>
        <w:tc>
          <w:tcPr>
            <w:tcW w:w="1420" w:type="dxa"/>
            <w:vAlign w:val="bottom"/>
            <w:gridSpan w:val="3"/>
          </w:tcPr>
          <w:p>
            <w:pPr>
              <w:jc w:val="right"/>
              <w:ind w:right="160"/>
              <w:spacing w:after="0"/>
              <w:rPr>
                <w:sz w:val="20"/>
                <w:szCs w:val="20"/>
                <w:color w:val="auto"/>
              </w:rPr>
            </w:pPr>
            <w:r>
              <w:rPr>
                <w:rFonts w:ascii="Arial" w:cs="Arial" w:eastAsia="Arial" w:hAnsi="Arial"/>
                <w:sz w:val="18"/>
                <w:szCs w:val="18"/>
                <w:color w:val="auto"/>
              </w:rPr>
              <w:t>29.0</w:t>
            </w:r>
          </w:p>
        </w:tc>
      </w:tr>
      <w:tr>
        <w:trPr>
          <w:trHeight w:val="216"/>
        </w:trPr>
        <w:tc>
          <w:tcPr>
            <w:tcW w:w="2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debt</w:t>
            </w: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7"/>
              </w:rPr>
              <w:t>2,025,141</w:t>
            </w:r>
          </w:p>
        </w:tc>
        <w:tc>
          <w:tcPr>
            <w:tcW w:w="150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37.0</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1,280,230</w:t>
            </w:r>
          </w:p>
        </w:tc>
        <w:tc>
          <w:tcPr>
            <w:tcW w:w="2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29.8</w:t>
            </w:r>
          </w:p>
        </w:tc>
      </w:tr>
      <w:tr>
        <w:trPr>
          <w:trHeight w:val="223"/>
        </w:trPr>
        <w:tc>
          <w:tcPr>
            <w:tcW w:w="2940" w:type="dxa"/>
            <w:vAlign w:val="bottom"/>
          </w:tcPr>
          <w:p>
            <w:pPr>
              <w:spacing w:after="0"/>
              <w:rPr>
                <w:sz w:val="20"/>
                <w:szCs w:val="20"/>
                <w:color w:val="auto"/>
              </w:rPr>
            </w:pPr>
            <w:r>
              <w:rPr>
                <w:rFonts w:ascii="Arial" w:cs="Arial" w:eastAsia="Arial" w:hAnsi="Arial"/>
                <w:sz w:val="18"/>
                <w:szCs w:val="18"/>
                <w:color w:val="auto"/>
              </w:rPr>
              <w:t>Shareholders’ equity</w:t>
            </w:r>
          </w:p>
        </w:tc>
        <w:tc>
          <w:tcPr>
            <w:tcW w:w="13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3,442,200</w:t>
            </w:r>
          </w:p>
        </w:tc>
        <w:tc>
          <w:tcPr>
            <w:tcW w:w="360" w:type="dxa"/>
            <w:vAlign w:val="bottom"/>
          </w:tcPr>
          <w:p>
            <w:pPr>
              <w:spacing w:after="0"/>
              <w:rPr>
                <w:sz w:val="19"/>
                <w:szCs w:val="19"/>
                <w:color w:val="auto"/>
              </w:rPr>
            </w:pPr>
          </w:p>
        </w:tc>
        <w:tc>
          <w:tcPr>
            <w:tcW w:w="1500" w:type="dxa"/>
            <w:vAlign w:val="bottom"/>
            <w:gridSpan w:val="2"/>
          </w:tcPr>
          <w:p>
            <w:pPr>
              <w:jc w:val="right"/>
              <w:ind w:right="330"/>
              <w:spacing w:after="0"/>
              <w:rPr>
                <w:sz w:val="20"/>
                <w:szCs w:val="20"/>
                <w:color w:val="auto"/>
              </w:rPr>
            </w:pPr>
            <w:r>
              <w:rPr>
                <w:rFonts w:ascii="Arial" w:cs="Arial" w:eastAsia="Arial" w:hAnsi="Arial"/>
                <w:sz w:val="18"/>
                <w:szCs w:val="18"/>
                <w:color w:val="auto"/>
              </w:rPr>
              <w:t>63.0</w:t>
            </w: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3,009,117</w:t>
            </w:r>
          </w:p>
        </w:tc>
        <w:tc>
          <w:tcPr>
            <w:tcW w:w="200" w:type="dxa"/>
            <w:vAlign w:val="bottom"/>
          </w:tcPr>
          <w:p>
            <w:pPr>
              <w:spacing w:after="0"/>
              <w:rPr>
                <w:sz w:val="19"/>
                <w:szCs w:val="19"/>
                <w:color w:val="auto"/>
              </w:rPr>
            </w:pPr>
          </w:p>
        </w:tc>
        <w:tc>
          <w:tcPr>
            <w:tcW w:w="1420" w:type="dxa"/>
            <w:vAlign w:val="bottom"/>
            <w:gridSpan w:val="3"/>
          </w:tcPr>
          <w:p>
            <w:pPr>
              <w:jc w:val="right"/>
              <w:ind w:right="160"/>
              <w:spacing w:after="0"/>
              <w:rPr>
                <w:sz w:val="20"/>
                <w:szCs w:val="20"/>
                <w:color w:val="auto"/>
              </w:rPr>
            </w:pPr>
            <w:r>
              <w:rPr>
                <w:rFonts w:ascii="Arial" w:cs="Arial" w:eastAsia="Arial" w:hAnsi="Arial"/>
                <w:sz w:val="18"/>
                <w:szCs w:val="18"/>
                <w:color w:val="auto"/>
              </w:rPr>
              <w:t>70.2</w:t>
            </w:r>
          </w:p>
        </w:tc>
      </w:tr>
      <w:tr>
        <w:trPr>
          <w:trHeight w:val="216"/>
        </w:trPr>
        <w:tc>
          <w:tcPr>
            <w:tcW w:w="2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capitalization</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7"/>
              </w:rPr>
              <w:t>5,467,341</w:t>
            </w:r>
          </w:p>
        </w:tc>
        <w:tc>
          <w:tcPr>
            <w:tcW w:w="150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4,289,347</w:t>
            </w:r>
          </w:p>
        </w:tc>
        <w:tc>
          <w:tcPr>
            <w:tcW w:w="2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r>
      <w:tr>
        <w:trPr>
          <w:trHeight w:val="20"/>
        </w:trPr>
        <w:tc>
          <w:tcPr>
            <w:tcW w:w="29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419" w:right="1440" w:bottom="1440" w:gutter="0" w:footer="0" w:header="0"/>
        </w:sectPr>
      </w:pPr>
    </w:p>
    <w:p>
      <w:pPr>
        <w:spacing w:after="0" w:line="366"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 xml:space="preserve">For a description of the Company’s long-term debt and lease commitments for the next five years and thereafter, see </w:t>
      </w:r>
      <w:r>
        <w:rPr>
          <w:rFonts w:ascii="Arial" w:cs="Arial" w:eastAsia="Arial" w:hAnsi="Arial"/>
          <w:sz w:val="18"/>
          <w:szCs w:val="18"/>
          <w:i w:val="1"/>
          <w:iCs w:val="1"/>
          <w:color w:val="auto"/>
        </w:rPr>
        <w:t>Long-Term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Contractual Obligations </w:t>
      </w:r>
      <w:r>
        <w:rPr>
          <w:rFonts w:ascii="Arial" w:cs="Arial" w:eastAsia="Arial" w:hAnsi="Arial"/>
          <w:sz w:val="18"/>
          <w:szCs w:val="18"/>
          <w:color w:val="auto"/>
        </w:rPr>
        <w:t>appearing in Item 7 of the Company’s Annual Report on Form 10-K for the year ended July 3, 2010.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exception of the Company’s debt transactions discussed herein, there are no material changes to this information outside of normal lease payments.</w:t>
      </w:r>
    </w:p>
    <w:p>
      <w:pPr>
        <w:spacing w:after="0" w:line="16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Company does not currently have any material commitments for capital expenditures.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Financing Transactions</w:t>
      </w:r>
    </w:p>
    <w:p>
      <w:pPr>
        <w:spacing w:after="0" w:line="189" w:lineRule="exact"/>
        <w:rPr>
          <w:sz w:val="20"/>
          <w:szCs w:val="20"/>
          <w:color w:val="auto"/>
        </w:rPr>
      </w:pPr>
    </w:p>
    <w:p>
      <w:pPr>
        <w:jc w:val="both"/>
        <w:ind w:left="340" w:right="159" w:firstLine="389"/>
        <w:spacing w:after="0" w:line="272" w:lineRule="auto"/>
        <w:rPr>
          <w:sz w:val="20"/>
          <w:szCs w:val="20"/>
          <w:color w:val="auto"/>
        </w:rPr>
      </w:pPr>
      <w:r>
        <w:rPr>
          <w:rFonts w:ascii="Arial" w:cs="Arial" w:eastAsia="Arial" w:hAnsi="Arial"/>
          <w:sz w:val="17"/>
          <w:szCs w:val="17"/>
          <w:color w:val="auto"/>
        </w:rPr>
        <w:t>The Company has a five-year $500.0 million unsecured revolving credit facility (the “Credit Agreement”) with a syndicate of banks that expires in September 2012. Under the Credit Agreement, the Company may elect from various interest rate options, currencies and maturities. As of the end of the second quarter of fiscal 2011, there were $98.1 million in borrowings outstanding under the Credit Agreement included in “long-term debt” in the consolidated financial statements. In addition, there were $14.3 million in letters of credit issued under the Credit Agreement which represent a utilization of Credit Agreement capacity but are not recorded in the consolidated balance sheet as the letters of credit are not debt. As of July 3, 2010, there were $93.7 million in borrowings outstanding and $8.6 million in letters of credit issued under the Credit Agreement.</w:t>
      </w:r>
    </w:p>
    <w:p>
      <w:pPr>
        <w:spacing w:after="0" w:line="151" w:lineRule="exact"/>
        <w:rPr>
          <w:sz w:val="20"/>
          <w:szCs w:val="20"/>
          <w:color w:val="auto"/>
        </w:rPr>
      </w:pPr>
    </w:p>
    <w:p>
      <w:pPr>
        <w:jc w:val="both"/>
        <w:ind w:left="340" w:right="159" w:firstLine="389"/>
        <w:spacing w:after="0" w:line="272" w:lineRule="auto"/>
        <w:rPr>
          <w:sz w:val="20"/>
          <w:szCs w:val="20"/>
          <w:color w:val="auto"/>
        </w:rPr>
      </w:pPr>
      <w:r>
        <w:rPr>
          <w:rFonts w:ascii="Arial" w:cs="Arial" w:eastAsia="Arial" w:hAnsi="Arial"/>
          <w:sz w:val="17"/>
          <w:szCs w:val="17"/>
          <w:color w:val="auto"/>
        </w:rPr>
        <w:t>During the first quarter of fiscal 2011, the Company amended its accounts receivable securitization program (the “Program”) with a group of financial institutions to allow the Company to sell, on a revolving basis, an undivided interest of up to $600.0 million ($450.0 million prior to the amendment) in eligible receivables while retaining a subordinated interest in a portion of the receivables. The Program does not qualify for sale treatment and, as a result, any borrowings under the Program are recorded as debt on the consolidated balance sheet. The Program contains certain covenants, all of which the Company was in compliance with as of January 1, 2011. The Program has a one year term that expires in August 2011. There were $450.0 million in borrowings outstanding under the Program at January 1, 2011. There were no borrowings outstanding at July 3, 2010.</w:t>
      </w:r>
    </w:p>
    <w:p>
      <w:pPr>
        <w:spacing w:after="0" w:line="137"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As a result of acquisitions during the first half of fiscal 2011, the Company acquired debt of $420.3 million, of which $211.9 million was repaid (including associated fees) at the acquisition dates. As of the end of the second quarter of fiscal 2011, the outstanding balances associated with the acquired debt and credit facilities consisted of $114.8 million in bank credit facilities and other debt primarly used to support the acquired foreign operations and $104.8 million of 3.75% Notes due March 2024 (see further description below).</w:t>
      </w:r>
    </w:p>
    <w:p>
      <w:pPr>
        <w:spacing w:after="0" w:line="14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Notes outstanding at January 1, 2011 consisted of:</w:t>
      </w:r>
    </w:p>
    <w:p>
      <w:pPr>
        <w:spacing w:after="0" w:line="198" w:lineRule="exact"/>
        <w:rPr>
          <w:sz w:val="20"/>
          <w:szCs w:val="20"/>
          <w:color w:val="auto"/>
        </w:rPr>
      </w:pPr>
    </w:p>
    <w:p>
      <w:pPr>
        <w:ind w:left="1480" w:hanging="378"/>
        <w:spacing w:after="0"/>
        <w:tabs>
          <w:tab w:leader="none" w:pos="148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$300.0 million of 5.875% Notes due March 15, 2014</w:t>
      </w:r>
    </w:p>
    <w:p>
      <w:pPr>
        <w:spacing w:after="0" w:line="157" w:lineRule="exact"/>
        <w:rPr>
          <w:rFonts w:ascii="Arial" w:cs="Arial" w:eastAsia="Arial" w:hAnsi="Arial"/>
          <w:sz w:val="18"/>
          <w:szCs w:val="18"/>
          <w:b w:val="1"/>
          <w:bCs w:val="1"/>
          <w:color w:val="auto"/>
        </w:rPr>
      </w:pPr>
    </w:p>
    <w:p>
      <w:pPr>
        <w:ind w:left="1480" w:hanging="378"/>
        <w:spacing w:after="0"/>
        <w:tabs>
          <w:tab w:leader="none" w:pos="148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$250.0 million of 6.00% Notes due September 1, 2015</w:t>
      </w:r>
    </w:p>
    <w:p>
      <w:pPr>
        <w:spacing w:after="0" w:line="157" w:lineRule="exact"/>
        <w:rPr>
          <w:rFonts w:ascii="Arial" w:cs="Arial" w:eastAsia="Arial" w:hAnsi="Arial"/>
          <w:sz w:val="18"/>
          <w:szCs w:val="18"/>
          <w:b w:val="1"/>
          <w:bCs w:val="1"/>
          <w:color w:val="auto"/>
        </w:rPr>
      </w:pPr>
    </w:p>
    <w:p>
      <w:pPr>
        <w:ind w:left="1480" w:hanging="378"/>
        <w:spacing w:after="0"/>
        <w:tabs>
          <w:tab w:leader="none" w:pos="148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$300.0 million of 6.625% Notes due September 15, 2016</w:t>
      </w:r>
    </w:p>
    <w:p>
      <w:pPr>
        <w:spacing w:after="0" w:line="157" w:lineRule="exact"/>
        <w:rPr>
          <w:rFonts w:ascii="Arial" w:cs="Arial" w:eastAsia="Arial" w:hAnsi="Arial"/>
          <w:sz w:val="18"/>
          <w:szCs w:val="18"/>
          <w:b w:val="1"/>
          <w:bCs w:val="1"/>
          <w:color w:val="auto"/>
        </w:rPr>
      </w:pPr>
    </w:p>
    <w:p>
      <w:pPr>
        <w:ind w:left="1480" w:hanging="378"/>
        <w:spacing w:after="0"/>
        <w:tabs>
          <w:tab w:leader="none" w:pos="148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$300.0 million of 5.875% Notes due June 15, 2020</w:t>
      </w:r>
    </w:p>
    <w:p>
      <w:pPr>
        <w:spacing w:after="0" w:line="157" w:lineRule="exact"/>
        <w:rPr>
          <w:rFonts w:ascii="Arial" w:cs="Arial" w:eastAsia="Arial" w:hAnsi="Arial"/>
          <w:sz w:val="18"/>
          <w:szCs w:val="18"/>
          <w:b w:val="1"/>
          <w:bCs w:val="1"/>
          <w:color w:val="auto"/>
        </w:rPr>
      </w:pPr>
    </w:p>
    <w:p>
      <w:pPr>
        <w:ind w:left="1480" w:hanging="378"/>
        <w:spacing w:after="0"/>
        <w:tabs>
          <w:tab w:leader="none" w:pos="148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$104.8 million of 3.75% Notes due March 5, 2024 (redeemable in March 2011)</w:t>
      </w:r>
    </w:p>
    <w:p>
      <w:pPr>
        <w:spacing w:after="0" w:line="185" w:lineRule="exact"/>
        <w:rPr>
          <w:sz w:val="20"/>
          <w:szCs w:val="20"/>
          <w:color w:val="auto"/>
        </w:rPr>
      </w:pPr>
    </w:p>
    <w:p>
      <w:pPr>
        <w:jc w:val="both"/>
        <w:ind w:left="340" w:right="179" w:firstLine="389"/>
        <w:spacing w:after="0" w:line="264" w:lineRule="auto"/>
        <w:rPr>
          <w:sz w:val="20"/>
          <w:szCs w:val="20"/>
          <w:color w:val="auto"/>
        </w:rPr>
      </w:pPr>
      <w:r>
        <w:rPr>
          <w:rFonts w:ascii="Arial" w:cs="Arial" w:eastAsia="Arial" w:hAnsi="Arial"/>
          <w:sz w:val="18"/>
          <w:szCs w:val="18"/>
          <w:color w:val="auto"/>
        </w:rPr>
        <w:t>The $104.8 million of 3.75% Notes due March 5, 2024 were assumed in the Bell acquisition. Prior to the Bell acquisition, the 3.75% Notes were convertible into Bell common stock; however, as a result of the acquisition, the debt is no longer convertible into shares.</w:t>
      </w:r>
    </w:p>
    <w:p>
      <w:pPr>
        <w:spacing w:after="0" w:line="141"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Under the terms of the 3.75% Notes, the Company may redeem some or all of the 3.75% Notes for cash anytime on or after March 5, 2011 and the note holders may require the Company to purchase for cash some or all of the 3.75% Notes on March 5, 2011, March 5, 2014 or March 5, 2019 at a redemption price equal to 100% of the principal amount plus interest. During the first quarter of fiscal 2011, the Company issued a tender offer for the 3.75% Notes for which approximately $5.2 million was tendered and paid in Septebmer 2010. As the note holders may require the Company to repurchase all of the remaining 3.75% Notes in March 2011 for cash, the debt has been classified as short-term.</w:t>
      </w:r>
    </w:p>
    <w:p>
      <w:pPr>
        <w:spacing w:after="0" w:line="166"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In addition to its primary financing arrangements, the Company has several small lines of credit in various locations to fund the short-term working capital, foreign exchange, overdraft and letter of credit needs of its wholly owned subsidiaries in Europe, Asia and Canada. Avnet generally guarantees its subsidiaries’ obligations under these facilities.</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Covenants and Conditions</w:t>
      </w:r>
    </w:p>
    <w:p>
      <w:pPr>
        <w:spacing w:after="0" w:line="189"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The Credit Agreement contains certain covenants with various limitations on debt incurrence, dividends, investments and capital expenditures and also includes financial covenants requiring the Company to maintain minimum interest coverage and leverage ratios, as defined. Management does not believe that the covenants in the Credit Agreement limit the Company’s ability to pursue its intended business strategy or future financing needs. The Company was in compliance with all covenants of the Credit Agreement as of January 1, 2011.</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89" w:lineRule="auto"/>
        <w:rPr>
          <w:sz w:val="20"/>
          <w:szCs w:val="20"/>
          <w:color w:val="auto"/>
        </w:rPr>
      </w:pPr>
      <w:r>
        <w:rPr>
          <w:rFonts w:ascii="Arial" w:cs="Arial" w:eastAsia="Arial" w:hAnsi="Arial"/>
          <w:sz w:val="16"/>
          <w:szCs w:val="16"/>
          <w:color w:val="auto"/>
        </w:rPr>
        <w:t>The Securitization Program requires the Company to maintain certain minimum interest coverage and leverage ratios as defined in the Credit Agreement in order to continue utilizing the Securitization Program. The Securitization Program also contains certain covenants relating to the quality of the receivables sold. If these conditions are not met, the Company may not be able to borrow any additional funds and the financial institutions may consider this an amortization event, as defined in the agreement, which would permit the financial institutions to liquidate the accounts receivables sold to cover any outstanding borrowings. Circumstances that could affect the Company’s ability to meet the required covenants and conditions of the Securitization Program include the Company’s ongoing profitability and various other economic, market and industry factors. Management does not believe that the covenants under the Securitization Program limit the Company’s ability to pursue its intended business strategy or future financing needs. The Company was in compliance with all covenants of the Securitization Program as of January 1, 2011.</w:t>
      </w:r>
    </w:p>
    <w:p>
      <w:pPr>
        <w:spacing w:after="0" w:line="14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Liquidity</w:t>
      </w:r>
      <w:r>
        <w:rPr>
          <w:rFonts w:ascii="Arial" w:cs="Arial" w:eastAsia="Arial" w:hAnsi="Arial"/>
          <w:sz w:val="18"/>
          <w:szCs w:val="18"/>
          <w:color w:val="auto"/>
        </w:rPr>
        <w:t xml:space="preserve"> below for further discussion of the Company’s availability under these various facilities.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Liquidity</w:t>
      </w:r>
    </w:p>
    <w:p>
      <w:pPr>
        <w:spacing w:after="0" w:line="189" w:lineRule="exact"/>
        <w:rPr>
          <w:sz w:val="20"/>
          <w:szCs w:val="20"/>
          <w:color w:val="auto"/>
        </w:rPr>
      </w:pPr>
    </w:p>
    <w:p>
      <w:pPr>
        <w:jc w:val="both"/>
        <w:ind w:left="340" w:right="159" w:firstLine="389"/>
        <w:spacing w:after="0" w:line="279" w:lineRule="auto"/>
        <w:rPr>
          <w:sz w:val="20"/>
          <w:szCs w:val="20"/>
          <w:color w:val="auto"/>
        </w:rPr>
      </w:pPr>
      <w:r>
        <w:rPr>
          <w:rFonts w:ascii="Arial" w:cs="Arial" w:eastAsia="Arial" w:hAnsi="Arial"/>
          <w:sz w:val="17"/>
          <w:szCs w:val="17"/>
          <w:color w:val="auto"/>
        </w:rPr>
        <w:t>The Company had total borrowing capacity of $1.1 billion at January 1, 2011 under the Credit Agreement and the Securitization Program. There were $98.1 million in borrowings outstanding and $14.3 million in letters of credit issued under the Credit Agreement and $450.0 million outstanding under the Securitization Program, resulting in $537.6 million of net availability at the end of the second quarter. The Company also had $756.9 million of cash and cash equivalents at January 1, 2011.</w:t>
      </w:r>
    </w:p>
    <w:p>
      <w:pPr>
        <w:spacing w:after="0" w:line="144" w:lineRule="exact"/>
        <w:rPr>
          <w:sz w:val="20"/>
          <w:szCs w:val="20"/>
          <w:color w:val="auto"/>
        </w:rPr>
      </w:pPr>
    </w:p>
    <w:p>
      <w:pPr>
        <w:jc w:val="both"/>
        <w:ind w:left="340" w:right="159" w:firstLine="389"/>
        <w:spacing w:after="0" w:line="254" w:lineRule="auto"/>
        <w:rPr>
          <w:sz w:val="20"/>
          <w:szCs w:val="20"/>
          <w:color w:val="auto"/>
        </w:rPr>
      </w:pPr>
      <w:r>
        <w:rPr>
          <w:rFonts w:ascii="Arial" w:cs="Arial" w:eastAsia="Arial" w:hAnsi="Arial"/>
          <w:sz w:val="18"/>
          <w:szCs w:val="18"/>
          <w:color w:val="auto"/>
        </w:rPr>
        <w:t>During the first six months of fiscal 2011, the Company utilized $626.9 million of cash, net of cash acquired, for acquisitions, which included repayments of certain debt assumed in the acquisitions. The Company assumed a total of $420.3 million of debt as a result of the acquisitions and repaid $211.9 million of assumed debt (including associated fees) at the acquisition dates. The Company has been making and expects to continue to make strategic investments through acquisition activity to the extent the investments strengthen Avnet’s competitive position and meet management’s return on capital thresholds. In anticipation of the continued acquisition activity in addition to the increased volume of business associated with completed acquisitions, the Company amended its Securitization Program in August 2010 to increase the borrowing capacity from $450.0 million to $600.0 million to support the future growth of the business.</w:t>
      </w:r>
    </w:p>
    <w:p>
      <w:pPr>
        <w:spacing w:after="0" w:line="152" w:lineRule="exact"/>
        <w:rPr>
          <w:sz w:val="20"/>
          <w:szCs w:val="20"/>
          <w:color w:val="auto"/>
        </w:rPr>
      </w:pPr>
    </w:p>
    <w:p>
      <w:pPr>
        <w:jc w:val="both"/>
        <w:ind w:left="340" w:right="159" w:firstLine="389"/>
        <w:spacing w:after="0" w:line="276" w:lineRule="auto"/>
        <w:rPr>
          <w:sz w:val="20"/>
          <w:szCs w:val="20"/>
          <w:color w:val="auto"/>
        </w:rPr>
      </w:pPr>
      <w:r>
        <w:rPr>
          <w:rFonts w:ascii="Arial" w:cs="Arial" w:eastAsia="Arial" w:hAnsi="Arial"/>
          <w:sz w:val="17"/>
          <w:szCs w:val="17"/>
          <w:color w:val="auto"/>
        </w:rPr>
        <w:t>During periods of weakening demand in the electronic component and enterprise computer solutions industry, the Company typically generates cash from operating activities. Conversely, the Company is also more likely to use operating cash flows for working capital requirements during periods of higher growth. In the first six months of fiscal 2011, the Company utilized $191.5 million of cash for operations. Management believes that Avnet’s borrowing capacity, its current cash availability and the Company’s expected ability to generate operating cash flows in the future are sufficient to meet its projected financing needs.</w:t>
      </w:r>
    </w:p>
    <w:p>
      <w:pPr>
        <w:spacing w:after="0" w:line="132"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color w:val="auto"/>
        </w:rPr>
        <w:t>The following table highlights the Company’s liquidity and related ratios as of the end of the second quarter of fiscal 2011 with a comparison to the fiscal 2010 year-end:</w:t>
      </w:r>
    </w:p>
    <w:p>
      <w:pPr>
        <w:spacing w:after="0" w:line="139"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COMPARATIVE ANALYSIS — LIQUIDITY</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(Dollars in millions)</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780" w:type="dxa"/>
            <w:vAlign w:val="bottom"/>
          </w:tcPr>
          <w:p>
            <w:pPr>
              <w:spacing w:after="0"/>
              <w:rPr>
                <w:sz w:val="18"/>
                <w:szCs w:val="18"/>
                <w:color w:val="auto"/>
              </w:rPr>
            </w:pPr>
          </w:p>
        </w:tc>
        <w:tc>
          <w:tcPr>
            <w:tcW w:w="126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2"/>
              </w:rPr>
              <w:t>January 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89"/>
              </w:rPr>
              <w:t>July 3,</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0"/>
              </w:rPr>
              <w:t>Percentage</w:t>
            </w:r>
          </w:p>
        </w:tc>
      </w:tr>
      <w:tr>
        <w:trPr>
          <w:trHeight w:val="234"/>
        </w:trPr>
        <w:tc>
          <w:tcPr>
            <w:tcW w:w="57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460" w:type="dxa"/>
            <w:vAlign w:val="bottom"/>
          </w:tcPr>
          <w:p>
            <w:pPr>
              <w:spacing w:after="0"/>
              <w:rPr>
                <w:sz w:val="20"/>
                <w:szCs w:val="20"/>
                <w:color w:val="auto"/>
              </w:rPr>
            </w:pPr>
          </w:p>
        </w:tc>
        <w:tc>
          <w:tcPr>
            <w:tcW w:w="9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Change</w:t>
            </w:r>
          </w:p>
        </w:tc>
        <w:tc>
          <w:tcPr>
            <w:tcW w:w="160" w:type="dxa"/>
            <w:vAlign w:val="bottom"/>
          </w:tcPr>
          <w:p>
            <w:pPr>
              <w:spacing w:after="0"/>
              <w:rPr>
                <w:sz w:val="20"/>
                <w:szCs w:val="20"/>
                <w:color w:val="auto"/>
              </w:rPr>
            </w:pPr>
          </w:p>
        </w:tc>
      </w:tr>
      <w:tr>
        <w:trPr>
          <w:trHeight w:val="210"/>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8,367.9</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6,630.2</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26.2%</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Quick Assets</w:t>
            </w:r>
          </w:p>
        </w:tc>
        <w:tc>
          <w:tcPr>
            <w:tcW w:w="2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5,573.0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4,666.6</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19.4</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5,094.0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3,439.6</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48.1</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Working Capital (1)</w:t>
            </w:r>
          </w:p>
        </w:tc>
        <w:tc>
          <w:tcPr>
            <w:tcW w:w="2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3,273.9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3,190.6</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2.6</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2,025.1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1,280.2</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58.2</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Total Capital (total debt plus total shareholders’ equity)</w:t>
            </w:r>
          </w:p>
        </w:tc>
        <w:tc>
          <w:tcPr>
            <w:tcW w:w="2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5,467.3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4,289.3</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27.5</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Quick Ratio</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1.4:1</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Working Capital Ratio</w:t>
            </w:r>
          </w:p>
        </w:tc>
        <w:tc>
          <w:tcPr>
            <w:tcW w:w="2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1.6:1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1.9:1</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Debt to Total Capital</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29.8%</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bl>
    <w:p>
      <w:pPr>
        <w:spacing w:after="0" w:line="107" w:lineRule="exact"/>
        <w:rPr>
          <w:sz w:val="20"/>
          <w:szCs w:val="20"/>
          <w:color w:val="auto"/>
        </w:rPr>
      </w:pPr>
    </w:p>
    <w:p>
      <w:pPr>
        <w:ind w:left="5100" w:right="3379" w:hanging="4768"/>
        <w:spacing w:after="0" w:line="935"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calculation of working capital is defined as current assets less current liabilities.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-244475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70" w:lineRule="auto"/>
        <w:rPr>
          <w:sz w:val="20"/>
          <w:szCs w:val="20"/>
          <w:color w:val="auto"/>
        </w:rPr>
      </w:pPr>
      <w:r>
        <w:rPr>
          <w:rFonts w:ascii="Arial" w:cs="Arial" w:eastAsia="Arial" w:hAnsi="Arial"/>
          <w:sz w:val="17"/>
          <w:szCs w:val="17"/>
          <w:color w:val="auto"/>
        </w:rPr>
        <w:t>The Company’s quick assets (consisting of cash and cash equivalents and receivables) increased 19.4% from July 3, 2010 to January 1, 2011 due primarily to the increase in receivables resulting primarily from increased volume of business associated with the acquisitions since prior fiscal year end and the impact of the change in foreign currency exchange spot rates at January 1, 2011 as compared with July 3, 2010. Current assets increased 26.2% due to the increase in receivables and inventory, also a result of the recent acquisitions, the impact of the change in foreign currency exchange spot rates and the growth in sales. Current liabilities increased 48.1% primarily due to the increase in short-term borrowings used to support the growth in sales and due to debt assumed in the acquisitions. In addition, current liabilities increased due to growth in accounts payable, which was impacted by acquisitions and the exchange rate changes mentioned previously. As a result of the factors noted above, total working capital increased by 2.6% during the first six months of fiscal 2011. Total debt increased by 58.2%, total capital increased 27.5% and the debt to capital ratio increased as compared with July 3, 2010 to 37.0%.</w:t>
      </w:r>
    </w:p>
    <w:p>
      <w:pPr>
        <w:spacing w:after="0" w:line="151"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8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b w:val="1"/>
          <w:bCs w:val="1"/>
          <w:color w:val="auto"/>
        </w:rPr>
        <w:t>Item 3</w:t>
      </w:r>
      <w:r>
        <w:rPr>
          <w:rFonts w:ascii="Arial" w:cs="Arial" w:eastAsia="Arial" w:hAnsi="Arial"/>
          <w:sz w:val="18"/>
          <w:szCs w:val="18"/>
          <w:b w:val="1"/>
          <w:bCs w:val="1"/>
          <w:i w:val="1"/>
          <w:iCs w:val="1"/>
          <w:color w:val="auto"/>
        </w:rPr>
        <w:t>.</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202"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The Company seeks to reduce earnings and cash flow volatility associated with changes in interest rates and foreign currency exchange rates by entering into financial arrangements, from time to time, which are intended to provide a hedge against all or a portion of the risks associated with such volatility. The Company continues to have exposure to such risks to the extent they are not hedged.</w:t>
      </w:r>
    </w:p>
    <w:p>
      <w:pPr>
        <w:spacing w:after="0" w:line="146"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 xml:space="preserve">See Item 7A, </w:t>
      </w:r>
      <w:r>
        <w:rPr>
          <w:rFonts w:ascii="Arial" w:cs="Arial" w:eastAsia="Arial" w:hAnsi="Arial"/>
          <w:sz w:val="18"/>
          <w:szCs w:val="18"/>
          <w:i w:val="1"/>
          <w:iCs w:val="1"/>
          <w:color w:val="auto"/>
        </w:rPr>
        <w:t>Quantitative and Qualitative Disclosures About Market Risk</w:t>
      </w:r>
      <w:r>
        <w:rPr>
          <w:rFonts w:ascii="Arial" w:cs="Arial" w:eastAsia="Arial" w:hAnsi="Arial"/>
          <w:sz w:val="18"/>
          <w:szCs w:val="18"/>
          <w:color w:val="auto"/>
        </w:rPr>
        <w:t>, in the Company’s Annual Report on Form 10-K for the year ended July 3, 2010 for further discussion of market risks associated with interest rates and foreign currency exchange. Avnet’s exposure to foreign exchange risks have not changed materially since July 3, 2010 as the Company continues to hedge the majority of its foreign exchange exposures. Thus, any increase or decrease in fair value of the Company’s foreign exchange contracts is generally offset by an opposite effect on the related hedged position.</w:t>
      </w:r>
    </w:p>
    <w:p>
      <w:pPr>
        <w:spacing w:after="0" w:line="148" w:lineRule="exact"/>
        <w:rPr>
          <w:sz w:val="20"/>
          <w:szCs w:val="20"/>
          <w:color w:val="auto"/>
        </w:rPr>
      </w:pPr>
    </w:p>
    <w:p>
      <w:pPr>
        <w:jc w:val="both"/>
        <w:ind w:left="340" w:right="179" w:firstLine="389"/>
        <w:spacing w:after="0" w:line="257"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Liquidity and Capital Resources — Financing Transactions</w:t>
      </w:r>
      <w:r>
        <w:rPr>
          <w:rFonts w:ascii="Arial" w:cs="Arial" w:eastAsia="Arial" w:hAnsi="Arial"/>
          <w:sz w:val="18"/>
          <w:szCs w:val="18"/>
          <w:color w:val="auto"/>
        </w:rPr>
        <w:t xml:space="preserve"> appearing in Item 2 of this Form 10-Q for further discussion of the Company’s financing facilities and capital structure. As of January 1, 2011, 62% of the Company’s debt bears interest at a fixed rate and 38% of the Company’s debt bears interest at variable rates. Therefore, a hypothetical 1.0% (100 basis points) increase in interest rates would result in a $1.9 million impact on income before income taxes in the Company’s consolidated statement of operations for the quarter ended January 1, 2011.</w:t>
      </w:r>
    </w:p>
    <w:p>
      <w:pPr>
        <w:spacing w:after="0" w:line="157"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189" w:lineRule="exact"/>
        <w:rPr>
          <w:sz w:val="20"/>
          <w:szCs w:val="20"/>
          <w:color w:val="auto"/>
        </w:rPr>
      </w:pPr>
    </w:p>
    <w:p>
      <w:pPr>
        <w:jc w:val="both"/>
        <w:ind w:left="340" w:right="159" w:firstLine="389"/>
        <w:spacing w:after="0" w:line="270" w:lineRule="auto"/>
        <w:rPr>
          <w:sz w:val="20"/>
          <w:szCs w:val="20"/>
          <w:color w:val="auto"/>
        </w:rPr>
      </w:pPr>
      <w:r>
        <w:rPr>
          <w:rFonts w:ascii="Arial" w:cs="Arial" w:eastAsia="Arial" w:hAnsi="Arial"/>
          <w:sz w:val="17"/>
          <w:szCs w:val="17"/>
          <w:color w:val="auto"/>
        </w:rPr>
        <w:t>The Company’s management, including its Chief Executive Officer and Chief Financial Officer, have evaluated the effectiveness of the Company’s disclosure controls and procedures (as such term is defined in Rules 13a-15(e) and 15d-15(e) under the Securities Exchange Act of 1934 (the “Exchange Act”)) as of the end of the reporting period covered by this quarterly report on Form 10-Q. Based on such evaluation, the Chief Executive Officer and Chief Financial Officer have concluded that, as of the end of the period covered by this quarterly report on Form 10-Q, the Company’s disclosure controls and procedures are effective such that material information required to be disclosed by the Company in the reports that it files or submits under the Exchange Act is recorded, processed, summarized and reported, within the time periods specified by the Securities and Exchange Commission’s rules and forms and is accumulated and communicated to management, including the Company’s principal executive officer and principal financial officer, as appropriate to allow timely decisions regarding required disclosure.</w:t>
      </w:r>
    </w:p>
    <w:p>
      <w:pPr>
        <w:spacing w:after="0" w:line="141"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During the second quarter of fiscal 2011, there were no changes to the Company’s internal control over financial reporting (as defined in Rule 13a-15(f) of the Exchange Act) that have materially affected, or are reasonably likely to materially affect, the Company’s internal control over financial reporting.</w:t>
      </w:r>
    </w:p>
    <w:p>
      <w:pPr>
        <w:spacing w:after="0" w:line="200" w:lineRule="exact"/>
        <w:rPr>
          <w:sz w:val="20"/>
          <w:szCs w:val="20"/>
          <w:color w:val="auto"/>
        </w:rPr>
      </w:pPr>
    </w:p>
    <w:p>
      <w:pPr>
        <w:spacing w:after="0" w:line="346"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PART II</w:t>
      </w:r>
    </w:p>
    <w:p>
      <w:pPr>
        <w:spacing w:after="0" w:line="198"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OTHER INFORMATION</w:t>
      </w:r>
    </w:p>
    <w:p>
      <w:pPr>
        <w:spacing w:after="0" w:line="185"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189" w:lineRule="exact"/>
        <w:rPr>
          <w:sz w:val="20"/>
          <w:szCs w:val="20"/>
          <w:color w:val="auto"/>
        </w:rPr>
      </w:pPr>
    </w:p>
    <w:p>
      <w:pPr>
        <w:jc w:val="both"/>
        <w:ind w:left="340" w:right="159" w:firstLine="389"/>
        <w:spacing w:after="0" w:line="254" w:lineRule="auto"/>
        <w:rPr>
          <w:sz w:val="20"/>
          <w:szCs w:val="20"/>
          <w:color w:val="auto"/>
        </w:rPr>
      </w:pPr>
      <w:r>
        <w:rPr>
          <w:rFonts w:ascii="Arial" w:cs="Arial" w:eastAsia="Arial" w:hAnsi="Arial"/>
          <w:sz w:val="18"/>
          <w:szCs w:val="18"/>
          <w:color w:val="auto"/>
        </w:rPr>
        <w:t>As a result primarily of certain former manufacturing operations, Avnet has incurred and may have future liability under various federal, state and local environmental laws and regulations, including those governing pollution and exposure to, and the handling, storage and disposal of, hazardous substances. For example, under the Comprehensive Environmental Response, Compensation and Liability Act of 1980, as amended (“CERCLA”) and similar state laws, Avnet is and may be liable for the costs of cleaning up environmental contamination on or from certain of its current or former properties, and at off-site locations where the Company disposed of wastes in the past. Such laws may impose joint and several liability. Typically, however, the costs for cleanup at such sites are allocated among potentially responsible parties based upon each party’s relative contribution to the contamination, and other factors.</w:t>
      </w:r>
    </w:p>
    <w:p>
      <w:pPr>
        <w:spacing w:after="0" w:line="165"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Pursuant to SEC regulations, including but not limited to Item 103 of Regulation S-K, the Company regularly assesses the status of and developments in pending environmental legal proceedings to determine whether any such proceedings should be identified specifically in this discussion of legal proceedings, and has concluded that no particular pending environmental legal proceeding requires public disclosure. Based on the information known to date, management believes that the Company has appropriately accrued in its consolidated financial statements for its share of the estimated costs associated with the environmental clean up of sites in which the Company is participating.</w:t>
      </w:r>
    </w:p>
    <w:p>
      <w:pPr>
        <w:spacing w:after="0" w:line="153"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The Company and/or its subsidiaries are also parties to various other legal proceedings arising from time to time in the normal course of business. While litigation is subject to inherent uncertainties, management currently believes that the ultimate outcome of these proceedings, individually and in the aggregate, will not have a material adverse effect on the Company’s financial position, cash flow or results of operations.</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02" w:lineRule="exact"/>
        <w:rPr>
          <w:sz w:val="20"/>
          <w:szCs w:val="20"/>
          <w:color w:val="auto"/>
        </w:rPr>
      </w:pPr>
    </w:p>
    <w:p>
      <w:pPr>
        <w:jc w:val="both"/>
        <w:ind w:left="340" w:right="159" w:firstLine="389"/>
        <w:spacing w:after="0" w:line="254" w:lineRule="auto"/>
        <w:rPr>
          <w:sz w:val="20"/>
          <w:szCs w:val="20"/>
          <w:color w:val="auto"/>
        </w:rPr>
      </w:pPr>
      <w:r>
        <w:rPr>
          <w:rFonts w:ascii="Arial" w:cs="Arial" w:eastAsia="Arial" w:hAnsi="Arial"/>
          <w:sz w:val="18"/>
          <w:szCs w:val="18"/>
          <w:color w:val="auto"/>
        </w:rPr>
        <w:t>This Report contains forward-looking statements within the meaning of Section 27A of the Securities Act of 1933, as amended and Section 21E of the Securities Exchange Act of 1934, as amended, with respect to the financial condition, results of operations and business of Avnet, Inc. and its subsidiaries (“Avnet” or the “Company”). You can find many of these statements by looking for words like “believes,” “expects,” “anticipates,” “should,” “will,” “may,” “estimates” or similar expressions in this Report or in documents incorporated by reference in this Report. These forward-looking statements are subject to numerous assumptions, risks and uncertainties. Any forward-looking statement speaks only as of the date on which that statement is made. The Company assumes no obligation to update any forward-looking statement to reflect events or circumstances that occur after the date on which the statement is made.</w:t>
      </w:r>
    </w:p>
    <w:p>
      <w:pPr>
        <w:spacing w:after="0" w:line="152" w:lineRule="exact"/>
        <w:rPr>
          <w:sz w:val="20"/>
          <w:szCs w:val="20"/>
          <w:color w:val="auto"/>
        </w:rPr>
      </w:pPr>
    </w:p>
    <w:p>
      <w:pPr>
        <w:jc w:val="both"/>
        <w:ind w:left="340" w:right="159" w:firstLine="389"/>
        <w:spacing w:after="0" w:line="297" w:lineRule="auto"/>
        <w:rPr>
          <w:sz w:val="20"/>
          <w:szCs w:val="20"/>
          <w:color w:val="auto"/>
        </w:rPr>
      </w:pPr>
      <w:r>
        <w:rPr>
          <w:rFonts w:ascii="Arial" w:cs="Arial" w:eastAsia="Arial" w:hAnsi="Arial"/>
          <w:sz w:val="16"/>
          <w:szCs w:val="16"/>
          <w:color w:val="auto"/>
        </w:rPr>
        <w:t>The discussion of Avnet’s business and operations should be read together with the risk factors contained in Item 1A of its 2010 Annual Report on Form 10-K, filed with the Securities and Exchange Commission, which describe various risks and uncertainties to which the Company is or may become subject. These risks and uncertainties have the potential to affect Avnet’s business, financial condition, results of operations, cash flows, strategies or prospects in a material and adverse manner. As of January 1, 2011, there have been no material changes to the risk factors set forth in the Company’s 2010 Annual Report on Form 10-K.</w:t>
      </w:r>
    </w:p>
    <w:p>
      <w:pPr>
        <w:spacing w:after="0" w:line="200" w:lineRule="exact"/>
        <w:rPr>
          <w:sz w:val="20"/>
          <w:szCs w:val="20"/>
          <w:color w:val="auto"/>
        </w:rPr>
      </w:pPr>
    </w:p>
    <w:p>
      <w:pPr>
        <w:spacing w:after="0" w:line="32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Unregistered Sales of Equity Securities and Use of Proceeds</w:t>
      </w:r>
    </w:p>
    <w:p>
      <w:pPr>
        <w:spacing w:after="0" w:line="202"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The following table includes the Company’s monthly purchases of common stock during the second quarter ended January 1, 2011:</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Maximum Number</w:t>
            </w:r>
          </w:p>
        </w:tc>
      </w:tr>
      <w:tr>
        <w:trPr>
          <w:trHeight w:val="216"/>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(or Approximate</w:t>
            </w:r>
          </w:p>
        </w:tc>
      </w:tr>
      <w:tr>
        <w:trPr>
          <w:trHeight w:val="216"/>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Total Number of</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Dollar Value) of</w:t>
            </w:r>
          </w:p>
        </w:tc>
      </w:tr>
      <w:tr>
        <w:trPr>
          <w:trHeight w:val="216"/>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Shares Purchased</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Shares That May</w:t>
            </w:r>
          </w:p>
        </w:tc>
      </w:tr>
      <w:tr>
        <w:trPr>
          <w:trHeight w:val="216"/>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1"/>
              </w:rPr>
              <w:t>Total Number</w:t>
            </w: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as Part of Publicly</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Yet Be Purchased</w:t>
            </w:r>
          </w:p>
        </w:tc>
      </w:tr>
      <w:tr>
        <w:trPr>
          <w:trHeight w:val="216"/>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of Shares</w:t>
            </w:r>
          </w:p>
        </w:tc>
        <w:tc>
          <w:tcPr>
            <w:tcW w:w="1440" w:type="dxa"/>
            <w:vAlign w:val="bottom"/>
            <w:gridSpan w:val="3"/>
          </w:tcPr>
          <w:p>
            <w:pPr>
              <w:ind w:left="20"/>
              <w:spacing w:after="0"/>
              <w:rPr>
                <w:sz w:val="20"/>
                <w:szCs w:val="20"/>
                <w:color w:val="auto"/>
              </w:rPr>
            </w:pPr>
            <w:r>
              <w:rPr>
                <w:rFonts w:ascii="Arial" w:cs="Arial" w:eastAsia="Arial" w:hAnsi="Arial"/>
                <w:sz w:val="18"/>
                <w:szCs w:val="18"/>
                <w:b w:val="1"/>
                <w:bCs w:val="1"/>
                <w:color w:val="auto"/>
              </w:rPr>
              <w:t>Average Price</w:t>
            </w:r>
          </w:p>
        </w:tc>
        <w:tc>
          <w:tcPr>
            <w:tcW w:w="18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Announced Plans or</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Under the Plans or</w:t>
            </w:r>
          </w:p>
        </w:tc>
      </w:tr>
      <w:tr>
        <w:trPr>
          <w:trHeight w:val="234"/>
        </w:trPr>
        <w:tc>
          <w:tcPr>
            <w:tcW w:w="3200" w:type="dxa"/>
            <w:vAlign w:val="bottom"/>
          </w:tcPr>
          <w:p>
            <w:pPr>
              <w:spacing w:after="0"/>
              <w:rPr>
                <w:sz w:val="20"/>
                <w:szCs w:val="20"/>
                <w:color w:val="auto"/>
              </w:rPr>
            </w:pPr>
            <w:r>
              <w:rPr>
                <w:rFonts w:ascii="Arial" w:cs="Arial" w:eastAsia="Arial" w:hAnsi="Arial"/>
                <w:sz w:val="18"/>
                <w:szCs w:val="18"/>
                <w:b w:val="1"/>
                <w:bCs w:val="1"/>
                <w:color w:val="auto"/>
              </w:rPr>
              <w:t>Period</w:t>
            </w:r>
          </w:p>
        </w:tc>
        <w:tc>
          <w:tcPr>
            <w:tcW w:w="22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6"/>
              </w:rPr>
              <w:t>Purchased</w:t>
            </w:r>
          </w:p>
        </w:tc>
        <w:tc>
          <w:tcPr>
            <w:tcW w:w="320" w:type="dxa"/>
            <w:vAlign w:val="bottom"/>
          </w:tcPr>
          <w:p>
            <w:pPr>
              <w:spacing w:after="0"/>
              <w:rPr>
                <w:sz w:val="20"/>
                <w:szCs w:val="20"/>
                <w:color w:val="auto"/>
              </w:rPr>
            </w:pPr>
          </w:p>
        </w:tc>
        <w:tc>
          <w:tcPr>
            <w:tcW w:w="1440" w:type="dxa"/>
            <w:vAlign w:val="bottom"/>
            <w:gridSpan w:val="3"/>
          </w:tcPr>
          <w:p>
            <w:pPr>
              <w:spacing w:after="0"/>
              <w:rPr>
                <w:sz w:val="20"/>
                <w:szCs w:val="20"/>
                <w:color w:val="auto"/>
              </w:rPr>
            </w:pPr>
            <w:r>
              <w:rPr>
                <w:rFonts w:ascii="Arial" w:cs="Arial" w:eastAsia="Arial" w:hAnsi="Arial"/>
                <w:sz w:val="18"/>
                <w:szCs w:val="18"/>
                <w:b w:val="1"/>
                <w:bCs w:val="1"/>
                <w:color w:val="auto"/>
              </w:rPr>
              <w:t>Paid per Share</w:t>
            </w:r>
          </w:p>
        </w:tc>
        <w:tc>
          <w:tcPr>
            <w:tcW w:w="18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Programs</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Programs</w:t>
            </w:r>
          </w:p>
        </w:tc>
      </w:tr>
      <w:tr>
        <w:trPr>
          <w:trHeight w:val="20"/>
        </w:trPr>
        <w:tc>
          <w:tcPr>
            <w:tcW w:w="3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October</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5,000</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28.78</w:t>
            </w:r>
          </w:p>
        </w:tc>
        <w:tc>
          <w:tcPr>
            <w:tcW w:w="188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November</w:t>
            </w:r>
          </w:p>
        </w:tc>
        <w:tc>
          <w:tcPr>
            <w:tcW w:w="1620" w:type="dxa"/>
            <w:vAlign w:val="bottom"/>
            <w:gridSpan w:val="3"/>
          </w:tcPr>
          <w:p>
            <w:pPr>
              <w:jc w:val="right"/>
              <w:ind w:right="320"/>
              <w:spacing w:after="0"/>
              <w:rPr>
                <w:sz w:val="20"/>
                <w:szCs w:val="20"/>
                <w:color w:val="auto"/>
              </w:rPr>
            </w:pPr>
            <w:r>
              <w:rPr>
                <w:rFonts w:ascii="Arial" w:cs="Arial" w:eastAsia="Arial" w:hAnsi="Arial"/>
                <w:sz w:val="18"/>
                <w:szCs w:val="18"/>
                <w:color w:val="auto"/>
              </w:rPr>
              <w:t>6,700</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30.02</w:t>
            </w:r>
          </w:p>
        </w:tc>
        <w:tc>
          <w:tcPr>
            <w:tcW w:w="1880" w:type="dxa"/>
            <w:vAlign w:val="bottom"/>
            <w:gridSpan w:val="2"/>
          </w:tcPr>
          <w:p>
            <w:pPr>
              <w:ind w:left="1380"/>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1300"/>
              <w:spacing w:after="0"/>
              <w:rPr>
                <w:sz w:val="20"/>
                <w:szCs w:val="20"/>
                <w:color w:val="auto"/>
              </w:rPr>
            </w:pPr>
            <w:r>
              <w:rPr>
                <w:rFonts w:ascii="Arial" w:cs="Arial" w:eastAsia="Arial" w:hAnsi="Arial"/>
                <w:sz w:val="18"/>
                <w:szCs w:val="18"/>
                <w:color w:val="auto"/>
              </w:rPr>
              <w:t>—</w:t>
            </w: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December</w:t>
            </w:r>
          </w:p>
        </w:tc>
        <w:tc>
          <w:tcPr>
            <w:tcW w:w="16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4,400</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32.65</w:t>
            </w:r>
          </w:p>
        </w:tc>
        <w:tc>
          <w:tcPr>
            <w:tcW w:w="188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r>
    </w:tbl>
    <w:p>
      <w:pPr>
        <w:spacing w:after="0" w:line="161" w:lineRule="exact"/>
        <w:rPr>
          <w:sz w:val="20"/>
          <w:szCs w:val="20"/>
          <w:color w:val="auto"/>
        </w:rPr>
      </w:pPr>
    </w:p>
    <w:p>
      <w:pPr>
        <w:jc w:val="both"/>
        <w:ind w:left="340" w:right="179" w:firstLine="389"/>
        <w:spacing w:after="0" w:line="264" w:lineRule="auto"/>
        <w:rPr>
          <w:sz w:val="20"/>
          <w:szCs w:val="20"/>
          <w:color w:val="auto"/>
        </w:rPr>
      </w:pPr>
      <w:r>
        <w:rPr>
          <w:rFonts w:ascii="Arial" w:cs="Arial" w:eastAsia="Arial" w:hAnsi="Arial"/>
          <w:sz w:val="18"/>
          <w:szCs w:val="18"/>
          <w:color w:val="auto"/>
        </w:rPr>
        <w:t>The purchases of Avnet common stock noted above were made on the open market to obtain shares for purchase under the Company’s Employee Stock Purchase Plan. None of these purchases were made pursuant to a publicly announced repurchase plan and the Company does not currently have a stock repurchase plan in place.</w:t>
      </w:r>
    </w:p>
    <w:p>
      <w:pPr>
        <w:spacing w:after="0" w:line="137"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15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tc>
        <w:tc>
          <w:tcPr>
            <w:tcW w:w="100" w:type="dxa"/>
            <w:vAlign w:val="bottom"/>
          </w:tcPr>
          <w:p>
            <w:pPr>
              <w:spacing w:after="0"/>
              <w:rPr>
                <w:sz w:val="20"/>
                <w:szCs w:val="20"/>
                <w:color w:val="auto"/>
              </w:rPr>
            </w:pPr>
          </w:p>
        </w:tc>
        <w:tc>
          <w:tcPr>
            <w:tcW w:w="8120" w:type="dxa"/>
            <w:vAlign w:val="bottom"/>
          </w:tcPr>
          <w:p>
            <w:pPr>
              <w:spacing w:after="0"/>
              <w:rPr>
                <w:sz w:val="20"/>
                <w:szCs w:val="20"/>
                <w:color w:val="auto"/>
              </w:rPr>
            </w:pPr>
          </w:p>
        </w:tc>
      </w:tr>
      <w:tr>
        <w:trPr>
          <w:trHeight w:val="414"/>
        </w:trPr>
        <w:tc>
          <w:tcPr>
            <w:tcW w:w="15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Exhibit</w:t>
            </w:r>
          </w:p>
        </w:tc>
        <w:tc>
          <w:tcPr>
            <w:tcW w:w="100" w:type="dxa"/>
            <w:vAlign w:val="bottom"/>
          </w:tcPr>
          <w:p>
            <w:pPr>
              <w:spacing w:after="0"/>
              <w:rPr>
                <w:sz w:val="24"/>
                <w:szCs w:val="24"/>
                <w:color w:val="auto"/>
              </w:rPr>
            </w:pPr>
          </w:p>
        </w:tc>
        <w:tc>
          <w:tcPr>
            <w:tcW w:w="8120" w:type="dxa"/>
            <w:vAlign w:val="bottom"/>
          </w:tcPr>
          <w:p>
            <w:pPr>
              <w:spacing w:after="0"/>
              <w:rPr>
                <w:sz w:val="24"/>
                <w:szCs w:val="24"/>
                <w:color w:val="auto"/>
              </w:rPr>
            </w:pPr>
          </w:p>
        </w:tc>
      </w:tr>
      <w:tr>
        <w:trPr>
          <w:trHeight w:val="234"/>
        </w:trPr>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80" w:type="dxa"/>
            <w:vAlign w:val="bottom"/>
          </w:tcPr>
          <w:p>
            <w:pPr>
              <w:spacing w:after="0"/>
              <w:rPr>
                <w:sz w:val="20"/>
                <w:szCs w:val="20"/>
                <w:color w:val="auto"/>
              </w:rPr>
            </w:pPr>
          </w:p>
        </w:tc>
        <w:tc>
          <w:tcPr>
            <w:tcW w:w="8220" w:type="dxa"/>
            <w:vAlign w:val="bottom"/>
            <w:gridSpan w:val="2"/>
          </w:tcPr>
          <w:p>
            <w:pPr>
              <w:ind w:left="100"/>
              <w:spacing w:after="0"/>
              <w:rPr>
                <w:sz w:val="20"/>
                <w:szCs w:val="20"/>
                <w:color w:val="auto"/>
              </w:rPr>
            </w:pPr>
            <w:r>
              <w:rPr>
                <w:rFonts w:ascii="Arial" w:cs="Arial" w:eastAsia="Arial" w:hAnsi="Arial"/>
                <w:sz w:val="18"/>
                <w:szCs w:val="18"/>
                <w:b w:val="1"/>
                <w:bCs w:val="1"/>
                <w:color w:val="auto"/>
              </w:rPr>
              <w:t>Exhibit</w:t>
            </w:r>
          </w:p>
        </w:tc>
      </w:tr>
      <w:tr>
        <w:trPr>
          <w:trHeight w:val="20"/>
        </w:trPr>
        <w:tc>
          <w:tcPr>
            <w:tcW w:w="1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120" w:type="dxa"/>
            <w:vAlign w:val="bottom"/>
            <w:shd w:val="clear" w:color="auto" w:fill="000000"/>
          </w:tcPr>
          <w:p>
            <w:pPr>
              <w:spacing w:after="0" w:line="20" w:lineRule="exact"/>
              <w:rPr>
                <w:sz w:val="1"/>
                <w:szCs w:val="1"/>
                <w:color w:val="auto"/>
              </w:rPr>
            </w:pPr>
          </w:p>
        </w:tc>
      </w:tr>
      <w:tr>
        <w:trPr>
          <w:trHeight w:val="411"/>
        </w:trPr>
        <w:tc>
          <w:tcPr>
            <w:tcW w:w="1320" w:type="dxa"/>
            <w:vAlign w:val="bottom"/>
          </w:tcPr>
          <w:p>
            <w:pPr>
              <w:ind w:left="540"/>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24"/>
                <w:szCs w:val="24"/>
                <w:color w:val="auto"/>
              </w:rPr>
            </w:pPr>
          </w:p>
        </w:tc>
        <w:tc>
          <w:tcPr>
            <w:tcW w:w="8220" w:type="dxa"/>
            <w:vAlign w:val="bottom"/>
            <w:gridSpan w:val="2"/>
          </w:tcPr>
          <w:p>
            <w:pPr>
              <w:ind w:left="100"/>
              <w:spacing w:after="0"/>
              <w:rPr>
                <w:sz w:val="20"/>
                <w:szCs w:val="20"/>
                <w:color w:val="auto"/>
              </w:rPr>
            </w:pPr>
            <w:r>
              <w:rPr>
                <w:rFonts w:ascii="Arial" w:cs="Arial" w:eastAsia="Arial" w:hAnsi="Arial"/>
                <w:sz w:val="18"/>
                <w:szCs w:val="18"/>
                <w:color w:val="auto"/>
                <w:w w:val="93"/>
              </w:rPr>
              <w:t>Second Amended and Restated Receivables Purchase Agreement (the “RPA”), dated as of August 26, 2010</w:t>
            </w:r>
          </w:p>
        </w:tc>
      </w:tr>
      <w:tr>
        <w:trPr>
          <w:trHeight w:val="216"/>
        </w:trPr>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20" w:type="dxa"/>
            <w:vAlign w:val="bottom"/>
            <w:gridSpan w:val="2"/>
          </w:tcPr>
          <w:p>
            <w:pPr>
              <w:ind w:left="100"/>
              <w:spacing w:after="0"/>
              <w:rPr>
                <w:sz w:val="20"/>
                <w:szCs w:val="20"/>
                <w:color w:val="auto"/>
              </w:rPr>
            </w:pPr>
            <w:r>
              <w:rPr>
                <w:rFonts w:ascii="Arial" w:cs="Arial" w:eastAsia="Arial" w:hAnsi="Arial"/>
                <w:sz w:val="18"/>
                <w:szCs w:val="18"/>
                <w:color w:val="auto"/>
                <w:w w:val="96"/>
              </w:rPr>
              <w:t>between Avnet Receivables Corporation, as Seller, Avnet, Inc., as Servicer, the Companies, the Financial</w:t>
            </w:r>
          </w:p>
        </w:tc>
      </w:tr>
      <w:tr>
        <w:trPr>
          <w:trHeight w:val="216"/>
        </w:trPr>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20" w:type="dxa"/>
            <w:vAlign w:val="bottom"/>
            <w:gridSpan w:val="2"/>
          </w:tcPr>
          <w:p>
            <w:pPr>
              <w:ind w:left="100"/>
              <w:spacing w:after="0"/>
              <w:rPr>
                <w:sz w:val="20"/>
                <w:szCs w:val="20"/>
                <w:color w:val="auto"/>
              </w:rPr>
            </w:pPr>
            <w:r>
              <w:rPr>
                <w:rFonts w:ascii="Arial" w:cs="Arial" w:eastAsia="Arial" w:hAnsi="Arial"/>
                <w:sz w:val="18"/>
                <w:szCs w:val="18"/>
                <w:color w:val="auto"/>
                <w:w w:val="94"/>
              </w:rPr>
              <w:t>Institutions, and JPMorgan Chase Bank, N.A. as Agent (incorporated herein by reference to the Company’s</w:t>
            </w:r>
          </w:p>
        </w:tc>
      </w:tr>
      <w:tr>
        <w:trPr>
          <w:trHeight w:val="230"/>
        </w:trPr>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20" w:type="dxa"/>
            <w:vAlign w:val="bottom"/>
            <w:gridSpan w:val="2"/>
          </w:tcPr>
          <w:p>
            <w:pPr>
              <w:ind w:left="100"/>
              <w:spacing w:after="0"/>
              <w:rPr>
                <w:sz w:val="20"/>
                <w:szCs w:val="20"/>
                <w:color w:val="auto"/>
              </w:rPr>
            </w:pPr>
            <w:r>
              <w:rPr>
                <w:rFonts w:ascii="Arial" w:cs="Arial" w:eastAsia="Arial" w:hAnsi="Arial"/>
                <w:sz w:val="18"/>
                <w:szCs w:val="18"/>
                <w:color w:val="auto"/>
              </w:rPr>
              <w:t>Current Report on Form 8-K dated September 1, 2010, Exhibit 10.1.</w:t>
            </w:r>
          </w:p>
        </w:tc>
      </w:tr>
      <w:tr>
        <w:trPr>
          <w:trHeight w:val="432"/>
        </w:trPr>
        <w:tc>
          <w:tcPr>
            <w:tcW w:w="1320" w:type="dxa"/>
            <w:vAlign w:val="bottom"/>
          </w:tcPr>
          <w:p>
            <w:pPr>
              <w:ind w:left="540"/>
              <w:spacing w:after="0"/>
              <w:rPr>
                <w:sz w:val="20"/>
                <w:szCs w:val="20"/>
                <w:color w:val="auto"/>
              </w:rPr>
            </w:pPr>
            <w:r>
              <w:rPr>
                <w:rFonts w:ascii="Arial" w:cs="Arial" w:eastAsia="Arial" w:hAnsi="Arial"/>
                <w:sz w:val="18"/>
                <w:szCs w:val="18"/>
                <w:color w:val="auto"/>
              </w:rPr>
              <w:t>10.2*</w:t>
            </w:r>
          </w:p>
        </w:tc>
        <w:tc>
          <w:tcPr>
            <w:tcW w:w="180" w:type="dxa"/>
            <w:vAlign w:val="bottom"/>
          </w:tcPr>
          <w:p>
            <w:pPr>
              <w:spacing w:after="0"/>
              <w:rPr>
                <w:sz w:val="24"/>
                <w:szCs w:val="24"/>
                <w:color w:val="auto"/>
              </w:rPr>
            </w:pPr>
          </w:p>
        </w:tc>
        <w:tc>
          <w:tcPr>
            <w:tcW w:w="8220" w:type="dxa"/>
            <w:vAlign w:val="bottom"/>
            <w:gridSpan w:val="2"/>
          </w:tcPr>
          <w:p>
            <w:pPr>
              <w:ind w:left="100"/>
              <w:spacing w:after="0"/>
              <w:rPr>
                <w:sz w:val="20"/>
                <w:szCs w:val="20"/>
                <w:color w:val="auto"/>
              </w:rPr>
            </w:pPr>
            <w:r>
              <w:rPr>
                <w:rFonts w:ascii="Arial" w:cs="Arial" w:eastAsia="Arial" w:hAnsi="Arial"/>
                <w:sz w:val="18"/>
                <w:szCs w:val="18"/>
                <w:color w:val="auto"/>
              </w:rPr>
              <w:t>Amendment No. 1, dated as of December 28, 2010, to the RPA in Exhibit 10.1 above.</w:t>
            </w:r>
          </w:p>
        </w:tc>
      </w:tr>
      <w:tr>
        <w:trPr>
          <w:trHeight w:val="432"/>
        </w:trPr>
        <w:tc>
          <w:tcPr>
            <w:tcW w:w="1320" w:type="dxa"/>
            <w:vAlign w:val="bottom"/>
          </w:tcPr>
          <w:p>
            <w:pPr>
              <w:ind w:left="540"/>
              <w:spacing w:after="0"/>
              <w:rPr>
                <w:sz w:val="20"/>
                <w:szCs w:val="20"/>
                <w:color w:val="auto"/>
              </w:rPr>
            </w:pPr>
            <w:r>
              <w:rPr>
                <w:rFonts w:ascii="Arial" w:cs="Arial" w:eastAsia="Arial" w:hAnsi="Arial"/>
                <w:sz w:val="18"/>
                <w:szCs w:val="18"/>
                <w:color w:val="auto"/>
              </w:rPr>
              <w:t>31.1*</w:t>
            </w:r>
          </w:p>
        </w:tc>
        <w:tc>
          <w:tcPr>
            <w:tcW w:w="180" w:type="dxa"/>
            <w:vAlign w:val="bottom"/>
          </w:tcPr>
          <w:p>
            <w:pPr>
              <w:spacing w:after="0"/>
              <w:rPr>
                <w:sz w:val="24"/>
                <w:szCs w:val="24"/>
                <w:color w:val="auto"/>
              </w:rPr>
            </w:pPr>
          </w:p>
        </w:tc>
        <w:tc>
          <w:tcPr>
            <w:tcW w:w="8220" w:type="dxa"/>
            <w:vAlign w:val="bottom"/>
            <w:gridSpan w:val="2"/>
          </w:tcPr>
          <w:p>
            <w:pPr>
              <w:ind w:left="100"/>
              <w:spacing w:after="0"/>
              <w:rPr>
                <w:sz w:val="20"/>
                <w:szCs w:val="20"/>
                <w:color w:val="auto"/>
              </w:rPr>
            </w:pPr>
            <w:r>
              <w:rPr>
                <w:rFonts w:ascii="Arial" w:cs="Arial" w:eastAsia="Arial" w:hAnsi="Arial"/>
                <w:sz w:val="18"/>
                <w:szCs w:val="18"/>
                <w:color w:val="auto"/>
                <w:w w:val="95"/>
              </w:rPr>
              <w:t>Certification by Roy Vallee, Chief Executive Officer, under Section 302 of the Sarbanes-Oxley Act of 2002.</w:t>
            </w:r>
          </w:p>
        </w:tc>
      </w:tr>
      <w:tr>
        <w:trPr>
          <w:trHeight w:val="418"/>
        </w:trPr>
        <w:tc>
          <w:tcPr>
            <w:tcW w:w="1320" w:type="dxa"/>
            <w:vAlign w:val="bottom"/>
          </w:tcPr>
          <w:p>
            <w:pPr>
              <w:ind w:left="540"/>
              <w:spacing w:after="0"/>
              <w:rPr>
                <w:sz w:val="20"/>
                <w:szCs w:val="20"/>
                <w:color w:val="auto"/>
              </w:rPr>
            </w:pPr>
            <w:r>
              <w:rPr>
                <w:rFonts w:ascii="Arial" w:cs="Arial" w:eastAsia="Arial" w:hAnsi="Arial"/>
                <w:sz w:val="18"/>
                <w:szCs w:val="18"/>
                <w:color w:val="auto"/>
              </w:rPr>
              <w:t>31.2*</w:t>
            </w:r>
          </w:p>
        </w:tc>
        <w:tc>
          <w:tcPr>
            <w:tcW w:w="180" w:type="dxa"/>
            <w:vAlign w:val="bottom"/>
          </w:tcPr>
          <w:p>
            <w:pPr>
              <w:spacing w:after="0"/>
              <w:rPr>
                <w:sz w:val="24"/>
                <w:szCs w:val="24"/>
                <w:color w:val="auto"/>
              </w:rPr>
            </w:pPr>
          </w:p>
        </w:tc>
        <w:tc>
          <w:tcPr>
            <w:tcW w:w="8220" w:type="dxa"/>
            <w:vAlign w:val="bottom"/>
            <w:gridSpan w:val="2"/>
          </w:tcPr>
          <w:p>
            <w:pPr>
              <w:ind w:left="100"/>
              <w:spacing w:after="0"/>
              <w:rPr>
                <w:sz w:val="20"/>
                <w:szCs w:val="20"/>
                <w:color w:val="auto"/>
              </w:rPr>
            </w:pPr>
            <w:r>
              <w:rPr>
                <w:rFonts w:ascii="Arial" w:cs="Arial" w:eastAsia="Arial" w:hAnsi="Arial"/>
                <w:sz w:val="18"/>
                <w:szCs w:val="18"/>
                <w:color w:val="auto"/>
                <w:w w:val="94"/>
              </w:rPr>
              <w:t>Certification by Raymond Sadowski, Chief Financial Officer, under Section 302 of the Sarbanes-Oxley Act of</w:t>
            </w:r>
          </w:p>
        </w:tc>
      </w:tr>
      <w:tr>
        <w:trPr>
          <w:trHeight w:val="230"/>
        </w:trPr>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20" w:type="dxa"/>
            <w:vAlign w:val="bottom"/>
            <w:gridSpan w:val="2"/>
          </w:tcPr>
          <w:p>
            <w:pPr>
              <w:ind w:left="100"/>
              <w:spacing w:after="0"/>
              <w:rPr>
                <w:sz w:val="20"/>
                <w:szCs w:val="20"/>
                <w:color w:val="auto"/>
              </w:rPr>
            </w:pPr>
            <w:r>
              <w:rPr>
                <w:rFonts w:ascii="Arial" w:cs="Arial" w:eastAsia="Arial" w:hAnsi="Arial"/>
                <w:sz w:val="18"/>
                <w:szCs w:val="18"/>
                <w:color w:val="auto"/>
              </w:rPr>
              <w:t>2002.</w:t>
            </w:r>
          </w:p>
        </w:tc>
      </w:tr>
      <w:tr>
        <w:trPr>
          <w:trHeight w:val="432"/>
        </w:trPr>
        <w:tc>
          <w:tcPr>
            <w:tcW w:w="1320" w:type="dxa"/>
            <w:vAlign w:val="bottom"/>
          </w:tcPr>
          <w:p>
            <w:pPr>
              <w:ind w:left="540"/>
              <w:spacing w:after="0"/>
              <w:rPr>
                <w:sz w:val="20"/>
                <w:szCs w:val="20"/>
                <w:color w:val="auto"/>
              </w:rPr>
            </w:pPr>
            <w:r>
              <w:rPr>
                <w:rFonts w:ascii="Arial" w:cs="Arial" w:eastAsia="Arial" w:hAnsi="Arial"/>
                <w:sz w:val="18"/>
                <w:szCs w:val="18"/>
                <w:color w:val="auto"/>
              </w:rPr>
              <w:t>32.1**</w:t>
            </w:r>
          </w:p>
        </w:tc>
        <w:tc>
          <w:tcPr>
            <w:tcW w:w="180" w:type="dxa"/>
            <w:vAlign w:val="bottom"/>
          </w:tcPr>
          <w:p>
            <w:pPr>
              <w:spacing w:after="0"/>
              <w:rPr>
                <w:sz w:val="24"/>
                <w:szCs w:val="24"/>
                <w:color w:val="auto"/>
              </w:rPr>
            </w:pPr>
          </w:p>
        </w:tc>
        <w:tc>
          <w:tcPr>
            <w:tcW w:w="8220" w:type="dxa"/>
            <w:vAlign w:val="bottom"/>
            <w:gridSpan w:val="2"/>
          </w:tcPr>
          <w:p>
            <w:pPr>
              <w:ind w:left="100"/>
              <w:spacing w:after="0"/>
              <w:rPr>
                <w:sz w:val="20"/>
                <w:szCs w:val="20"/>
                <w:color w:val="auto"/>
              </w:rPr>
            </w:pPr>
            <w:r>
              <w:rPr>
                <w:rFonts w:ascii="Arial" w:cs="Arial" w:eastAsia="Arial" w:hAnsi="Arial"/>
                <w:sz w:val="18"/>
                <w:szCs w:val="18"/>
                <w:color w:val="auto"/>
                <w:w w:val="95"/>
              </w:rPr>
              <w:t>Certification by Roy Vallee, Chief Executive Officer, under Section 906 of the Sarbanes-Oxley Act of 2002.</w:t>
            </w:r>
          </w:p>
        </w:tc>
      </w:tr>
      <w:tr>
        <w:trPr>
          <w:trHeight w:val="418"/>
        </w:trPr>
        <w:tc>
          <w:tcPr>
            <w:tcW w:w="1320" w:type="dxa"/>
            <w:vAlign w:val="bottom"/>
          </w:tcPr>
          <w:p>
            <w:pPr>
              <w:ind w:left="540"/>
              <w:spacing w:after="0"/>
              <w:rPr>
                <w:sz w:val="20"/>
                <w:szCs w:val="20"/>
                <w:color w:val="auto"/>
              </w:rPr>
            </w:pPr>
            <w:r>
              <w:rPr>
                <w:rFonts w:ascii="Arial" w:cs="Arial" w:eastAsia="Arial" w:hAnsi="Arial"/>
                <w:sz w:val="18"/>
                <w:szCs w:val="18"/>
                <w:color w:val="auto"/>
              </w:rPr>
              <w:t>32.2**</w:t>
            </w:r>
          </w:p>
        </w:tc>
        <w:tc>
          <w:tcPr>
            <w:tcW w:w="180" w:type="dxa"/>
            <w:vAlign w:val="bottom"/>
          </w:tcPr>
          <w:p>
            <w:pPr>
              <w:spacing w:after="0"/>
              <w:rPr>
                <w:sz w:val="24"/>
                <w:szCs w:val="24"/>
                <w:color w:val="auto"/>
              </w:rPr>
            </w:pPr>
          </w:p>
        </w:tc>
        <w:tc>
          <w:tcPr>
            <w:tcW w:w="8220" w:type="dxa"/>
            <w:vAlign w:val="bottom"/>
            <w:gridSpan w:val="2"/>
          </w:tcPr>
          <w:p>
            <w:pPr>
              <w:ind w:left="100"/>
              <w:spacing w:after="0"/>
              <w:rPr>
                <w:sz w:val="20"/>
                <w:szCs w:val="20"/>
                <w:color w:val="auto"/>
              </w:rPr>
            </w:pPr>
            <w:r>
              <w:rPr>
                <w:rFonts w:ascii="Arial" w:cs="Arial" w:eastAsia="Arial" w:hAnsi="Arial"/>
                <w:sz w:val="18"/>
                <w:szCs w:val="18"/>
                <w:color w:val="auto"/>
                <w:w w:val="94"/>
              </w:rPr>
              <w:t>Certification by Raymond Sadowski, Chief Financial Officer, under Section 906 of the Sarbanes-Oxley Act of</w:t>
            </w:r>
          </w:p>
        </w:tc>
      </w:tr>
      <w:tr>
        <w:trPr>
          <w:trHeight w:val="230"/>
        </w:trPr>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20" w:type="dxa"/>
            <w:vAlign w:val="bottom"/>
            <w:gridSpan w:val="2"/>
          </w:tcPr>
          <w:p>
            <w:pPr>
              <w:ind w:left="100"/>
              <w:spacing w:after="0"/>
              <w:rPr>
                <w:sz w:val="20"/>
                <w:szCs w:val="20"/>
                <w:color w:val="auto"/>
              </w:rPr>
            </w:pPr>
            <w:r>
              <w:rPr>
                <w:rFonts w:ascii="Arial" w:cs="Arial" w:eastAsia="Arial" w:hAnsi="Arial"/>
                <w:sz w:val="18"/>
                <w:szCs w:val="18"/>
                <w:color w:val="auto"/>
              </w:rPr>
              <w:t>2002.</w:t>
            </w:r>
          </w:p>
        </w:tc>
      </w:tr>
      <w:tr>
        <w:trPr>
          <w:trHeight w:val="432"/>
        </w:trPr>
        <w:tc>
          <w:tcPr>
            <w:tcW w:w="1500" w:type="dxa"/>
            <w:vAlign w:val="bottom"/>
            <w:gridSpan w:val="2"/>
          </w:tcPr>
          <w:p>
            <w:pPr>
              <w:ind w:left="260"/>
              <w:spacing w:after="0"/>
              <w:rPr>
                <w:sz w:val="20"/>
                <w:szCs w:val="20"/>
                <w:color w:val="auto"/>
              </w:rPr>
            </w:pPr>
            <w:r>
              <w:rPr>
                <w:rFonts w:ascii="Arial" w:cs="Arial" w:eastAsia="Arial" w:hAnsi="Arial"/>
                <w:sz w:val="18"/>
                <w:szCs w:val="18"/>
                <w:color w:val="auto"/>
              </w:rPr>
              <w:t>101.INS***</w:t>
            </w:r>
          </w:p>
        </w:tc>
        <w:tc>
          <w:tcPr>
            <w:tcW w:w="8220" w:type="dxa"/>
            <w:vAlign w:val="bottom"/>
            <w:gridSpan w:val="2"/>
          </w:tcPr>
          <w:p>
            <w:pPr>
              <w:ind w:left="100"/>
              <w:spacing w:after="0"/>
              <w:rPr>
                <w:sz w:val="20"/>
                <w:szCs w:val="20"/>
                <w:color w:val="auto"/>
              </w:rPr>
            </w:pPr>
            <w:r>
              <w:rPr>
                <w:rFonts w:ascii="Arial" w:cs="Arial" w:eastAsia="Arial" w:hAnsi="Arial"/>
                <w:sz w:val="18"/>
                <w:szCs w:val="18"/>
                <w:color w:val="auto"/>
              </w:rPr>
              <w:t>XBRL Instance Document.</w:t>
            </w:r>
          </w:p>
        </w:tc>
      </w:tr>
      <w:tr>
        <w:trPr>
          <w:trHeight w:val="432"/>
        </w:trPr>
        <w:tc>
          <w:tcPr>
            <w:tcW w:w="1500" w:type="dxa"/>
            <w:vAlign w:val="bottom"/>
            <w:gridSpan w:val="2"/>
          </w:tcPr>
          <w:p>
            <w:pPr>
              <w:jc w:val="center"/>
              <w:ind w:right="180"/>
              <w:spacing w:after="0"/>
              <w:rPr>
                <w:sz w:val="20"/>
                <w:szCs w:val="20"/>
                <w:color w:val="auto"/>
              </w:rPr>
            </w:pPr>
            <w:r>
              <w:rPr>
                <w:rFonts w:ascii="Arial" w:cs="Arial" w:eastAsia="Arial" w:hAnsi="Arial"/>
                <w:sz w:val="18"/>
                <w:szCs w:val="18"/>
                <w:color w:val="auto"/>
                <w:w w:val="97"/>
              </w:rPr>
              <w:t>101.SCH***</w:t>
            </w:r>
          </w:p>
        </w:tc>
        <w:tc>
          <w:tcPr>
            <w:tcW w:w="8220" w:type="dxa"/>
            <w:vAlign w:val="bottom"/>
            <w:gridSpan w:val="2"/>
          </w:tcPr>
          <w:p>
            <w:pPr>
              <w:ind w:left="10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500" w:type="dxa"/>
            <w:vAlign w:val="bottom"/>
            <w:gridSpan w:val="2"/>
          </w:tcPr>
          <w:p>
            <w:pPr>
              <w:jc w:val="center"/>
              <w:ind w:right="200"/>
              <w:spacing w:after="0"/>
              <w:rPr>
                <w:sz w:val="20"/>
                <w:szCs w:val="20"/>
                <w:color w:val="auto"/>
              </w:rPr>
            </w:pPr>
            <w:r>
              <w:rPr>
                <w:rFonts w:ascii="Arial" w:cs="Arial" w:eastAsia="Arial" w:hAnsi="Arial"/>
                <w:sz w:val="18"/>
                <w:szCs w:val="18"/>
                <w:color w:val="auto"/>
              </w:rPr>
              <w:t>101.CAL***</w:t>
            </w:r>
          </w:p>
        </w:tc>
        <w:tc>
          <w:tcPr>
            <w:tcW w:w="8220" w:type="dxa"/>
            <w:vAlign w:val="bottom"/>
            <w:gridSpan w:val="2"/>
          </w:tcPr>
          <w:p>
            <w:pPr>
              <w:ind w:left="10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1500" w:type="dxa"/>
            <w:vAlign w:val="bottom"/>
            <w:gridSpan w:val="2"/>
          </w:tcPr>
          <w:p>
            <w:pPr>
              <w:jc w:val="center"/>
              <w:ind w:right="200"/>
              <w:spacing w:after="0"/>
              <w:rPr>
                <w:sz w:val="20"/>
                <w:szCs w:val="20"/>
                <w:color w:val="auto"/>
              </w:rPr>
            </w:pPr>
            <w:r>
              <w:rPr>
                <w:rFonts w:ascii="Arial" w:cs="Arial" w:eastAsia="Arial" w:hAnsi="Arial"/>
                <w:sz w:val="18"/>
                <w:szCs w:val="18"/>
                <w:color w:val="auto"/>
              </w:rPr>
              <w:t>101.LAB***</w:t>
            </w:r>
          </w:p>
        </w:tc>
        <w:tc>
          <w:tcPr>
            <w:tcW w:w="8220" w:type="dxa"/>
            <w:vAlign w:val="bottom"/>
            <w:gridSpan w:val="2"/>
          </w:tcPr>
          <w:p>
            <w:pPr>
              <w:ind w:left="100"/>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1500" w:type="dxa"/>
            <w:vAlign w:val="bottom"/>
            <w:gridSpan w:val="2"/>
          </w:tcPr>
          <w:p>
            <w:pPr>
              <w:jc w:val="center"/>
              <w:ind w:right="160"/>
              <w:spacing w:after="0"/>
              <w:rPr>
                <w:sz w:val="20"/>
                <w:szCs w:val="20"/>
                <w:color w:val="auto"/>
              </w:rPr>
            </w:pPr>
            <w:r>
              <w:rPr>
                <w:rFonts w:ascii="Arial" w:cs="Arial" w:eastAsia="Arial" w:hAnsi="Arial"/>
                <w:sz w:val="18"/>
                <w:szCs w:val="18"/>
                <w:color w:val="auto"/>
                <w:w w:val="96"/>
              </w:rPr>
              <w:t>101.PRE***</w:t>
            </w:r>
          </w:p>
        </w:tc>
        <w:tc>
          <w:tcPr>
            <w:tcW w:w="8220" w:type="dxa"/>
            <w:vAlign w:val="bottom"/>
            <w:gridSpan w:val="2"/>
          </w:tcPr>
          <w:p>
            <w:pPr>
              <w:ind w:left="10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120015</wp:posOffset>
            </wp:positionV>
            <wp:extent cx="111506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357" w:lineRule="exact"/>
        <w:rPr>
          <w:sz w:val="20"/>
          <w:szCs w:val="20"/>
          <w:color w:val="auto"/>
        </w:rPr>
      </w:pPr>
    </w:p>
    <w:p>
      <w:pPr>
        <w:ind w:left="720" w:hanging="388"/>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77" w:lineRule="exact"/>
        <w:rPr>
          <w:sz w:val="20"/>
          <w:szCs w:val="20"/>
          <w:color w:val="auto"/>
        </w:rPr>
      </w:pPr>
    </w:p>
    <w:p>
      <w:pPr>
        <w:ind w:left="720" w:hanging="388"/>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76" w:lineRule="exact"/>
        <w:rPr>
          <w:rFonts w:ascii="Arial" w:cs="Arial" w:eastAsia="Arial" w:hAnsi="Arial"/>
          <w:sz w:val="18"/>
          <w:szCs w:val="18"/>
          <w:color w:val="auto"/>
        </w:rPr>
      </w:pPr>
    </w:p>
    <w:p>
      <w:pPr>
        <w:jc w:val="both"/>
        <w:ind w:left="720" w:right="159" w:hanging="388"/>
        <w:spacing w:after="0" w:line="259"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Furnished herewith. In accordance with Rule 406T of Regulation S-T, the information in these exhibits shall not be deemed to be “filed” for purposes of Section 18 of the Exchange Act, or otherwise subject to liability under that section, and shall not be incorporated by reference into any registration statement or other document filed under the Securities Act of 1933, as amended, except as expressly set forth by specific reference in such filing.</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SIGNATURE</w:t>
      </w:r>
    </w:p>
    <w:p>
      <w:pPr>
        <w:spacing w:after="0" w:line="202" w:lineRule="exact"/>
        <w:rPr>
          <w:sz w:val="20"/>
          <w:szCs w:val="20"/>
          <w:color w:val="auto"/>
        </w:rPr>
      </w:pPr>
    </w:p>
    <w:p>
      <w:pPr>
        <w:ind w:left="340" w:right="159" w:firstLine="38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AVNET, INC.</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By: /s/ RAYMOND SADOWSKI</w:t>
      </w:r>
    </w:p>
    <w:p>
      <w:pPr>
        <w:spacing w:after="0" w:line="2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Raymond Sadowski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3298190</wp:posOffset>
            </wp:positionH>
            <wp:positionV relativeFrom="paragraph">
              <wp:posOffset>-130810</wp:posOffset>
            </wp:positionV>
            <wp:extent cx="217805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3" w:lineRule="exact"/>
        <w:rPr>
          <w:sz w:val="20"/>
          <w:szCs w:val="20"/>
          <w:color w:val="auto"/>
        </w:rPr>
      </w:pPr>
    </w:p>
    <w:p>
      <w:pPr>
        <w:ind w:left="5200"/>
        <w:spacing w:after="0"/>
        <w:rPr>
          <w:sz w:val="20"/>
          <w:szCs w:val="20"/>
          <w:color w:val="auto"/>
        </w:rPr>
      </w:pPr>
      <w:r>
        <w:rPr>
          <w:rFonts w:ascii="Arial" w:cs="Arial" w:eastAsia="Arial" w:hAnsi="Arial"/>
          <w:sz w:val="18"/>
          <w:szCs w:val="18"/>
          <w:i w:val="1"/>
          <w:iCs w:val="1"/>
          <w:color w:val="auto"/>
        </w:rPr>
        <w:t>Senior Vice President and</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i w:val="1"/>
          <w:iCs w:val="1"/>
          <w:color w:val="auto"/>
        </w:rPr>
        <w:t>Chief Financial Officer</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Date: January 28, 2011</w:t>
      </w:r>
    </w:p>
    <w:p>
      <w:pPr>
        <w:spacing w:after="0" w:line="200" w:lineRule="exact"/>
        <w:rPr>
          <w:sz w:val="20"/>
          <w:szCs w:val="20"/>
          <w:color w:val="auto"/>
        </w:rPr>
      </w:pPr>
    </w:p>
    <w:p>
      <w:pPr>
        <w:spacing w:after="0" w:line="390"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219"/>
          </w:cols>
          <w:pgMar w:left="240" w:top="419" w:right="1440" w:bottom="1440" w:gutter="0" w:footer="0" w:header="0"/>
        </w:sectPr>
      </w:pPr>
    </w:p>
    <w:bookmarkStart w:id="30" w:name="page31"/>
    <w:bookmarkEnd w:id="30"/>
    <w:p>
      <w:pPr>
        <w:jc w:val="right"/>
        <w:ind w:right="159"/>
        <w:spacing w:after="0"/>
        <w:rPr>
          <w:sz w:val="20"/>
          <w:szCs w:val="20"/>
          <w:color w:val="auto"/>
        </w:rPr>
      </w:pPr>
      <w:r>
        <w:rPr>
          <w:rFonts w:ascii="Arial" w:cs="Arial" w:eastAsia="Arial" w:hAnsi="Arial"/>
          <w:sz w:val="18"/>
          <w:szCs w:val="18"/>
          <w:b w:val="1"/>
          <w:bCs w:val="1"/>
          <w:color w:val="auto"/>
        </w:rPr>
        <w:t>Exhibit 10.2</w:t>
      </w:r>
    </w:p>
    <w:p>
      <w:pPr>
        <w:spacing w:after="0" w:line="18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AMENDMENT NO. 1 TO</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SECOND AMENDED AND RESTATED RECEIVABLES PURCHASE AGREEMENT</w:t>
      </w:r>
    </w:p>
    <w:p>
      <w:pPr>
        <w:spacing w:after="0" w:line="184" w:lineRule="exact"/>
        <w:rPr>
          <w:sz w:val="20"/>
          <w:szCs w:val="20"/>
          <w:color w:val="auto"/>
        </w:rPr>
      </w:pPr>
    </w:p>
    <w:p>
      <w:pPr>
        <w:ind w:right="159" w:firstLine="778"/>
        <w:spacing w:after="0" w:line="270" w:lineRule="auto"/>
        <w:rPr>
          <w:sz w:val="20"/>
          <w:szCs w:val="20"/>
          <w:color w:val="auto"/>
        </w:rPr>
      </w:pPr>
      <w:r>
        <w:rPr>
          <w:rFonts w:ascii="Arial" w:cs="Arial" w:eastAsia="Arial" w:hAnsi="Arial"/>
          <w:sz w:val="17"/>
          <w:szCs w:val="17"/>
          <w:color w:val="auto"/>
        </w:rPr>
        <w:t>This Amendment No. 1 to Second Amended and Restated Receivables Purchase Agreement (this “</w:t>
      </w:r>
      <w:r>
        <w:rPr>
          <w:rFonts w:ascii="Arial" w:cs="Arial" w:eastAsia="Arial" w:hAnsi="Arial"/>
          <w:sz w:val="17"/>
          <w:szCs w:val="17"/>
          <w:u w:val="single" w:color="auto"/>
          <w:color w:val="auto"/>
        </w:rPr>
        <w:t>Amendment</w:t>
      </w:r>
      <w:r>
        <w:rPr>
          <w:rFonts w:ascii="Arial" w:cs="Arial" w:eastAsia="Arial" w:hAnsi="Arial"/>
          <w:sz w:val="17"/>
          <w:szCs w:val="17"/>
          <w:color w:val="auto"/>
        </w:rPr>
        <w:t>”) is dated as of December 28, 2010, among Avnet Receivables Corporation, a Delaware corporation (“</w:t>
      </w:r>
      <w:r>
        <w:rPr>
          <w:rFonts w:ascii="Arial" w:cs="Arial" w:eastAsia="Arial" w:hAnsi="Arial"/>
          <w:sz w:val="17"/>
          <w:szCs w:val="17"/>
          <w:u w:val="single" w:color="auto"/>
          <w:color w:val="auto"/>
        </w:rPr>
        <w:t>Seller</w:t>
      </w:r>
      <w:r>
        <w:rPr>
          <w:rFonts w:ascii="Arial" w:cs="Arial" w:eastAsia="Arial" w:hAnsi="Arial"/>
          <w:sz w:val="17"/>
          <w:szCs w:val="17"/>
          <w:color w:val="auto"/>
        </w:rPr>
        <w:t>”), Avnet, Inc., a New York corporation (“</w:t>
      </w:r>
      <w:r>
        <w:rPr>
          <w:rFonts w:ascii="Arial" w:cs="Arial" w:eastAsia="Arial" w:hAnsi="Arial"/>
          <w:sz w:val="17"/>
          <w:szCs w:val="17"/>
          <w:u w:val="single" w:color="auto"/>
          <w:color w:val="auto"/>
        </w:rPr>
        <w:t>Avnet</w:t>
      </w:r>
      <w:r>
        <w:rPr>
          <w:rFonts w:ascii="Arial" w:cs="Arial" w:eastAsia="Arial" w:hAnsi="Arial"/>
          <w:sz w:val="17"/>
          <w:szCs w:val="17"/>
          <w:color w:val="auto"/>
        </w:rPr>
        <w:t>”), as initial Servicer (the Servicer together with Seller, the “</w:t>
      </w:r>
      <w:r>
        <w:rPr>
          <w:rFonts w:ascii="Arial" w:cs="Arial" w:eastAsia="Arial" w:hAnsi="Arial"/>
          <w:sz w:val="17"/>
          <w:szCs w:val="17"/>
          <w:u w:val="single" w:color="auto"/>
          <w:color w:val="auto"/>
        </w:rPr>
        <w:t>Seller Parties</w:t>
      </w:r>
      <w:r>
        <w:rPr>
          <w:rFonts w:ascii="Arial" w:cs="Arial" w:eastAsia="Arial" w:hAnsi="Arial"/>
          <w:sz w:val="17"/>
          <w:szCs w:val="17"/>
          <w:color w:val="auto"/>
        </w:rPr>
        <w:t>” and each a “</w:t>
      </w:r>
      <w:r>
        <w:rPr>
          <w:rFonts w:ascii="Arial" w:cs="Arial" w:eastAsia="Arial" w:hAnsi="Arial"/>
          <w:sz w:val="17"/>
          <w:szCs w:val="17"/>
          <w:u w:val="single" w:color="auto"/>
          <w:color w:val="auto"/>
        </w:rPr>
        <w:t>Seller Party</w:t>
      </w:r>
      <w:r>
        <w:rPr>
          <w:rFonts w:ascii="Arial" w:cs="Arial" w:eastAsia="Arial" w:hAnsi="Arial"/>
          <w:sz w:val="17"/>
          <w:szCs w:val="17"/>
          <w:color w:val="auto"/>
        </w:rPr>
        <w:t>”), the entities party hereto and identified as a “Financial Institution” (together with any of their respective successors and assigns hereunder, the “</w:t>
      </w:r>
      <w:r>
        <w:rPr>
          <w:rFonts w:ascii="Arial" w:cs="Arial" w:eastAsia="Arial" w:hAnsi="Arial"/>
          <w:sz w:val="17"/>
          <w:szCs w:val="17"/>
          <w:u w:val="single" w:color="auto"/>
          <w:color w:val="auto"/>
        </w:rPr>
        <w:t>Financial</w:t>
      </w:r>
      <w:r>
        <w:rPr>
          <w:rFonts w:ascii="Arial" w:cs="Arial" w:eastAsia="Arial" w:hAnsi="Arial"/>
          <w:sz w:val="17"/>
          <w:szCs w:val="17"/>
          <w:color w:val="auto"/>
        </w:rPr>
        <w:t xml:space="preserve"> </w:t>
      </w:r>
      <w:r>
        <w:rPr>
          <w:rFonts w:ascii="Arial" w:cs="Arial" w:eastAsia="Arial" w:hAnsi="Arial"/>
          <w:sz w:val="17"/>
          <w:szCs w:val="17"/>
          <w:u w:val="single" w:color="auto"/>
          <w:color w:val="auto"/>
        </w:rPr>
        <w:t>Institutions</w:t>
      </w:r>
      <w:r>
        <w:rPr>
          <w:rFonts w:ascii="Arial" w:cs="Arial" w:eastAsia="Arial" w:hAnsi="Arial"/>
          <w:sz w:val="17"/>
          <w:szCs w:val="17"/>
          <w:color w:val="auto"/>
        </w:rPr>
        <w:t>”), the entities party hereto and identified as a “Company” (together with any of their respective successors and assigns hereunder, the “</w:t>
      </w:r>
      <w:r>
        <w:rPr>
          <w:rFonts w:ascii="Arial" w:cs="Arial" w:eastAsia="Arial" w:hAnsi="Arial"/>
          <w:sz w:val="17"/>
          <w:szCs w:val="17"/>
          <w:u w:val="single" w:color="auto"/>
          <w:color w:val="auto"/>
        </w:rPr>
        <w:t>Companies</w:t>
      </w:r>
      <w:r>
        <w:rPr>
          <w:rFonts w:ascii="Arial" w:cs="Arial" w:eastAsia="Arial" w:hAnsi="Arial"/>
          <w:sz w:val="17"/>
          <w:szCs w:val="17"/>
          <w:color w:val="auto"/>
        </w:rPr>
        <w:t>”) and JPMorgan Chase Bank, N.A. (successor by merger to Bank One, NA (Main Office Chicago)), as agent for the Purchasers or any successor agent hereunder (together with its successors and assigns hereunder, the “</w:t>
      </w:r>
      <w:r>
        <w:rPr>
          <w:rFonts w:ascii="Arial" w:cs="Arial" w:eastAsia="Arial" w:hAnsi="Arial"/>
          <w:sz w:val="17"/>
          <w:szCs w:val="17"/>
          <w:u w:val="single" w:color="auto"/>
          <w:color w:val="auto"/>
        </w:rPr>
        <w:t>Agent</w:t>
      </w:r>
      <w:r>
        <w:rPr>
          <w:rFonts w:ascii="Arial" w:cs="Arial" w:eastAsia="Arial" w:hAnsi="Arial"/>
          <w:sz w:val="17"/>
          <w:szCs w:val="17"/>
          <w:color w:val="auto"/>
        </w:rPr>
        <w:t>”), amending the Second Amended and Restated Receivables Purchase Agreement, dated as of August 26, 2010 among the parties hereto (the “</w:t>
      </w:r>
      <w:r>
        <w:rPr>
          <w:rFonts w:ascii="Arial" w:cs="Arial" w:eastAsia="Arial" w:hAnsi="Arial"/>
          <w:sz w:val="17"/>
          <w:szCs w:val="17"/>
          <w:u w:val="single" w:color="auto"/>
          <w:color w:val="auto"/>
        </w:rPr>
        <w:t>Original Agreement</w:t>
      </w:r>
      <w:r>
        <w:rPr>
          <w:rFonts w:ascii="Arial" w:cs="Arial" w:eastAsia="Arial" w:hAnsi="Arial"/>
          <w:sz w:val="17"/>
          <w:szCs w:val="17"/>
          <w:color w:val="auto"/>
        </w:rPr>
        <w:t>”).</w:t>
      </w:r>
    </w:p>
    <w:p>
      <w:pPr>
        <w:spacing w:after="0" w:line="13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u w:val="single" w:color="auto"/>
          <w:color w:val="auto"/>
        </w:rPr>
        <w:t>RECITALS</w:t>
      </w:r>
    </w:p>
    <w:p>
      <w:pPr>
        <w:spacing w:after="0" w:line="189" w:lineRule="exact"/>
        <w:rPr>
          <w:sz w:val="20"/>
          <w:szCs w:val="20"/>
          <w:color w:val="auto"/>
        </w:rPr>
      </w:pPr>
    </w:p>
    <w:p>
      <w:pPr>
        <w:ind w:right="339" w:firstLine="778"/>
        <w:spacing w:after="0" w:line="277" w:lineRule="auto"/>
        <w:rPr>
          <w:sz w:val="20"/>
          <w:szCs w:val="20"/>
          <w:color w:val="auto"/>
        </w:rPr>
      </w:pPr>
      <w:r>
        <w:rPr>
          <w:rFonts w:ascii="Arial" w:cs="Arial" w:eastAsia="Arial" w:hAnsi="Arial"/>
          <w:sz w:val="18"/>
          <w:szCs w:val="18"/>
          <w:color w:val="auto"/>
        </w:rPr>
        <w:t>The parties hereto are parties to the Original Agreement and they now desire to amend the Original Agreement, subject to the terms and conditions hereof, as more particularly described herein.</w:t>
      </w:r>
    </w:p>
    <w:p>
      <w:pPr>
        <w:spacing w:after="0" w:line="13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u w:val="single" w:color="auto"/>
          <w:color w:val="auto"/>
        </w:rPr>
        <w:t>AGREEMENT</w:t>
      </w:r>
    </w:p>
    <w:p>
      <w:pPr>
        <w:spacing w:after="0" w:line="189" w:lineRule="exact"/>
        <w:rPr>
          <w:sz w:val="20"/>
          <w:szCs w:val="20"/>
          <w:color w:val="auto"/>
        </w:rPr>
      </w:pPr>
    </w:p>
    <w:p>
      <w:pPr>
        <w:ind w:right="619" w:firstLine="778"/>
        <w:spacing w:after="0" w:line="277" w:lineRule="auto"/>
        <w:rPr>
          <w:sz w:val="20"/>
          <w:szCs w:val="20"/>
          <w:color w:val="auto"/>
        </w:rPr>
      </w:pPr>
      <w:r>
        <w:rPr>
          <w:rFonts w:ascii="Arial" w:cs="Arial" w:eastAsia="Arial" w:hAnsi="Arial"/>
          <w:sz w:val="18"/>
          <w:szCs w:val="18"/>
          <w:color w:val="auto"/>
        </w:rPr>
        <w:t>NOW, THEREFORE, in consideration of the premises, and for other good and valuable consideration, the receipt and sufficiency of which are hereby acknowledged, the parties hereto hereby agree as follows:</w:t>
      </w:r>
    </w:p>
    <w:p>
      <w:pPr>
        <w:spacing w:after="0" w:line="126" w:lineRule="exact"/>
        <w:rPr>
          <w:sz w:val="20"/>
          <w:szCs w:val="20"/>
          <w:color w:val="auto"/>
        </w:rPr>
      </w:pPr>
    </w:p>
    <w:p>
      <w:pPr>
        <w:ind w:right="439" w:firstLine="389"/>
        <w:spacing w:after="0" w:line="282" w:lineRule="auto"/>
        <w:rPr>
          <w:sz w:val="20"/>
          <w:szCs w:val="20"/>
          <w:color w:val="auto"/>
        </w:rPr>
      </w:pPr>
      <w:r>
        <w:rPr>
          <w:rFonts w:ascii="Arial" w:cs="Arial" w:eastAsia="Arial" w:hAnsi="Arial"/>
          <w:sz w:val="18"/>
          <w:szCs w:val="18"/>
          <w:b w:val="1"/>
          <w:bCs w:val="1"/>
          <w:color w:val="auto"/>
        </w:rPr>
        <w:t xml:space="preserve">Section 1. </w:t>
      </w:r>
      <w:r>
        <w:rPr>
          <w:rFonts w:ascii="Arial" w:cs="Arial" w:eastAsia="Arial" w:hAnsi="Arial"/>
          <w:sz w:val="18"/>
          <w:szCs w:val="18"/>
          <w:b w:val="1"/>
          <w:bCs w:val="1"/>
          <w:u w:val="single" w:color="auto"/>
          <w:color w:val="auto"/>
        </w:rPr>
        <w:t>Definitions Used Herein</w:t>
      </w:r>
      <w:r>
        <w:rPr>
          <w:rFonts w:ascii="Arial" w:cs="Arial" w:eastAsia="Arial" w:hAnsi="Arial"/>
          <w:sz w:val="18"/>
          <w:szCs w:val="18"/>
          <w:b w:val="1"/>
          <w:bCs w:val="1"/>
          <w:color w:val="auto"/>
        </w:rPr>
        <w:t xml:space="preserve">. </w:t>
      </w:r>
      <w:r>
        <w:rPr>
          <w:rFonts w:ascii="Arial" w:cs="Arial" w:eastAsia="Arial" w:hAnsi="Arial"/>
          <w:sz w:val="18"/>
          <w:szCs w:val="18"/>
          <w:color w:val="auto"/>
        </w:rPr>
        <w:t>Capitalized terms used herein and not otherwise defined herein shall have the respective</w:t>
      </w:r>
      <w:r>
        <w:rPr>
          <w:rFonts w:ascii="Arial" w:cs="Arial" w:eastAsia="Arial" w:hAnsi="Arial"/>
          <w:sz w:val="18"/>
          <w:szCs w:val="18"/>
          <w:b w:val="1"/>
          <w:bCs w:val="1"/>
          <w:color w:val="auto"/>
        </w:rPr>
        <w:t xml:space="preserve"> </w:t>
      </w:r>
      <w:r>
        <w:rPr>
          <w:rFonts w:ascii="Arial" w:cs="Arial" w:eastAsia="Arial" w:hAnsi="Arial"/>
          <w:sz w:val="18"/>
          <w:szCs w:val="18"/>
          <w:color w:val="auto"/>
        </w:rPr>
        <w:t>meanings set forth for such terms in, or incorporated by reference into, the Original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618490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1" w:right="1440" w:bottom="1440" w:gutter="0" w:footer="0" w:header="0"/>
        </w:sectPr>
      </w:pPr>
    </w:p>
    <w:bookmarkStart w:id="31" w:name="page32"/>
    <w:bookmarkEnd w:id="31"/>
    <w:p>
      <w:pPr>
        <w:ind w:right="279" w:firstLine="389"/>
        <w:spacing w:after="0" w:line="266" w:lineRule="auto"/>
        <w:rPr>
          <w:sz w:val="20"/>
          <w:szCs w:val="20"/>
          <w:color w:val="auto"/>
        </w:rPr>
      </w:pPr>
      <w:r>
        <w:rPr>
          <w:rFonts w:ascii="Arial" w:cs="Arial" w:eastAsia="Arial" w:hAnsi="Arial"/>
          <w:sz w:val="18"/>
          <w:szCs w:val="18"/>
          <w:b w:val="1"/>
          <w:bCs w:val="1"/>
          <w:color w:val="auto"/>
        </w:rPr>
        <w:t xml:space="preserve">Section 2. </w:t>
      </w:r>
      <w:r>
        <w:rPr>
          <w:rFonts w:ascii="Arial" w:cs="Arial" w:eastAsia="Arial" w:hAnsi="Arial"/>
          <w:sz w:val="18"/>
          <w:szCs w:val="18"/>
          <w:b w:val="1"/>
          <w:bCs w:val="1"/>
          <w:u w:val="single" w:color="auto"/>
          <w:color w:val="auto"/>
        </w:rPr>
        <w:t>Amendment</w:t>
      </w:r>
      <w:r>
        <w:rPr>
          <w:rFonts w:ascii="Arial" w:cs="Arial" w:eastAsia="Arial" w:hAnsi="Arial"/>
          <w:sz w:val="18"/>
          <w:szCs w:val="18"/>
          <w:b w:val="1"/>
          <w:bCs w:val="1"/>
          <w:color w:val="auto"/>
        </w:rPr>
        <w:t xml:space="preserve">. </w:t>
      </w:r>
      <w:r>
        <w:rPr>
          <w:rFonts w:ascii="Arial" w:cs="Arial" w:eastAsia="Arial" w:hAnsi="Arial"/>
          <w:sz w:val="18"/>
          <w:szCs w:val="18"/>
          <w:color w:val="auto"/>
        </w:rPr>
        <w:t>(a)</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Amendment of Section 7.1</w:t>
      </w:r>
      <w:r>
        <w:rPr>
          <w:rFonts w:ascii="Arial" w:cs="Arial" w:eastAsia="Arial" w:hAnsi="Arial"/>
          <w:sz w:val="18"/>
          <w:szCs w:val="18"/>
          <w:color w:val="auto"/>
        </w:rPr>
        <w:t>. Subject to the terms and conditions set forth herein, Section 7.1(i)(J) of</w:t>
      </w:r>
      <w:r>
        <w:rPr>
          <w:rFonts w:ascii="Arial" w:cs="Arial" w:eastAsia="Arial" w:hAnsi="Arial"/>
          <w:sz w:val="18"/>
          <w:szCs w:val="18"/>
          <w:b w:val="1"/>
          <w:bCs w:val="1"/>
          <w:color w:val="auto"/>
        </w:rPr>
        <w:t xml:space="preserve"> </w:t>
      </w:r>
      <w:r>
        <w:rPr>
          <w:rFonts w:ascii="Arial" w:cs="Arial" w:eastAsia="Arial" w:hAnsi="Arial"/>
          <w:sz w:val="18"/>
          <w:szCs w:val="18"/>
          <w:color w:val="auto"/>
        </w:rPr>
        <w:t>the Original Agreement is hereby amended and restated in its entirely to read as follows (solely for convenience, new language is italicized):</w:t>
      </w:r>
    </w:p>
    <w:p>
      <w:pPr>
        <w:spacing w:after="0" w:line="153" w:lineRule="exact"/>
        <w:rPr>
          <w:sz w:val="20"/>
          <w:szCs w:val="20"/>
          <w:color w:val="auto"/>
        </w:rPr>
      </w:pPr>
    </w:p>
    <w:p>
      <w:pPr>
        <w:ind w:left="380" w:right="199"/>
        <w:spacing w:after="0" w:line="312" w:lineRule="auto"/>
        <w:rPr>
          <w:sz w:val="20"/>
          <w:szCs w:val="20"/>
          <w:color w:val="auto"/>
        </w:rPr>
      </w:pPr>
      <w:r>
        <w:rPr>
          <w:rFonts w:ascii="Arial" w:cs="Arial" w:eastAsia="Arial" w:hAnsi="Arial"/>
          <w:sz w:val="16"/>
          <w:szCs w:val="16"/>
          <w:color w:val="auto"/>
        </w:rPr>
        <w:t xml:space="preserve">“(J) except as herein specifically otherwise provided, maintain the funds or other assets of Seller separate from, and not commingled with, those of Originator or any Affiliate thereof (other than any Excluded Receivables </w:t>
      </w:r>
      <w:r>
        <w:rPr>
          <w:rFonts w:ascii="Arial" w:cs="Arial" w:eastAsia="Arial" w:hAnsi="Arial"/>
          <w:sz w:val="16"/>
          <w:szCs w:val="16"/>
          <w:i w:val="1"/>
          <w:iCs w:val="1"/>
          <w:color w:val="auto"/>
        </w:rPr>
        <w:t>described in clause (i) of the</w:t>
      </w:r>
      <w:r>
        <w:rPr>
          <w:rFonts w:ascii="Arial" w:cs="Arial" w:eastAsia="Arial" w:hAnsi="Arial"/>
          <w:sz w:val="16"/>
          <w:szCs w:val="16"/>
          <w:color w:val="auto"/>
        </w:rPr>
        <w:t xml:space="preserve"> </w:t>
      </w:r>
      <w:r>
        <w:rPr>
          <w:rFonts w:ascii="Arial" w:cs="Arial" w:eastAsia="Arial" w:hAnsi="Arial"/>
          <w:sz w:val="16"/>
          <w:szCs w:val="16"/>
          <w:i w:val="1"/>
          <w:iCs w:val="1"/>
          <w:color w:val="auto"/>
        </w:rPr>
        <w:t>definition thereof</w:t>
      </w:r>
      <w:r>
        <w:rPr>
          <w:rFonts w:ascii="Arial" w:cs="Arial" w:eastAsia="Arial" w:hAnsi="Arial"/>
          <w:sz w:val="16"/>
          <w:szCs w:val="16"/>
          <w:color w:val="auto"/>
        </w:rPr>
        <w:t>) and only maintain bank accounts or other depository accounts to which Seller alone is the account party;”</w:t>
      </w:r>
    </w:p>
    <w:p>
      <w:pPr>
        <w:spacing w:after="0" w:line="106" w:lineRule="exact"/>
        <w:rPr>
          <w:sz w:val="20"/>
          <w:szCs w:val="20"/>
          <w:color w:val="auto"/>
        </w:rPr>
      </w:pPr>
    </w:p>
    <w:p>
      <w:pPr>
        <w:ind w:right="539" w:firstLine="381"/>
        <w:spacing w:after="0" w:line="277" w:lineRule="auto"/>
        <w:tabs>
          <w:tab w:leader="none" w:pos="644"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Amendment of Section 7.1</w:t>
      </w:r>
      <w:r>
        <w:rPr>
          <w:rFonts w:ascii="Arial" w:cs="Arial" w:eastAsia="Arial" w:hAnsi="Arial"/>
          <w:sz w:val="18"/>
          <w:szCs w:val="18"/>
          <w:color w:val="auto"/>
        </w:rPr>
        <w:t>. Subject to the terms and conditions set forth herein, Section 7.1 of the Original Agreement is hereby amended by adding thereto a new subsection (p) as follows:</w:t>
      </w:r>
    </w:p>
    <w:p>
      <w:pPr>
        <w:spacing w:after="0" w:line="130" w:lineRule="exact"/>
        <w:rPr>
          <w:sz w:val="20"/>
          <w:szCs w:val="20"/>
          <w:color w:val="auto"/>
        </w:rPr>
      </w:pPr>
    </w:p>
    <w:p>
      <w:pPr>
        <w:ind w:left="380" w:right="199"/>
        <w:spacing w:after="0" w:line="270" w:lineRule="auto"/>
        <w:rPr>
          <w:sz w:val="20"/>
          <w:szCs w:val="20"/>
          <w:color w:val="auto"/>
        </w:rPr>
      </w:pPr>
      <w:r>
        <w:rPr>
          <w:rFonts w:ascii="Arial" w:cs="Arial" w:eastAsia="Arial" w:hAnsi="Arial"/>
          <w:sz w:val="17"/>
          <w:szCs w:val="17"/>
          <w:color w:val="auto"/>
        </w:rPr>
        <w:t xml:space="preserve">“(p) </w:t>
      </w:r>
      <w:r>
        <w:rPr>
          <w:rFonts w:ascii="Arial" w:cs="Arial" w:eastAsia="Arial" w:hAnsi="Arial"/>
          <w:sz w:val="17"/>
          <w:szCs w:val="17"/>
          <w:u w:val="single" w:color="auto"/>
          <w:color w:val="auto"/>
        </w:rPr>
        <w:t>General Ledger and Certain Receivables</w:t>
      </w:r>
      <w:r>
        <w:rPr>
          <w:rFonts w:ascii="Arial" w:cs="Arial" w:eastAsia="Arial" w:hAnsi="Arial"/>
          <w:sz w:val="17"/>
          <w:szCs w:val="17"/>
          <w:color w:val="auto"/>
        </w:rPr>
        <w:t xml:space="preserve">. Such Seller Party shall maintain its consolidated general accounting ledger such that all indebtedness and other obligations owed to Originator or in which Originator has a security interest or other interest arising in connection with the sale or lease of goods or the rendering of services by Originator and sold to Seller are recorded as part of general ledger category “company code 0100” </w:t>
      </w:r>
      <w:r>
        <w:rPr>
          <w:rFonts w:ascii="Arial" w:cs="Arial" w:eastAsia="Arial" w:hAnsi="Arial"/>
          <w:sz w:val="17"/>
          <w:szCs w:val="17"/>
          <w:u w:val="single" w:color="auto"/>
          <w:color w:val="auto"/>
        </w:rPr>
        <w:t>provided however</w:t>
      </w:r>
      <w:r>
        <w:rPr>
          <w:rFonts w:ascii="Arial" w:cs="Arial" w:eastAsia="Arial" w:hAnsi="Arial"/>
          <w:sz w:val="17"/>
          <w:szCs w:val="17"/>
          <w:color w:val="auto"/>
        </w:rPr>
        <w:t>, that from and after December 28, 2010 indebtedness or other obligations owed to Originator or in which Originator has a security interest or other interest arising in connection with the sale or lease of goods or the rendering of services by the business previously conducted by businesses acquired by Originator on or after December 28, 2010 shall not be recorded as part of general ledger category “company code 0100” until such time, if any, as such indebtedness or other obligations are originated, serviced and collected in a manner substantially similar to the Receivables.”</w:t>
      </w:r>
    </w:p>
    <w:p>
      <w:pPr>
        <w:spacing w:after="0" w:line="155" w:lineRule="exact"/>
        <w:rPr>
          <w:sz w:val="20"/>
          <w:szCs w:val="20"/>
          <w:color w:val="auto"/>
        </w:rPr>
      </w:pPr>
    </w:p>
    <w:p>
      <w:pPr>
        <w:ind w:right="499" w:firstLine="381"/>
        <w:spacing w:after="0" w:line="264" w:lineRule="auto"/>
        <w:tabs>
          <w:tab w:leader="none" w:pos="633"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Amendment of Exhibit I</w:t>
      </w:r>
      <w:r>
        <w:rPr>
          <w:rFonts w:ascii="Arial" w:cs="Arial" w:eastAsia="Arial" w:hAnsi="Arial"/>
          <w:sz w:val="18"/>
          <w:szCs w:val="18"/>
          <w:color w:val="auto"/>
        </w:rPr>
        <w:t>. Subject to the terms and conditions set forth herein, the definition of “Excluded Receivables” in Exhibit I of the Original Agreement is hereby deleted and replaced with the following (solely for convenience, new language is italicized):</w:t>
      </w:r>
    </w:p>
    <w:p>
      <w:pPr>
        <w:spacing w:after="0" w:line="141" w:lineRule="exact"/>
        <w:rPr>
          <w:sz w:val="20"/>
          <w:szCs w:val="20"/>
          <w:color w:val="auto"/>
        </w:rPr>
      </w:pPr>
    </w:p>
    <w:p>
      <w:pPr>
        <w:ind w:left="380" w:right="179"/>
        <w:spacing w:after="0" w:line="286" w:lineRule="auto"/>
        <w:rPr>
          <w:sz w:val="20"/>
          <w:szCs w:val="20"/>
          <w:color w:val="auto"/>
        </w:rPr>
      </w:pPr>
      <w:r>
        <w:rPr>
          <w:rFonts w:ascii="Arial" w:cs="Arial" w:eastAsia="Arial" w:hAnsi="Arial"/>
          <w:sz w:val="16"/>
          <w:szCs w:val="16"/>
          <w:color w:val="auto"/>
        </w:rPr>
        <w:t xml:space="preserve">““Excluded Receivable” means all indebtedness and other obligations owed to Originator or in which Originator has a security interest or other interest (including, without limitation, any indebtedness, obligation or interest constituting an account, chattel paper, instrument or general intangible) arising in connection with the sale or lease of goods or the rendering of services by Originator and further includes, without limitation, the obligation to pay any Finance Charges with respect thereto, which, in any case </w:t>
      </w:r>
      <w:r>
        <w:rPr>
          <w:rFonts w:ascii="Arial" w:cs="Arial" w:eastAsia="Arial" w:hAnsi="Arial"/>
          <w:sz w:val="16"/>
          <w:szCs w:val="16"/>
          <w:i w:val="1"/>
          <w:iCs w:val="1"/>
          <w:color w:val="auto"/>
        </w:rPr>
        <w:t>(i)</w:t>
      </w:r>
      <w:r>
        <w:rPr>
          <w:rFonts w:ascii="Arial" w:cs="Arial" w:eastAsia="Arial" w:hAnsi="Arial"/>
          <w:sz w:val="16"/>
          <w:szCs w:val="16"/>
          <w:color w:val="auto"/>
        </w:rPr>
        <w:t xml:space="preserve"> General Electric Capital Corporation has or could finance, fund, purchase or otherwise acquire pursuant to that certain Agreement, dated October 12, 1998, between General Electric Capital Corporation and Avnet, Inc </w:t>
      </w:r>
      <w:r>
        <w:rPr>
          <w:rFonts w:ascii="Arial" w:cs="Arial" w:eastAsia="Arial" w:hAnsi="Arial"/>
          <w:sz w:val="16"/>
          <w:szCs w:val="16"/>
          <w:i w:val="1"/>
          <w:iCs w:val="1"/>
          <w:color w:val="auto"/>
        </w:rPr>
        <w:t>or (ii) is not recorded or</w:t>
      </w:r>
      <w:r>
        <w:rPr>
          <w:rFonts w:ascii="Arial" w:cs="Arial" w:eastAsia="Arial" w:hAnsi="Arial"/>
          <w:sz w:val="16"/>
          <w:szCs w:val="16"/>
          <w:color w:val="auto"/>
        </w:rPr>
        <w:t xml:space="preserve"> </w:t>
      </w:r>
      <w:r>
        <w:rPr>
          <w:rFonts w:ascii="Arial" w:cs="Arial" w:eastAsia="Arial" w:hAnsi="Arial"/>
          <w:sz w:val="16"/>
          <w:szCs w:val="16"/>
          <w:i w:val="1"/>
          <w:iCs w:val="1"/>
          <w:color w:val="auto"/>
        </w:rPr>
        <w:t>maintained in Avnet’s consolidated general ledger accounting records as part of general ledger category “company code 0100”</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Indebtedness and other rights and obligations arising from any one transaction, including, without limitation, indebtedness and other rights and obligations represented by an individual invoice, shall constitute an Excluded Receivable separate from an Excluded Receivable consisting of the indebtedness and other rights and obligations arising from any other transaction; provided, that any indebtedness, rights or obligations referred to in the immediately preceding sentence shall be an Excluded Receivable regardless of whether the account debtor or Seller treats such indebtedness, rights or obligations as a separate payment obligation. For the avoidance of doubt, ‘Excluded Receivable’ shall include, without limitation, all such indebtedness and other obligations for which AlliedSignal, Inc. or Honeywell International Inc. is the account debtor during the period that the Agreement, dated October 12, 1998, between General Electric Capital Corporation and Avnet, Inc. is in effect.”</w:t>
      </w:r>
    </w:p>
    <w:p>
      <w:pPr>
        <w:spacing w:after="0" w:line="200" w:lineRule="exact"/>
        <w:rPr>
          <w:sz w:val="20"/>
          <w:szCs w:val="20"/>
          <w:color w:val="auto"/>
        </w:rPr>
      </w:pPr>
    </w:p>
    <w:p>
      <w:pPr>
        <w:spacing w:after="0" w:line="33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32" w:name="page33"/>
    <w:bookmarkEnd w:id="32"/>
    <w:p>
      <w:pPr>
        <w:ind w:left="8" w:right="219" w:firstLine="389"/>
        <w:spacing w:after="0" w:line="282" w:lineRule="auto"/>
        <w:rPr>
          <w:sz w:val="20"/>
          <w:szCs w:val="20"/>
          <w:color w:val="auto"/>
        </w:rPr>
      </w:pPr>
      <w:r>
        <w:rPr>
          <w:rFonts w:ascii="Arial" w:cs="Arial" w:eastAsia="Arial" w:hAnsi="Arial"/>
          <w:sz w:val="18"/>
          <w:szCs w:val="18"/>
          <w:b w:val="1"/>
          <w:bCs w:val="1"/>
          <w:color w:val="auto"/>
        </w:rPr>
        <w:t xml:space="preserve">Section 3. </w:t>
      </w:r>
      <w:r>
        <w:rPr>
          <w:rFonts w:ascii="Arial" w:cs="Arial" w:eastAsia="Arial" w:hAnsi="Arial"/>
          <w:sz w:val="18"/>
          <w:szCs w:val="18"/>
          <w:b w:val="1"/>
          <w:bCs w:val="1"/>
          <w:u w:val="single" w:color="auto"/>
          <w:color w:val="auto"/>
        </w:rPr>
        <w:t>Conditions to Effectiveness of Amendment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Amendment shall become effective as of the date hereof, upon the</w:t>
      </w:r>
      <w:r>
        <w:rPr>
          <w:rFonts w:ascii="Arial" w:cs="Arial" w:eastAsia="Arial" w:hAnsi="Arial"/>
          <w:sz w:val="18"/>
          <w:szCs w:val="18"/>
          <w:b w:val="1"/>
          <w:bCs w:val="1"/>
          <w:color w:val="auto"/>
        </w:rPr>
        <w:t xml:space="preserve"> </w:t>
      </w:r>
      <w:r>
        <w:rPr>
          <w:rFonts w:ascii="Arial" w:cs="Arial" w:eastAsia="Arial" w:hAnsi="Arial"/>
          <w:sz w:val="18"/>
          <w:szCs w:val="18"/>
          <w:color w:val="auto"/>
        </w:rPr>
        <w:t>satisfaction of the conditions precedent that:</w:t>
      </w:r>
    </w:p>
    <w:p>
      <w:pPr>
        <w:spacing w:after="0" w:line="139" w:lineRule="exact"/>
        <w:rPr>
          <w:sz w:val="20"/>
          <w:szCs w:val="20"/>
          <w:color w:val="auto"/>
        </w:rPr>
      </w:pPr>
    </w:p>
    <w:p>
      <w:pPr>
        <w:ind w:left="8" w:right="179" w:firstLine="770"/>
        <w:spacing w:after="0" w:line="277" w:lineRule="auto"/>
        <w:tabs>
          <w:tab w:leader="none" w:pos="103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The Agent and each Seller Party shall have received, on or before the date hereof, executed counterparts of this Amendment, duly executed by each of the parties hereto.</w:t>
      </w:r>
    </w:p>
    <w:p>
      <w:pPr>
        <w:spacing w:after="0" w:line="129" w:lineRule="exact"/>
        <w:rPr>
          <w:rFonts w:ascii="Arial" w:cs="Arial" w:eastAsia="Arial" w:hAnsi="Arial"/>
          <w:sz w:val="18"/>
          <w:szCs w:val="18"/>
          <w:color w:val="auto"/>
        </w:rPr>
      </w:pPr>
    </w:p>
    <w:p>
      <w:pPr>
        <w:jc w:val="both"/>
        <w:ind w:left="8" w:right="239" w:firstLine="770"/>
        <w:spacing w:after="0" w:line="259"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As of the date hereof, both before and after giving effect to this Amendment, all of the representations and warranties of each seller Party contained in the Original Agreement and in each other Transaction Document shall be true and correct in all material respects as though made on the date hereof (and by its execution hereof, each Seller Party shall be deemed to have represented and warranted such).</w:t>
      </w:r>
    </w:p>
    <w:p>
      <w:pPr>
        <w:spacing w:after="0" w:line="146" w:lineRule="exact"/>
        <w:rPr>
          <w:rFonts w:ascii="Arial" w:cs="Arial" w:eastAsia="Arial" w:hAnsi="Arial"/>
          <w:sz w:val="18"/>
          <w:szCs w:val="18"/>
          <w:color w:val="auto"/>
        </w:rPr>
      </w:pPr>
    </w:p>
    <w:p>
      <w:pPr>
        <w:ind w:left="8" w:right="199" w:firstLine="770"/>
        <w:spacing w:after="0" w:line="264" w:lineRule="auto"/>
        <w:tabs>
          <w:tab w:leader="none" w:pos="103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No Termination Event or Potential Termination Event</w:t>
      </w:r>
      <w:r>
        <w:rPr>
          <w:rFonts w:ascii="Arial" w:cs="Arial" w:eastAsia="Arial" w:hAnsi="Arial"/>
          <w:sz w:val="18"/>
          <w:szCs w:val="18"/>
          <w:color w:val="auto"/>
        </w:rPr>
        <w:t>. As of the date hereof, both before and after giving effect to this Amendment, no Termination Event or Potential Termination Event shall have occurred and be continuing (and by its execution hereof, each of Seller Party shall be deemed to have represented and warranted such).</w:t>
      </w:r>
    </w:p>
    <w:p>
      <w:pPr>
        <w:spacing w:after="0" w:line="150" w:lineRule="exact"/>
        <w:rPr>
          <w:sz w:val="20"/>
          <w:szCs w:val="20"/>
          <w:color w:val="auto"/>
        </w:rPr>
      </w:pPr>
    </w:p>
    <w:p>
      <w:pPr>
        <w:ind w:left="388"/>
        <w:spacing w:after="0"/>
        <w:rPr>
          <w:sz w:val="20"/>
          <w:szCs w:val="20"/>
          <w:color w:val="auto"/>
        </w:rPr>
      </w:pPr>
      <w:r>
        <w:rPr>
          <w:rFonts w:ascii="Arial" w:cs="Arial" w:eastAsia="Arial" w:hAnsi="Arial"/>
          <w:sz w:val="18"/>
          <w:szCs w:val="18"/>
          <w:b w:val="1"/>
          <w:bCs w:val="1"/>
          <w:color w:val="auto"/>
        </w:rPr>
        <w:t xml:space="preserve">Section 4. </w:t>
      </w:r>
      <w:r>
        <w:rPr>
          <w:rFonts w:ascii="Arial" w:cs="Arial" w:eastAsia="Arial" w:hAnsi="Arial"/>
          <w:sz w:val="18"/>
          <w:szCs w:val="18"/>
          <w:b w:val="1"/>
          <w:bCs w:val="1"/>
          <w:u w:val="single" w:color="auto"/>
          <w:color w:val="auto"/>
        </w:rPr>
        <w:t>Miscellaneous</w:t>
      </w:r>
      <w:r>
        <w:rPr>
          <w:rFonts w:ascii="Arial" w:cs="Arial" w:eastAsia="Arial" w:hAnsi="Arial"/>
          <w:sz w:val="18"/>
          <w:szCs w:val="18"/>
          <w:b w:val="1"/>
          <w:bCs w:val="1"/>
          <w:color w:val="auto"/>
        </w:rPr>
        <w:t>.</w:t>
      </w:r>
    </w:p>
    <w:p>
      <w:pPr>
        <w:spacing w:after="0" w:line="189" w:lineRule="exact"/>
        <w:rPr>
          <w:sz w:val="20"/>
          <w:szCs w:val="20"/>
          <w:color w:val="auto"/>
        </w:rPr>
      </w:pPr>
    </w:p>
    <w:p>
      <w:pPr>
        <w:ind w:left="8" w:right="359" w:firstLine="770"/>
        <w:spacing w:after="0" w:line="288" w:lineRule="auto"/>
        <w:tabs>
          <w:tab w:leader="none" w:pos="1030" w:val="left"/>
        </w:tabs>
        <w:numPr>
          <w:ilvl w:val="1"/>
          <w:numId w:val="18"/>
        </w:numPr>
        <w:rPr>
          <w:rFonts w:ascii="Arial" w:cs="Arial" w:eastAsia="Arial" w:hAnsi="Arial"/>
          <w:sz w:val="16"/>
          <w:szCs w:val="16"/>
          <w:color w:val="auto"/>
        </w:rPr>
      </w:pPr>
      <w:r>
        <w:rPr>
          <w:rFonts w:ascii="Arial" w:cs="Arial" w:eastAsia="Arial" w:hAnsi="Arial"/>
          <w:sz w:val="16"/>
          <w:szCs w:val="16"/>
          <w:u w:val="single" w:color="auto"/>
          <w:color w:val="auto"/>
        </w:rPr>
        <w:t>Effect; Ratification</w:t>
      </w:r>
      <w:r>
        <w:rPr>
          <w:rFonts w:ascii="Arial" w:cs="Arial" w:eastAsia="Arial" w:hAnsi="Arial"/>
          <w:sz w:val="16"/>
          <w:szCs w:val="16"/>
          <w:color w:val="auto"/>
        </w:rPr>
        <w:t>. The amendment set forth herein is effective solely for the purposes set forth herein and shall be limited precisely as written, and shall not be deemed (i) to be a consent to, or an acknowledgment of, any amendment, waiver or modification of any other term or condition of the Original Agreement or of any other instrument or agreement referred to therein or</w:t>
      </w:r>
    </w:p>
    <w:p>
      <w:pPr>
        <w:ind w:left="8" w:right="199" w:hanging="8"/>
        <w:spacing w:after="0" w:line="287" w:lineRule="auto"/>
        <w:tabs>
          <w:tab w:leader="none" w:pos="273" w:val="left"/>
        </w:tabs>
        <w:numPr>
          <w:ilvl w:val="0"/>
          <w:numId w:val="19"/>
        </w:numPr>
        <w:rPr>
          <w:rFonts w:ascii="Arial" w:cs="Arial" w:eastAsia="Arial" w:hAnsi="Arial"/>
          <w:sz w:val="16"/>
          <w:szCs w:val="16"/>
          <w:color w:val="auto"/>
        </w:rPr>
      </w:pPr>
      <w:r>
        <w:rPr>
          <w:rFonts w:ascii="Arial" w:cs="Arial" w:eastAsia="Arial" w:hAnsi="Arial"/>
          <w:sz w:val="16"/>
          <w:szCs w:val="16"/>
          <w:color w:val="auto"/>
        </w:rPr>
        <w:t>to prejudice any right or remedy which the Agent, any Company or Financial Institution (or any of their respective assigns) may now have or may have in the future under or in connection with the Receivables Purchase Agreement, as amended hereby, or any other instrument or agreement referred to therein. Each reference in the Receivables Purchase Agreement to “this Agreement,” “herein,” “hereof” and words of like import and each reference in the other Transaction Documents to the Original Agreement or to the “Receivables Purchase Agreement” shall mean the Original Agreement as amended hereby. This Amendment shall be construed in connection with and as part of the Receivables Purchase Agreement and all terms, conditions, representations, warranties, covenants and agreements set forth in the Receivables Purchase Agreement and each other instrument or agreement referred to therein, except as herein amended, are hereby ratified and confirmed and shall remain in full force and effect.</w:t>
      </w:r>
    </w:p>
    <w:p>
      <w:pPr>
        <w:spacing w:after="0" w:line="129" w:lineRule="exact"/>
        <w:rPr>
          <w:rFonts w:ascii="Arial" w:cs="Arial" w:eastAsia="Arial" w:hAnsi="Arial"/>
          <w:sz w:val="16"/>
          <w:szCs w:val="16"/>
          <w:color w:val="auto"/>
        </w:rPr>
      </w:pPr>
    </w:p>
    <w:p>
      <w:pPr>
        <w:ind w:left="8" w:right="419" w:firstLine="770"/>
        <w:spacing w:after="0" w:line="308" w:lineRule="auto"/>
        <w:tabs>
          <w:tab w:leader="none" w:pos="1040" w:val="left"/>
        </w:tabs>
        <w:numPr>
          <w:ilvl w:val="1"/>
          <w:numId w:val="19"/>
        </w:numPr>
        <w:rPr>
          <w:rFonts w:ascii="Arial" w:cs="Arial" w:eastAsia="Arial" w:hAnsi="Arial"/>
          <w:sz w:val="17"/>
          <w:szCs w:val="17"/>
          <w:color w:val="auto"/>
        </w:rPr>
      </w:pPr>
      <w:r>
        <w:rPr>
          <w:rFonts w:ascii="Arial" w:cs="Arial" w:eastAsia="Arial" w:hAnsi="Arial"/>
          <w:sz w:val="17"/>
          <w:szCs w:val="17"/>
          <w:u w:val="single" w:color="auto"/>
          <w:color w:val="auto"/>
        </w:rPr>
        <w:t>Transaction Documents</w:t>
      </w:r>
      <w:r>
        <w:rPr>
          <w:rFonts w:ascii="Arial" w:cs="Arial" w:eastAsia="Arial" w:hAnsi="Arial"/>
          <w:sz w:val="17"/>
          <w:szCs w:val="17"/>
          <w:color w:val="auto"/>
        </w:rPr>
        <w:t>. This Amendment is a Transaction Document executed pursuant to the Receivables Purchase Agreement and shall be construed, administered and applied in accordance with the terms and provisions thereof.</w:t>
      </w:r>
    </w:p>
    <w:p>
      <w:pPr>
        <w:spacing w:after="0" w:line="200" w:lineRule="exact"/>
        <w:rPr>
          <w:sz w:val="20"/>
          <w:szCs w:val="20"/>
          <w:color w:val="auto"/>
        </w:rPr>
      </w:pPr>
    </w:p>
    <w:p>
      <w:pPr>
        <w:spacing w:after="0" w:line="311"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1" w:right="1440" w:bottom="1440" w:gutter="0" w:footer="0" w:header="0"/>
        </w:sectPr>
      </w:pPr>
    </w:p>
    <w:bookmarkStart w:id="33" w:name="page34"/>
    <w:bookmarkEnd w:id="33"/>
    <w:p>
      <w:pPr>
        <w:jc w:val="both"/>
        <w:ind w:left="-20" w:right="279" w:firstLine="770"/>
        <w:spacing w:after="0" w:line="264" w:lineRule="auto"/>
        <w:tabs>
          <w:tab w:leader="none" w:pos="1002"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Costs, Fees and Expenses</w:t>
      </w:r>
      <w:r>
        <w:rPr>
          <w:rFonts w:ascii="Arial" w:cs="Arial" w:eastAsia="Arial" w:hAnsi="Arial"/>
          <w:sz w:val="18"/>
          <w:szCs w:val="18"/>
          <w:color w:val="auto"/>
        </w:rPr>
        <w:t>. Seller agrees to reimburse the Agent and each Purchaser and its assigns upon demand for all reasonable and documented out-of-pocket costs, fees and expenses in connection with the preparation, execution and delivery of this Amendment (including the reasonable fees and expenses of counsels to the Agent).</w:t>
      </w:r>
    </w:p>
    <w:p>
      <w:pPr>
        <w:spacing w:after="0" w:line="154" w:lineRule="exact"/>
        <w:rPr>
          <w:rFonts w:ascii="Arial" w:cs="Arial" w:eastAsia="Arial" w:hAnsi="Arial"/>
          <w:sz w:val="18"/>
          <w:szCs w:val="18"/>
          <w:color w:val="auto"/>
        </w:rPr>
      </w:pPr>
    </w:p>
    <w:p>
      <w:pPr>
        <w:ind w:left="-20" w:right="339" w:firstLine="770"/>
        <w:spacing w:after="0" w:line="277" w:lineRule="auto"/>
        <w:tabs>
          <w:tab w:leader="none" w:pos="1012"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in any number of counterparts, each such counterpart constituting an original and all of which when taken together shall constitute one and the same instrument.</w:t>
      </w:r>
    </w:p>
    <w:p>
      <w:pPr>
        <w:spacing w:after="0" w:line="129" w:lineRule="exact"/>
        <w:rPr>
          <w:rFonts w:ascii="Arial" w:cs="Arial" w:eastAsia="Arial" w:hAnsi="Arial"/>
          <w:sz w:val="18"/>
          <w:szCs w:val="18"/>
          <w:color w:val="auto"/>
        </w:rPr>
      </w:pPr>
    </w:p>
    <w:p>
      <w:pPr>
        <w:ind w:left="-20" w:right="199" w:firstLine="770"/>
        <w:spacing w:after="0" w:line="286" w:lineRule="auto"/>
        <w:tabs>
          <w:tab w:leader="none" w:pos="1002"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Any provision contained in this Amendment which is held to be inoperative, unenforceable or invalid in any jurisdiction shall, as to that jurisdiction, be inoperative, unenforceable or invalid without affecting the remaining provisions of this Amendment in that jurisdiction or the operation, enforceability or validity of such provision in any other jurisdiction.</w:t>
      </w:r>
    </w:p>
    <w:p>
      <w:pPr>
        <w:spacing w:after="0" w:line="125" w:lineRule="exact"/>
        <w:rPr>
          <w:rFonts w:ascii="Arial" w:cs="Arial" w:eastAsia="Arial" w:hAnsi="Arial"/>
          <w:sz w:val="17"/>
          <w:szCs w:val="17"/>
          <w:color w:val="auto"/>
        </w:rPr>
      </w:pPr>
    </w:p>
    <w:p>
      <w:pPr>
        <w:ind w:left="-20" w:right="439" w:firstLine="770"/>
        <w:spacing w:after="0" w:line="286" w:lineRule="auto"/>
        <w:tabs>
          <w:tab w:leader="none" w:pos="983"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AMENDMENT SHALL BE GOVERNED AND CONSTRUED IN ACCORDANCE WITH THE LAWS OF THE STATE OF NEW YORK EXCLUDING CHOICE-OF-LAW PRINCIPLES OF THE LAW OF SUCH STATE THAT WOULD REQUIRE THE APPLICATION OF THE LAWS OF A JURISDICTION OTHER THAN SUCH STATE.</w:t>
      </w:r>
    </w:p>
    <w:p>
      <w:pPr>
        <w:spacing w:after="0" w:line="138" w:lineRule="exact"/>
        <w:rPr>
          <w:rFonts w:ascii="Arial" w:cs="Arial" w:eastAsia="Arial" w:hAnsi="Arial"/>
          <w:sz w:val="17"/>
          <w:szCs w:val="17"/>
          <w:color w:val="auto"/>
        </w:rPr>
      </w:pPr>
    </w:p>
    <w:p>
      <w:pPr>
        <w:ind w:left="-20" w:right="259" w:firstLine="770"/>
        <w:spacing w:after="0" w:line="257" w:lineRule="auto"/>
        <w:tabs>
          <w:tab w:leader="none" w:pos="1012"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PARTY HERETO HEREBY WAIVES TRIAL BY JURY IN ANY JUDICIAL PROCEEDING INVOLVING, DIRECTLY OR INDIRECTLY, ANY MATTER (WHETHER SOUNDING IN TORT, CONTRACT OR OTHERWISE) IN ANY WAY ARISING OUT OF, RELATED TO, OR CONNECTED WITH THIS AMENDMENT, ANY DOCUMENT EXECUTED BY ORIGINATOR PURSUANT TO THIS AMENDMENT OR THE RELATIONSHIP ESTABLISHED HEREUNDER OR THEREUNDER.</w:t>
      </w:r>
    </w:p>
    <w:p>
      <w:pPr>
        <w:spacing w:after="0" w:line="148" w:lineRule="exact"/>
        <w:rPr>
          <w:sz w:val="20"/>
          <w:szCs w:val="20"/>
          <w:color w:val="auto"/>
        </w:rPr>
      </w:pPr>
    </w:p>
    <w:p>
      <w:pPr>
        <w:jc w:val="center"/>
        <w:ind w:right="199"/>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39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59"/>
          </w:cols>
          <w:pgMar w:left="600" w:top="935" w:right="1440" w:bottom="1440" w:gutter="0" w:footer="0" w:header="0"/>
        </w:sectPr>
      </w:pPr>
    </w:p>
    <w:bookmarkStart w:id="34" w:name="page35"/>
    <w:bookmarkEnd w:id="34"/>
    <w:p>
      <w:pPr>
        <w:ind w:right="219" w:firstLine="778"/>
        <w:spacing w:after="0" w:line="277" w:lineRule="auto"/>
        <w:rPr>
          <w:sz w:val="20"/>
          <w:szCs w:val="20"/>
          <w:color w:val="auto"/>
        </w:rPr>
      </w:pPr>
      <w:r>
        <w:rPr>
          <w:rFonts w:ascii="Arial" w:cs="Arial" w:eastAsia="Arial" w:hAnsi="Arial"/>
          <w:sz w:val="18"/>
          <w:szCs w:val="18"/>
          <w:color w:val="auto"/>
        </w:rPr>
        <w:t>IN WITNESS WHEREOF, the parties hereto have caused this Amendment to be executed and delivered by their respective duly authorized officers as of the date first written above.</w:t>
      </w:r>
    </w:p>
    <w:p>
      <w:pPr>
        <w:spacing w:after="0" w:line="170"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AVNET RECEIVABLES CORPORATION, as Seller</w:t>
      </w:r>
    </w:p>
    <w:p>
      <w:pPr>
        <w:spacing w:after="0" w:line="225"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2919095</wp:posOffset>
            </wp:positionH>
            <wp:positionV relativeFrom="paragraph">
              <wp:posOffset>-130810</wp:posOffset>
            </wp:positionV>
            <wp:extent cx="23926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AVNET, INC., as Servicer</w:t>
      </w:r>
    </w:p>
    <w:p>
      <w:pPr>
        <w:spacing w:after="0" w:line="225"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2919095</wp:posOffset>
            </wp:positionH>
            <wp:positionV relativeFrom="paragraph">
              <wp:posOffset>-130810</wp:posOffset>
            </wp:positionV>
            <wp:extent cx="23926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CHARIOT FUNDING LLC, as a Company</w:t>
      </w:r>
    </w:p>
    <w:p>
      <w:pPr>
        <w:spacing w:after="0" w:line="225"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2919095</wp:posOffset>
            </wp:positionH>
            <wp:positionV relativeFrom="paragraph">
              <wp:posOffset>-130810</wp:posOffset>
            </wp:positionV>
            <wp:extent cx="23926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04"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as a Financial Institution and as Agent</w:t>
      </w:r>
    </w:p>
    <w:p>
      <w:pPr>
        <w:spacing w:after="0" w:line="211"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2919095</wp:posOffset>
            </wp:positionH>
            <wp:positionV relativeFrom="paragraph">
              <wp:posOffset>-130810</wp:posOffset>
            </wp:positionV>
            <wp:extent cx="23926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37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6" w:right="1440" w:bottom="1440" w:gutter="0" w:footer="0" w:header="0"/>
        </w:sectPr>
      </w:pPr>
    </w:p>
    <w:bookmarkStart w:id="35" w:name="page36"/>
    <w:bookmarkEnd w:id="35"/>
    <w:p>
      <w:pPr>
        <w:ind w:left="3380"/>
        <w:spacing w:after="0"/>
        <w:rPr>
          <w:sz w:val="20"/>
          <w:szCs w:val="20"/>
          <w:color w:val="auto"/>
        </w:rPr>
      </w:pPr>
      <w:r>
        <w:rPr>
          <w:rFonts w:ascii="Arial" w:cs="Arial" w:eastAsia="Arial" w:hAnsi="Arial"/>
          <w:sz w:val="17"/>
          <w:szCs w:val="17"/>
          <w:color w:val="auto"/>
        </w:rPr>
        <w:t>LIBERTY STREET FUNDING LLC, as a Company</w:t>
      </w:r>
    </w:p>
    <w:p>
      <w:pPr>
        <w:spacing w:after="0" w:line="237"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2372995</wp:posOffset>
            </wp:positionH>
            <wp:positionV relativeFrom="paragraph">
              <wp:posOffset>-130810</wp:posOffset>
            </wp:positionV>
            <wp:extent cx="240093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3"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THE BANK OF NOVA SCOTIA, as a Financial</w:t>
      </w:r>
    </w:p>
    <w:p>
      <w:pPr>
        <w:spacing w:after="0" w:line="23"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Institution</w:t>
      </w:r>
    </w:p>
    <w:p>
      <w:pPr>
        <w:spacing w:after="0" w:line="211"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2372995</wp:posOffset>
            </wp:positionH>
            <wp:positionV relativeFrom="paragraph">
              <wp:posOffset>-130810</wp:posOffset>
            </wp:positionV>
            <wp:extent cx="240093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3"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3380"/>
        <w:spacing w:after="0"/>
        <w:rPr>
          <w:sz w:val="20"/>
          <w:szCs w:val="20"/>
          <w:color w:val="auto"/>
        </w:rPr>
      </w:pPr>
      <w:r>
        <w:rPr>
          <w:rFonts w:ascii="Arial" w:cs="Arial" w:eastAsia="Arial" w:hAnsi="Arial"/>
          <w:sz w:val="17"/>
          <w:szCs w:val="17"/>
          <w:color w:val="auto"/>
        </w:rPr>
        <w:t>AMSTERDAM FUNDING CORPORATION, as a</w:t>
      </w:r>
    </w:p>
    <w:p>
      <w:pPr>
        <w:spacing w:after="0" w:line="35"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Company</w:t>
      </w:r>
    </w:p>
    <w:p>
      <w:pPr>
        <w:spacing w:after="0" w:line="211"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2372995</wp:posOffset>
            </wp:positionH>
            <wp:positionV relativeFrom="paragraph">
              <wp:posOffset>-130810</wp:posOffset>
            </wp:positionV>
            <wp:extent cx="240093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3"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THE ROYAL BANK OF SCOTLAND PLC, as a</w:t>
      </w:r>
    </w:p>
    <w:p>
      <w:pPr>
        <w:spacing w:after="0" w:line="23"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Financial Institution</w:t>
      </w:r>
    </w:p>
    <w:p>
      <w:pPr>
        <w:spacing w:after="0" w:line="211"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By: RBS SECURITIES INC., as agent</w:t>
      </w:r>
    </w:p>
    <w:p>
      <w:pPr>
        <w:spacing w:after="0" w:line="225"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2630805</wp:posOffset>
            </wp:positionH>
            <wp:positionV relativeFrom="paragraph">
              <wp:posOffset>-130810</wp:posOffset>
            </wp:positionV>
            <wp:extent cx="213550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135505" cy="8890"/>
                    </a:xfrm>
                    <a:prstGeom prst="rect">
                      <a:avLst/>
                    </a:prstGeom>
                    <a:noFill/>
                  </pic:spPr>
                </pic:pic>
              </a:graphicData>
            </a:graphic>
          </wp:anchor>
        </w:drawing>
      </w:r>
    </w:p>
    <w:p>
      <w:pPr>
        <w:spacing w:after="0" w:line="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376"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152" w:right="1440" w:bottom="1440" w:gutter="0" w:footer="0" w:header="0"/>
        </w:sectPr>
      </w:pPr>
    </w:p>
    <w:bookmarkStart w:id="36" w:name="page37"/>
    <w:bookmarkEnd w:id="36"/>
    <w:p>
      <w:pPr>
        <w:ind w:left="3380"/>
        <w:spacing w:after="0"/>
        <w:rPr>
          <w:sz w:val="20"/>
          <w:szCs w:val="20"/>
          <w:color w:val="auto"/>
        </w:rPr>
      </w:pPr>
      <w:r>
        <w:rPr>
          <w:rFonts w:ascii="Arial" w:cs="Arial" w:eastAsia="Arial" w:hAnsi="Arial"/>
          <w:sz w:val="18"/>
          <w:szCs w:val="18"/>
          <w:color w:val="auto"/>
        </w:rPr>
        <w:t>STARBIRD FUNDING CORPORATION, as a</w:t>
      </w:r>
    </w:p>
    <w:p>
      <w:pPr>
        <w:spacing w:after="0" w:line="23"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Company</w:t>
      </w:r>
    </w:p>
    <w:p>
      <w:pPr>
        <w:spacing w:after="0" w:line="211"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2364740</wp:posOffset>
            </wp:positionH>
            <wp:positionV relativeFrom="paragraph">
              <wp:posOffset>-130810</wp:posOffset>
            </wp:positionV>
            <wp:extent cx="240093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3"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3380"/>
        <w:spacing w:after="0"/>
        <w:rPr>
          <w:sz w:val="20"/>
          <w:szCs w:val="20"/>
          <w:color w:val="auto"/>
        </w:rPr>
      </w:pPr>
      <w:r>
        <w:rPr>
          <w:rFonts w:ascii="Arial" w:cs="Arial" w:eastAsia="Arial" w:hAnsi="Arial"/>
          <w:sz w:val="16"/>
          <w:szCs w:val="16"/>
          <w:color w:val="auto"/>
        </w:rPr>
        <w:t>BNP PARIBAS, acting through its New York Branch, as</w:t>
      </w:r>
    </w:p>
    <w:p>
      <w:pPr>
        <w:spacing w:after="0" w:line="46"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a Financial Institution</w:t>
      </w:r>
    </w:p>
    <w:p>
      <w:pPr>
        <w:spacing w:after="0" w:line="211"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2364740</wp:posOffset>
            </wp:positionH>
            <wp:positionV relativeFrom="paragraph">
              <wp:posOffset>-130810</wp:posOffset>
            </wp:positionV>
            <wp:extent cx="240093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3"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2364740</wp:posOffset>
            </wp:positionH>
            <wp:positionV relativeFrom="paragraph">
              <wp:posOffset>-130810</wp:posOffset>
            </wp:positionV>
            <wp:extent cx="240093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3"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VICTORY RECEIVABLES CORPORATION, as a</w:t>
      </w:r>
    </w:p>
    <w:p>
      <w:pPr>
        <w:spacing w:after="0" w:line="23"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Company</w:t>
      </w:r>
    </w:p>
    <w:p>
      <w:pPr>
        <w:spacing w:after="0" w:line="211"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2364740</wp:posOffset>
            </wp:positionH>
            <wp:positionV relativeFrom="paragraph">
              <wp:posOffset>-130810</wp:posOffset>
            </wp:positionV>
            <wp:extent cx="240093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3"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THE BANK OF TOKYO-MITSUBISHI UFJ, LTD.,</w:t>
      </w:r>
    </w:p>
    <w:p>
      <w:pPr>
        <w:spacing w:after="0" w:line="23"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NEW YORK BRANCH, as a Financial Institution</w:t>
      </w:r>
    </w:p>
    <w:p>
      <w:pPr>
        <w:spacing w:after="0" w:line="211"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2364740</wp:posOffset>
            </wp:positionH>
            <wp:positionV relativeFrom="paragraph">
              <wp:posOffset>-130810</wp:posOffset>
            </wp:positionV>
            <wp:extent cx="240093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3"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376"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368" w:right="1440" w:bottom="1440" w:gutter="0" w:footer="0" w:header="0"/>
        </w:sectPr>
      </w:pPr>
    </w:p>
    <w:bookmarkStart w:id="37" w:name="page38"/>
    <w:bookmarkEnd w:id="37"/>
    <w:p>
      <w:pPr>
        <w:ind w:left="3380"/>
        <w:spacing w:after="0"/>
        <w:rPr>
          <w:sz w:val="20"/>
          <w:szCs w:val="20"/>
          <w:color w:val="auto"/>
        </w:rPr>
      </w:pPr>
      <w:r>
        <w:rPr>
          <w:rFonts w:ascii="Arial" w:cs="Arial" w:eastAsia="Arial" w:hAnsi="Arial"/>
          <w:sz w:val="17"/>
          <w:szCs w:val="17"/>
          <w:color w:val="auto"/>
        </w:rPr>
        <w:t>ATLANTIC ASSET SECURITIZATION LLC, as a</w:t>
      </w:r>
    </w:p>
    <w:p>
      <w:pPr>
        <w:spacing w:after="0" w:line="35"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Company</w:t>
      </w:r>
    </w:p>
    <w:p>
      <w:pPr>
        <w:spacing w:after="0" w:line="211"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2372995</wp:posOffset>
            </wp:positionH>
            <wp:positionV relativeFrom="paragraph">
              <wp:posOffset>-130810</wp:posOffset>
            </wp:positionV>
            <wp:extent cx="240093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3"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2372995</wp:posOffset>
            </wp:positionH>
            <wp:positionV relativeFrom="paragraph">
              <wp:posOffset>-130810</wp:posOffset>
            </wp:positionV>
            <wp:extent cx="240093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3"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CRÉDIT AGRICOLE CORPORATE AND</w:t>
      </w:r>
    </w:p>
    <w:p>
      <w:pPr>
        <w:spacing w:after="0" w:line="23"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INVESTMENT BANK NEW YORK BRANCH,</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as a Financial Institution</w:t>
      </w:r>
    </w:p>
    <w:p>
      <w:pPr>
        <w:spacing w:after="0" w:line="211"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2372995</wp:posOffset>
            </wp:positionH>
            <wp:positionV relativeFrom="paragraph">
              <wp:posOffset>-130810</wp:posOffset>
            </wp:positionV>
            <wp:extent cx="240093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3"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2372995</wp:posOffset>
            </wp:positionH>
            <wp:positionV relativeFrom="paragraph">
              <wp:posOffset>-130810</wp:posOffset>
            </wp:positionV>
            <wp:extent cx="240093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3"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376"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9019"/>
          </w:cols>
          <w:pgMar w:left="1440" w:top="1368" w:right="1440" w:bottom="1440" w:gutter="0" w:footer="0" w:header="0"/>
        </w:sectPr>
      </w:pPr>
    </w:p>
    <w:bookmarkStart w:id="38" w:name="page39"/>
    <w:bookmarkEnd w:id="38"/>
    <w:p>
      <w:pPr>
        <w:jc w:val="right"/>
        <w:ind w:right="159"/>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Roy Vallee, certify that:</w:t>
      </w:r>
    </w:p>
    <w:p>
      <w:pPr>
        <w:spacing w:after="0" w:line="185" w:lineRule="exact"/>
        <w:rPr>
          <w:sz w:val="20"/>
          <w:szCs w:val="20"/>
          <w:color w:val="auto"/>
        </w:rPr>
      </w:pPr>
    </w:p>
    <w:p>
      <w:pPr>
        <w:ind w:left="740" w:hanging="370"/>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Avnet, Inc.;</w:t>
      </w:r>
    </w:p>
    <w:p>
      <w:pPr>
        <w:spacing w:after="0" w:line="184" w:lineRule="exact"/>
        <w:rPr>
          <w:rFonts w:ascii="Arial" w:cs="Arial" w:eastAsia="Arial" w:hAnsi="Arial"/>
          <w:sz w:val="18"/>
          <w:szCs w:val="18"/>
          <w:color w:val="auto"/>
        </w:rPr>
      </w:pPr>
    </w:p>
    <w:p>
      <w:pPr>
        <w:ind w:left="740" w:right="279" w:hanging="370"/>
        <w:spacing w:after="0" w:line="264" w:lineRule="auto"/>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8"/>
          <w:szCs w:val="18"/>
          <w:color w:val="auto"/>
        </w:rPr>
      </w:pPr>
    </w:p>
    <w:p>
      <w:pPr>
        <w:ind w:left="740" w:right="299" w:hanging="370"/>
        <w:spacing w:after="0" w:line="264" w:lineRule="auto"/>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8"/>
          <w:szCs w:val="18"/>
          <w:color w:val="auto"/>
        </w:rPr>
      </w:pPr>
    </w:p>
    <w:p>
      <w:pPr>
        <w:jc w:val="both"/>
        <w:ind w:left="740" w:right="519" w:hanging="370"/>
        <w:spacing w:after="0" w:line="286" w:lineRule="auto"/>
        <w:tabs>
          <w:tab w:leader="none" w:pos="7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such term is defined in Exchange Act Rules 13a-15(e) and 15d-15(e)) and internal control over financial reporting (as defined in Exchange Act Rules 13a-15(f) and 15d-15(f)) for the registrant and have:</w:t>
      </w:r>
    </w:p>
    <w:p>
      <w:pPr>
        <w:spacing w:after="0" w:line="125" w:lineRule="exact"/>
        <w:rPr>
          <w:rFonts w:ascii="Arial" w:cs="Arial" w:eastAsia="Arial" w:hAnsi="Arial"/>
          <w:sz w:val="17"/>
          <w:szCs w:val="17"/>
          <w:color w:val="auto"/>
        </w:rPr>
      </w:pPr>
    </w:p>
    <w:p>
      <w:pPr>
        <w:ind w:left="1540" w:right="379" w:hanging="386"/>
        <w:spacing w:after="0" w:line="259" w:lineRule="auto"/>
        <w:tabs>
          <w:tab w:leader="none" w:pos="15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9" w:lineRule="exact"/>
        <w:rPr>
          <w:rFonts w:ascii="Arial" w:cs="Arial" w:eastAsia="Arial" w:hAnsi="Arial"/>
          <w:sz w:val="18"/>
          <w:szCs w:val="18"/>
          <w:color w:val="auto"/>
        </w:rPr>
      </w:pPr>
    </w:p>
    <w:p>
      <w:pPr>
        <w:ind w:left="1540" w:right="179" w:hanging="386"/>
        <w:spacing w:after="0" w:line="259" w:lineRule="auto"/>
        <w:tabs>
          <w:tab w:leader="none" w:pos="15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6" w:lineRule="exact"/>
        <w:rPr>
          <w:rFonts w:ascii="Arial" w:cs="Arial" w:eastAsia="Arial" w:hAnsi="Arial"/>
          <w:sz w:val="18"/>
          <w:szCs w:val="18"/>
          <w:color w:val="auto"/>
        </w:rPr>
      </w:pPr>
    </w:p>
    <w:p>
      <w:pPr>
        <w:jc w:val="both"/>
        <w:ind w:left="1540" w:right="219" w:hanging="386"/>
        <w:spacing w:after="0" w:line="264" w:lineRule="auto"/>
        <w:tabs>
          <w:tab w:leader="none" w:pos="15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8"/>
          <w:szCs w:val="18"/>
          <w:color w:val="auto"/>
        </w:rPr>
      </w:pPr>
    </w:p>
    <w:p>
      <w:pPr>
        <w:ind w:left="1540" w:right="459" w:hanging="386"/>
        <w:spacing w:after="0" w:line="259" w:lineRule="auto"/>
        <w:tabs>
          <w:tab w:leader="none" w:pos="15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9" w:lineRule="exact"/>
        <w:rPr>
          <w:rFonts w:ascii="Arial" w:cs="Arial" w:eastAsia="Arial" w:hAnsi="Arial"/>
          <w:sz w:val="18"/>
          <w:szCs w:val="18"/>
          <w:color w:val="auto"/>
        </w:rPr>
      </w:pPr>
    </w:p>
    <w:p>
      <w:pPr>
        <w:ind w:left="740" w:right="239" w:hanging="370"/>
        <w:spacing w:after="0" w:line="264" w:lineRule="auto"/>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p>
      <w:pPr>
        <w:spacing w:after="0" w:line="140" w:lineRule="exact"/>
        <w:rPr>
          <w:rFonts w:ascii="Arial" w:cs="Arial" w:eastAsia="Arial" w:hAnsi="Arial"/>
          <w:sz w:val="18"/>
          <w:szCs w:val="18"/>
          <w:color w:val="auto"/>
        </w:rPr>
      </w:pPr>
    </w:p>
    <w:p>
      <w:pPr>
        <w:ind w:left="1540" w:right="159" w:hanging="386"/>
        <w:spacing w:after="0" w:line="264" w:lineRule="auto"/>
        <w:tabs>
          <w:tab w:leader="none" w:pos="15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8"/>
          <w:szCs w:val="18"/>
          <w:color w:val="auto"/>
        </w:rPr>
      </w:pPr>
    </w:p>
    <w:p>
      <w:pPr>
        <w:ind w:left="1540" w:right="299" w:hanging="386"/>
        <w:spacing w:after="0" w:line="277" w:lineRule="auto"/>
        <w:tabs>
          <w:tab w:leader="none" w:pos="15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Date: January 28, 2011</w:t>
      </w:r>
    </w:p>
    <w:p>
      <w:pPr>
        <w:spacing w:after="0" w:line="225"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/s/ ROY VALLEE</w:t>
      </w:r>
    </w:p>
    <w:p>
      <w:pPr>
        <w:spacing w:after="0" w:line="2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Roy Vallee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2962275</wp:posOffset>
            </wp:positionH>
            <wp:positionV relativeFrom="paragraph">
              <wp:posOffset>-130810</wp:posOffset>
            </wp:positionV>
            <wp:extent cx="22809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9879"/>
          </w:cols>
          <w:pgMar w:left="580" w:top="121" w:right="1440" w:bottom="1440" w:gutter="0" w:footer="0" w:header="0"/>
        </w:sectPr>
      </w:pPr>
    </w:p>
    <w:bookmarkStart w:id="39" w:name="page40"/>
    <w:bookmarkEnd w:id="39"/>
    <w:p>
      <w:pPr>
        <w:jc w:val="right"/>
        <w:ind w:right="159"/>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Raymond Sadowski, certify that:</w:t>
      </w:r>
    </w:p>
    <w:p>
      <w:pPr>
        <w:spacing w:after="0" w:line="185" w:lineRule="exact"/>
        <w:rPr>
          <w:sz w:val="20"/>
          <w:szCs w:val="20"/>
          <w:color w:val="auto"/>
        </w:rPr>
      </w:pPr>
    </w:p>
    <w:p>
      <w:pPr>
        <w:ind w:left="740" w:hanging="370"/>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Avnet, Inc.;</w:t>
      </w:r>
    </w:p>
    <w:p>
      <w:pPr>
        <w:spacing w:after="0" w:line="184" w:lineRule="exact"/>
        <w:rPr>
          <w:rFonts w:ascii="Arial" w:cs="Arial" w:eastAsia="Arial" w:hAnsi="Arial"/>
          <w:sz w:val="18"/>
          <w:szCs w:val="18"/>
          <w:color w:val="auto"/>
        </w:rPr>
      </w:pPr>
    </w:p>
    <w:p>
      <w:pPr>
        <w:ind w:left="740" w:right="279" w:hanging="370"/>
        <w:spacing w:after="0" w:line="264" w:lineRule="auto"/>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8"/>
          <w:szCs w:val="18"/>
          <w:color w:val="auto"/>
        </w:rPr>
      </w:pPr>
    </w:p>
    <w:p>
      <w:pPr>
        <w:ind w:left="740" w:right="299" w:hanging="370"/>
        <w:spacing w:after="0" w:line="264" w:lineRule="auto"/>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8"/>
          <w:szCs w:val="18"/>
          <w:color w:val="auto"/>
        </w:rPr>
      </w:pPr>
    </w:p>
    <w:p>
      <w:pPr>
        <w:jc w:val="both"/>
        <w:ind w:left="740" w:right="519" w:hanging="370"/>
        <w:spacing w:after="0" w:line="286" w:lineRule="auto"/>
        <w:tabs>
          <w:tab w:leader="none" w:pos="7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such term is defined in Exchange Act Rules 13a-15(e) and 15d-15(e)) and internal control over financial reporting (as defined in Exchange Act Rules 13a-15(f) and 15d-15(f)) for the registrant and have:</w:t>
      </w:r>
    </w:p>
    <w:p>
      <w:pPr>
        <w:spacing w:after="0" w:line="125" w:lineRule="exact"/>
        <w:rPr>
          <w:rFonts w:ascii="Arial" w:cs="Arial" w:eastAsia="Arial" w:hAnsi="Arial"/>
          <w:sz w:val="17"/>
          <w:szCs w:val="17"/>
          <w:color w:val="auto"/>
        </w:rPr>
      </w:pPr>
    </w:p>
    <w:p>
      <w:pPr>
        <w:ind w:left="1540" w:right="379" w:hanging="386"/>
        <w:spacing w:after="0" w:line="259" w:lineRule="auto"/>
        <w:tabs>
          <w:tab w:leader="none" w:pos="15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9" w:lineRule="exact"/>
        <w:rPr>
          <w:rFonts w:ascii="Arial" w:cs="Arial" w:eastAsia="Arial" w:hAnsi="Arial"/>
          <w:sz w:val="18"/>
          <w:szCs w:val="18"/>
          <w:color w:val="auto"/>
        </w:rPr>
      </w:pPr>
    </w:p>
    <w:p>
      <w:pPr>
        <w:ind w:left="1540" w:right="179" w:hanging="386"/>
        <w:spacing w:after="0" w:line="259" w:lineRule="auto"/>
        <w:tabs>
          <w:tab w:leader="none" w:pos="15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6" w:lineRule="exact"/>
        <w:rPr>
          <w:rFonts w:ascii="Arial" w:cs="Arial" w:eastAsia="Arial" w:hAnsi="Arial"/>
          <w:sz w:val="18"/>
          <w:szCs w:val="18"/>
          <w:color w:val="auto"/>
        </w:rPr>
      </w:pPr>
    </w:p>
    <w:p>
      <w:pPr>
        <w:jc w:val="both"/>
        <w:ind w:left="1540" w:right="219" w:hanging="386"/>
        <w:spacing w:after="0" w:line="264" w:lineRule="auto"/>
        <w:tabs>
          <w:tab w:leader="none" w:pos="15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8"/>
          <w:szCs w:val="18"/>
          <w:color w:val="auto"/>
        </w:rPr>
      </w:pPr>
    </w:p>
    <w:p>
      <w:pPr>
        <w:ind w:left="1540" w:right="459" w:hanging="386"/>
        <w:spacing w:after="0" w:line="259" w:lineRule="auto"/>
        <w:tabs>
          <w:tab w:leader="none" w:pos="15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9" w:lineRule="exact"/>
        <w:rPr>
          <w:rFonts w:ascii="Arial" w:cs="Arial" w:eastAsia="Arial" w:hAnsi="Arial"/>
          <w:sz w:val="18"/>
          <w:szCs w:val="18"/>
          <w:color w:val="auto"/>
        </w:rPr>
      </w:pPr>
    </w:p>
    <w:p>
      <w:pPr>
        <w:ind w:left="740" w:right="239" w:hanging="370"/>
        <w:spacing w:after="0" w:line="264" w:lineRule="auto"/>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p>
      <w:pPr>
        <w:spacing w:after="0" w:line="140" w:lineRule="exact"/>
        <w:rPr>
          <w:rFonts w:ascii="Arial" w:cs="Arial" w:eastAsia="Arial" w:hAnsi="Arial"/>
          <w:sz w:val="18"/>
          <w:szCs w:val="18"/>
          <w:color w:val="auto"/>
        </w:rPr>
      </w:pPr>
    </w:p>
    <w:p>
      <w:pPr>
        <w:ind w:left="1540" w:right="159" w:hanging="386"/>
        <w:spacing w:after="0" w:line="264" w:lineRule="auto"/>
        <w:tabs>
          <w:tab w:leader="none" w:pos="15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8"/>
          <w:szCs w:val="18"/>
          <w:color w:val="auto"/>
        </w:rPr>
      </w:pPr>
    </w:p>
    <w:p>
      <w:pPr>
        <w:ind w:left="1540" w:right="299" w:hanging="386"/>
        <w:spacing w:after="0" w:line="277" w:lineRule="auto"/>
        <w:tabs>
          <w:tab w:leader="none" w:pos="15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Date: January 28, 2011</w:t>
      </w:r>
    </w:p>
    <w:p>
      <w:pPr>
        <w:spacing w:after="0" w:line="225"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/s/ RAYMOND SADOWSKI</w:t>
      </w:r>
    </w:p>
    <w:p>
      <w:pPr>
        <w:spacing w:after="0" w:line="2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Raymond Sadowski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2962275</wp:posOffset>
            </wp:positionH>
            <wp:positionV relativeFrom="paragraph">
              <wp:posOffset>-130810</wp:posOffset>
            </wp:positionV>
            <wp:extent cx="22809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9879"/>
          </w:cols>
          <w:pgMar w:left="580" w:top="121" w:right="1440" w:bottom="1440" w:gutter="0" w:footer="0" w:header="0"/>
        </w:sectPr>
      </w:pPr>
    </w:p>
    <w:bookmarkStart w:id="40" w:name="page41"/>
    <w:bookmarkEnd w:id="40"/>
    <w:p>
      <w:pPr>
        <w:jc w:val="right"/>
        <w:ind w:right="159"/>
        <w:spacing w:after="0"/>
        <w:rPr>
          <w:sz w:val="20"/>
          <w:szCs w:val="20"/>
          <w:color w:val="auto"/>
        </w:rPr>
      </w:pPr>
      <w:r>
        <w:rPr>
          <w:rFonts w:ascii="Arial" w:cs="Arial" w:eastAsia="Arial" w:hAnsi="Arial"/>
          <w:sz w:val="18"/>
          <w:szCs w:val="18"/>
          <w:b w:val="1"/>
          <w:bCs w:val="1"/>
          <w:color w:val="auto"/>
        </w:rPr>
        <w:t>Exhibit 32.1</w:t>
      </w:r>
    </w:p>
    <w:p>
      <w:pPr>
        <w:spacing w:after="0" w:line="18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ERTIFICATION</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URSUANT TO</w:t>
      </w:r>
      <w:r>
        <w:rPr>
          <w:rFonts w:ascii="Arial" w:cs="Arial" w:eastAsia="Arial" w:hAnsi="Arial"/>
          <w:sz w:val="18"/>
          <w:szCs w:val="18"/>
          <w:b w:val="1"/>
          <w:bCs w:val="1"/>
          <w:color w:val="auto"/>
        </w:rPr>
        <w:t xml:space="preserve"> 18 U.S.C. S</w:t>
      </w:r>
      <w:r>
        <w:rPr>
          <w:rFonts w:ascii="Arial" w:cs="Arial" w:eastAsia="Arial" w:hAnsi="Arial"/>
          <w:sz w:val="12"/>
          <w:szCs w:val="12"/>
          <w:b w:val="1"/>
          <w:bCs w:val="1"/>
          <w:color w:val="auto"/>
        </w:rPr>
        <w:t>ECTION</w:t>
      </w:r>
      <w:r>
        <w:rPr>
          <w:rFonts w:ascii="Arial" w:cs="Arial" w:eastAsia="Arial" w:hAnsi="Arial"/>
          <w:sz w:val="18"/>
          <w:szCs w:val="18"/>
          <w:b w:val="1"/>
          <w:bCs w:val="1"/>
          <w:color w:val="auto"/>
        </w:rPr>
        <w:t xml:space="preserve"> 1350</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2"/>
          <w:szCs w:val="12"/>
          <w:b w:val="1"/>
          <w:bCs w:val="1"/>
          <w:color w:val="auto"/>
        </w:rPr>
        <w:t>AS ADOPTED PURSUANT TO</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ECTION</w:t>
      </w:r>
      <w:r>
        <w:rPr>
          <w:rFonts w:ascii="Arial" w:cs="Arial" w:eastAsia="Arial" w:hAnsi="Arial"/>
          <w:sz w:val="18"/>
          <w:szCs w:val="18"/>
          <w:b w:val="1"/>
          <w:bCs w:val="1"/>
          <w:color w:val="auto"/>
        </w:rPr>
        <w:t xml:space="preserve"> 906 </w:t>
      </w:r>
      <w:r>
        <w:rPr>
          <w:rFonts w:ascii="Arial" w:cs="Arial" w:eastAsia="Arial" w:hAnsi="Arial"/>
          <w:sz w:val="12"/>
          <w:szCs w:val="12"/>
          <w:b w:val="1"/>
          <w:bCs w:val="1"/>
          <w:color w:val="auto"/>
        </w:rPr>
        <w:t>OF THE</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ARBANES</w:t>
      </w:r>
      <w:r>
        <w:rPr>
          <w:rFonts w:ascii="Arial" w:cs="Arial" w:eastAsia="Arial" w:hAnsi="Arial"/>
          <w:sz w:val="18"/>
          <w:szCs w:val="18"/>
          <w:b w:val="1"/>
          <w:bCs w:val="1"/>
          <w:color w:val="auto"/>
        </w:rPr>
        <w:t>-O</w:t>
      </w:r>
      <w:r>
        <w:rPr>
          <w:rFonts w:ascii="Arial" w:cs="Arial" w:eastAsia="Arial" w:hAnsi="Arial"/>
          <w:sz w:val="12"/>
          <w:szCs w:val="12"/>
          <w:b w:val="1"/>
          <w:bCs w:val="1"/>
          <w:color w:val="auto"/>
        </w:rPr>
        <w:t>XLEY</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CT OF</w:t>
      </w:r>
      <w:r>
        <w:rPr>
          <w:rFonts w:ascii="Arial" w:cs="Arial" w:eastAsia="Arial" w:hAnsi="Arial"/>
          <w:sz w:val="18"/>
          <w:szCs w:val="18"/>
          <w:b w:val="1"/>
          <w:bCs w:val="1"/>
          <w:color w:val="auto"/>
        </w:rPr>
        <w:t xml:space="preserve"> 2002)</w:t>
      </w:r>
    </w:p>
    <w:p>
      <w:pPr>
        <w:spacing w:after="0" w:line="184" w:lineRule="exact"/>
        <w:rPr>
          <w:sz w:val="20"/>
          <w:szCs w:val="20"/>
          <w:color w:val="auto"/>
        </w:rPr>
      </w:pPr>
    </w:p>
    <w:p>
      <w:pPr>
        <w:ind w:right="159"/>
        <w:spacing w:after="0" w:line="277" w:lineRule="auto"/>
        <w:rPr>
          <w:sz w:val="20"/>
          <w:szCs w:val="20"/>
          <w:color w:val="auto"/>
        </w:rPr>
      </w:pPr>
      <w:r>
        <w:rPr>
          <w:rFonts w:ascii="Arial" w:cs="Arial" w:eastAsia="Arial" w:hAnsi="Arial"/>
          <w:sz w:val="18"/>
          <w:szCs w:val="18"/>
          <w:color w:val="auto"/>
        </w:rPr>
        <w:t>In connection with the Quarterly Report on Form 10-Q for the period ended January 1, 2011 (the “Report”), I, Roy Vallee, Chief Executive Officer of Avnet, Inc., (the “Company”) hereby certify that:</w:t>
      </w:r>
    </w:p>
    <w:p>
      <w:pPr>
        <w:spacing w:after="0" w:line="130" w:lineRule="exact"/>
        <w:rPr>
          <w:sz w:val="20"/>
          <w:szCs w:val="20"/>
          <w:color w:val="auto"/>
        </w:rPr>
      </w:pPr>
    </w:p>
    <w:p>
      <w:pPr>
        <w:ind w:left="740" w:right="159" w:hanging="370"/>
        <w:spacing w:after="0" w:line="277" w:lineRule="auto"/>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29" w:lineRule="exact"/>
        <w:rPr>
          <w:rFonts w:ascii="Arial" w:cs="Arial" w:eastAsia="Arial" w:hAnsi="Arial"/>
          <w:sz w:val="18"/>
          <w:szCs w:val="18"/>
          <w:color w:val="auto"/>
        </w:rPr>
      </w:pPr>
    </w:p>
    <w:p>
      <w:pPr>
        <w:ind w:left="740" w:right="159" w:hanging="370"/>
        <w:spacing w:after="0" w:line="277" w:lineRule="auto"/>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Date: January 28, 2011</w:t>
      </w:r>
    </w:p>
    <w:p>
      <w:pPr>
        <w:spacing w:after="0" w:line="225"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/s/ ROY VALLEE</w:t>
      </w:r>
    </w:p>
    <w:p>
      <w:pPr>
        <w:spacing w:after="0" w:line="2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Roy Vallee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2962275</wp:posOffset>
            </wp:positionH>
            <wp:positionV relativeFrom="paragraph">
              <wp:posOffset>-130810</wp:posOffset>
            </wp:positionV>
            <wp:extent cx="22809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Chief Executive Officer</w:t>
      </w:r>
    </w:p>
    <w:p>
      <w:pPr>
        <w:spacing w:after="0" w:line="170" w:lineRule="exact"/>
        <w:rPr>
          <w:sz w:val="20"/>
          <w:szCs w:val="20"/>
          <w:color w:val="auto"/>
        </w:rPr>
      </w:pPr>
    </w:p>
    <w:p>
      <w:pPr>
        <w:jc w:val="both"/>
        <w:ind w:right="159"/>
        <w:spacing w:after="0" w:line="276" w:lineRule="auto"/>
        <w:rPr>
          <w:sz w:val="20"/>
          <w:szCs w:val="20"/>
          <w:color w:val="auto"/>
        </w:rPr>
      </w:pPr>
      <w:r>
        <w:rPr>
          <w:rFonts w:ascii="Arial" w:cs="Arial" w:eastAsia="Arial" w:hAnsi="Arial"/>
          <w:sz w:val="17"/>
          <w:szCs w:val="17"/>
          <w:color w:val="auto"/>
        </w:rPr>
        <w:t>A signed original of this written statement required by Section 906 of the Sarbanes-Oxley Act of 2002 has been provided to the Company and will be retained by the Company and furnished to the Securities and Exchange Commission or its staff upon request. This certification will not be deemed “filed” for purposes of Section 18 of the Exchange Act, or otherwise subject to the liability of that section. Nor will this certification be deemed to be incorporated by reference into any filing under the Securities Act or the Exchange Act, except to the extent that the registrant specifically incorporates it by reference.</w:t>
      </w:r>
    </w:p>
    <w:p>
      <w:pPr>
        <w:sectPr>
          <w:pgSz w:w="11900" w:h="16838" w:orient="portrait"/>
          <w:cols w:equalWidth="0" w:num="1">
            <w:col w:w="9879"/>
          </w:cols>
          <w:pgMar w:left="580" w:top="121" w:right="1440" w:bottom="1440" w:gutter="0" w:footer="0" w:header="0"/>
        </w:sectPr>
      </w:pPr>
    </w:p>
    <w:bookmarkStart w:id="41" w:name="page42"/>
    <w:bookmarkEnd w:id="41"/>
    <w:p>
      <w:pPr>
        <w:jc w:val="right"/>
        <w:ind w:right="159"/>
        <w:spacing w:after="0"/>
        <w:rPr>
          <w:sz w:val="20"/>
          <w:szCs w:val="20"/>
          <w:color w:val="auto"/>
        </w:rPr>
      </w:pPr>
      <w:r>
        <w:rPr>
          <w:rFonts w:ascii="Arial" w:cs="Arial" w:eastAsia="Arial" w:hAnsi="Arial"/>
          <w:sz w:val="18"/>
          <w:szCs w:val="18"/>
          <w:b w:val="1"/>
          <w:bCs w:val="1"/>
          <w:color w:val="auto"/>
        </w:rPr>
        <w:t>Exhibit 32.2</w:t>
      </w:r>
    </w:p>
    <w:p>
      <w:pPr>
        <w:spacing w:after="0" w:line="18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ERTIFICATION</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URSUANT TO</w:t>
      </w:r>
      <w:r>
        <w:rPr>
          <w:rFonts w:ascii="Arial" w:cs="Arial" w:eastAsia="Arial" w:hAnsi="Arial"/>
          <w:sz w:val="18"/>
          <w:szCs w:val="18"/>
          <w:b w:val="1"/>
          <w:bCs w:val="1"/>
          <w:color w:val="auto"/>
        </w:rPr>
        <w:t xml:space="preserve"> 18 U.S.C. S</w:t>
      </w:r>
      <w:r>
        <w:rPr>
          <w:rFonts w:ascii="Arial" w:cs="Arial" w:eastAsia="Arial" w:hAnsi="Arial"/>
          <w:sz w:val="12"/>
          <w:szCs w:val="12"/>
          <w:b w:val="1"/>
          <w:bCs w:val="1"/>
          <w:color w:val="auto"/>
        </w:rPr>
        <w:t>ECTION</w:t>
      </w:r>
      <w:r>
        <w:rPr>
          <w:rFonts w:ascii="Arial" w:cs="Arial" w:eastAsia="Arial" w:hAnsi="Arial"/>
          <w:sz w:val="18"/>
          <w:szCs w:val="18"/>
          <w:b w:val="1"/>
          <w:bCs w:val="1"/>
          <w:color w:val="auto"/>
        </w:rPr>
        <w:t xml:space="preserve"> 1350</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2"/>
          <w:szCs w:val="12"/>
          <w:b w:val="1"/>
          <w:bCs w:val="1"/>
          <w:color w:val="auto"/>
        </w:rPr>
        <w:t>AS ADOPTED PURSUANT TO</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ECTION</w:t>
      </w:r>
      <w:r>
        <w:rPr>
          <w:rFonts w:ascii="Arial" w:cs="Arial" w:eastAsia="Arial" w:hAnsi="Arial"/>
          <w:sz w:val="18"/>
          <w:szCs w:val="18"/>
          <w:b w:val="1"/>
          <w:bCs w:val="1"/>
          <w:color w:val="auto"/>
        </w:rPr>
        <w:t xml:space="preserve"> 906 </w:t>
      </w:r>
      <w:r>
        <w:rPr>
          <w:rFonts w:ascii="Arial" w:cs="Arial" w:eastAsia="Arial" w:hAnsi="Arial"/>
          <w:sz w:val="12"/>
          <w:szCs w:val="12"/>
          <w:b w:val="1"/>
          <w:bCs w:val="1"/>
          <w:color w:val="auto"/>
        </w:rPr>
        <w:t>OF THE</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ARBANES</w:t>
      </w:r>
      <w:r>
        <w:rPr>
          <w:rFonts w:ascii="Arial" w:cs="Arial" w:eastAsia="Arial" w:hAnsi="Arial"/>
          <w:sz w:val="18"/>
          <w:szCs w:val="18"/>
          <w:b w:val="1"/>
          <w:bCs w:val="1"/>
          <w:color w:val="auto"/>
        </w:rPr>
        <w:t>-O</w:t>
      </w:r>
      <w:r>
        <w:rPr>
          <w:rFonts w:ascii="Arial" w:cs="Arial" w:eastAsia="Arial" w:hAnsi="Arial"/>
          <w:sz w:val="12"/>
          <w:szCs w:val="12"/>
          <w:b w:val="1"/>
          <w:bCs w:val="1"/>
          <w:color w:val="auto"/>
        </w:rPr>
        <w:t>XLEY</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CT OF</w:t>
      </w:r>
      <w:r>
        <w:rPr>
          <w:rFonts w:ascii="Arial" w:cs="Arial" w:eastAsia="Arial" w:hAnsi="Arial"/>
          <w:sz w:val="18"/>
          <w:szCs w:val="18"/>
          <w:b w:val="1"/>
          <w:bCs w:val="1"/>
          <w:color w:val="auto"/>
        </w:rPr>
        <w:t xml:space="preserve"> 2002)</w:t>
      </w:r>
    </w:p>
    <w:p>
      <w:pPr>
        <w:spacing w:after="0" w:line="184" w:lineRule="exact"/>
        <w:rPr>
          <w:sz w:val="20"/>
          <w:szCs w:val="20"/>
          <w:color w:val="auto"/>
        </w:rPr>
      </w:pPr>
    </w:p>
    <w:p>
      <w:pPr>
        <w:ind w:right="159"/>
        <w:spacing w:after="0" w:line="277" w:lineRule="auto"/>
        <w:rPr>
          <w:sz w:val="20"/>
          <w:szCs w:val="20"/>
          <w:color w:val="auto"/>
        </w:rPr>
      </w:pPr>
      <w:r>
        <w:rPr>
          <w:rFonts w:ascii="Arial" w:cs="Arial" w:eastAsia="Arial" w:hAnsi="Arial"/>
          <w:sz w:val="18"/>
          <w:szCs w:val="18"/>
          <w:color w:val="auto"/>
        </w:rPr>
        <w:t>In connection with the Quarterly Report on Form 10-Q for the period ended January 1, 2011 (the “Report”), I, Raymond Sadowski, Chief Financial Officer of Avnet, Inc., (the “Company”) hereby certify that:</w:t>
      </w:r>
    </w:p>
    <w:p>
      <w:pPr>
        <w:spacing w:after="0" w:line="130" w:lineRule="exact"/>
        <w:rPr>
          <w:sz w:val="20"/>
          <w:szCs w:val="20"/>
          <w:color w:val="auto"/>
        </w:rPr>
      </w:pPr>
    </w:p>
    <w:p>
      <w:pPr>
        <w:ind w:left="740" w:right="159" w:hanging="370"/>
        <w:spacing w:after="0" w:line="277" w:lineRule="auto"/>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29" w:lineRule="exact"/>
        <w:rPr>
          <w:rFonts w:ascii="Arial" w:cs="Arial" w:eastAsia="Arial" w:hAnsi="Arial"/>
          <w:sz w:val="18"/>
          <w:szCs w:val="18"/>
          <w:color w:val="auto"/>
        </w:rPr>
      </w:pPr>
    </w:p>
    <w:p>
      <w:pPr>
        <w:ind w:left="740" w:right="159" w:hanging="370"/>
        <w:spacing w:after="0" w:line="277" w:lineRule="auto"/>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Date: January 28, 2011</w:t>
      </w:r>
    </w:p>
    <w:p>
      <w:pPr>
        <w:spacing w:after="0" w:line="225"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/s/ RAYMOND SADOWSKI</w:t>
      </w:r>
    </w:p>
    <w:p>
      <w:pPr>
        <w:spacing w:after="0" w:line="2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Raymond Sadowski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2962275</wp:posOffset>
            </wp:positionH>
            <wp:positionV relativeFrom="paragraph">
              <wp:posOffset>-130810</wp:posOffset>
            </wp:positionV>
            <wp:extent cx="22809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Chief Financial Officer</w:t>
      </w:r>
    </w:p>
    <w:p>
      <w:pPr>
        <w:spacing w:after="0" w:line="170" w:lineRule="exact"/>
        <w:rPr>
          <w:sz w:val="20"/>
          <w:szCs w:val="20"/>
          <w:color w:val="auto"/>
        </w:rPr>
      </w:pPr>
    </w:p>
    <w:p>
      <w:pPr>
        <w:jc w:val="both"/>
        <w:ind w:right="159"/>
        <w:spacing w:after="0" w:line="276" w:lineRule="auto"/>
        <w:rPr>
          <w:sz w:val="20"/>
          <w:szCs w:val="20"/>
          <w:color w:val="auto"/>
        </w:rPr>
      </w:pPr>
      <w:r>
        <w:rPr>
          <w:rFonts w:ascii="Arial" w:cs="Arial" w:eastAsia="Arial" w:hAnsi="Arial"/>
          <w:sz w:val="17"/>
          <w:szCs w:val="17"/>
          <w:color w:val="auto"/>
        </w:rPr>
        <w:t>A signed original of this written statement required by Section 906 of the Sarbanes-Oxley Act of 2002 has been provided to the Company and will be retained by the Company and furnished to the Securities and Exchange Commission or its staff upon request. This certification will not be deemed “filed” for purposes of Section 18 of the Exchange Act, or otherwise subject to the liability of that section. Nor will this certification be deemed to be incorporated by reference into any filing under the Securities Act or the Exchange Act, except to the extent that the registrant specifically incorporates it by reference.</w:t>
      </w:r>
    </w:p>
    <w:sectPr>
      <w:pgSz w:w="11900" w:h="16838" w:orient="portrait"/>
      <w:cols w:equalWidth="0" w:num="1">
        <w:col w:w="9879"/>
      </w:cols>
      <w:pgMar w:left="58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1)"/>
      <w:numFmt w:val="decimal"/>
      <w:start w:val="2"/>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decimal"/>
      <w:start w:val="4"/>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1)"/>
      <w:numFmt w:val="decimal"/>
      <w:start w:val="1"/>
    </w:lvl>
  </w:abstractNum>
  <w:abstractNum w:abstractNumId="7">
    <w:nsid w:val="6B68079A"/>
    <w:multiLevelType w:val="hybridMultilevel"/>
    <w:lvl w:ilvl="0">
      <w:lvlJc w:val="left"/>
      <w:lvlText w:val="(%1)"/>
      <w:numFmt w:val="decimal"/>
      <w:start w:val="1"/>
    </w:lvl>
  </w:abstractNum>
  <w:abstractNum w:abstractNumId="8">
    <w:nsid w:val="4E6AFB66"/>
    <w:multiLevelType w:val="hybridMultilevel"/>
    <w:lvl w:ilvl="0">
      <w:lvlJc w:val="left"/>
      <w:lvlText w:val="(%1)"/>
      <w:numFmt w:val="lowerRoman"/>
      <w:start w:val="3"/>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1)"/>
      <w:numFmt w:val="decimal"/>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1)"/>
      <w:numFmt w:val="lowerLetter"/>
      <w:start w:val="2"/>
    </w:lvl>
  </w:abstractNum>
  <w:abstractNum w:abstractNumId="15">
    <w:nsid w:val="62BBD95A"/>
    <w:multiLevelType w:val="hybridMultilevel"/>
    <w:lvl w:ilvl="0">
      <w:lvlJc w:val="left"/>
      <w:lvlText w:val="(%1)"/>
      <w:numFmt w:val="lowerLetter"/>
      <w:start w:val="3"/>
    </w:lvl>
  </w:abstractNum>
  <w:abstractNum w:abstractNumId="16">
    <w:nsid w:val="436C6125"/>
    <w:multiLevelType w:val="hybridMultilevel"/>
    <w:lvl w:ilvl="0">
      <w:lvlJc w:val="left"/>
      <w:lvlText w:val="(%1)"/>
      <w:numFmt w:val="lowerLetter"/>
      <w:start w:val="1"/>
    </w:lvl>
  </w:abstractNum>
  <w:abstractNum w:abstractNumId="17">
    <w:nsid w:val="628C895D"/>
    <w:multiLevelType w:val="hybridMultilevel"/>
    <w:lvl w:ilvl="0">
      <w:lvlJc w:val="left"/>
      <w:lvlText w:val="%1"/>
      <w:numFmt w:val="lowerLetter"/>
      <w:start w:val="1"/>
    </w:lvl>
    <w:lvl w:ilvl="1">
      <w:lvlJc w:val="left"/>
      <w:lvlText w:val="(%2)"/>
      <w:numFmt w:val="lowerLetter"/>
      <w:start w:val="1"/>
    </w:lvl>
  </w:abstractNum>
  <w:abstractNum w:abstractNumId="18">
    <w:nsid w:val="333AB105"/>
    <w:multiLevelType w:val="hybridMultilevel"/>
    <w:lvl w:ilvl="0">
      <w:lvlJc w:val="left"/>
      <w:lvlText w:val="(%1)"/>
      <w:numFmt w:val="lowerLetter"/>
      <w:start w:val="35"/>
    </w:lvl>
    <w:lvl w:ilvl="1">
      <w:lvlJc w:val="left"/>
      <w:lvlText w:val="(%2)"/>
      <w:numFmt w:val="lowerLetter"/>
      <w:start w:val="2"/>
    </w:lvl>
  </w:abstractNum>
  <w:abstractNum w:abstractNumId="19">
    <w:nsid w:val="721DA317"/>
    <w:multiLevelType w:val="hybridMultilevel"/>
    <w:lvl w:ilvl="0">
      <w:lvlJc w:val="left"/>
      <w:lvlText w:val="(%1)"/>
      <w:numFmt w:val="lowerLetter"/>
      <w:start w:val="3"/>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2019-12-09T21:38:17Z</dcterms:created>
  <dcterms:modified xsi:type="dcterms:W3CDTF">2019-12-09T21:38:17Z</dcterms:modified>
</cp:coreProperties>
</file>