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633539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5395" cy="24765"/>
                    </a:xfrm>
                    <a:prstGeom prst="rect">
                      <a:avLst/>
                    </a:prstGeom>
                    <a:noFill/>
                  </pic:spPr>
                </pic:pic>
              </a:graphicData>
            </a:graphic>
          </wp:anchor>
        </w:drawing>
      </w:r>
    </w:p>
    <w:p>
      <w:pPr>
        <w:spacing w:after="0" w:line="302"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SECURITIES AND EXCHANGE COMMISSION</w:t>
      </w:r>
    </w:p>
    <w:p>
      <w:pPr>
        <w:spacing w:after="0" w:line="19" w:lineRule="exact"/>
        <w:rPr>
          <w:sz w:val="20"/>
          <w:szCs w:val="20"/>
          <w:color w:val="auto"/>
        </w:rPr>
      </w:pPr>
    </w:p>
    <w:p>
      <w:pPr>
        <w:jc w:val="center"/>
        <w:ind w:right="-759"/>
        <w:spacing w:after="0"/>
        <w:rPr>
          <w:sz w:val="20"/>
          <w:szCs w:val="20"/>
          <w:color w:val="auto"/>
        </w:rPr>
      </w:pPr>
      <w:r>
        <w:rPr>
          <w:rFonts w:ascii="Arial" w:cs="Arial" w:eastAsia="Arial" w:hAnsi="Arial"/>
          <w:sz w:val="13"/>
          <w:szCs w:val="13"/>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74295</wp:posOffset>
            </wp:positionV>
            <wp:extent cx="126682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66825" cy="6350"/>
                    </a:xfrm>
                    <a:prstGeom prst="rect">
                      <a:avLst/>
                    </a:prstGeom>
                    <a:noFill/>
                  </pic:spPr>
                </pic:pic>
              </a:graphicData>
            </a:graphic>
          </wp:anchor>
        </w:drawing>
      </w:r>
    </w:p>
    <w:p>
      <w:pPr>
        <w:spacing w:after="0" w:line="222"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93980</wp:posOffset>
            </wp:positionV>
            <wp:extent cx="126682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6825" cy="6350"/>
                    </a:xfrm>
                    <a:prstGeom prst="rect">
                      <a:avLst/>
                    </a:prstGeom>
                    <a:noFill/>
                  </pic:spPr>
                </pic:pic>
              </a:graphicData>
            </a:graphic>
          </wp:anchor>
        </w:drawing>
      </w:r>
    </w:p>
    <w:p>
      <w:pPr>
        <w:spacing w:after="0" w:line="228" w:lineRule="exact"/>
        <w:rPr>
          <w:sz w:val="20"/>
          <w:szCs w:val="20"/>
          <w:color w:val="auto"/>
        </w:rPr>
      </w:pPr>
    </w:p>
    <w:p>
      <w:pPr>
        <w:jc w:val="center"/>
        <w:ind w:right="-759"/>
        <w:spacing w:after="0"/>
        <w:rPr>
          <w:sz w:val="20"/>
          <w:szCs w:val="20"/>
          <w:color w:val="auto"/>
        </w:rPr>
      </w:pPr>
      <w:r>
        <w:rPr>
          <w:rFonts w:ascii="Arial" w:cs="Arial" w:eastAsia="Arial" w:hAnsi="Arial"/>
          <w:sz w:val="13"/>
          <w:szCs w:val="13"/>
          <w:color w:val="auto"/>
        </w:rPr>
        <w:t>QUARTERLY REPORT PURSUANT TO SECTION 13 OR 15(d) OF THE</w:t>
      </w:r>
    </w:p>
    <w:p>
      <w:pPr>
        <w:spacing w:after="0" w:line="15" w:lineRule="exact"/>
        <w:rPr>
          <w:sz w:val="20"/>
          <w:szCs w:val="20"/>
          <w:color w:val="auto"/>
        </w:rPr>
      </w:pPr>
    </w:p>
    <w:p>
      <w:pPr>
        <w:jc w:val="center"/>
        <w:ind w:right="-759"/>
        <w:spacing w:after="0"/>
        <w:rPr>
          <w:sz w:val="20"/>
          <w:szCs w:val="20"/>
          <w:color w:val="auto"/>
        </w:rPr>
      </w:pPr>
      <w:r>
        <w:rPr>
          <w:rFonts w:ascii="Arial" w:cs="Arial" w:eastAsia="Arial" w:hAnsi="Arial"/>
          <w:sz w:val="13"/>
          <w:szCs w:val="13"/>
          <w:color w:val="auto"/>
        </w:rPr>
        <w:t>SECURITIES EXCHANGE ACT OF 1934</w:t>
      </w:r>
    </w:p>
    <w:p>
      <w:pPr>
        <w:spacing w:after="0" w:line="246"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 the quarterly period ended December 27,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73025</wp:posOffset>
            </wp:positionV>
            <wp:extent cx="126682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6350"/>
                    </a:xfrm>
                    <a:prstGeom prst="rect">
                      <a:avLst/>
                    </a:prstGeom>
                    <a:noFill/>
                  </pic:spPr>
                </pic:pic>
              </a:graphicData>
            </a:graphic>
          </wp:anchor>
        </w:drawing>
      </w:r>
    </w:p>
    <w:p>
      <w:pPr>
        <w:spacing w:after="0" w:line="194" w:lineRule="exact"/>
        <w:rPr>
          <w:sz w:val="20"/>
          <w:szCs w:val="20"/>
          <w:color w:val="auto"/>
        </w:rPr>
      </w:pPr>
    </w:p>
    <w:p>
      <w:pPr>
        <w:jc w:val="center"/>
        <w:ind w:right="-759"/>
        <w:spacing w:after="0"/>
        <w:rPr>
          <w:sz w:val="20"/>
          <w:szCs w:val="20"/>
          <w:color w:val="auto"/>
        </w:rPr>
      </w:pPr>
      <w:r>
        <w:rPr>
          <w:rFonts w:ascii="Arial" w:cs="Arial" w:eastAsia="Arial" w:hAnsi="Arial"/>
          <w:sz w:val="13"/>
          <w:szCs w:val="13"/>
          <w:color w:val="auto"/>
        </w:rPr>
        <w:t>Commission File #1-4224</w:t>
      </w:r>
    </w:p>
    <w:p>
      <w:pPr>
        <w:spacing w:after="0" w:line="171"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AVNET, INC.</w:t>
      </w:r>
    </w:p>
    <w:p>
      <w:pPr>
        <w:spacing w:after="0" w:line="179"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Incorporated in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79375</wp:posOffset>
            </wp:positionV>
            <wp:extent cx="126682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66825" cy="6350"/>
                    </a:xfrm>
                    <a:prstGeom prst="rect">
                      <a:avLst/>
                    </a:prstGeom>
                    <a:noFill/>
                  </pic:spPr>
                </pic:pic>
              </a:graphicData>
            </a:graphic>
          </wp:anchor>
        </w:drawing>
      </w:r>
    </w:p>
    <w:p>
      <w:pPr>
        <w:spacing w:after="0" w:line="204" w:lineRule="exact"/>
        <w:rPr>
          <w:sz w:val="20"/>
          <w:szCs w:val="20"/>
          <w:color w:val="auto"/>
        </w:rPr>
      </w:pPr>
    </w:p>
    <w:p>
      <w:pPr>
        <w:ind w:left="4480"/>
        <w:spacing w:after="0"/>
        <w:rPr>
          <w:sz w:val="20"/>
          <w:szCs w:val="20"/>
          <w:color w:val="auto"/>
        </w:rPr>
      </w:pPr>
      <w:r>
        <w:rPr>
          <w:rFonts w:ascii="Arial" w:cs="Arial" w:eastAsia="Arial" w:hAnsi="Arial"/>
          <w:sz w:val="13"/>
          <w:szCs w:val="13"/>
          <w:color w:val="auto"/>
        </w:rPr>
        <w:t>IRS Employer Identification No. 11-1890605</w:t>
      </w:r>
    </w:p>
    <w:p>
      <w:pPr>
        <w:spacing w:after="0" w:line="94"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2211 South 47</w:t>
      </w:r>
      <w:r>
        <w:rPr>
          <w:rFonts w:ascii="Arial" w:cs="Arial" w:eastAsia="Arial" w:hAnsi="Arial"/>
          <w:sz w:val="11"/>
          <w:szCs w:val="11"/>
          <w:color w:val="auto"/>
        </w:rPr>
        <w:t>th</w:t>
      </w:r>
      <w:r>
        <w:rPr>
          <w:rFonts w:ascii="Arial" w:cs="Arial" w:eastAsia="Arial" w:hAnsi="Arial"/>
          <w:sz w:val="13"/>
          <w:szCs w:val="13"/>
          <w:color w:val="auto"/>
        </w:rPr>
        <w:t xml:space="preserve"> Street, Phoenix, Arizona 85034</w:t>
      </w:r>
    </w:p>
    <w:p>
      <w:pPr>
        <w:spacing w:after="0" w:line="17"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(480) 643-2000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67945</wp:posOffset>
            </wp:positionV>
            <wp:extent cx="126682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6350"/>
                    </a:xfrm>
                    <a:prstGeom prst="rect">
                      <a:avLst/>
                    </a:prstGeom>
                    <a:noFill/>
                  </pic:spPr>
                </pic:pic>
              </a:graphicData>
            </a:graphic>
          </wp:anchor>
        </w:drawing>
      </w:r>
    </w:p>
    <w:p>
      <w:pPr>
        <w:spacing w:after="0" w:line="187" w:lineRule="exact"/>
        <w:rPr>
          <w:sz w:val="20"/>
          <w:szCs w:val="20"/>
          <w:color w:val="auto"/>
        </w:rPr>
      </w:pPr>
    </w:p>
    <w:p>
      <w:pPr>
        <w:ind w:left="680" w:right="440" w:firstLine="399"/>
        <w:spacing w:after="0" w:line="169"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o</w:t>
      </w:r>
    </w:p>
    <w:p>
      <w:pPr>
        <w:spacing w:after="0" w:line="66"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24" w:lineRule="exact"/>
        <w:rPr>
          <w:sz w:val="20"/>
          <w:szCs w:val="20"/>
          <w:color w:val="auto"/>
        </w:rPr>
      </w:pPr>
    </w:p>
    <w:p>
      <w:pPr>
        <w:ind w:left="3940" w:hanging="5004"/>
        <w:spacing w:after="0" w:line="161" w:lineRule="exact"/>
        <w:tabs>
          <w:tab w:leader="none" w:pos="392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 o Non-accelerated filer o Smaller reporting company o (Do not check if a smaller reporting company)</w:t>
      </w:r>
    </w:p>
    <w:p>
      <w:pPr>
        <w:spacing w:after="0" w:line="82" w:lineRule="exact"/>
        <w:rPr>
          <w:sz w:val="20"/>
          <w:szCs w:val="20"/>
          <w:color w:val="auto"/>
        </w:rPr>
      </w:pPr>
    </w:p>
    <w:p>
      <w:pPr>
        <w:ind w:left="1080"/>
        <w:spacing w:after="0" w:line="138" w:lineRule="exact"/>
        <w:tabs>
          <w:tab w:leader="none" w:pos="7500" w:val="left"/>
        </w:tabs>
        <w:rPr>
          <w:sz w:val="20"/>
          <w:szCs w:val="20"/>
          <w:color w:val="auto"/>
        </w:rPr>
      </w:pPr>
      <w:r>
        <w:rPr>
          <w:rFonts w:ascii="Arial" w:cs="Arial" w:eastAsia="Arial" w:hAnsi="Arial"/>
          <w:sz w:val="12"/>
          <w:szCs w:val="12"/>
          <w:color w:val="auto"/>
        </w:rPr>
        <w:t>Indicate by checkmark whether the registrant is a shell company (as defined in Rule 12b-2 of the Exchange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13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total number of shares outstanding of the registrant’s Common Stock (net of</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treasury shares) as of January 23, 2008 — 151,044,043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80645</wp:posOffset>
            </wp:positionV>
            <wp:extent cx="633539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5395" cy="184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196215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127" w:right="107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t>AVNET, INC. AND SUBSIDIARIES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INDEX</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 No.</w:t>
            </w:r>
          </w:p>
        </w:tc>
      </w:tr>
      <w:tr>
        <w:trPr>
          <w:trHeight w:val="275"/>
        </w:trPr>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Borders>
              <w:bottom w:val="single" w:sz="8" w:color="0000EE"/>
            </w:tcBorders>
            <w:gridSpan w:val="3"/>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PART I.</w:t>
              </w:r>
            </w:hyperlink>
          </w:p>
        </w:tc>
        <w:tc>
          <w:tcPr>
            <w:tcW w:w="1740" w:type="dxa"/>
            <w:vAlign w:val="bottom"/>
            <w:tcBorders>
              <w:bottom w:val="single" w:sz="8" w:color="0000EE"/>
            </w:tcBorders>
            <w:gridSpan w:val="5"/>
          </w:tcPr>
          <w:p>
            <w:pPr>
              <w:spacing w:after="0"/>
              <w:rPr>
                <w:rFonts w:ascii="Arial" w:cs="Arial" w:eastAsia="Arial" w:hAnsi="Arial"/>
                <w:sz w:val="13"/>
                <w:szCs w:val="13"/>
                <w:b w:val="1"/>
                <w:bCs w:val="1"/>
                <w:color w:val="0000EE"/>
              </w:rPr>
            </w:pPr>
            <w:hyperlink w:anchor="page4">
              <w:r>
                <w:rPr>
                  <w:rFonts w:ascii="Arial" w:cs="Arial" w:eastAsia="Arial" w:hAnsi="Arial"/>
                  <w:sz w:val="13"/>
                  <w:szCs w:val="13"/>
                  <w:b w:val="1"/>
                  <w:bCs w:val="1"/>
                  <w:color w:val="0000EE"/>
                </w:rPr>
                <w:t>FINANCIAL INFORMATION</w:t>
              </w:r>
            </w:hyperlink>
          </w:p>
        </w:tc>
        <w:tc>
          <w:tcPr>
            <w:tcW w:w="3280" w:type="dxa"/>
            <w:vAlign w:val="bottom"/>
            <w:gridSpan w:val="3"/>
          </w:tcPr>
          <w:p>
            <w:pPr>
              <w:spacing w:after="0"/>
              <w:rPr>
                <w:sz w:val="23"/>
                <w:szCs w:val="23"/>
                <w:color w:val="auto"/>
              </w:rPr>
            </w:pPr>
          </w:p>
        </w:tc>
        <w:tc>
          <w:tcPr>
            <w:tcW w:w="520" w:type="dxa"/>
            <w:vAlign w:val="bottom"/>
          </w:tcPr>
          <w:p>
            <w:pPr>
              <w:spacing w:after="0"/>
              <w:rPr>
                <w:sz w:val="23"/>
                <w:szCs w:val="23"/>
                <w:color w:val="auto"/>
              </w:rPr>
            </w:pPr>
          </w:p>
        </w:tc>
      </w:tr>
      <w:tr>
        <w:trPr>
          <w:trHeight w:val="29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3"/>
                <w:szCs w:val="13"/>
                <w:color w:val="0000EE"/>
                <w:w w:val="90"/>
              </w:rPr>
            </w:pPr>
            <w:hyperlink w:anchor="page4">
              <w:r>
                <w:rPr>
                  <w:rFonts w:ascii="Arial" w:cs="Arial" w:eastAsia="Arial" w:hAnsi="Arial"/>
                  <w:sz w:val="13"/>
                  <w:szCs w:val="13"/>
                  <w:color w:val="0000EE"/>
                  <w:w w:val="90"/>
                </w:rPr>
                <w:t>Item 1.</w:t>
              </w:r>
            </w:hyperlink>
          </w:p>
        </w:tc>
        <w:tc>
          <w:tcPr>
            <w:tcW w:w="580" w:type="dxa"/>
            <w:vAlign w:val="bottom"/>
            <w:gridSpan w:val="2"/>
          </w:tcPr>
          <w:p>
            <w:pPr>
              <w:spacing w:after="0"/>
              <w:rPr>
                <w:sz w:val="24"/>
                <w:szCs w:val="24"/>
                <w:color w:val="auto"/>
              </w:rPr>
            </w:pPr>
          </w:p>
        </w:tc>
        <w:tc>
          <w:tcPr>
            <w:tcW w:w="1100" w:type="dxa"/>
            <w:vAlign w:val="bottom"/>
            <w:tcBorders>
              <w:bottom w:val="single" w:sz="8" w:color="0000EE"/>
            </w:tcBorders>
            <w:gridSpan w:val="4"/>
          </w:tcPr>
          <w:p>
            <w:pPr>
              <w:spacing w:after="0"/>
              <w:rPr>
                <w:rFonts w:ascii="Arial" w:cs="Arial" w:eastAsia="Arial" w:hAnsi="Arial"/>
                <w:sz w:val="13"/>
                <w:szCs w:val="13"/>
                <w:color w:val="0000EE"/>
                <w:w w:val="88"/>
              </w:rPr>
            </w:pPr>
            <w:hyperlink w:anchor="page4">
              <w:r>
                <w:rPr>
                  <w:rFonts w:ascii="Arial" w:cs="Arial" w:eastAsia="Arial" w:hAnsi="Arial"/>
                  <w:sz w:val="13"/>
                  <w:szCs w:val="13"/>
                  <w:color w:val="0000EE"/>
                  <w:w w:val="88"/>
                </w:rPr>
                <w:t>Financial Statements</w:t>
              </w:r>
            </w:hyperlink>
          </w:p>
        </w:tc>
        <w:tc>
          <w:tcPr>
            <w:tcW w:w="2000" w:type="dxa"/>
            <w:vAlign w:val="bottom"/>
            <w:gridSpan w:val="6"/>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2</w:t>
            </w:r>
          </w:p>
        </w:tc>
      </w:tr>
      <w:tr>
        <w:trPr>
          <w:trHeight w:val="29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tcBorders>
              <w:bottom w:val="single" w:sz="8" w:color="0000EE"/>
            </w:tcBorders>
            <w:gridSpan w:val="12"/>
          </w:tcPr>
          <w:p>
            <w:pPr>
              <w:spacing w:after="0"/>
              <w:rPr>
                <w:rFonts w:ascii="Arial" w:cs="Arial" w:eastAsia="Arial" w:hAnsi="Arial"/>
                <w:sz w:val="13"/>
                <w:szCs w:val="13"/>
                <w:color w:val="0000EE"/>
                <w:w w:val="88"/>
              </w:rPr>
            </w:pPr>
            <w:hyperlink w:anchor="page4">
              <w:r>
                <w:rPr>
                  <w:rFonts w:ascii="Arial" w:cs="Arial" w:eastAsia="Arial" w:hAnsi="Arial"/>
                  <w:sz w:val="13"/>
                  <w:szCs w:val="13"/>
                  <w:color w:val="0000EE"/>
                  <w:w w:val="88"/>
                </w:rPr>
                <w:t>Consolidated Balance Sheets at December 27, 2008 and June 28, 2008</w:t>
              </w:r>
            </w:hyperlink>
          </w:p>
        </w:tc>
        <w:tc>
          <w:tcPr>
            <w:tcW w:w="4420" w:type="dxa"/>
            <w:vAlign w:val="bottom"/>
            <w:gridSpan w:val="6"/>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2</w:t>
            </w:r>
          </w:p>
        </w:tc>
      </w:tr>
      <w:tr>
        <w:trPr>
          <w:trHeight w:val="29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0" w:type="dxa"/>
            <w:vAlign w:val="bottom"/>
            <w:tcBorders>
              <w:bottom w:val="single" w:sz="8" w:color="0000EE"/>
            </w:tcBorders>
            <w:gridSpan w:val="17"/>
          </w:tcPr>
          <w:p>
            <w:pPr>
              <w:spacing w:after="0"/>
              <w:rPr>
                <w:rFonts w:ascii="Arial" w:cs="Arial" w:eastAsia="Arial" w:hAnsi="Arial"/>
                <w:sz w:val="13"/>
                <w:szCs w:val="13"/>
                <w:color w:val="0000EE"/>
                <w:w w:val="89"/>
              </w:rPr>
            </w:pPr>
            <w:hyperlink w:anchor="page5">
              <w:r>
                <w:rPr>
                  <w:rFonts w:ascii="Arial" w:cs="Arial" w:eastAsia="Arial" w:hAnsi="Arial"/>
                  <w:sz w:val="13"/>
                  <w:szCs w:val="13"/>
                  <w:color w:val="0000EE"/>
                  <w:w w:val="89"/>
                </w:rPr>
                <w:t>Consolidated Statements of Operations for the second quarters and six months ended December 27, 2008 and December 29, 2007</w:t>
              </w:r>
            </w:hyperlink>
          </w:p>
        </w:tc>
        <w:tc>
          <w:tcPr>
            <w:tcW w:w="1320" w:type="dxa"/>
            <w:vAlign w:val="bottom"/>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3</w:t>
            </w:r>
          </w:p>
        </w:tc>
      </w:tr>
      <w:tr>
        <w:trPr>
          <w:trHeight w:val="29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120" w:type="dxa"/>
            <w:vAlign w:val="bottom"/>
            <w:gridSpan w:val="18"/>
          </w:tcPr>
          <w:p>
            <w:pPr>
              <w:spacing w:after="0"/>
              <w:rPr>
                <w:rFonts w:ascii="Arial" w:cs="Arial" w:eastAsia="Arial" w:hAnsi="Arial"/>
                <w:sz w:val="13"/>
                <w:szCs w:val="13"/>
                <w:color w:val="0000EE"/>
              </w:rPr>
            </w:pPr>
            <w:hyperlink w:anchor="page6">
              <w:r>
                <w:rPr>
                  <w:rFonts w:ascii="Arial" w:cs="Arial" w:eastAsia="Arial" w:hAnsi="Arial"/>
                  <w:sz w:val="13"/>
                  <w:szCs w:val="13"/>
                  <w:color w:val="0000EE"/>
                </w:rPr>
                <w:t>Consolidated Statements of Cash Flows for the six months ended December 27, 2008 and December 29, 2007</w:t>
              </w:r>
            </w:hyperlink>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4</w:t>
            </w:r>
          </w:p>
        </w:tc>
      </w:tr>
      <w:tr>
        <w:trPr>
          <w:trHeight w:val="29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00" w:type="dxa"/>
            <w:vAlign w:val="bottom"/>
            <w:tcBorders>
              <w:top w:val="single" w:sz="8" w:color="0000EE"/>
            </w:tcBorders>
            <w:gridSpan w:val="10"/>
          </w:tcPr>
          <w:p>
            <w:pPr>
              <w:spacing w:after="0"/>
              <w:rPr>
                <w:rFonts w:ascii="Arial" w:cs="Arial" w:eastAsia="Arial" w:hAnsi="Arial"/>
                <w:sz w:val="13"/>
                <w:szCs w:val="13"/>
                <w:color w:val="0000EE"/>
              </w:rPr>
            </w:pPr>
            <w:hyperlink w:anchor="page7">
              <w:r>
                <w:rPr>
                  <w:rFonts w:ascii="Arial" w:cs="Arial" w:eastAsia="Arial" w:hAnsi="Arial"/>
                  <w:sz w:val="13"/>
                  <w:szCs w:val="13"/>
                  <w:color w:val="0000EE"/>
                </w:rPr>
                <w:t>Notes to Consolidated Financial Statements</w:t>
              </w:r>
            </w:hyperlink>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5</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9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3"/>
                <w:szCs w:val="13"/>
                <w:color w:val="0000EE"/>
                <w:w w:val="90"/>
              </w:rPr>
            </w:pPr>
            <w:hyperlink w:anchor="page17">
              <w:r>
                <w:rPr>
                  <w:rFonts w:ascii="Arial" w:cs="Arial" w:eastAsia="Arial" w:hAnsi="Arial"/>
                  <w:sz w:val="13"/>
                  <w:szCs w:val="13"/>
                  <w:color w:val="0000EE"/>
                  <w:w w:val="90"/>
                </w:rPr>
                <w:t>Item 2.</w:t>
              </w:r>
            </w:hyperlink>
          </w:p>
        </w:tc>
        <w:tc>
          <w:tcPr>
            <w:tcW w:w="580" w:type="dxa"/>
            <w:vAlign w:val="bottom"/>
            <w:gridSpan w:val="2"/>
          </w:tcPr>
          <w:p>
            <w:pPr>
              <w:spacing w:after="0"/>
              <w:rPr>
                <w:sz w:val="24"/>
                <w:szCs w:val="24"/>
                <w:color w:val="auto"/>
              </w:rPr>
            </w:pPr>
          </w:p>
        </w:tc>
        <w:tc>
          <w:tcPr>
            <w:tcW w:w="4700" w:type="dxa"/>
            <w:vAlign w:val="bottom"/>
            <w:tcBorders>
              <w:bottom w:val="single" w:sz="8" w:color="0000EE"/>
            </w:tcBorders>
            <w:gridSpan w:val="13"/>
          </w:tcPr>
          <w:p>
            <w:pPr>
              <w:spacing w:after="0"/>
              <w:rPr>
                <w:rFonts w:ascii="Arial" w:cs="Arial" w:eastAsia="Arial" w:hAnsi="Arial"/>
                <w:sz w:val="13"/>
                <w:szCs w:val="13"/>
                <w:color w:val="0000EE"/>
                <w:w w:val="91"/>
              </w:rPr>
            </w:pPr>
            <w:hyperlink w:anchor="page17">
              <w:r>
                <w:rPr>
                  <w:rFonts w:ascii="Arial" w:cs="Arial" w:eastAsia="Arial" w:hAnsi="Arial"/>
                  <w:sz w:val="13"/>
                  <w:szCs w:val="13"/>
                  <w:color w:val="0000EE"/>
                  <w:w w:val="91"/>
                </w:rPr>
                <w:t>Management’s Discussion and Analysis of Financial Condition and Results of Operations</w:t>
              </w:r>
            </w:hyperlink>
          </w:p>
        </w:tc>
        <w:tc>
          <w:tcPr>
            <w:tcW w:w="3420" w:type="dxa"/>
            <w:vAlign w:val="bottom"/>
            <w:gridSpan w:val="5"/>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15</w:t>
            </w:r>
          </w:p>
        </w:tc>
      </w:tr>
      <w:tr>
        <w:trPr>
          <w:trHeight w:val="29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gridSpan w:val="2"/>
          </w:tcPr>
          <w:p>
            <w:pPr>
              <w:spacing w:after="0"/>
              <w:rPr>
                <w:rFonts w:ascii="Arial" w:cs="Arial" w:eastAsia="Arial" w:hAnsi="Arial"/>
                <w:sz w:val="13"/>
                <w:szCs w:val="13"/>
                <w:color w:val="0000EE"/>
                <w:w w:val="90"/>
              </w:rPr>
            </w:pPr>
            <w:hyperlink w:anchor="page28">
              <w:r>
                <w:rPr>
                  <w:rFonts w:ascii="Arial" w:cs="Arial" w:eastAsia="Arial" w:hAnsi="Arial"/>
                  <w:sz w:val="13"/>
                  <w:szCs w:val="13"/>
                  <w:color w:val="0000EE"/>
                  <w:w w:val="90"/>
                </w:rPr>
                <w:t>Item 3.</w:t>
              </w:r>
            </w:hyperlink>
          </w:p>
        </w:tc>
        <w:tc>
          <w:tcPr>
            <w:tcW w:w="580" w:type="dxa"/>
            <w:vAlign w:val="bottom"/>
            <w:gridSpan w:val="2"/>
          </w:tcPr>
          <w:p>
            <w:pPr>
              <w:spacing w:after="0"/>
              <w:rPr>
                <w:sz w:val="24"/>
                <w:szCs w:val="24"/>
                <w:color w:val="auto"/>
              </w:rPr>
            </w:pPr>
          </w:p>
        </w:tc>
        <w:tc>
          <w:tcPr>
            <w:tcW w:w="8120" w:type="dxa"/>
            <w:vAlign w:val="bottom"/>
            <w:gridSpan w:val="18"/>
          </w:tcPr>
          <w:p>
            <w:pPr>
              <w:spacing w:after="0"/>
              <w:rPr>
                <w:rFonts w:ascii="Arial" w:cs="Arial" w:eastAsia="Arial" w:hAnsi="Arial"/>
                <w:sz w:val="13"/>
                <w:szCs w:val="13"/>
                <w:color w:val="0000EE"/>
              </w:rPr>
            </w:pPr>
            <w:hyperlink w:anchor="page28">
              <w:r>
                <w:rPr>
                  <w:rFonts w:ascii="Arial" w:cs="Arial" w:eastAsia="Arial" w:hAnsi="Arial"/>
                  <w:sz w:val="13"/>
                  <w:szCs w:val="13"/>
                  <w:color w:val="0000EE"/>
                </w:rPr>
                <w:t>Quantitative and Qualitative Disclosures About Market Risk</w:t>
              </w:r>
            </w:hyperlink>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26</w:t>
            </w:r>
          </w:p>
        </w:tc>
      </w:tr>
      <w:tr>
        <w:trPr>
          <w:trHeight w:val="29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top w:val="single" w:sz="8" w:color="0000EE"/>
            </w:tcBorders>
            <w:gridSpan w:val="2"/>
          </w:tcPr>
          <w:p>
            <w:pPr>
              <w:spacing w:after="0"/>
              <w:rPr>
                <w:rFonts w:ascii="Arial" w:cs="Arial" w:eastAsia="Arial" w:hAnsi="Arial"/>
                <w:sz w:val="13"/>
                <w:szCs w:val="13"/>
                <w:color w:val="0000EE"/>
                <w:w w:val="90"/>
              </w:rPr>
            </w:pPr>
            <w:hyperlink w:anchor="page29">
              <w:r>
                <w:rPr>
                  <w:rFonts w:ascii="Arial" w:cs="Arial" w:eastAsia="Arial" w:hAnsi="Arial"/>
                  <w:sz w:val="13"/>
                  <w:szCs w:val="13"/>
                  <w:color w:val="0000EE"/>
                  <w:w w:val="90"/>
                </w:rPr>
                <w:t>Item 4.</w:t>
              </w:r>
            </w:hyperlink>
          </w:p>
        </w:tc>
        <w:tc>
          <w:tcPr>
            <w:tcW w:w="580" w:type="dxa"/>
            <w:vAlign w:val="bottom"/>
            <w:gridSpan w:val="2"/>
          </w:tcPr>
          <w:p>
            <w:pPr>
              <w:spacing w:after="0"/>
              <w:rPr>
                <w:sz w:val="24"/>
                <w:szCs w:val="24"/>
                <w:color w:val="auto"/>
              </w:rPr>
            </w:pPr>
          </w:p>
        </w:tc>
        <w:tc>
          <w:tcPr>
            <w:tcW w:w="3100" w:type="dxa"/>
            <w:vAlign w:val="bottom"/>
            <w:tcBorders>
              <w:top w:val="single" w:sz="8" w:color="0000EE"/>
            </w:tcBorders>
            <w:gridSpan w:val="10"/>
          </w:tcPr>
          <w:p>
            <w:pPr>
              <w:spacing w:after="0"/>
              <w:rPr>
                <w:rFonts w:ascii="Arial" w:cs="Arial" w:eastAsia="Arial" w:hAnsi="Arial"/>
                <w:sz w:val="13"/>
                <w:szCs w:val="13"/>
                <w:color w:val="0000EE"/>
              </w:rPr>
            </w:pPr>
            <w:hyperlink w:anchor="page29">
              <w:r>
                <w:rPr>
                  <w:rFonts w:ascii="Arial" w:cs="Arial" w:eastAsia="Arial" w:hAnsi="Arial"/>
                  <w:sz w:val="13"/>
                  <w:szCs w:val="13"/>
                  <w:color w:val="0000EE"/>
                </w:rPr>
                <w:t>Controls and Procedures</w:t>
              </w:r>
            </w:hyperlink>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27</w:t>
            </w:r>
          </w:p>
        </w:tc>
      </w:tr>
      <w:tr>
        <w:trPr>
          <w:trHeight w:val="29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3"/>
                <w:szCs w:val="13"/>
                <w:b w:val="1"/>
                <w:bCs w:val="1"/>
                <w:color w:val="0000EE"/>
              </w:rPr>
            </w:pPr>
            <w:hyperlink w:anchor="page30">
              <w:r>
                <w:rPr>
                  <w:rFonts w:ascii="Arial" w:cs="Arial" w:eastAsia="Arial" w:hAnsi="Arial"/>
                  <w:sz w:val="13"/>
                  <w:szCs w:val="13"/>
                  <w:b w:val="1"/>
                  <w:bCs w:val="1"/>
                  <w:color w:val="0000EE"/>
                </w:rPr>
                <w:t>PART II.</w:t>
              </w:r>
            </w:hyperlink>
          </w:p>
        </w:tc>
        <w:tc>
          <w:tcPr>
            <w:tcW w:w="60" w:type="dxa"/>
            <w:vAlign w:val="bottom"/>
          </w:tcPr>
          <w:p>
            <w:pPr>
              <w:spacing w:after="0"/>
              <w:rPr>
                <w:sz w:val="24"/>
                <w:szCs w:val="24"/>
                <w:color w:val="auto"/>
              </w:rPr>
            </w:pPr>
          </w:p>
        </w:tc>
        <w:tc>
          <w:tcPr>
            <w:tcW w:w="4960" w:type="dxa"/>
            <w:vAlign w:val="bottom"/>
            <w:gridSpan w:val="7"/>
          </w:tcPr>
          <w:p>
            <w:pPr>
              <w:ind w:left="100"/>
              <w:spacing w:after="0"/>
              <w:rPr>
                <w:rFonts w:ascii="Arial" w:cs="Arial" w:eastAsia="Arial" w:hAnsi="Arial"/>
                <w:sz w:val="13"/>
                <w:szCs w:val="13"/>
                <w:b w:val="1"/>
                <w:bCs w:val="1"/>
                <w:color w:val="0000EE"/>
              </w:rPr>
            </w:pPr>
            <w:hyperlink w:anchor="page30">
              <w:r>
                <w:rPr>
                  <w:rFonts w:ascii="Arial" w:cs="Arial" w:eastAsia="Arial" w:hAnsi="Arial"/>
                  <w:sz w:val="13"/>
                  <w:szCs w:val="13"/>
                  <w:b w:val="1"/>
                  <w:bCs w:val="1"/>
                  <w:color w:val="0000EE"/>
                </w:rPr>
                <w:t>OTHER INFORMATION</w:t>
              </w:r>
            </w:hyperlink>
          </w:p>
        </w:tc>
        <w:tc>
          <w:tcPr>
            <w:tcW w:w="520" w:type="dxa"/>
            <w:vAlign w:val="bottom"/>
          </w:tcPr>
          <w:p>
            <w:pPr>
              <w:spacing w:after="0"/>
              <w:rPr>
                <w:sz w:val="24"/>
                <w:szCs w:val="24"/>
                <w:color w:val="auto"/>
              </w:rPr>
            </w:pPr>
          </w:p>
        </w:tc>
      </w:tr>
      <w:tr>
        <w:trPr>
          <w:trHeight w:val="29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gridSpan w:val="2"/>
          </w:tcPr>
          <w:p>
            <w:pPr>
              <w:spacing w:after="0"/>
              <w:rPr>
                <w:rFonts w:ascii="Arial" w:cs="Arial" w:eastAsia="Arial" w:hAnsi="Arial"/>
                <w:sz w:val="13"/>
                <w:szCs w:val="13"/>
                <w:color w:val="0000EE"/>
                <w:w w:val="90"/>
              </w:rPr>
            </w:pPr>
            <w:hyperlink w:anchor="page30">
              <w:r>
                <w:rPr>
                  <w:rFonts w:ascii="Arial" w:cs="Arial" w:eastAsia="Arial" w:hAnsi="Arial"/>
                  <w:sz w:val="13"/>
                  <w:szCs w:val="13"/>
                  <w:color w:val="0000EE"/>
                  <w:w w:val="90"/>
                </w:rPr>
                <w:t>Item 1.</w:t>
              </w:r>
            </w:hyperlink>
          </w:p>
        </w:tc>
        <w:tc>
          <w:tcPr>
            <w:tcW w:w="580" w:type="dxa"/>
            <w:vAlign w:val="bottom"/>
            <w:gridSpan w:val="2"/>
          </w:tcPr>
          <w:p>
            <w:pPr>
              <w:spacing w:after="0"/>
              <w:rPr>
                <w:sz w:val="24"/>
                <w:szCs w:val="24"/>
                <w:color w:val="auto"/>
              </w:rPr>
            </w:pPr>
          </w:p>
        </w:tc>
        <w:tc>
          <w:tcPr>
            <w:tcW w:w="2580" w:type="dxa"/>
            <w:vAlign w:val="bottom"/>
            <w:gridSpan w:val="8"/>
          </w:tcPr>
          <w:p>
            <w:pPr>
              <w:spacing w:after="0"/>
              <w:rPr>
                <w:rFonts w:ascii="Arial" w:cs="Arial" w:eastAsia="Arial" w:hAnsi="Arial"/>
                <w:sz w:val="13"/>
                <w:szCs w:val="13"/>
                <w:color w:val="0000EE"/>
              </w:rPr>
            </w:pPr>
            <w:hyperlink w:anchor="page30">
              <w:r>
                <w:rPr>
                  <w:rFonts w:ascii="Arial" w:cs="Arial" w:eastAsia="Arial" w:hAnsi="Arial"/>
                  <w:sz w:val="13"/>
                  <w:szCs w:val="13"/>
                  <w:color w:val="0000EE"/>
                </w:rPr>
                <w:t>Legal Proceedings</w:t>
              </w:r>
            </w:hyperlink>
          </w:p>
        </w:tc>
        <w:tc>
          <w:tcPr>
            <w:tcW w:w="520" w:type="dxa"/>
            <w:vAlign w:val="bottom"/>
            <w:tcBorders>
              <w:top w:val="single" w:sz="8" w:color="0000EE"/>
            </w:tcBorders>
            <w:gridSpan w:val="2"/>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28</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9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gridSpan w:val="4"/>
          </w:tcPr>
          <w:p>
            <w:pPr>
              <w:spacing w:after="0"/>
              <w:rPr>
                <w:rFonts w:ascii="Arial" w:cs="Arial" w:eastAsia="Arial" w:hAnsi="Arial"/>
                <w:sz w:val="13"/>
                <w:szCs w:val="13"/>
                <w:color w:val="0000EE"/>
              </w:rPr>
            </w:pPr>
            <w:hyperlink w:anchor="page30">
              <w:r>
                <w:rPr>
                  <w:rFonts w:ascii="Arial" w:cs="Arial" w:eastAsia="Arial" w:hAnsi="Arial"/>
                  <w:sz w:val="13"/>
                  <w:szCs w:val="13"/>
                  <w:color w:val="0000EE"/>
                </w:rPr>
                <w:t>Item 1A.</w:t>
              </w:r>
            </w:hyperlink>
          </w:p>
        </w:tc>
        <w:tc>
          <w:tcPr>
            <w:tcW w:w="3100" w:type="dxa"/>
            <w:vAlign w:val="bottom"/>
            <w:gridSpan w:val="10"/>
          </w:tcPr>
          <w:p>
            <w:pPr>
              <w:ind w:left="20"/>
              <w:spacing w:after="0"/>
              <w:rPr>
                <w:rFonts w:ascii="Arial" w:cs="Arial" w:eastAsia="Arial" w:hAnsi="Arial"/>
                <w:sz w:val="13"/>
                <w:szCs w:val="13"/>
                <w:color w:val="0000EE"/>
              </w:rPr>
            </w:pPr>
            <w:hyperlink w:anchor="page30">
              <w:r>
                <w:rPr>
                  <w:rFonts w:ascii="Arial" w:cs="Arial" w:eastAsia="Arial" w:hAnsi="Arial"/>
                  <w:sz w:val="13"/>
                  <w:szCs w:val="13"/>
                  <w:color w:val="0000EE"/>
                </w:rPr>
                <w:t>Risk Factors</w:t>
              </w:r>
            </w:hyperlink>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28</w:t>
            </w:r>
          </w:p>
        </w:tc>
      </w:tr>
      <w:tr>
        <w:trPr>
          <w:trHeight w:val="20"/>
        </w:trPr>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9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gridSpan w:val="2"/>
          </w:tcPr>
          <w:p>
            <w:pPr>
              <w:spacing w:after="0"/>
              <w:rPr>
                <w:rFonts w:ascii="Arial" w:cs="Arial" w:eastAsia="Arial" w:hAnsi="Arial"/>
                <w:sz w:val="13"/>
                <w:szCs w:val="13"/>
                <w:color w:val="0000EE"/>
                <w:w w:val="90"/>
              </w:rPr>
            </w:pPr>
            <w:hyperlink w:anchor="page31">
              <w:r>
                <w:rPr>
                  <w:rFonts w:ascii="Arial" w:cs="Arial" w:eastAsia="Arial" w:hAnsi="Arial"/>
                  <w:sz w:val="13"/>
                  <w:szCs w:val="13"/>
                  <w:color w:val="0000EE"/>
                  <w:w w:val="90"/>
                </w:rPr>
                <w:t>Item 2.</w:t>
              </w:r>
            </w:hyperlink>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120" w:type="dxa"/>
            <w:vAlign w:val="bottom"/>
            <w:gridSpan w:val="18"/>
          </w:tcPr>
          <w:p>
            <w:pPr>
              <w:spacing w:after="0"/>
              <w:rPr>
                <w:rFonts w:ascii="Arial" w:cs="Arial" w:eastAsia="Arial" w:hAnsi="Arial"/>
                <w:sz w:val="13"/>
                <w:szCs w:val="13"/>
                <w:color w:val="0000EE"/>
              </w:rPr>
            </w:pPr>
            <w:hyperlink w:anchor="page31">
              <w:r>
                <w:rPr>
                  <w:rFonts w:ascii="Arial" w:cs="Arial" w:eastAsia="Arial" w:hAnsi="Arial"/>
                  <w:sz w:val="13"/>
                  <w:szCs w:val="13"/>
                  <w:color w:val="0000EE"/>
                </w:rPr>
                <w:t>Unregistered Sales of Equity Securities and Use of Proceeds</w:t>
              </w:r>
            </w:hyperlink>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29</w:t>
            </w:r>
          </w:p>
        </w:tc>
      </w:tr>
      <w:tr>
        <w:trPr>
          <w:trHeight w:val="29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top w:val="single" w:sz="8" w:color="0000EE"/>
              <w:bottom w:val="single" w:sz="8" w:color="0000EE"/>
            </w:tcBorders>
            <w:gridSpan w:val="2"/>
          </w:tcPr>
          <w:p>
            <w:pPr>
              <w:spacing w:after="0"/>
              <w:rPr>
                <w:rFonts w:ascii="Arial" w:cs="Arial" w:eastAsia="Arial" w:hAnsi="Arial"/>
                <w:sz w:val="13"/>
                <w:szCs w:val="13"/>
                <w:color w:val="0000EE"/>
                <w:w w:val="90"/>
              </w:rPr>
            </w:pPr>
            <w:hyperlink w:anchor="page31">
              <w:r>
                <w:rPr>
                  <w:rFonts w:ascii="Arial" w:cs="Arial" w:eastAsia="Arial" w:hAnsi="Arial"/>
                  <w:sz w:val="13"/>
                  <w:szCs w:val="13"/>
                  <w:color w:val="0000EE"/>
                  <w:w w:val="90"/>
                </w:rPr>
                <w:t>Item 4.</w:t>
              </w:r>
            </w:hyperlink>
          </w:p>
        </w:tc>
        <w:tc>
          <w:tcPr>
            <w:tcW w:w="580" w:type="dxa"/>
            <w:vAlign w:val="bottom"/>
            <w:gridSpan w:val="2"/>
          </w:tcPr>
          <w:p>
            <w:pPr>
              <w:spacing w:after="0"/>
              <w:rPr>
                <w:sz w:val="24"/>
                <w:szCs w:val="24"/>
                <w:color w:val="auto"/>
              </w:rPr>
            </w:pPr>
          </w:p>
        </w:tc>
        <w:tc>
          <w:tcPr>
            <w:tcW w:w="2740" w:type="dxa"/>
            <w:vAlign w:val="bottom"/>
            <w:tcBorders>
              <w:top w:val="single" w:sz="8" w:color="0000EE"/>
              <w:bottom w:val="single" w:sz="8" w:color="0000EE"/>
            </w:tcBorders>
            <w:gridSpan w:val="9"/>
          </w:tcPr>
          <w:p>
            <w:pPr>
              <w:spacing w:after="0"/>
              <w:rPr>
                <w:rFonts w:ascii="Arial" w:cs="Arial" w:eastAsia="Arial" w:hAnsi="Arial"/>
                <w:sz w:val="13"/>
                <w:szCs w:val="13"/>
                <w:color w:val="0000EE"/>
                <w:w w:val="91"/>
              </w:rPr>
            </w:pPr>
            <w:hyperlink w:anchor="page31">
              <w:r>
                <w:rPr>
                  <w:rFonts w:ascii="Arial" w:cs="Arial" w:eastAsia="Arial" w:hAnsi="Arial"/>
                  <w:sz w:val="13"/>
                  <w:szCs w:val="13"/>
                  <w:color w:val="0000EE"/>
                  <w:w w:val="91"/>
                </w:rPr>
                <w:t>Submission of Matters to a Vote of Security Holders</w:t>
              </w:r>
            </w:hyperlink>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29</w:t>
            </w:r>
          </w:p>
        </w:tc>
      </w:tr>
      <w:tr>
        <w:trPr>
          <w:trHeight w:val="295"/>
        </w:trPr>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Borders>
              <w:bottom w:val="single" w:sz="8" w:color="0000EE"/>
            </w:tcBorders>
            <w:gridSpan w:val="2"/>
          </w:tcPr>
          <w:p>
            <w:pPr>
              <w:spacing w:after="0"/>
              <w:rPr>
                <w:rFonts w:ascii="Arial" w:cs="Arial" w:eastAsia="Arial" w:hAnsi="Arial"/>
                <w:sz w:val="13"/>
                <w:szCs w:val="13"/>
                <w:color w:val="0000EE"/>
                <w:w w:val="90"/>
              </w:rPr>
            </w:pPr>
            <w:hyperlink w:anchor="page32">
              <w:r>
                <w:rPr>
                  <w:rFonts w:ascii="Arial" w:cs="Arial" w:eastAsia="Arial" w:hAnsi="Arial"/>
                  <w:sz w:val="13"/>
                  <w:szCs w:val="13"/>
                  <w:color w:val="0000EE"/>
                  <w:w w:val="90"/>
                </w:rPr>
                <w:t>Item 6.</w:t>
              </w:r>
            </w:hyperlink>
          </w:p>
        </w:tc>
        <w:tc>
          <w:tcPr>
            <w:tcW w:w="580" w:type="dxa"/>
            <w:vAlign w:val="bottom"/>
            <w:gridSpan w:val="2"/>
          </w:tcPr>
          <w:p>
            <w:pPr>
              <w:spacing w:after="0"/>
              <w:rPr>
                <w:sz w:val="24"/>
                <w:szCs w:val="24"/>
                <w:color w:val="auto"/>
              </w:rPr>
            </w:pPr>
          </w:p>
        </w:tc>
        <w:tc>
          <w:tcPr>
            <w:tcW w:w="440" w:type="dxa"/>
            <w:vAlign w:val="bottom"/>
            <w:tcBorders>
              <w:bottom w:val="single" w:sz="8" w:color="0000EE"/>
            </w:tcBorders>
          </w:tcPr>
          <w:p>
            <w:pPr>
              <w:spacing w:after="0"/>
              <w:rPr>
                <w:rFonts w:ascii="Arial" w:cs="Arial" w:eastAsia="Arial" w:hAnsi="Arial"/>
                <w:sz w:val="13"/>
                <w:szCs w:val="13"/>
                <w:color w:val="0000EE"/>
                <w:w w:val="92"/>
              </w:rPr>
            </w:pPr>
            <w:hyperlink w:anchor="page32">
              <w:r>
                <w:rPr>
                  <w:rFonts w:ascii="Arial" w:cs="Arial" w:eastAsia="Arial" w:hAnsi="Arial"/>
                  <w:sz w:val="13"/>
                  <w:szCs w:val="13"/>
                  <w:color w:val="0000EE"/>
                  <w:w w:val="92"/>
                </w:rPr>
                <w:t>Exhibits</w:t>
              </w:r>
            </w:hyperlink>
          </w:p>
        </w:tc>
        <w:tc>
          <w:tcPr>
            <w:tcW w:w="266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30</w:t>
            </w:r>
          </w:p>
        </w:tc>
      </w:tr>
      <w:tr>
        <w:trPr>
          <w:trHeight w:val="255"/>
        </w:trPr>
        <w:tc>
          <w:tcPr>
            <w:tcW w:w="840" w:type="dxa"/>
            <w:vAlign w:val="bottom"/>
            <w:tcBorders>
              <w:bottom w:val="single" w:sz="8" w:color="0000EE"/>
            </w:tcBorders>
            <w:gridSpan w:val="5"/>
          </w:tcPr>
          <w:p>
            <w:pPr>
              <w:spacing w:after="0"/>
              <w:rPr>
                <w:rFonts w:ascii="Arial" w:cs="Arial" w:eastAsia="Arial" w:hAnsi="Arial"/>
                <w:sz w:val="13"/>
                <w:szCs w:val="13"/>
                <w:color w:val="0000EE"/>
                <w:w w:val="89"/>
              </w:rPr>
            </w:pPr>
            <w:hyperlink w:anchor="page33">
              <w:r>
                <w:rPr>
                  <w:rFonts w:ascii="Arial" w:cs="Arial" w:eastAsia="Arial" w:hAnsi="Arial"/>
                  <w:sz w:val="13"/>
                  <w:szCs w:val="13"/>
                  <w:color w:val="0000EE"/>
                  <w:w w:val="89"/>
                </w:rPr>
                <w:t>Signature Page</w:t>
              </w:r>
            </w:hyperlink>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520" w:type="dxa"/>
            <w:vAlign w:val="bottom"/>
          </w:tcPr>
          <w:p>
            <w:pPr>
              <w:jc w:val="right"/>
              <w:ind w:right="135"/>
              <w:spacing w:after="0"/>
              <w:rPr>
                <w:sz w:val="20"/>
                <w:szCs w:val="20"/>
                <w:color w:val="auto"/>
              </w:rPr>
            </w:pPr>
            <w:r>
              <w:rPr>
                <w:rFonts w:ascii="Arial" w:cs="Arial" w:eastAsia="Arial" w:hAnsi="Arial"/>
                <w:sz w:val="13"/>
                <w:szCs w:val="13"/>
                <w:color w:val="auto"/>
              </w:rPr>
              <w:t>31</w:t>
            </w:r>
          </w:p>
        </w:tc>
      </w:tr>
      <w:tr>
        <w:trPr>
          <w:trHeight w:val="137"/>
        </w:trPr>
        <w:tc>
          <w:tcPr>
            <w:tcW w:w="40" w:type="dxa"/>
            <w:vAlign w:val="bottom"/>
          </w:tcPr>
          <w:p>
            <w:pPr>
              <w:spacing w:after="0"/>
              <w:rPr>
                <w:sz w:val="11"/>
                <w:szCs w:val="11"/>
                <w:color w:val="auto"/>
              </w:rPr>
            </w:pPr>
          </w:p>
        </w:tc>
        <w:tc>
          <w:tcPr>
            <w:tcW w:w="44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9"/>
              </w:rPr>
              <w:t>EX-31.1</w:t>
            </w:r>
          </w:p>
        </w:tc>
        <w:tc>
          <w:tcPr>
            <w:tcW w:w="860" w:type="dxa"/>
            <w:vAlign w:val="bottom"/>
            <w:gridSpan w:val="3"/>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20" w:type="dxa"/>
            <w:vAlign w:val="bottom"/>
          </w:tcPr>
          <w:p>
            <w:pPr>
              <w:spacing w:after="0"/>
              <w:rPr>
                <w:sz w:val="11"/>
                <w:szCs w:val="1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EX-32.2</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1480" w:type="dxa"/>
            <w:vAlign w:val="bottom"/>
            <w:gridSpan w:val="3"/>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6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1"/>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6500" w:type="dxa"/>
            <w:vAlign w:val="bottom"/>
          </w:tcPr>
          <w:p>
            <w:pPr>
              <w:jc w:val="center"/>
              <w:ind w:left="1814"/>
              <w:spacing w:after="0"/>
              <w:rPr>
                <w:sz w:val="20"/>
                <w:szCs w:val="20"/>
                <w:color w:val="auto"/>
              </w:rPr>
            </w:pPr>
            <w:r>
              <w:rPr>
                <w:rFonts w:ascii="Arial" w:cs="Arial" w:eastAsia="Arial" w:hAnsi="Arial"/>
                <w:sz w:val="13"/>
                <w:szCs w:val="13"/>
                <w:b w:val="1"/>
                <w:bCs w:val="1"/>
                <w:color w:val="auto"/>
                <w:w w:val="98"/>
              </w:rPr>
              <w:t>PART I</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500" w:type="dxa"/>
            <w:vAlign w:val="bottom"/>
          </w:tcPr>
          <w:p>
            <w:pPr>
              <w:jc w:val="center"/>
              <w:ind w:left="1814"/>
              <w:spacing w:after="0"/>
              <w:rPr>
                <w:sz w:val="20"/>
                <w:szCs w:val="20"/>
                <w:color w:val="auto"/>
              </w:rPr>
            </w:pPr>
            <w:r>
              <w:rPr>
                <w:rFonts w:ascii="Arial" w:cs="Arial" w:eastAsia="Arial" w:hAnsi="Arial"/>
                <w:sz w:val="13"/>
                <w:szCs w:val="13"/>
                <w:b w:val="1"/>
                <w:bCs w:val="1"/>
                <w:color w:val="auto"/>
              </w:rPr>
              <w:t>FINANCIAL INFORMATION</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Item 1.</w:t>
            </w:r>
          </w:p>
        </w:tc>
        <w:tc>
          <w:tcPr>
            <w:tcW w:w="650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Financial Statements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00" w:type="dxa"/>
            <w:vAlign w:val="bottom"/>
          </w:tcPr>
          <w:p>
            <w:pPr>
              <w:jc w:val="center"/>
              <w:ind w:left="1834"/>
              <w:spacing w:after="0"/>
              <w:rPr>
                <w:sz w:val="20"/>
                <w:szCs w:val="20"/>
                <w:color w:val="auto"/>
              </w:rPr>
            </w:pPr>
            <w:r>
              <w:rPr>
                <w:rFonts w:ascii="Arial" w:cs="Arial" w:eastAsia="Arial" w:hAnsi="Arial"/>
                <w:sz w:val="13"/>
                <w:szCs w:val="13"/>
                <w:b w:val="1"/>
                <w:bCs w:val="1"/>
                <w:color w:val="auto"/>
                <w:w w:val="99"/>
              </w:rPr>
              <w:t>AVNET, INC. AND SUBSIDIARIES</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500" w:type="dxa"/>
            <w:vAlign w:val="bottom"/>
          </w:tcPr>
          <w:p>
            <w:pPr>
              <w:jc w:val="center"/>
              <w:ind w:left="1834"/>
              <w:spacing w:after="0"/>
              <w:rPr>
                <w:sz w:val="20"/>
                <w:szCs w:val="20"/>
                <w:color w:val="auto"/>
              </w:rPr>
            </w:pPr>
            <w:r>
              <w:rPr>
                <w:rFonts w:ascii="Arial" w:cs="Arial" w:eastAsia="Arial" w:hAnsi="Arial"/>
                <w:sz w:val="13"/>
                <w:szCs w:val="13"/>
                <w:b w:val="1"/>
                <w:bCs w:val="1"/>
                <w:color w:val="auto"/>
              </w:rPr>
              <w:t>CONSOLIDATED BALANCE SHEETS</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500" w:type="dxa"/>
            <w:vAlign w:val="bottom"/>
          </w:tcPr>
          <w:p>
            <w:pPr>
              <w:jc w:val="center"/>
              <w:ind w:left="1834"/>
              <w:spacing w:after="0"/>
              <w:rPr>
                <w:sz w:val="20"/>
                <w:szCs w:val="20"/>
                <w:color w:val="auto"/>
              </w:rPr>
            </w:pPr>
            <w:r>
              <w:rPr>
                <w:rFonts w:ascii="Arial" w:cs="Arial" w:eastAsia="Arial" w:hAnsi="Arial"/>
                <w:sz w:val="13"/>
                <w:szCs w:val="13"/>
                <w:b w:val="1"/>
                <w:bCs w:val="1"/>
                <w:color w:val="auto"/>
                <w:w w:val="94"/>
              </w:rPr>
              <w:t>(Unaudited)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3"/>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4"/>
              </w:rPr>
              <w:t>December 27,</w:t>
            </w:r>
          </w:p>
        </w:tc>
        <w:tc>
          <w:tcPr>
            <w:tcW w:w="260" w:type="dxa"/>
            <w:vAlign w:val="bottom"/>
          </w:tcPr>
          <w:p>
            <w:pPr>
              <w:spacing w:after="0"/>
              <w:rPr>
                <w:sz w:val="24"/>
                <w:szCs w:val="2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96"/>
              </w:rPr>
              <w:t>June 28,</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2008</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21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gridSpan w:val="5"/>
          </w:tcPr>
          <w:p>
            <w:pPr>
              <w:jc w:val="right"/>
              <w:ind w:right="840"/>
              <w:spacing w:after="0"/>
              <w:rPr>
                <w:sz w:val="20"/>
                <w:szCs w:val="20"/>
                <w:color w:val="auto"/>
              </w:rPr>
            </w:pPr>
            <w:r>
              <w:rPr>
                <w:rFonts w:ascii="Arial" w:cs="Arial" w:eastAsia="Arial" w:hAnsi="Arial"/>
                <w:sz w:val="13"/>
                <w:szCs w:val="13"/>
                <w:b w:val="1"/>
                <w:bCs w:val="1"/>
                <w:color w:val="auto"/>
              </w:rPr>
              <w:t>(Thousands, except</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3"/>
                <w:szCs w:val="13"/>
                <w:b w:val="1"/>
                <w:bCs w:val="1"/>
                <w:color w:val="auto"/>
              </w:rPr>
              <w:t>share amounts)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500" w:type="dxa"/>
            <w:vAlign w:val="bottom"/>
            <w:shd w:val="clear" w:color="auto" w:fill="CCEEFF"/>
          </w:tcPr>
          <w:p>
            <w:pPr>
              <w:jc w:val="center"/>
              <w:ind w:right="934"/>
              <w:spacing w:after="0"/>
              <w:rPr>
                <w:sz w:val="20"/>
                <w:szCs w:val="20"/>
                <w:color w:val="auto"/>
              </w:rPr>
            </w:pPr>
            <w:r>
              <w:rPr>
                <w:rFonts w:ascii="Arial" w:cs="Arial" w:eastAsia="Arial" w:hAnsi="Arial"/>
                <w:sz w:val="13"/>
                <w:szCs w:val="13"/>
                <w:b w:val="1"/>
                <w:bCs w:val="1"/>
                <w:color w:val="auto"/>
                <w:w w:val="96"/>
              </w:rPr>
              <w:t>ASSETS</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w w:val="88"/>
              </w:rPr>
              <w:t>Current assets:</w:t>
            </w:r>
          </w:p>
        </w:tc>
        <w:tc>
          <w:tcPr>
            <w:tcW w:w="6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670,853</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640,449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ind w:left="140"/>
              <w:spacing w:after="0"/>
              <w:rPr>
                <w:sz w:val="20"/>
                <w:szCs w:val="20"/>
                <w:color w:val="auto"/>
              </w:rPr>
            </w:pPr>
            <w:r>
              <w:rPr>
                <w:rFonts w:ascii="Arial" w:cs="Arial" w:eastAsia="Arial" w:hAnsi="Arial"/>
                <w:sz w:val="13"/>
                <w:szCs w:val="13"/>
                <w:color w:val="auto"/>
              </w:rPr>
              <w:t>Receivables, less allowances of $76,079 and $76,690, respectively</w:t>
            </w:r>
          </w:p>
        </w:tc>
        <w:tc>
          <w:tcPr>
            <w:tcW w:w="12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3,200,986</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3,367,443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Inventories</w:t>
            </w:r>
          </w:p>
        </w:tc>
        <w:tc>
          <w:tcPr>
            <w:tcW w:w="65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1,753,256</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1,894,492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ind w:left="140"/>
              <w:spacing w:after="0"/>
              <w:rPr>
                <w:sz w:val="20"/>
                <w:szCs w:val="20"/>
                <w:color w:val="auto"/>
              </w:rPr>
            </w:pPr>
            <w:r>
              <w:rPr>
                <w:rFonts w:ascii="Arial" w:cs="Arial" w:eastAsia="Arial" w:hAnsi="Arial"/>
                <w:sz w:val="13"/>
                <w:szCs w:val="13"/>
                <w:color w:val="auto"/>
              </w:rPr>
              <w:t>Prepaid and other current assets</w:t>
            </w:r>
          </w:p>
        </w:tc>
        <w:tc>
          <w:tcPr>
            <w:tcW w:w="12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80,063</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68,762</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assets</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5,705,158</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5,971,146</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spacing w:after="0"/>
              <w:rPr>
                <w:sz w:val="20"/>
                <w:szCs w:val="20"/>
                <w:color w:val="auto"/>
              </w:rPr>
            </w:pPr>
            <w:r>
              <w:rPr>
                <w:rFonts w:ascii="Arial" w:cs="Arial" w:eastAsia="Arial" w:hAnsi="Arial"/>
                <w:sz w:val="13"/>
                <w:szCs w:val="13"/>
                <w:color w:val="auto"/>
              </w:rPr>
              <w:t>Property, plant and equipment, net</w:t>
            </w:r>
          </w:p>
        </w:tc>
        <w:tc>
          <w:tcPr>
            <w:tcW w:w="12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250,691</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227,187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Goodwill (Notes 3 and 4)</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485,033</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1,728,904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color w:val="auto"/>
              </w:rPr>
              <w:t>Other assets</w:t>
            </w:r>
          </w:p>
        </w:tc>
        <w:tc>
          <w:tcPr>
            <w:tcW w:w="6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296,069</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272,893</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73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6,736,951</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8,200,130</w:t>
            </w:r>
          </w:p>
        </w:tc>
        <w:tc>
          <w:tcPr>
            <w:tcW w:w="0" w:type="dxa"/>
            <w:vAlign w:val="bottom"/>
          </w:tcPr>
          <w:p>
            <w:pPr>
              <w:spacing w:after="0"/>
              <w:rPr>
                <w:sz w:val="1"/>
                <w:szCs w:val="1"/>
                <w:color w:val="auto"/>
              </w:rPr>
            </w:pPr>
          </w:p>
        </w:tc>
      </w:tr>
      <w:tr>
        <w:trPr>
          <w:trHeight w:val="284"/>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00" w:type="dxa"/>
            <w:vAlign w:val="bottom"/>
          </w:tcPr>
          <w:p>
            <w:pPr>
              <w:jc w:val="center"/>
              <w:ind w:right="914"/>
              <w:spacing w:after="0"/>
              <w:rPr>
                <w:sz w:val="20"/>
                <w:szCs w:val="20"/>
                <w:color w:val="auto"/>
              </w:rPr>
            </w:pPr>
            <w:r>
              <w:rPr>
                <w:rFonts w:ascii="Arial" w:cs="Arial" w:eastAsia="Arial" w:hAnsi="Arial"/>
                <w:sz w:val="13"/>
                <w:szCs w:val="13"/>
                <w:b w:val="1"/>
                <w:bCs w:val="1"/>
                <w:color w:val="auto"/>
              </w:rPr>
              <w:t>LIABILITIES AND SHAREHOLDERS’ EQUITY</w:t>
            </w: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ind w:left="140"/>
              <w:spacing w:after="0"/>
              <w:rPr>
                <w:sz w:val="20"/>
                <w:szCs w:val="20"/>
                <w:color w:val="auto"/>
              </w:rPr>
            </w:pPr>
            <w:r>
              <w:rPr>
                <w:rFonts w:ascii="Arial" w:cs="Arial" w:eastAsia="Arial" w:hAnsi="Arial"/>
                <w:sz w:val="13"/>
                <w:szCs w:val="13"/>
                <w:color w:val="auto"/>
              </w:rPr>
              <w:t>Borrowings due within one year (Note 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38,320</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43,804</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Accounts payable</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2,149,354</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2,293,243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ind w:left="140"/>
              <w:spacing w:after="0"/>
              <w:rPr>
                <w:sz w:val="20"/>
                <w:szCs w:val="20"/>
                <w:color w:val="auto"/>
              </w:rPr>
            </w:pPr>
            <w:r>
              <w:rPr>
                <w:rFonts w:ascii="Arial" w:cs="Arial" w:eastAsia="Arial" w:hAnsi="Arial"/>
                <w:sz w:val="13"/>
                <w:szCs w:val="13"/>
                <w:color w:val="auto"/>
              </w:rPr>
              <w:t>Accrued expenses and other</w:t>
            </w:r>
          </w:p>
        </w:tc>
        <w:tc>
          <w:tcPr>
            <w:tcW w:w="12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459,733</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442,545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current liabilities</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2,647,407</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2,779,592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spacing w:after="0"/>
              <w:rPr>
                <w:sz w:val="20"/>
                <w:szCs w:val="20"/>
                <w:color w:val="auto"/>
              </w:rPr>
            </w:pPr>
            <w:r>
              <w:rPr>
                <w:rFonts w:ascii="Arial" w:cs="Arial" w:eastAsia="Arial" w:hAnsi="Arial"/>
                <w:sz w:val="13"/>
                <w:szCs w:val="13"/>
                <w:color w:val="auto"/>
              </w:rPr>
              <w:t>Long-term debt, less due within one year (Note 5)</w:t>
            </w:r>
          </w:p>
        </w:tc>
        <w:tc>
          <w:tcPr>
            <w:tcW w:w="12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1,182,982</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1,181,498</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110,368</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104,349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3,940,757</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4,065,439</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Commitments and contingencies (Note 6)</w:t>
            </w: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spacing w:after="0"/>
              <w:rPr>
                <w:sz w:val="20"/>
                <w:szCs w:val="20"/>
                <w:color w:val="auto"/>
              </w:rPr>
            </w:pPr>
            <w:r>
              <w:rPr>
                <w:rFonts w:ascii="Arial" w:cs="Arial" w:eastAsia="Arial" w:hAnsi="Arial"/>
                <w:sz w:val="13"/>
                <w:szCs w:val="13"/>
                <w:color w:val="auto"/>
              </w:rPr>
              <w:t>Shareholders’ equity (Notes 8 and 9):</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Common stock $1.00 par; authorized 300,000,000 shares; issued 150,659,000 shares and 150,417,000 shares, respectively</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150,659</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150,417</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spacing w:after="0"/>
              <w:rPr>
                <w:sz w:val="20"/>
                <w:szCs w:val="20"/>
                <w:color w:val="auto"/>
              </w:rPr>
            </w:pPr>
            <w:r>
              <w:rPr>
                <w:rFonts w:ascii="Arial" w:cs="Arial" w:eastAsia="Arial" w:hAnsi="Arial"/>
                <w:sz w:val="13"/>
                <w:szCs w:val="13"/>
                <w:color w:val="auto"/>
              </w:rPr>
              <w:t>Additional paid-in capital</w:t>
            </w:r>
          </w:p>
        </w:tc>
        <w:tc>
          <w:tcPr>
            <w:tcW w:w="12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1,133,592</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1,122,852</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Retained earnings</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1,270,115</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2,379,723</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tcPr>
          <w:p>
            <w:pPr>
              <w:spacing w:after="0"/>
              <w:rPr>
                <w:sz w:val="20"/>
                <w:szCs w:val="20"/>
                <w:color w:val="auto"/>
              </w:rPr>
            </w:pPr>
            <w:r>
              <w:rPr>
                <w:rFonts w:ascii="Arial" w:cs="Arial" w:eastAsia="Arial" w:hAnsi="Arial"/>
                <w:sz w:val="13"/>
                <w:szCs w:val="13"/>
                <w:color w:val="auto"/>
              </w:rPr>
              <w:t>Accumulated other comprehensive income (Note 8)</w:t>
            </w:r>
          </w:p>
        </w:tc>
        <w:tc>
          <w:tcPr>
            <w:tcW w:w="12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242,194</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482,178</w:t>
            </w: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Treasury stock at cost, 16,977 shares and 18,286 shares, respectively</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(366)</w:t>
            </w:r>
          </w:p>
        </w:tc>
        <w:tc>
          <w:tcPr>
            <w:tcW w:w="2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(479)</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300" w:type="dxa"/>
            <w:vAlign w:val="bottom"/>
            <w:gridSpan w:val="3"/>
            <w:vMerge w:val="restart"/>
          </w:tcPr>
          <w:p>
            <w:pPr>
              <w:ind w:left="280"/>
              <w:spacing w:after="0"/>
              <w:rPr>
                <w:sz w:val="20"/>
                <w:szCs w:val="20"/>
                <w:color w:val="auto"/>
              </w:rPr>
            </w:pPr>
            <w:r>
              <w:rPr>
                <w:rFonts w:ascii="Arial" w:cs="Arial" w:eastAsia="Arial" w:hAnsi="Arial"/>
                <w:sz w:val="13"/>
                <w:szCs w:val="13"/>
                <w:color w:val="auto"/>
              </w:rPr>
              <w:t>Total shareholders’ equity</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3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2,796,194</w:t>
            </w:r>
          </w:p>
        </w:tc>
        <w:tc>
          <w:tcPr>
            <w:tcW w:w="2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4,134,691</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300" w:type="dxa"/>
            <w:vAlign w:val="bottom"/>
            <w:gridSpan w:val="3"/>
            <w:shd w:val="clear" w:color="auto" w:fill="CCEEFF"/>
          </w:tcPr>
          <w:p>
            <w:pPr>
              <w:ind w:left="280"/>
              <w:spacing w:after="0"/>
              <w:rPr>
                <w:sz w:val="20"/>
                <w:szCs w:val="20"/>
                <w:color w:val="auto"/>
              </w:rPr>
            </w:pPr>
            <w:r>
              <w:rPr>
                <w:rFonts w:ascii="Arial" w:cs="Arial" w:eastAsia="Arial" w:hAnsi="Arial"/>
                <w:sz w:val="13"/>
                <w:szCs w:val="13"/>
                <w:color w:val="auto"/>
              </w:rPr>
              <w:t>Total liabilities and shareholders’ equity</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6,736,951</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8,200,130</w:t>
            </w: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-3332480</wp:posOffset>
            </wp:positionV>
            <wp:extent cx="635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-3332480</wp:posOffset>
            </wp:positionV>
            <wp:extent cx="635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84"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30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w w:val="93"/>
              </w:rPr>
              <w:t>Second Quarters Ended</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w w:val="95"/>
              </w:rPr>
              <w:t>Six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2"/>
              </w:rPr>
              <w:t>December 27,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w w:val="94"/>
              </w:rPr>
              <w:t>December 29,</w:t>
            </w:r>
          </w:p>
        </w:tc>
        <w:tc>
          <w:tcPr>
            <w:tcW w:w="12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4"/>
              </w:rPr>
              <w:t>December 27,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2"/>
              </w:rPr>
              <w:t>December 29,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2007</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14"/>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14"/>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6"/>
              </w:rPr>
              <w:t>(Thousands, except per share data)</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3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4,269,178</w:t>
            </w:r>
          </w:p>
        </w:tc>
        <w:tc>
          <w:tcPr>
            <w:tcW w:w="12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4,753,145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8,763,628</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8,851,863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Cost of sales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3,735,666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4,156,493</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7,645,949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7,728,683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533,512</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596,652</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1,117,679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1,123,180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Selling, general and administrative expenses</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393,420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388,785</w:t>
            </w:r>
          </w:p>
        </w:tc>
        <w:tc>
          <w:tcPr>
            <w:tcW w:w="1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823,062</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750,117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Impairment charges (Note 4)</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1,348,845</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1,348,845</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vMerge w:val="restart"/>
          </w:tcPr>
          <w:p>
            <w:pPr>
              <w:spacing w:after="0"/>
              <w:rPr>
                <w:sz w:val="20"/>
                <w:szCs w:val="20"/>
                <w:color w:val="auto"/>
              </w:rPr>
            </w:pPr>
            <w:r>
              <w:rPr>
                <w:rFonts w:ascii="Arial" w:cs="Arial" w:eastAsia="Arial" w:hAnsi="Arial"/>
                <w:sz w:val="13"/>
                <w:szCs w:val="13"/>
                <w:color w:val="auto"/>
              </w:rPr>
              <w:t>Operating income (loss)</w:t>
            </w: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(1,208,753)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207,867</w:t>
            </w:r>
          </w:p>
        </w:tc>
        <w:tc>
          <w:tcPr>
            <w:tcW w:w="12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(1,054,228)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373,063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Other income, net</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817</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8,131</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168</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Arial" w:cs="Arial" w:eastAsia="Arial" w:hAnsi="Arial"/>
                <w:sz w:val="13"/>
                <w:szCs w:val="13"/>
                <w:color w:val="auto"/>
              </w:rPr>
              <w:t>Interest expense</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(17,435)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3"/>
                <w:szCs w:val="13"/>
                <w:color w:val="auto"/>
              </w:rPr>
              <w:t>(17,624)</w:t>
            </w:r>
          </w:p>
        </w:tc>
        <w:tc>
          <w:tcPr>
            <w:tcW w:w="12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(34,295)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3"/>
                <w:szCs w:val="13"/>
                <w:color w:val="auto"/>
              </w:rPr>
              <w:t>(36,181)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Gain on sale of assets</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7,477</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vMerge w:val="restart"/>
          </w:tcPr>
          <w:p>
            <w:pPr>
              <w:spacing w:after="0"/>
              <w:rPr>
                <w:sz w:val="20"/>
                <w:szCs w:val="20"/>
                <w:color w:val="auto"/>
              </w:rPr>
            </w:pPr>
            <w:r>
              <w:rPr>
                <w:rFonts w:ascii="Arial" w:cs="Arial" w:eastAsia="Arial" w:hAnsi="Arial"/>
                <w:sz w:val="13"/>
                <w:szCs w:val="13"/>
                <w:color w:val="auto"/>
              </w:rPr>
              <w:t>Income (loss) before income taxes</w:t>
            </w: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342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(1,225,371)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205,851</w:t>
            </w:r>
          </w:p>
        </w:tc>
        <w:tc>
          <w:tcPr>
            <w:tcW w:w="12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(1,088,355)</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359,920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Income tax provision (benefit)</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(22,958)</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63,645</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21,253</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112,177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vMerge w:val="restart"/>
          </w:tcPr>
          <w:p>
            <w:pPr>
              <w:spacing w:after="0"/>
              <w:rPr>
                <w:sz w:val="20"/>
                <w:szCs w:val="20"/>
                <w:color w:val="auto"/>
              </w:rPr>
            </w:pPr>
            <w:r>
              <w:rPr>
                <w:rFonts w:ascii="Arial" w:cs="Arial" w:eastAsia="Arial" w:hAnsi="Arial"/>
                <w:sz w:val="13"/>
                <w:szCs w:val="13"/>
                <w:color w:val="auto"/>
              </w:rPr>
              <w:t>Net income (loss)</w:t>
            </w:r>
          </w:p>
        </w:tc>
        <w:tc>
          <w:tcPr>
            <w:tcW w:w="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3420" w:type="dxa"/>
            <w:vAlign w:val="bottom"/>
            <w:vMerge w:val="continue"/>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(1,202,413)</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142,206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(1,109,608)</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247,743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3"/>
                <w:szCs w:val="13"/>
                <w:color w:val="auto"/>
              </w:rPr>
              <w:t>Net earnings (loss) per share (Note 9):</w:t>
            </w:r>
          </w:p>
        </w:tc>
        <w:tc>
          <w:tcPr>
            <w:tcW w:w="9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20" w:type="dxa"/>
            <w:vAlign w:val="bottom"/>
          </w:tcPr>
          <w:p>
            <w:pPr>
              <w:ind w:left="140"/>
              <w:spacing w:after="0"/>
              <w:rPr>
                <w:sz w:val="20"/>
                <w:szCs w:val="20"/>
                <w:color w:val="auto"/>
              </w:rPr>
            </w:pPr>
            <w:r>
              <w:rPr>
                <w:rFonts w:ascii="Arial" w:cs="Arial" w:eastAsia="Arial" w:hAnsi="Arial"/>
                <w:sz w:val="13"/>
                <w:szCs w:val="13"/>
                <w:color w:val="auto"/>
              </w:rPr>
              <w:t>Basic</w:t>
            </w:r>
          </w:p>
        </w:tc>
        <w:tc>
          <w:tcPr>
            <w:tcW w:w="10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(7.98)</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0.95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(7.37)</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1.65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80" w:type="dxa"/>
            <w:vAlign w:val="bottom"/>
          </w:tcPr>
          <w:p>
            <w:pPr>
              <w:spacing w:after="0"/>
              <w:rPr>
                <w:sz w:val="14"/>
                <w:szCs w:val="14"/>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(7.98)</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(7.37)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420" w:type="dxa"/>
            <w:vAlign w:val="bottom"/>
          </w:tcPr>
          <w:p>
            <w:pPr>
              <w:spacing w:after="0"/>
              <w:rPr>
                <w:sz w:val="20"/>
                <w:szCs w:val="20"/>
                <w:color w:val="auto"/>
              </w:rPr>
            </w:pPr>
            <w:r>
              <w:rPr>
                <w:rFonts w:ascii="Arial" w:cs="Arial" w:eastAsia="Arial" w:hAnsi="Arial"/>
                <w:sz w:val="13"/>
                <w:szCs w:val="13"/>
                <w:color w:val="auto"/>
                <w:w w:val="99"/>
              </w:rPr>
              <w:t>Shares used to compute earnings (loss) per share (Note 9):</w:t>
            </w:r>
          </w:p>
        </w:tc>
        <w:tc>
          <w:tcPr>
            <w:tcW w:w="9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34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150,721</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150,113</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150,641</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150,045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20" w:type="dxa"/>
            <w:vAlign w:val="bottom"/>
            <w:vMerge w:val="restart"/>
          </w:tcPr>
          <w:p>
            <w:pPr>
              <w:ind w:left="140"/>
              <w:spacing w:after="0"/>
              <w:rPr>
                <w:sz w:val="20"/>
                <w:szCs w:val="20"/>
                <w:color w:val="auto"/>
              </w:rPr>
            </w:pPr>
            <w:r>
              <w:rPr>
                <w:rFonts w:ascii="Arial" w:cs="Arial" w:eastAsia="Arial" w:hAnsi="Arial"/>
                <w:sz w:val="13"/>
                <w:szCs w:val="13"/>
                <w:color w:val="auto"/>
              </w:rPr>
              <w:t>Diluted</w:t>
            </w: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680" w:type="dxa"/>
            <w:vAlign w:val="bottom"/>
          </w:tcPr>
          <w:p>
            <w:pPr>
              <w:spacing w:after="0"/>
              <w:rPr>
                <w:sz w:val="14"/>
                <w:szCs w:val="14"/>
                <w:color w:val="auto"/>
              </w:rPr>
            </w:pPr>
          </w:p>
        </w:tc>
        <w:tc>
          <w:tcPr>
            <w:tcW w:w="3420" w:type="dxa"/>
            <w:vAlign w:val="bottom"/>
            <w:vMerge w:val="continue"/>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150,721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152,975</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150,641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153,217</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8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880" w:type="dxa"/>
            <w:vAlign w:val="bottom"/>
            <w:gridSpan w:val="8"/>
          </w:tcPr>
          <w:p>
            <w:pPr>
              <w:jc w:val="right"/>
              <w:ind w:right="1080"/>
              <w:spacing w:after="0"/>
              <w:rPr>
                <w:sz w:val="20"/>
                <w:szCs w:val="20"/>
                <w:color w:val="auto"/>
              </w:rPr>
            </w:pPr>
            <w:r>
              <w:rPr>
                <w:rFonts w:ascii="Arial" w:cs="Arial" w:eastAsia="Arial" w:hAnsi="Arial"/>
                <w:sz w:val="13"/>
                <w:szCs w:val="13"/>
                <w:color w:val="auto"/>
              </w:rPr>
              <w:t>See notes to consolidated financial statements.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1"/>
        </w:trPr>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334"/>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42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3987800</wp:posOffset>
            </wp:positionH>
            <wp:positionV relativeFrom="paragraph">
              <wp:posOffset>-2879725</wp:posOffset>
            </wp:positionV>
            <wp:extent cx="1841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5885180</wp:posOffset>
            </wp:positionH>
            <wp:positionV relativeFrom="paragraph">
              <wp:posOffset>-2879725</wp:posOffset>
            </wp:positionV>
            <wp:extent cx="12700"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-2667635</wp:posOffset>
            </wp:positionV>
            <wp:extent cx="635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4474210</wp:posOffset>
            </wp:positionH>
            <wp:positionV relativeFrom="paragraph">
              <wp:posOffset>-2667635</wp:posOffset>
            </wp:positionV>
            <wp:extent cx="635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-2667635</wp:posOffset>
            </wp:positionV>
            <wp:extent cx="635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-2667635</wp:posOffset>
            </wp:positionV>
            <wp:extent cx="635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AVNET, INC. AND SUBSIDIARIES</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(Unaudited)</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w w:val="95"/>
              </w:rPr>
              <w:t>Six Months Ended</w:t>
            </w:r>
          </w:p>
        </w:tc>
        <w:tc>
          <w:tcPr>
            <w:tcW w:w="0" w:type="dxa"/>
            <w:vAlign w:val="bottom"/>
          </w:tcPr>
          <w:p>
            <w:pPr>
              <w:spacing w:after="0"/>
              <w:rPr>
                <w:sz w:val="1"/>
                <w:szCs w:val="1"/>
                <w:color w:val="auto"/>
              </w:rPr>
            </w:pPr>
          </w:p>
        </w:tc>
      </w:tr>
      <w:tr>
        <w:trPr>
          <w:trHeight w:val="165"/>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4"/>
              </w:rPr>
              <w:t>December 27,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7"/>
              </w:rPr>
              <w:t>December 29,</w:t>
            </w:r>
          </w:p>
        </w:tc>
        <w:tc>
          <w:tcPr>
            <w:tcW w:w="0" w:type="dxa"/>
            <w:vAlign w:val="bottom"/>
          </w:tcPr>
          <w:p>
            <w:pPr>
              <w:spacing w:after="0"/>
              <w:rPr>
                <w:sz w:val="1"/>
                <w:szCs w:val="1"/>
                <w:color w:val="auto"/>
              </w:rPr>
            </w:pPr>
          </w:p>
        </w:tc>
      </w:tr>
      <w:tr>
        <w:trPr>
          <w:trHeight w:val="169"/>
        </w:trPr>
        <w:tc>
          <w:tcPr>
            <w:tcW w:w="7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214"/>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rPr>
              <w:t>(Thousands)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7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Net income (loss)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(1,109,608)</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247,743</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Non-cash and other reconciling items:</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35,483</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27,710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Deferred income taxes</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(21,899)</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43,586</w:t>
            </w:r>
          </w:p>
        </w:tc>
        <w:tc>
          <w:tcPr>
            <w:tcW w:w="0" w:type="dxa"/>
            <w:vAlign w:val="bottom"/>
          </w:tcPr>
          <w:p>
            <w:pPr>
              <w:spacing w:after="0"/>
              <w:rPr>
                <w:sz w:val="1"/>
                <w:szCs w:val="1"/>
                <w:color w:val="auto"/>
              </w:rPr>
            </w:pPr>
          </w:p>
        </w:tc>
      </w:tr>
      <w:tr>
        <w:trPr>
          <w:trHeight w:val="157"/>
        </w:trPr>
        <w:tc>
          <w:tcPr>
            <w:tcW w:w="7300" w:type="dxa"/>
            <w:vAlign w:val="bottom"/>
          </w:tcPr>
          <w:p>
            <w:pPr>
              <w:ind w:left="280"/>
              <w:spacing w:after="0"/>
              <w:rPr>
                <w:sz w:val="20"/>
                <w:szCs w:val="20"/>
                <w:color w:val="auto"/>
              </w:rPr>
            </w:pPr>
            <w:r>
              <w:rPr>
                <w:rFonts w:ascii="Arial" w:cs="Arial" w:eastAsia="Arial" w:hAnsi="Arial"/>
                <w:sz w:val="13"/>
                <w:szCs w:val="13"/>
                <w:color w:val="auto"/>
              </w:rPr>
              <w:t>Stock-based compensation</w:t>
            </w:r>
          </w:p>
        </w:tc>
        <w:tc>
          <w:tcPr>
            <w:tcW w:w="1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13,212</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15,870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Impairment charges (Note 4)</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1,348,845</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300" w:type="dxa"/>
            <w:vAlign w:val="bottom"/>
          </w:tcPr>
          <w:p>
            <w:pPr>
              <w:ind w:left="280"/>
              <w:spacing w:after="0"/>
              <w:rPr>
                <w:sz w:val="20"/>
                <w:szCs w:val="20"/>
                <w:color w:val="auto"/>
              </w:rPr>
            </w:pPr>
            <w:r>
              <w:rPr>
                <w:rFonts w:ascii="Arial" w:cs="Arial" w:eastAsia="Arial" w:hAnsi="Arial"/>
                <w:sz w:val="13"/>
                <w:szCs w:val="13"/>
                <w:color w:val="auto"/>
              </w:rPr>
              <w:t>Other, net</w:t>
            </w:r>
          </w:p>
        </w:tc>
        <w:tc>
          <w:tcPr>
            <w:tcW w:w="1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20,612</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3,148</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Changes in (net of effects from businesses acquired):</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280"/>
              <w:spacing w:after="0"/>
              <w:rPr>
                <w:sz w:val="20"/>
                <w:szCs w:val="20"/>
                <w:color w:val="auto"/>
              </w:rPr>
            </w:pPr>
            <w:r>
              <w:rPr>
                <w:rFonts w:ascii="Arial" w:cs="Arial" w:eastAsia="Arial" w:hAnsi="Arial"/>
                <w:sz w:val="13"/>
                <w:szCs w:val="13"/>
                <w:color w:val="auto"/>
              </w:rPr>
              <w:t>Receivables</w:t>
            </w:r>
          </w:p>
        </w:tc>
        <w:tc>
          <w:tcPr>
            <w:tcW w:w="1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38,916</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(362,998)</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Inventories</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50,149</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3,391</w:t>
            </w:r>
          </w:p>
        </w:tc>
        <w:tc>
          <w:tcPr>
            <w:tcW w:w="0" w:type="dxa"/>
            <w:vAlign w:val="bottom"/>
          </w:tcPr>
          <w:p>
            <w:pPr>
              <w:spacing w:after="0"/>
              <w:rPr>
                <w:sz w:val="1"/>
                <w:szCs w:val="1"/>
                <w:color w:val="auto"/>
              </w:rPr>
            </w:pPr>
          </w:p>
        </w:tc>
      </w:tr>
      <w:tr>
        <w:trPr>
          <w:trHeight w:val="157"/>
        </w:trPr>
        <w:tc>
          <w:tcPr>
            <w:tcW w:w="7300" w:type="dxa"/>
            <w:vAlign w:val="bottom"/>
          </w:tcPr>
          <w:p>
            <w:pPr>
              <w:ind w:left="280"/>
              <w:spacing w:after="0"/>
              <w:rPr>
                <w:sz w:val="20"/>
                <w:szCs w:val="20"/>
                <w:color w:val="auto"/>
              </w:rPr>
            </w:pPr>
            <w:r>
              <w:rPr>
                <w:rFonts w:ascii="Arial" w:cs="Arial" w:eastAsia="Arial" w:hAnsi="Arial"/>
                <w:sz w:val="13"/>
                <w:szCs w:val="13"/>
                <w:color w:val="auto"/>
              </w:rPr>
              <w:t>Accounts payable</w:t>
            </w:r>
          </w:p>
        </w:tc>
        <w:tc>
          <w:tcPr>
            <w:tcW w:w="12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(108,972)</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80,361</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Accrued expenses and other, net</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47,504</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(18,820)</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400"/>
              <w:spacing w:after="0"/>
              <w:rPr>
                <w:sz w:val="20"/>
                <w:szCs w:val="20"/>
                <w:color w:val="auto"/>
              </w:rPr>
            </w:pPr>
            <w:r>
              <w:rPr>
                <w:rFonts w:ascii="Arial" w:cs="Arial" w:eastAsia="Arial" w:hAnsi="Arial"/>
                <w:sz w:val="13"/>
                <w:szCs w:val="13"/>
                <w:color w:val="auto"/>
              </w:rPr>
              <w:t>Net cash flows provided by operating activities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314,242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39,991</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financing activities:</w:t>
            </w: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(Repayment of) proceeds from bank debt, net (Note 5)</w:t>
            </w:r>
          </w:p>
        </w:tc>
        <w:tc>
          <w:tcPr>
            <w:tcW w:w="12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(7,391)</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46,924</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(Repayment of) proceeds from other debt, net (Note 5)</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(1,795)</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13,256</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Other, net</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904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6,202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flows (used for) provided by financing activities</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(8,282)</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66,382</w:t>
            </w:r>
          </w:p>
        </w:tc>
        <w:tc>
          <w:tcPr>
            <w:tcW w:w="0" w:type="dxa"/>
            <w:vAlign w:val="bottom"/>
          </w:tcPr>
          <w:p>
            <w:pPr>
              <w:spacing w:after="0"/>
              <w:rPr>
                <w:sz w:val="1"/>
                <w:szCs w:val="1"/>
                <w:color w:val="auto"/>
              </w:rPr>
            </w:pPr>
          </w:p>
        </w:tc>
      </w:tr>
      <w:tr>
        <w:trPr>
          <w:trHeight w:val="156"/>
        </w:trPr>
        <w:tc>
          <w:tcPr>
            <w:tcW w:w="73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property, plant and equipment</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(49,601)</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(32,701)</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Cash proceeds from sales of property, plant and equipment</w:t>
            </w:r>
          </w:p>
        </w:tc>
        <w:tc>
          <w:tcPr>
            <w:tcW w:w="1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1,633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11,938</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Acquisition of operations, net of cash acquired (Note 3)</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(212,728)</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(255,676)</w:t>
            </w: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Cash proceeds from divestiture</w:t>
            </w:r>
          </w:p>
        </w:tc>
        <w:tc>
          <w:tcPr>
            <w:tcW w:w="1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3,000</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cash flows used for investing activities</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(260,696)</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(273,439)</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(14,860)</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26,846</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 increase (decrease)</w:t>
            </w:r>
          </w:p>
        </w:tc>
        <w:tc>
          <w:tcPr>
            <w:tcW w:w="1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30,404</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3"/>
                <w:szCs w:val="13"/>
                <w:color w:val="auto"/>
              </w:rPr>
              <w:t>(140,220)</w:t>
            </w:r>
          </w:p>
        </w:tc>
        <w:tc>
          <w:tcPr>
            <w:tcW w:w="0" w:type="dxa"/>
            <w:vAlign w:val="bottom"/>
          </w:tcPr>
          <w:p>
            <w:pPr>
              <w:spacing w:after="0"/>
              <w:rPr>
                <w:sz w:val="1"/>
                <w:szCs w:val="1"/>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at beginning of period</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640,449</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557,350</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140"/>
              <w:spacing w:after="0"/>
              <w:rPr>
                <w:sz w:val="20"/>
                <w:szCs w:val="20"/>
                <w:color w:val="auto"/>
              </w:rPr>
            </w:pPr>
            <w:r>
              <w:rPr>
                <w:rFonts w:ascii="Arial" w:cs="Arial" w:eastAsia="Arial" w:hAnsi="Arial"/>
                <w:sz w:val="13"/>
                <w:szCs w:val="13"/>
                <w:color w:val="auto"/>
              </w:rPr>
              <w:t>— at end of period</w:t>
            </w: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00" w:type="dxa"/>
            <w:vAlign w:val="bottom"/>
            <w:vMerge w:val="continue"/>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670,853</w:t>
            </w:r>
          </w:p>
        </w:tc>
        <w:tc>
          <w:tcPr>
            <w:tcW w:w="12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417,130</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5878830</wp:posOffset>
            </wp:positionH>
            <wp:positionV relativeFrom="paragraph">
              <wp:posOffset>-3456940</wp:posOffset>
            </wp:positionV>
            <wp:extent cx="18415"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-3244850</wp:posOffset>
            </wp:positionV>
            <wp:extent cx="635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-3244850</wp:posOffset>
            </wp:positionV>
            <wp:extent cx="635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680"/>
        <w:spacing w:after="0"/>
        <w:rPr>
          <w:sz w:val="20"/>
          <w:szCs w:val="20"/>
          <w:color w:val="auto"/>
        </w:rPr>
      </w:pPr>
      <w:r>
        <w:rPr>
          <w:rFonts w:ascii="Arial" w:cs="Arial" w:eastAsia="Arial" w:hAnsi="Arial"/>
          <w:sz w:val="13"/>
          <w:szCs w:val="13"/>
          <w:color w:val="auto"/>
        </w:rPr>
        <w:t>Additional cash flow information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-88900</wp:posOffset>
            </wp:positionV>
            <wp:extent cx="6335395" cy="996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35395" cy="9969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4460"/>
        <w:spacing w:after="0"/>
        <w:rPr>
          <w:sz w:val="20"/>
          <w:szCs w:val="20"/>
          <w:color w:val="auto"/>
        </w:rPr>
      </w:pPr>
      <w:r>
        <w:rPr>
          <w:rFonts w:ascii="Arial" w:cs="Arial" w:eastAsia="Arial" w:hAnsi="Arial"/>
          <w:sz w:val="13"/>
          <w:szCs w:val="13"/>
          <w:color w:val="auto"/>
        </w:rPr>
        <w:t>See notes to consolidated financial statements.</w:t>
      </w:r>
    </w:p>
    <w:p>
      <w:pPr>
        <w:spacing w:after="0" w:line="29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AVNET, INC. AND SUBSIDIARIES</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63" w:lineRule="exact"/>
        <w:rPr>
          <w:sz w:val="20"/>
          <w:szCs w:val="20"/>
          <w:color w:val="auto"/>
        </w:rPr>
      </w:pPr>
    </w:p>
    <w:p>
      <w:pPr>
        <w:ind w:left="1000" w:hanging="313"/>
        <w:spacing w:after="0"/>
        <w:tabs>
          <w:tab w:leader="none" w:pos="1000"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Basis of presentation</w:t>
      </w:r>
    </w:p>
    <w:p>
      <w:pPr>
        <w:spacing w:after="0" w:line="10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In the opinion of management, the accompanying unaudited interim consolidated financial statements contain all adjustments necessary, all of which are of a normal recurring nature except for the goodwill and intangible asset impairment charges discussed in Note 4 and the restructuring, integration and other charges discussed in Note 12, to present fairly the Company’s financial position, results of operations and cash flows. For further information, refer to the consolidated financial statements and accompanying notes included in the Company’s Annual Report on Form 10-K for the fiscal year ended June 28, 2008.</w:t>
      </w:r>
    </w:p>
    <w:p>
      <w:pPr>
        <w:spacing w:after="0" w:line="144" w:lineRule="exact"/>
        <w:rPr>
          <w:sz w:val="20"/>
          <w:szCs w:val="20"/>
          <w:color w:val="auto"/>
        </w:rPr>
      </w:pPr>
    </w:p>
    <w:p>
      <w:pPr>
        <w:ind w:left="1000" w:hanging="313"/>
        <w:spacing w:after="0"/>
        <w:tabs>
          <w:tab w:leader="none" w:pos="100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Interim financial results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results of operations for the second quarter and first six months ended December 27, 2008 are not necessarily indicative of the results to be expected for the full year.</w:t>
      </w:r>
    </w:p>
    <w:p>
      <w:pPr>
        <w:spacing w:after="0" w:line="171" w:lineRule="exact"/>
        <w:rPr>
          <w:sz w:val="20"/>
          <w:szCs w:val="20"/>
          <w:color w:val="auto"/>
        </w:rPr>
      </w:pPr>
    </w:p>
    <w:p>
      <w:pPr>
        <w:ind w:left="1000" w:hanging="313"/>
        <w:spacing w:after="0"/>
        <w:tabs>
          <w:tab w:leader="none" w:pos="1000" w:val="left"/>
        </w:tabs>
        <w:numPr>
          <w:ilvl w:val="0"/>
          <w:numId w:val="3"/>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Acquisitions</w:t>
      </w:r>
    </w:p>
    <w:p>
      <w:pPr>
        <w:spacing w:after="0" w:line="100"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Subsequent to the second quarter of fiscal 2009, the Company acquired Abacus Group plc (“Abacus”), and Nippon Denso Industry Co. Ltd. (“Nippon Denso”). Abacus, a value-added distributor of computer components in Europe with sales of approximately £279 million (approximately $400 million based upon current foreign currency exchange rates) in its fiscal year ended September 2008, was acquired for an all cash price of £0.55 per share which equates to a transaction value of approximately £97.9 million ($141.6 million) including the assumption of estimated net debt. Abacus will be reported as part of the Electronics Marketing (“EM”) EMEA reporting unit. Nippon Denso is a Tokyo-based, value-added distributor of electronic components with established design and engineering expertise with annual sales of JPY16.1 billion (approximately $180 million based upon current foreign currency exchange rates) for its fiscal year ended March 31, 2008 and will be reported as part of the EM Asia reporting unit.</w:t>
      </w:r>
    </w:p>
    <w:p>
      <w:pPr>
        <w:spacing w:after="0" w:line="59" w:lineRule="exact"/>
        <w:rPr>
          <w:sz w:val="20"/>
          <w:szCs w:val="20"/>
          <w:color w:val="auto"/>
        </w:rPr>
      </w:pPr>
    </w:p>
    <w:p>
      <w:pPr>
        <w:ind w:left="680" w:right="1180" w:firstLine="399"/>
        <w:spacing w:after="0" w:line="280" w:lineRule="auto"/>
        <w:rPr>
          <w:sz w:val="20"/>
          <w:szCs w:val="20"/>
          <w:color w:val="auto"/>
        </w:rPr>
      </w:pPr>
      <w:r>
        <w:rPr>
          <w:rFonts w:ascii="Arial" w:cs="Arial" w:eastAsia="Arial" w:hAnsi="Arial"/>
          <w:sz w:val="12"/>
          <w:szCs w:val="12"/>
          <w:color w:val="auto"/>
        </w:rPr>
        <w:t>During the first quarter of fiscal 2009, the Company completed its acquisition of Horizon Technology Group plc in an all cash transaction for €1.18 per share, or approximately $160.5 million including the assumption of net debt. Horizon is a leading technical integrator and distributor of information technology products in the UK and Ireland with sales of</w:t>
      </w:r>
    </w:p>
    <w:p>
      <w:pPr>
        <w:ind w:left="680" w:right="900"/>
        <w:spacing w:after="0" w:line="256" w:lineRule="auto"/>
        <w:rPr>
          <w:sz w:val="20"/>
          <w:szCs w:val="20"/>
          <w:color w:val="auto"/>
        </w:rPr>
      </w:pPr>
      <w:r>
        <w:rPr>
          <w:rFonts w:ascii="Arial" w:cs="Arial" w:eastAsia="Arial" w:hAnsi="Arial"/>
          <w:sz w:val="13"/>
          <w:szCs w:val="13"/>
          <w:color w:val="auto"/>
        </w:rPr>
        <w:t>€288 million (approximately $380 million based upon current foreign currency exchange rates) in calendar year 2007. The acquired business is reported as part of the Technology Solutions (“TS”) EMEA reporting unit. The Company also completed two smaller acquisitions in July 2008, Source Electronics Corporation with annualized revenue of approximately $82 million which is reported as part of the EM Americas reporting unit, and Ontrack Solutions Pvt. Ltd. with annualized revenue of approximately $13 million which is reported as part of the TS Asia reporting unit.</w:t>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Acquisition-related exit activity accounted for in purchase accounting</w:t>
      </w:r>
    </w:p>
    <w:p>
      <w:pPr>
        <w:spacing w:after="0" w:line="96" w:lineRule="exact"/>
        <w:rPr>
          <w:sz w:val="20"/>
          <w:szCs w:val="20"/>
          <w:color w:val="auto"/>
        </w:rPr>
      </w:pPr>
    </w:p>
    <w:p>
      <w:pPr>
        <w:ind w:left="680" w:right="1000" w:firstLine="399"/>
        <w:spacing w:after="0" w:line="264" w:lineRule="auto"/>
        <w:rPr>
          <w:sz w:val="20"/>
          <w:szCs w:val="20"/>
          <w:color w:val="auto"/>
        </w:rPr>
      </w:pPr>
      <w:r>
        <w:rPr>
          <w:rFonts w:ascii="Arial" w:cs="Arial" w:eastAsia="Arial" w:hAnsi="Arial"/>
          <w:sz w:val="13"/>
          <w:szCs w:val="13"/>
          <w:color w:val="auto"/>
        </w:rPr>
        <w:t>During fiscal 2007, the Company recorded certain exit-related liabilities through purchase accounting which consisted of severance for workforce reductions, non-cancelable lease commitments and lease termination charges for leased facilities, and other contract termination costs associated with the exit activities. The following table summarizes the utilization of these reserves during the first six months of fiscal 2009:</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Facility</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w w:val="95"/>
              </w:rPr>
              <w:t>Severance</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Exit</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Reserves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Reserves</w:t>
            </w:r>
          </w:p>
        </w:tc>
        <w:tc>
          <w:tcPr>
            <w:tcW w:w="2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Total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4"/>
          </w:tcPr>
          <w:p>
            <w:pPr>
              <w:jc w:val="right"/>
              <w:ind w:right="700"/>
              <w:spacing w:after="0"/>
              <w:rPr>
                <w:sz w:val="20"/>
                <w:szCs w:val="20"/>
                <w:color w:val="auto"/>
              </w:rPr>
            </w:pPr>
            <w:r>
              <w:rPr>
                <w:rFonts w:ascii="Arial" w:cs="Arial" w:eastAsia="Arial" w:hAnsi="Arial"/>
                <w:sz w:val="13"/>
                <w:szCs w:val="13"/>
                <w:b w:val="1"/>
                <w:bCs w:val="1"/>
                <w:color w:val="auto"/>
              </w:rPr>
              <w:t>(Thousands)</w:t>
            </w: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376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28, 2008</w:t>
            </w:r>
          </w:p>
        </w:tc>
        <w:tc>
          <w:tcPr>
            <w:tcW w:w="2800" w:type="dxa"/>
            <w:vAlign w:val="bottom"/>
            <w:gridSpan w:val="2"/>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3"/>
                <w:szCs w:val="13"/>
                <w:color w:val="auto"/>
              </w:rPr>
              <w:t>1,920</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6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2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3"/>
                <w:szCs w:val="13"/>
                <w:color w:val="auto"/>
              </w:rPr>
              <w:t>(17)</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3"/>
                <w:szCs w:val="13"/>
                <w:color w:val="auto"/>
              </w:rPr>
              <w:t>(697)</w:t>
            </w:r>
          </w:p>
        </w:tc>
        <w:tc>
          <w:tcPr>
            <w:tcW w:w="20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(714)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2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(174)</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60" w:type="dxa"/>
            <w:vAlign w:val="bottom"/>
            <w:vMerge w:val="restart"/>
          </w:tcPr>
          <w:p>
            <w:pPr>
              <w:spacing w:after="0"/>
              <w:rPr>
                <w:sz w:val="20"/>
                <w:szCs w:val="20"/>
                <w:color w:val="auto"/>
              </w:rPr>
            </w:pPr>
            <w:r>
              <w:rPr>
                <w:rFonts w:ascii="Arial" w:cs="Arial" w:eastAsia="Arial" w:hAnsi="Arial"/>
                <w:sz w:val="13"/>
                <w:szCs w:val="13"/>
                <w:color w:val="auto"/>
              </w:rPr>
              <w:t>Balance at December 27, 2008</w:t>
            </w:r>
          </w:p>
        </w:tc>
        <w:tc>
          <w:tcPr>
            <w:tcW w:w="2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760" w:type="dxa"/>
            <w:vAlign w:val="bottom"/>
            <w:vMerge w:val="continue"/>
          </w:tcPr>
          <w:p>
            <w:pPr>
              <w:spacing w:after="0"/>
              <w:rPr>
                <w:sz w:val="14"/>
                <w:szCs w:val="14"/>
                <w:color w:val="auto"/>
              </w:rPr>
            </w:pPr>
          </w:p>
        </w:tc>
        <w:tc>
          <w:tcPr>
            <w:tcW w:w="264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jc w:val="right"/>
              <w:ind w:right="500"/>
              <w:spacing w:after="0"/>
              <w:rPr>
                <w:sz w:val="20"/>
                <w:szCs w:val="20"/>
                <w:color w:val="auto"/>
              </w:rPr>
            </w:pPr>
            <w:r>
              <w:rPr>
                <w:rFonts w:ascii="Arial" w:cs="Arial" w:eastAsia="Arial" w:hAnsi="Arial"/>
                <w:sz w:val="13"/>
                <w:szCs w:val="13"/>
                <w:color w:val="auto"/>
              </w:rPr>
              <w:t>1,049</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1,049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640" w:type="dxa"/>
            <w:vAlign w:val="bottom"/>
          </w:tcPr>
          <w:p>
            <w:pPr>
              <w:jc w:val="right"/>
              <w:ind w:right="1314"/>
              <w:spacing w:after="0"/>
              <w:rPr>
                <w:sz w:val="20"/>
                <w:szCs w:val="20"/>
                <w:color w:val="auto"/>
              </w:rPr>
            </w:pPr>
            <w:r>
              <w:rPr>
                <w:rFonts w:ascii="Arial" w:cs="Arial" w:eastAsia="Arial" w:hAnsi="Arial"/>
                <w:sz w:val="13"/>
                <w:szCs w:val="13"/>
                <w:color w:val="auto"/>
              </w:rPr>
              <w:t>5</w:t>
            </w: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60" w:type="dxa"/>
            <w:vAlign w:val="bottom"/>
            <w:tcBorders>
              <w:bottom w:val="single" w:sz="8" w:color="808080"/>
            </w:tcBorders>
          </w:tcPr>
          <w:p>
            <w:pPr>
              <w:spacing w:after="0"/>
              <w:rPr>
                <w:sz w:val="14"/>
                <w:szCs w:val="14"/>
                <w:color w:val="auto"/>
              </w:rPr>
            </w:pPr>
          </w:p>
        </w:tc>
        <w:tc>
          <w:tcPr>
            <w:tcW w:w="26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4817745</wp:posOffset>
            </wp:positionH>
            <wp:positionV relativeFrom="paragraph">
              <wp:posOffset>-970280</wp:posOffset>
            </wp:positionV>
            <wp:extent cx="6350"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-970280</wp:posOffset>
            </wp:positionV>
            <wp:extent cx="6350"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6490335</wp:posOffset>
            </wp:positionH>
            <wp:positionV relativeFrom="paragraph">
              <wp:posOffset>-970280</wp:posOffset>
            </wp:positionV>
            <wp:extent cx="6350" cy="63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Total amounts utilized for exit-related activities during the first six months of fiscal 2009 consisted of $714,000 in cash payments. As of December 27, 2008, management expects the majority of the facility exit costs to be utilized by fiscal 2013.</w:t>
      </w:r>
    </w:p>
    <w:p>
      <w:pPr>
        <w:spacing w:after="0" w:line="59" w:lineRule="exact"/>
        <w:rPr>
          <w:sz w:val="20"/>
          <w:szCs w:val="20"/>
          <w:color w:val="auto"/>
        </w:rPr>
      </w:pPr>
    </w:p>
    <w:p>
      <w:pPr>
        <w:ind w:left="680" w:right="200" w:firstLine="399"/>
        <w:spacing w:after="0" w:line="264" w:lineRule="auto"/>
        <w:rPr>
          <w:sz w:val="20"/>
          <w:szCs w:val="20"/>
          <w:color w:val="auto"/>
        </w:rPr>
      </w:pPr>
      <w:r>
        <w:rPr>
          <w:rFonts w:ascii="Arial" w:cs="Arial" w:eastAsia="Arial" w:hAnsi="Arial"/>
          <w:sz w:val="13"/>
          <w:szCs w:val="13"/>
          <w:color w:val="auto"/>
        </w:rPr>
        <w:t>During fiscal 2006, the Company recorded certain exit-related liabilities through purchase accounting which consisted of severance for workforce reductions, non-cancelable lease commitments and lease termination charges for leased facilities, and other contract termination costs associated with the exit activities. The following table summarizes the utilization of these reserves during the first six months of fiscal 2009:</w:t>
      </w:r>
    </w:p>
    <w:p>
      <w:pPr>
        <w:spacing w:after="0" w:line="73"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2"/>
              </w:rPr>
              <w:t>Severance</w:t>
            </w:r>
          </w:p>
        </w:tc>
        <w:tc>
          <w:tcPr>
            <w:tcW w:w="140" w:type="dxa"/>
            <w:vAlign w:val="bottom"/>
          </w:tcPr>
          <w:p>
            <w:pPr>
              <w:spacing w:after="0"/>
              <w:rPr>
                <w:sz w:val="13"/>
                <w:szCs w:val="13"/>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Facility Exit</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Reserves</w:t>
            </w:r>
          </w:p>
        </w:tc>
        <w:tc>
          <w:tcPr>
            <w:tcW w:w="1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Reserves</w:t>
            </w:r>
          </w:p>
        </w:tc>
        <w:tc>
          <w:tcPr>
            <w:tcW w:w="12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4"/>
                <w:szCs w:val="14"/>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7"/>
        </w:trPr>
        <w:tc>
          <w:tcPr>
            <w:tcW w:w="5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(Thousands)</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5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28, 2008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7,857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10,301</w:t>
            </w:r>
          </w:p>
        </w:tc>
        <w:tc>
          <w:tcPr>
            <w:tcW w:w="0" w:type="dxa"/>
            <w:vAlign w:val="bottom"/>
          </w:tcPr>
          <w:p>
            <w:pPr>
              <w:spacing w:after="0"/>
              <w:rPr>
                <w:sz w:val="1"/>
                <w:szCs w:val="1"/>
                <w:color w:val="auto"/>
              </w:rPr>
            </w:pPr>
          </w:p>
        </w:tc>
      </w:tr>
      <w:tr>
        <w:trPr>
          <w:trHeight w:val="157"/>
        </w:trPr>
        <w:tc>
          <w:tcPr>
            <w:tcW w:w="56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140" w:type="dxa"/>
            <w:vAlign w:val="bottom"/>
          </w:tcPr>
          <w:p>
            <w:pPr>
              <w:spacing w:after="0"/>
              <w:rPr>
                <w:sz w:val="13"/>
                <w:szCs w:val="13"/>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3"/>
                <w:szCs w:val="13"/>
                <w:color w:val="auto"/>
              </w:rPr>
              <w:t>(93)</w:t>
            </w:r>
          </w:p>
        </w:tc>
        <w:tc>
          <w:tcPr>
            <w:tcW w:w="140" w:type="dxa"/>
            <w:vAlign w:val="bottom"/>
          </w:tcPr>
          <w:p>
            <w:pPr>
              <w:spacing w:after="0"/>
              <w:rPr>
                <w:sz w:val="13"/>
                <w:szCs w:val="13"/>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3"/>
                <w:szCs w:val="13"/>
                <w:color w:val="auto"/>
              </w:rPr>
              <w:t>(1,573)</w:t>
            </w:r>
          </w:p>
        </w:tc>
        <w:tc>
          <w:tcPr>
            <w:tcW w:w="12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3"/>
                <w:szCs w:val="13"/>
                <w:color w:val="auto"/>
              </w:rPr>
              <w:t>(1,666)</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(47)</w:t>
            </w:r>
          </w:p>
        </w:tc>
        <w:tc>
          <w:tcPr>
            <w:tcW w:w="14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3"/>
                <w:szCs w:val="13"/>
                <w:color w:val="auto"/>
              </w:rPr>
              <w:t>Balance at December 27, 2008</w:t>
            </w: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6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295</w:t>
            </w:r>
          </w:p>
        </w:tc>
        <w:tc>
          <w:tcPr>
            <w:tcW w:w="4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6,284</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400"/>
              <w:spacing w:after="0"/>
              <w:rPr>
                <w:sz w:val="20"/>
                <w:szCs w:val="20"/>
                <w:color w:val="auto"/>
              </w:rPr>
            </w:pPr>
            <w:r>
              <w:rPr>
                <w:rFonts w:ascii="Arial" w:cs="Arial" w:eastAsia="Arial" w:hAnsi="Arial"/>
                <w:sz w:val="13"/>
                <w:szCs w:val="13"/>
                <w:color w:val="auto"/>
              </w:rPr>
              <w:t>2,009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3"/>
                <w:szCs w:val="13"/>
                <w:color w:val="auto"/>
              </w:rPr>
              <w:t>8,588</w:t>
            </w:r>
          </w:p>
        </w:tc>
        <w:tc>
          <w:tcPr>
            <w:tcW w:w="0" w:type="dxa"/>
            <w:vAlign w:val="bottom"/>
          </w:tcPr>
          <w:p>
            <w:pPr>
              <w:spacing w:after="0"/>
              <w:rPr>
                <w:sz w:val="1"/>
                <w:szCs w:val="1"/>
                <w:color w:val="auto"/>
              </w:rPr>
            </w:pPr>
          </w:p>
        </w:tc>
      </w:tr>
      <w:tr>
        <w:trPr>
          <w:trHeight w:val="30"/>
        </w:trPr>
        <w:tc>
          <w:tcPr>
            <w:tcW w:w="5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4280535</wp:posOffset>
            </wp:positionH>
            <wp:positionV relativeFrom="paragraph">
              <wp:posOffset>-561340</wp:posOffset>
            </wp:positionV>
            <wp:extent cx="635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5173345</wp:posOffset>
            </wp:positionH>
            <wp:positionV relativeFrom="paragraph">
              <wp:posOffset>-561340</wp:posOffset>
            </wp:positionV>
            <wp:extent cx="635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remaining severance reserves are expected to be substantially paid out by the end of fiscal 2009, whereas reserves for other contractual commitments, particularly for certain lease commitments, will extend into fiscal 2013.</w:t>
      </w:r>
    </w:p>
    <w:p>
      <w:pPr>
        <w:spacing w:after="0" w:line="134" w:lineRule="exact"/>
        <w:rPr>
          <w:sz w:val="20"/>
          <w:szCs w:val="20"/>
          <w:color w:val="auto"/>
        </w:rPr>
      </w:pPr>
    </w:p>
    <w:p>
      <w:pPr>
        <w:ind w:left="1000" w:hanging="313"/>
        <w:spacing w:after="0"/>
        <w:tabs>
          <w:tab w:leader="none" w:pos="1000"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Goodwill and intangible assets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the carrying amount of goodwill, by reportable segment, for the six months ended December 27, 2008:</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4"/>
              </w:rPr>
              <w:t>Electronics</w:t>
            </w:r>
          </w:p>
        </w:tc>
        <w:tc>
          <w:tcPr>
            <w:tcW w:w="100" w:type="dxa"/>
            <w:vAlign w:val="bottom"/>
          </w:tcPr>
          <w:p>
            <w:pPr>
              <w:spacing w:after="0"/>
              <w:rPr>
                <w:sz w:val="13"/>
                <w:szCs w:val="13"/>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5"/>
              </w:rPr>
              <w:t>Technology</w:t>
            </w: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Marketing</w:t>
            </w:r>
          </w:p>
        </w:tc>
        <w:tc>
          <w:tcPr>
            <w:tcW w:w="100" w:type="dxa"/>
            <w:vAlign w:val="bottom"/>
          </w:tcPr>
          <w:p>
            <w:pPr>
              <w:spacing w:after="0"/>
              <w:rPr>
                <w:sz w:val="14"/>
                <w:szCs w:val="14"/>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Solutions</w:t>
            </w:r>
          </w:p>
        </w:tc>
        <w:tc>
          <w:tcPr>
            <w:tcW w:w="24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7"/>
        </w:trPr>
        <w:tc>
          <w:tcPr>
            <w:tcW w:w="6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2"/>
              </w:rPr>
              <w:t>(Thousands)</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Carrying value at June 28, 2008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1,141,792</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587,112</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1,728,904</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Additions</w:t>
            </w:r>
          </w:p>
        </w:tc>
        <w:tc>
          <w:tcPr>
            <w:tcW w:w="14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58,062</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144,221</w:t>
            </w:r>
          </w:p>
        </w:tc>
        <w:tc>
          <w:tcPr>
            <w:tcW w:w="240" w:type="dxa"/>
            <w:vAlign w:val="bottom"/>
          </w:tcPr>
          <w:p>
            <w:pPr>
              <w:spacing w:after="0"/>
              <w:rPr>
                <w:sz w:val="13"/>
                <w:szCs w:val="13"/>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202,283</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Goodwill impairment</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(1,003,677)</w:t>
            </w: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(313,775)</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(1,317,452)</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Adjustments</w:t>
            </w:r>
          </w:p>
        </w:tc>
        <w:tc>
          <w:tcPr>
            <w:tcW w:w="14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color w:val="auto"/>
              </w:rPr>
              <w:t>(9,066)</w:t>
            </w:r>
          </w:p>
        </w:tc>
        <w:tc>
          <w:tcPr>
            <w:tcW w:w="100" w:type="dxa"/>
            <w:vAlign w:val="bottom"/>
          </w:tcPr>
          <w:p>
            <w:pPr>
              <w:spacing w:after="0"/>
              <w:rPr>
                <w:sz w:val="13"/>
                <w:szCs w:val="13"/>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3"/>
                <w:szCs w:val="13"/>
                <w:color w:val="auto"/>
              </w:rPr>
              <w:t>(54,783)</w:t>
            </w:r>
          </w:p>
        </w:tc>
        <w:tc>
          <w:tcPr>
            <w:tcW w:w="240" w:type="dxa"/>
            <w:vAlign w:val="bottom"/>
          </w:tcPr>
          <w:p>
            <w:pPr>
              <w:spacing w:after="0"/>
              <w:rPr>
                <w:sz w:val="13"/>
                <w:szCs w:val="1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(63,849)</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translation</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(11,358)</w:t>
            </w:r>
          </w:p>
        </w:tc>
        <w:tc>
          <w:tcPr>
            <w:tcW w:w="10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(53,495)</w:t>
            </w:r>
          </w:p>
        </w:tc>
        <w:tc>
          <w:tcPr>
            <w:tcW w:w="2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(64,853)</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Carrying value at December 27, 2008</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175,753</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00" w:type="dxa"/>
            <w:vAlign w:val="bottom"/>
            <w:gridSpan w:val="2"/>
          </w:tcPr>
          <w:p>
            <w:pPr>
              <w:jc w:val="right"/>
              <w:ind w:right="400"/>
              <w:spacing w:after="0"/>
              <w:rPr>
                <w:sz w:val="20"/>
                <w:szCs w:val="20"/>
                <w:color w:val="auto"/>
              </w:rPr>
            </w:pPr>
            <w:r>
              <w:rPr>
                <w:rFonts w:ascii="Arial" w:cs="Arial" w:eastAsia="Arial" w:hAnsi="Arial"/>
                <w:sz w:val="13"/>
                <w:szCs w:val="13"/>
                <w:color w:val="auto"/>
              </w:rPr>
              <w:t>309,280</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485,033</w:t>
            </w:r>
          </w:p>
        </w:tc>
        <w:tc>
          <w:tcPr>
            <w:tcW w:w="0" w:type="dxa"/>
            <w:vAlign w:val="bottom"/>
          </w:tcPr>
          <w:p>
            <w:pPr>
              <w:spacing w:after="0"/>
              <w:rPr>
                <w:sz w:val="1"/>
                <w:szCs w:val="1"/>
                <w:color w:val="auto"/>
              </w:rPr>
            </w:pPr>
          </w:p>
        </w:tc>
      </w:tr>
      <w:tr>
        <w:trPr>
          <w:trHeight w:val="30"/>
        </w:trPr>
        <w:tc>
          <w:tcPr>
            <w:tcW w:w="6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4624070</wp:posOffset>
            </wp:positionH>
            <wp:positionV relativeFrom="paragraph">
              <wp:posOffset>-760730</wp:posOffset>
            </wp:positionV>
            <wp:extent cx="635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-760730</wp:posOffset>
            </wp:positionV>
            <wp:extent cx="635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6390640</wp:posOffset>
            </wp:positionH>
            <wp:positionV relativeFrom="paragraph">
              <wp:posOffset>-760730</wp:posOffset>
            </wp:positionV>
            <wp:extent cx="635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 xml:space="preserve">In accordance with SFAS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xml:space="preserve"> (“SFAS 142”), the Company performs its annual goodwill impairment test on the first day of its fiscal fourth quarter. In addition, if and when events or circumstances change that would more likely than not reduce the fair value of any of its reporting units below its carrying value, an interim test would be performed.</w:t>
      </w:r>
    </w:p>
    <w:p>
      <w:pPr>
        <w:spacing w:after="0" w:line="67"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Since the end of September 2008, the Company’s market capitalization has declined steadily, which was relatively in line with the decline in the overall market, and was significantly below book value during the second quarter due primarily to the global economic downturn’s impact on the Company’s performance and the turmoil in the equity markets. As a result of these events, the Company determined an interim impairment test was necessary and performed the interim test on all six of its reporting units as of December 27, 2008. Based on the test results, the Company determined that goodwill at four of its reporting units was impaired. Accordingly, during the second quarter of fiscal 2009, the Company recognized a non-cash goodwill impairment charge of $1,317,452,000 pre-tax, $1,283,308,000 after tax and $8.51 per share to write off all goodwill related to its EM Americas, EM Asia, TS EMEA and TS Asia reporting units. The non-cash charge has no impact on the Company’s compliance with debt</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covenants, its cash flows or available liquidity, but does have a material impact on its consolidated financial statements.</w:t>
      </w:r>
    </w:p>
    <w:p>
      <w:pPr>
        <w:spacing w:after="0" w:line="96"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In accordance with SFAS 142, a two step process is used to test for goodwill impairment. The first step is to determine if there is an indication of impairment by comparing the estimated fair value of each reporting unit to its carrying value including existing goodwill. Goodwill is considered impaired if the carrying value of a reporting unit exceeds the estimated fair value. Upon an indication of impairment, a second step is performed to determine the amount of the impairment by comparing the implied fair value of the reporting unit’s goodwill with its carrying value.</w:t>
      </w:r>
    </w:p>
    <w:p>
      <w:pPr>
        <w:spacing w:after="0" w:line="70" w:lineRule="exact"/>
        <w:rPr>
          <w:sz w:val="20"/>
          <w:szCs w:val="20"/>
          <w:color w:val="auto"/>
        </w:rPr>
      </w:pPr>
    </w:p>
    <w:p>
      <w:pPr>
        <w:ind w:left="680" w:right="940" w:firstLine="399"/>
        <w:spacing w:after="0" w:line="285" w:lineRule="auto"/>
        <w:rPr>
          <w:sz w:val="20"/>
          <w:szCs w:val="20"/>
          <w:color w:val="auto"/>
        </w:rPr>
      </w:pPr>
      <w:r>
        <w:rPr>
          <w:rFonts w:ascii="Arial" w:cs="Arial" w:eastAsia="Arial" w:hAnsi="Arial"/>
          <w:sz w:val="12"/>
          <w:szCs w:val="12"/>
          <w:color w:val="auto"/>
        </w:rPr>
        <w:t>To estimate the fair value of its reporting units for step one, the Company utilized a combination of income and market approaches. The income approach, specifically a discounted cash flow methodology, included assumptions for, among others, forecasted revenues, gross profit margins, operating profit margins, working capital cash flow, perpetual growth rates and long term discount rates, all of which require significant judgments by management. These assumptions take into account the current recessionary environment and its impact on the Company’s business. In addition, the Company utilized a discount rate appropriate to compensate for the additional risk in the equity markets regarding the Company’s future cash flows in order to arrive at a control premium considered supportable based upon historical comparable transactions.</w:t>
      </w:r>
    </w:p>
    <w:p>
      <w:pPr>
        <w:spacing w:after="0" w:line="55" w:lineRule="exact"/>
        <w:rPr>
          <w:sz w:val="20"/>
          <w:szCs w:val="20"/>
          <w:color w:val="auto"/>
        </w:rPr>
      </w:pPr>
    </w:p>
    <w:p>
      <w:pPr>
        <w:ind w:left="680" w:right="840" w:firstLine="399"/>
        <w:spacing w:after="0" w:line="260" w:lineRule="auto"/>
        <w:rPr>
          <w:sz w:val="20"/>
          <w:szCs w:val="20"/>
          <w:color w:val="auto"/>
        </w:rPr>
      </w:pPr>
      <w:r>
        <w:rPr>
          <w:rFonts w:ascii="Arial" w:cs="Arial" w:eastAsia="Arial" w:hAnsi="Arial"/>
          <w:sz w:val="13"/>
          <w:szCs w:val="13"/>
          <w:color w:val="auto"/>
        </w:rPr>
        <w:t>The results of step one indicated that the goodwill related to the EM Asia, TS EMEA and TS Asia reporting units was fully impaired. Therefore, the Company only performed step two of the impairment analysis for its EM Americas reporting unit. Step two of the impairment test requires the Company to fair value all of the reporting unit’s assets and liabilities, including identifiable intangible assets, and compare the implied fair value of goodwill to its carrying value. The results of step two indicated that the goodwill in the EM Americas reporting unit was also fully impaired.</w:t>
      </w:r>
    </w:p>
    <w:p>
      <w:pPr>
        <w:spacing w:after="0" w:line="70" w:lineRule="exact"/>
        <w:rPr>
          <w:sz w:val="20"/>
          <w:szCs w:val="20"/>
          <w:color w:val="auto"/>
        </w:rPr>
      </w:pPr>
    </w:p>
    <w:p>
      <w:pPr>
        <w:ind w:left="680" w:right="920" w:firstLine="399"/>
        <w:spacing w:after="0" w:line="260" w:lineRule="auto"/>
        <w:rPr>
          <w:sz w:val="20"/>
          <w:szCs w:val="20"/>
          <w:color w:val="auto"/>
        </w:rPr>
      </w:pPr>
      <w:r>
        <w:rPr>
          <w:rFonts w:ascii="Arial" w:cs="Arial" w:eastAsia="Arial" w:hAnsi="Arial"/>
          <w:sz w:val="13"/>
          <w:szCs w:val="13"/>
          <w:color w:val="auto"/>
        </w:rPr>
        <w:t>The goodwill addition in EM, as presented in the preceding table, was primarily a result of the Source Electronics acquisition in the first quarter of fiscal 2009. The addition to goodwill in TS was primarily a result of the Horizon and Ontrack Solutions Pvt Ltd acquisitions (see Note 3). Adjustments to goodwill related primarily to the identification of intangible assets, net of associated deferred tax liabilities, which were reclassified to “Other assets” on the consolidating balance sheet. As discussed above, certain of these assets were impaired as of December 27, 2008.</w:t>
      </w:r>
    </w:p>
    <w:p>
      <w:pPr>
        <w:spacing w:after="0" w:line="70" w:lineRule="exact"/>
        <w:rPr>
          <w:sz w:val="20"/>
          <w:szCs w:val="20"/>
          <w:color w:val="auto"/>
        </w:rPr>
      </w:pPr>
    </w:p>
    <w:p>
      <w:pPr>
        <w:ind w:left="680" w:right="840" w:firstLine="399"/>
        <w:spacing w:after="0" w:line="257" w:lineRule="auto"/>
        <w:rPr>
          <w:sz w:val="20"/>
          <w:szCs w:val="20"/>
          <w:color w:val="auto"/>
        </w:rPr>
      </w:pPr>
      <w:r>
        <w:rPr>
          <w:rFonts w:ascii="Arial" w:cs="Arial" w:eastAsia="Arial" w:hAnsi="Arial"/>
          <w:sz w:val="13"/>
          <w:szCs w:val="13"/>
          <w:color w:val="auto"/>
        </w:rPr>
        <w:t xml:space="preserve">In accordance with SFAS 144, </w:t>
      </w:r>
      <w:r>
        <w:rPr>
          <w:rFonts w:ascii="Arial" w:cs="Arial" w:eastAsia="Arial" w:hAnsi="Arial"/>
          <w:sz w:val="13"/>
          <w:szCs w:val="13"/>
          <w:i w:val="1"/>
          <w:iCs w:val="1"/>
          <w:color w:val="auto"/>
        </w:rPr>
        <w:t>Accounting for the Impairment or Disposal of Long-Lived Assets</w:t>
      </w:r>
      <w:r>
        <w:rPr>
          <w:rFonts w:ascii="Arial" w:cs="Arial" w:eastAsia="Arial" w:hAnsi="Arial"/>
          <w:sz w:val="13"/>
          <w:szCs w:val="13"/>
          <w:color w:val="auto"/>
        </w:rPr>
        <w:t>, the Company also evaluated the recoverability of its long-lived assets at each of the four reporting units where goodwill was deemed to be impaired. Based upon this evaluation, the Company determined that certain of its amortizable intangible assets were impaired. As a result, the Company recognized a non-cash intangible asset impairment charge of $31,393,000 pre- and after tax and $0.21 per share. As of December 27, 2008, “Other assets” included customer relationships intangible assets with a carrying value of $71,642,000; consisting of $91,900,000 in original cost value and accumulated amortization and foreign currency translation of $20,258,000. These assets are being amortized over ten years. Amortization expense for the next five years is expected to be approximately $8,500,000 each year, based upon current foreign currency exchange rates.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b w:val="1"/>
                <w:bCs w:val="1"/>
                <w:color w:val="auto"/>
                <w:w w:val="91"/>
              </w:rPr>
              <w:t>5.</w:t>
            </w:r>
          </w:p>
        </w:tc>
        <w:tc>
          <w:tcPr>
            <w:tcW w:w="3660" w:type="dxa"/>
            <w:vAlign w:val="bottom"/>
          </w:tcPr>
          <w:p>
            <w:pPr>
              <w:ind w:left="200"/>
              <w:spacing w:after="0"/>
              <w:rPr>
                <w:sz w:val="20"/>
                <w:szCs w:val="20"/>
                <w:color w:val="auto"/>
              </w:rPr>
            </w:pPr>
            <w:r>
              <w:rPr>
                <w:rFonts w:ascii="Arial" w:cs="Arial" w:eastAsia="Arial" w:hAnsi="Arial"/>
                <w:sz w:val="13"/>
                <w:szCs w:val="13"/>
                <w:b w:val="1"/>
                <w:bCs w:val="1"/>
                <w:color w:val="auto"/>
              </w:rPr>
              <w:t>External financing</w:t>
            </w: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60" w:type="dxa"/>
            <w:vAlign w:val="bottom"/>
          </w:tcPr>
          <w:p>
            <w:pPr>
              <w:ind w:left="280"/>
              <w:spacing w:after="0"/>
              <w:rPr>
                <w:sz w:val="20"/>
                <w:szCs w:val="20"/>
                <w:color w:val="auto"/>
              </w:rPr>
            </w:pPr>
            <w:r>
              <w:rPr>
                <w:rFonts w:ascii="Arial" w:cs="Arial" w:eastAsia="Arial" w:hAnsi="Arial"/>
                <w:sz w:val="13"/>
                <w:szCs w:val="13"/>
                <w:color w:val="auto"/>
              </w:rPr>
              <w:t>Short-term debt consists of the following:</w:t>
            </w:r>
          </w:p>
        </w:tc>
        <w:tc>
          <w:tcPr>
            <w:tcW w:w="3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4"/>
        </w:trPr>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27,</w:t>
            </w:r>
          </w:p>
        </w:tc>
        <w:tc>
          <w:tcPr>
            <w:tcW w:w="12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6"/>
              </w:rPr>
              <w:t>June 28,</w:t>
            </w:r>
          </w:p>
        </w:tc>
        <w:tc>
          <w:tcPr>
            <w:tcW w:w="800" w:type="dxa"/>
            <w:vAlign w:val="bottom"/>
          </w:tcPr>
          <w:p>
            <w:pPr>
              <w:spacing w:after="0"/>
              <w:rPr>
                <w:sz w:val="21"/>
                <w:szCs w:val="21"/>
                <w:color w:val="auto"/>
              </w:rPr>
            </w:pPr>
          </w:p>
        </w:tc>
      </w:tr>
      <w:tr>
        <w:trPr>
          <w:trHeight w:val="169"/>
        </w:trPr>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274"/>
              <w:spacing w:after="0"/>
              <w:rPr>
                <w:sz w:val="20"/>
                <w:szCs w:val="20"/>
                <w:color w:val="auto"/>
              </w:rPr>
            </w:pPr>
            <w:r>
              <w:rPr>
                <w:rFonts w:ascii="Arial" w:cs="Arial" w:eastAsia="Arial" w:hAnsi="Arial"/>
                <w:sz w:val="13"/>
                <w:szCs w:val="13"/>
                <w:b w:val="1"/>
                <w:bCs w:val="1"/>
                <w:color w:val="auto"/>
              </w:rPr>
              <w:t>2008</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7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7"/>
        </w:trPr>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ind w:left="700"/>
              <w:spacing w:after="0"/>
              <w:rPr>
                <w:sz w:val="20"/>
                <w:szCs w:val="20"/>
                <w:color w:val="auto"/>
              </w:rPr>
            </w:pPr>
            <w:r>
              <w:rPr>
                <w:rFonts w:ascii="Arial" w:cs="Arial" w:eastAsia="Arial" w:hAnsi="Arial"/>
                <w:sz w:val="13"/>
                <w:szCs w:val="13"/>
                <w:b w:val="1"/>
                <w:bCs w:val="1"/>
                <w:color w:val="auto"/>
                <w:w w:val="92"/>
              </w:rPr>
              <w:t>(Thousands)</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1"/>
        </w:trPr>
        <w:tc>
          <w:tcPr>
            <w:tcW w:w="680" w:type="dxa"/>
            <w:vAlign w:val="bottom"/>
          </w:tcPr>
          <w:p>
            <w:pPr>
              <w:spacing w:after="0"/>
              <w:rPr>
                <w:sz w:val="3"/>
                <w:szCs w:val="3"/>
                <w:color w:val="auto"/>
              </w:rPr>
            </w:pPr>
          </w:p>
        </w:tc>
        <w:tc>
          <w:tcPr>
            <w:tcW w:w="3780" w:type="dxa"/>
            <w:vAlign w:val="bottom"/>
            <w:gridSpan w:val="2"/>
          </w:tcPr>
          <w:p>
            <w:pPr>
              <w:spacing w:after="0"/>
              <w:rPr>
                <w:sz w:val="3"/>
                <w:szCs w:val="3"/>
                <w:color w:val="auto"/>
              </w:rPr>
            </w:pPr>
          </w:p>
        </w:tc>
        <w:tc>
          <w:tcPr>
            <w:tcW w:w="3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57"/>
        </w:trPr>
        <w:tc>
          <w:tcPr>
            <w:tcW w:w="680" w:type="dxa"/>
            <w:vAlign w:val="bottom"/>
          </w:tcPr>
          <w:p>
            <w:pPr>
              <w:spacing w:after="0"/>
              <w:rPr>
                <w:sz w:val="13"/>
                <w:szCs w:val="13"/>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credit facilities</w:t>
            </w:r>
          </w:p>
        </w:tc>
        <w:tc>
          <w:tcPr>
            <w:tcW w:w="3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36,601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32,649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Other debt due within one year</w:t>
            </w:r>
          </w:p>
        </w:tc>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1,719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11,155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Short-term debt</w:t>
            </w:r>
          </w:p>
        </w:tc>
        <w:tc>
          <w:tcPr>
            <w:tcW w:w="38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38,320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43,804</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720" w:type="dxa"/>
            <w:vAlign w:val="bottom"/>
          </w:tcPr>
          <w:p>
            <w:pPr>
              <w:jc w:val="right"/>
              <w:ind w:right="2414"/>
              <w:spacing w:after="0"/>
              <w:rPr>
                <w:sz w:val="20"/>
                <w:szCs w:val="20"/>
                <w:color w:val="auto"/>
              </w:rPr>
            </w:pPr>
            <w:r>
              <w:rPr>
                <w:rFonts w:ascii="Arial" w:cs="Arial" w:eastAsia="Arial" w:hAnsi="Arial"/>
                <w:sz w:val="13"/>
                <w:szCs w:val="13"/>
                <w:color w:val="auto"/>
              </w:rPr>
              <w:t>7</w:t>
            </w: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660" w:type="dxa"/>
            <w:vAlign w:val="bottom"/>
            <w:tcBorders>
              <w:bottom w:val="single" w:sz="8" w:color="808080"/>
            </w:tcBorders>
          </w:tcPr>
          <w:p>
            <w:pPr>
              <w:spacing w:after="0"/>
              <w:rPr>
                <w:sz w:val="14"/>
                <w:szCs w:val="14"/>
                <w:color w:val="auto"/>
              </w:rPr>
            </w:pPr>
          </w:p>
        </w:tc>
        <w:tc>
          <w:tcPr>
            <w:tcW w:w="37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0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5572760</wp:posOffset>
            </wp:positionH>
            <wp:positionV relativeFrom="paragraph">
              <wp:posOffset>-869950</wp:posOffset>
            </wp:positionV>
            <wp:extent cx="635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6452870</wp:posOffset>
            </wp:positionH>
            <wp:positionV relativeFrom="paragraph">
              <wp:posOffset>-869950</wp:posOffset>
            </wp:positionV>
            <wp:extent cx="635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2"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Bank credit facilities consist of various committed and uncommitted lines of credit with financial institutions utilized primarily to support the working capital requirements of foreign operations. The weighted average interest rate on the outstanding bank credit facilities was 1.9% at December 27, 2008 and 1.5% at June 28, 2008.</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Company has a $450,000,000 accounts receivable securitization program (the “Securitization Program”) with a group of financial institutions that allows the Company to sell, on a revolving basis, an undivided interest in eligible receivables while retaining a subordinated interest in a portion of the receivables. The Securitization Program, which has a one year term that expires in August 2009, does not qualify for sale treatment; as a result, any borrowings under the Securitization Program are recorded as debt on the consolidated balance sheet. The Securitization Program contains certain covenants, all of which the Company was in compliance with as of December 27, 2008. There were no amounts outstanding under the Securitization Program at December 27, 2008 or June 28, 2008.</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Long-term debt consists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w w:val="98"/>
              </w:rPr>
              <w:t>December 27,</w:t>
            </w:r>
          </w:p>
        </w:tc>
        <w:tc>
          <w:tcPr>
            <w:tcW w:w="160" w:type="dxa"/>
            <w:vAlign w:val="bottom"/>
          </w:tcPr>
          <w:p>
            <w:pPr>
              <w:spacing w:after="0"/>
              <w:rPr>
                <w:sz w:val="10"/>
                <w:szCs w:val="10"/>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June 28,</w:t>
            </w:r>
          </w:p>
        </w:tc>
        <w:tc>
          <w:tcPr>
            <w:tcW w:w="0" w:type="dxa"/>
            <w:vAlign w:val="bottom"/>
          </w:tcPr>
          <w:p>
            <w:pPr>
              <w:spacing w:after="0"/>
              <w:rPr>
                <w:sz w:val="1"/>
                <w:szCs w:val="1"/>
                <w:color w:val="auto"/>
              </w:rPr>
            </w:pPr>
          </w:p>
        </w:tc>
      </w:tr>
      <w:tr>
        <w:trPr>
          <w:trHeight w:val="128"/>
        </w:trPr>
        <w:tc>
          <w:tcPr>
            <w:tcW w:w="7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238"/>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ind w:right="177"/>
              <w:spacing w:after="0"/>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3"/>
          </w:tcPr>
          <w:p>
            <w:pPr>
              <w:jc w:val="right"/>
              <w:ind w:right="91"/>
              <w:spacing w:after="0"/>
              <w:rPr>
                <w:sz w:val="20"/>
                <w:szCs w:val="20"/>
                <w:color w:val="auto"/>
              </w:rPr>
            </w:pPr>
            <w:r>
              <w:rPr>
                <w:rFonts w:ascii="Arial" w:cs="Arial" w:eastAsia="Arial" w:hAnsi="Arial"/>
                <w:sz w:val="10"/>
                <w:szCs w:val="10"/>
                <w:b w:val="1"/>
                <w:bCs w:val="1"/>
                <w:color w:val="auto"/>
              </w:rPr>
              <w:t>(Thousands)</w:t>
            </w: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5.875% Notes due March 15, 2014</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6.00% Notes due September 1, 2015</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250,000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250,000</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6.625% Notes due September 15, 2016</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7600" w:type="dxa"/>
            <w:vAlign w:val="bottom"/>
          </w:tcPr>
          <w:p>
            <w:pPr>
              <w:spacing w:after="0"/>
              <w:rPr>
                <w:sz w:val="20"/>
                <w:szCs w:val="20"/>
                <w:color w:val="auto"/>
              </w:rPr>
            </w:pPr>
            <w:r>
              <w:rPr>
                <w:rFonts w:ascii="Arial" w:cs="Arial" w:eastAsia="Arial" w:hAnsi="Arial"/>
                <w:sz w:val="13"/>
                <w:szCs w:val="13"/>
                <w:color w:val="auto"/>
              </w:rPr>
              <w:t>2% Convertible Senior Debentures due March 15, 2034</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300,000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300,000</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debt</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35,504</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34,207</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00"/>
              <w:spacing w:after="0"/>
              <w:rPr>
                <w:sz w:val="20"/>
                <w:szCs w:val="20"/>
                <w:color w:val="auto"/>
              </w:rPr>
            </w:pPr>
            <w:r>
              <w:rPr>
                <w:rFonts w:ascii="Arial" w:cs="Arial" w:eastAsia="Arial" w:hAnsi="Arial"/>
                <w:sz w:val="13"/>
                <w:szCs w:val="13"/>
                <w:color w:val="auto"/>
              </w:rPr>
              <w:t>Subtotal</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1,185,504</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1,184,207</w:t>
            </w:r>
          </w:p>
        </w:tc>
        <w:tc>
          <w:tcPr>
            <w:tcW w:w="0" w:type="dxa"/>
            <w:vAlign w:val="bottom"/>
          </w:tcPr>
          <w:p>
            <w:pPr>
              <w:spacing w:after="0"/>
              <w:rPr>
                <w:sz w:val="1"/>
                <w:szCs w:val="1"/>
                <w:color w:val="auto"/>
              </w:rPr>
            </w:pPr>
          </w:p>
        </w:tc>
      </w:tr>
      <w:tr>
        <w:trPr>
          <w:trHeight w:val="158"/>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Discount on notes</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(2,522)</w:t>
            </w:r>
          </w:p>
        </w:tc>
        <w:tc>
          <w:tcPr>
            <w:tcW w:w="1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(2,709)</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200"/>
              <w:spacing w:after="0"/>
              <w:rPr>
                <w:sz w:val="20"/>
                <w:szCs w:val="20"/>
                <w:color w:val="auto"/>
              </w:rPr>
            </w:pPr>
            <w:r>
              <w:rPr>
                <w:rFonts w:ascii="Arial" w:cs="Arial" w:eastAsia="Arial" w:hAnsi="Arial"/>
                <w:sz w:val="13"/>
                <w:szCs w:val="13"/>
                <w:color w:val="auto"/>
              </w:rPr>
              <w:t>Long-term debt</w:t>
            </w: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1,182,982</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1,181,498</w:t>
            </w:r>
          </w:p>
        </w:tc>
        <w:tc>
          <w:tcPr>
            <w:tcW w:w="0" w:type="dxa"/>
            <w:vAlign w:val="bottom"/>
          </w:tcPr>
          <w:p>
            <w:pPr>
              <w:spacing w:after="0"/>
              <w:rPr>
                <w:sz w:val="1"/>
                <w:szCs w:val="1"/>
                <w:color w:val="auto"/>
              </w:rPr>
            </w:pPr>
          </w:p>
        </w:tc>
      </w:tr>
      <w:tr>
        <w:trPr>
          <w:trHeight w:val="30"/>
        </w:trPr>
        <w:tc>
          <w:tcPr>
            <w:tcW w:w="7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5572760</wp:posOffset>
            </wp:positionH>
            <wp:positionV relativeFrom="paragraph">
              <wp:posOffset>-941705</wp:posOffset>
            </wp:positionV>
            <wp:extent cx="635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6421755</wp:posOffset>
            </wp:positionH>
            <wp:positionV relativeFrom="paragraph">
              <wp:posOffset>-941705</wp:posOffset>
            </wp:positionV>
            <wp:extent cx="635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right="60" w:firstLine="399"/>
        <w:spacing w:after="0" w:line="257" w:lineRule="auto"/>
        <w:rPr>
          <w:sz w:val="20"/>
          <w:szCs w:val="20"/>
          <w:color w:val="auto"/>
        </w:rPr>
      </w:pPr>
      <w:r>
        <w:rPr>
          <w:rFonts w:ascii="Arial" w:cs="Arial" w:eastAsia="Arial" w:hAnsi="Arial"/>
          <w:sz w:val="13"/>
          <w:szCs w:val="13"/>
          <w:color w:val="auto"/>
        </w:rPr>
        <w:t>The Company has a five-year $500,000,000 unsecured revolving credit facility (the “Credit Agreement”) with a syndicate of banks which expires in September 2012. Under the Credit Agreement, the Company may select from various interest rate options, currencies and maturities. The Credit Agreement contains certain covenants, all of which the Company was in compliance with as of December 27, 2008. As of the end of the second quarter of fiscal 2009, there were $23,225,000 in borrowings outstanding under the Credit Agreement included in “other long-term debt” in the preceding table. In addition, there were $7,425,000 in letters of credit issued under the Credit Agreement which represent a utilization of the Credit Agreement capacity but are not recorded in the consolidated balance sheet as the letters of credit are not debt. At June 28, 2008, there were $19,689,000 in borrowings outstanding and $24,264,000 in letters of credit issued under the Credit Agreement.</w:t>
      </w:r>
    </w:p>
    <w:p>
      <w:pPr>
        <w:spacing w:after="0" w:line="72" w:lineRule="exact"/>
        <w:rPr>
          <w:sz w:val="20"/>
          <w:szCs w:val="20"/>
          <w:color w:val="auto"/>
        </w:rPr>
      </w:pPr>
    </w:p>
    <w:p>
      <w:pPr>
        <w:ind w:left="680" w:right="20" w:firstLine="399"/>
        <w:spacing w:after="0" w:line="307" w:lineRule="auto"/>
        <w:rPr>
          <w:sz w:val="20"/>
          <w:szCs w:val="20"/>
          <w:color w:val="auto"/>
        </w:rPr>
      </w:pPr>
      <w:r>
        <w:rPr>
          <w:rFonts w:ascii="Arial" w:cs="Arial" w:eastAsia="Arial" w:hAnsi="Arial"/>
          <w:sz w:val="11"/>
          <w:szCs w:val="11"/>
          <w:color w:val="auto"/>
        </w:rPr>
        <w:t>The Company’s 2% Convertible Senior Debentures due March 15, 2034 (the “Debentures”) are convertible into Avnet common stock at a rate of 29.5516 shares of common stock per $1,000 principal amount of Debentures. The Debentures are only convertible under certain circumstances, including if: (i) the closing price of the Company’s common stock reaches $45.68 per share (subject to adjustment in certain circumstances) for a specified period of time; (ii) the average trading price of the Debentures falls below a certain percentage of the conversion value per Debenture for a specified period of time; (iii) the Company calls the Debentures for redemption; or (iv) certain corporate transactions, as defined, occur. The Company may redeem some or all of the Debentures for cash any time on or after March 20, 2009 at the Debentures’ full principal amount plus accrued and unpaid interest, if any. Holders of the Debentures may require the Company to purchase, in cash, all or a portion of the Debentures on March 15, 2009, 2014, 2019, 2024 and 2029, or upon a fundamental change, as defined, at the Debentures’ full principal amount plus accrued and unpaid interest, if any. In December 2004, the Company made an irrevocable election to satisfy the principal portion of the Debentures in cash and settle the remaining obligation with shares of common stock if and when the Debentures are converted. Based upon the current market price of the Company’s common stock, it is likely that the holders of the Debentures will exercise their right to put the Debentures back to the Company on March 15, 2009. If this occurs, the Company has the intent and ability to utilize</w:t>
      </w:r>
    </w:p>
    <w:p>
      <w:pPr>
        <w:spacing w:after="0" w:line="25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2" w:lineRule="exact"/>
        <w:rPr>
          <w:sz w:val="20"/>
          <w:szCs w:val="20"/>
          <w:color w:val="auto"/>
        </w:rPr>
      </w:pPr>
    </w:p>
    <w:p>
      <w:pPr>
        <w:ind w:left="680" w:right="1020"/>
        <w:spacing w:after="0" w:line="276" w:lineRule="auto"/>
        <w:rPr>
          <w:sz w:val="20"/>
          <w:szCs w:val="20"/>
          <w:color w:val="auto"/>
        </w:rPr>
      </w:pPr>
      <w:r>
        <w:rPr>
          <w:rFonts w:ascii="Arial" w:cs="Arial" w:eastAsia="Arial" w:hAnsi="Arial"/>
          <w:sz w:val="13"/>
          <w:szCs w:val="13"/>
          <w:color w:val="auto"/>
        </w:rPr>
        <w:t>its borrowing capacity under the Credit Agreement, which expires in 2012, to satisfy its obligation under the Debenture put option. As a result, the Debentures continue to be classified as long-term debt.</w:t>
      </w:r>
    </w:p>
    <w:p>
      <w:pPr>
        <w:spacing w:after="0" w:line="134" w:lineRule="exact"/>
        <w:rPr>
          <w:sz w:val="20"/>
          <w:szCs w:val="20"/>
          <w:color w:val="auto"/>
        </w:rPr>
      </w:pPr>
    </w:p>
    <w:p>
      <w:pPr>
        <w:ind w:left="1000" w:hanging="313"/>
        <w:spacing w:after="0"/>
        <w:tabs>
          <w:tab w:leader="none" w:pos="1000" w:val="left"/>
        </w:tabs>
        <w:numPr>
          <w:ilvl w:val="0"/>
          <w:numId w:val="5"/>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680" w:right="820" w:firstLine="399"/>
        <w:spacing w:after="0" w:line="260" w:lineRule="auto"/>
        <w:rPr>
          <w:sz w:val="20"/>
          <w:szCs w:val="20"/>
          <w:color w:val="auto"/>
        </w:rPr>
      </w:pPr>
      <w:r>
        <w:rPr>
          <w:rFonts w:ascii="Arial" w:cs="Arial" w:eastAsia="Arial" w:hAnsi="Arial"/>
          <w:sz w:val="13"/>
          <w:szCs w:val="13"/>
          <w:color w:val="auto"/>
        </w:rPr>
        <w:t>From time to time, the Company may become liable with respect to pending and threatened litigation, tax, environmental and other matters. The Company has been designated a potentially responsible party or has become aware of other potential claims against it in connection with environmental clean-ups at several sites. Based upon the information known to date, the Company believes that it has appropriately reserved for its share of the costs of the clean-ups and management does not anticipate that any contingent matters will have a material adverse impact on the Company’s financial condition, liquidity or results of operations.</w:t>
      </w:r>
    </w:p>
    <w:p>
      <w:pPr>
        <w:spacing w:after="0" w:line="144" w:lineRule="exact"/>
        <w:rPr>
          <w:sz w:val="20"/>
          <w:szCs w:val="20"/>
          <w:color w:val="auto"/>
        </w:rPr>
      </w:pPr>
    </w:p>
    <w:p>
      <w:pPr>
        <w:ind w:left="1000" w:hanging="313"/>
        <w:spacing w:after="0"/>
        <w:tabs>
          <w:tab w:leader="none" w:pos="1000" w:val="left"/>
        </w:tabs>
        <w:numPr>
          <w:ilvl w:val="0"/>
          <w:numId w:val="6"/>
        </w:numPr>
        <w:rPr>
          <w:rFonts w:ascii="Arial" w:cs="Arial" w:eastAsia="Arial" w:hAnsi="Arial"/>
          <w:sz w:val="13"/>
          <w:szCs w:val="13"/>
          <w:b w:val="1"/>
          <w:bCs w:val="1"/>
          <w:color w:val="auto"/>
        </w:rPr>
      </w:pPr>
      <w:r>
        <w:rPr>
          <w:rFonts w:ascii="Arial" w:cs="Arial" w:eastAsia="Arial" w:hAnsi="Arial"/>
          <w:sz w:val="13"/>
          <w:szCs w:val="13"/>
          <w:b w:val="1"/>
          <w:bCs w:val="1"/>
          <w:color w:val="auto"/>
        </w:rPr>
        <w:t>Pension plan</w:t>
      </w:r>
    </w:p>
    <w:p>
      <w:pPr>
        <w:spacing w:after="0" w:line="100" w:lineRule="exact"/>
        <w:rPr>
          <w:sz w:val="20"/>
          <w:szCs w:val="20"/>
          <w:color w:val="auto"/>
        </w:rPr>
      </w:pPr>
    </w:p>
    <w:p>
      <w:pPr>
        <w:ind w:left="680" w:right="860" w:firstLine="399"/>
        <w:spacing w:after="0" w:line="276" w:lineRule="auto"/>
        <w:rPr>
          <w:sz w:val="20"/>
          <w:szCs w:val="20"/>
          <w:color w:val="auto"/>
        </w:rPr>
      </w:pPr>
      <w:r>
        <w:rPr>
          <w:rFonts w:ascii="Arial" w:cs="Arial" w:eastAsia="Arial" w:hAnsi="Arial"/>
          <w:sz w:val="13"/>
          <w:szCs w:val="13"/>
          <w:color w:val="auto"/>
        </w:rPr>
        <w:t>The Company’s noncontributory defined benefit pension plan (the “Plan”) covers substantially all domestic employees. Components of net periodic pension costs during the quarters and six months ended December 27, 2008 and December 29, 2007 were as follows: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w w:val="94"/>
              </w:rPr>
              <w:t>Second Quarters Ended</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560"/>
              <w:spacing w:after="0"/>
              <w:rPr>
                <w:sz w:val="20"/>
                <w:szCs w:val="20"/>
                <w:color w:val="auto"/>
              </w:rPr>
            </w:pPr>
            <w:r>
              <w:rPr>
                <w:rFonts w:ascii="Arial" w:cs="Arial" w:eastAsia="Arial" w:hAnsi="Arial"/>
                <w:sz w:val="13"/>
                <w:szCs w:val="13"/>
                <w:b w:val="1"/>
                <w:bCs w:val="1"/>
                <w:color w:val="auto"/>
                <w:w w:val="95"/>
              </w:rPr>
              <w:t>Six Months Ended</w:t>
            </w:r>
          </w:p>
        </w:tc>
      </w:tr>
      <w:tr>
        <w:trPr>
          <w:trHeight w:val="165"/>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9"/>
              </w:rPr>
              <w:t>December 27,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w w:val="99"/>
              </w:rPr>
              <w:t>December 29,</w:t>
            </w:r>
          </w:p>
        </w:tc>
        <w:tc>
          <w:tcPr>
            <w:tcW w:w="20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4"/>
              </w:rPr>
              <w:t>December 27,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9"/>
              </w:rPr>
              <w:t>December 29,</w:t>
            </w:r>
          </w:p>
        </w:tc>
      </w:tr>
      <w:tr>
        <w:trPr>
          <w:trHeight w:val="169"/>
        </w:trPr>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33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314"/>
              <w:spacing w:after="0"/>
              <w:rPr>
                <w:sz w:val="20"/>
                <w:szCs w:val="20"/>
                <w:color w:val="auto"/>
              </w:rPr>
            </w:pPr>
            <w:r>
              <w:rPr>
                <w:rFonts w:ascii="Arial" w:cs="Arial" w:eastAsia="Arial" w:hAnsi="Arial"/>
                <w:sz w:val="13"/>
                <w:szCs w:val="13"/>
                <w:b w:val="1"/>
                <w:bCs w:val="1"/>
                <w:color w:val="auto"/>
              </w:rPr>
              <w:t>2007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314"/>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314"/>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4"/>
                <w:szCs w:val="14"/>
                <w:color w:val="auto"/>
              </w:rPr>
            </w:pPr>
          </w:p>
        </w:tc>
      </w:tr>
      <w:tr>
        <w:trPr>
          <w:trHeight w:val="177"/>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3"/>
          </w:tcPr>
          <w:p>
            <w:pPr>
              <w:jc w:val="right"/>
              <w:ind w:right="31"/>
              <w:spacing w:after="0"/>
              <w:rPr>
                <w:sz w:val="20"/>
                <w:szCs w:val="20"/>
                <w:color w:val="auto"/>
              </w:rPr>
            </w:pPr>
            <w:r>
              <w:rPr>
                <w:rFonts w:ascii="Arial" w:cs="Arial" w:eastAsia="Arial" w:hAnsi="Arial"/>
                <w:sz w:val="13"/>
                <w:szCs w:val="13"/>
                <w:b w:val="1"/>
                <w:bCs w:val="1"/>
                <w:color w:val="auto"/>
              </w:rPr>
              <w:t>(Thousands)</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1"/>
        </w:trPr>
        <w:tc>
          <w:tcPr>
            <w:tcW w:w="3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57"/>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Service cost</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4,051</w:t>
            </w:r>
          </w:p>
        </w:tc>
        <w:tc>
          <w:tcPr>
            <w:tcW w:w="48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3,684</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8,102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7,368</w:t>
            </w: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Interest cost</w:t>
            </w:r>
          </w:p>
        </w:tc>
        <w:tc>
          <w:tcPr>
            <w:tcW w:w="180" w:type="dxa"/>
            <w:vAlign w:val="bottom"/>
          </w:tcPr>
          <w:p>
            <w:pPr>
              <w:spacing w:after="0"/>
              <w:rPr>
                <w:sz w:val="13"/>
                <w:szCs w:val="1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4,544</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4,192</w:t>
            </w:r>
          </w:p>
        </w:tc>
        <w:tc>
          <w:tcPr>
            <w:tcW w:w="20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9,088</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8,384</w:t>
            </w:r>
          </w:p>
        </w:tc>
      </w:tr>
      <w:tr>
        <w:trPr>
          <w:trHeight w:val="157"/>
        </w:trPr>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Expected return on plan assets</w:t>
            </w: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(6,363)</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(5,834)</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(12,726)</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(11,668)</w:t>
            </w:r>
          </w:p>
        </w:tc>
      </w:tr>
      <w:tr>
        <w:trPr>
          <w:trHeight w:val="157"/>
        </w:trPr>
        <w:tc>
          <w:tcPr>
            <w:tcW w:w="3500" w:type="dxa"/>
            <w:vAlign w:val="bottom"/>
          </w:tcPr>
          <w:p>
            <w:pPr>
              <w:spacing w:after="0"/>
              <w:rPr>
                <w:sz w:val="20"/>
                <w:szCs w:val="20"/>
                <w:color w:val="auto"/>
              </w:rPr>
            </w:pPr>
            <w:r>
              <w:rPr>
                <w:rFonts w:ascii="Arial" w:cs="Arial" w:eastAsia="Arial" w:hAnsi="Arial"/>
                <w:sz w:val="13"/>
                <w:szCs w:val="13"/>
                <w:color w:val="auto"/>
              </w:rPr>
              <w:t>Recognized net actuarial loss</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581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774</w:t>
            </w:r>
          </w:p>
        </w:tc>
        <w:tc>
          <w:tcPr>
            <w:tcW w:w="20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1,162</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1,548</w:t>
            </w:r>
          </w:p>
        </w:tc>
      </w:tr>
      <w:tr>
        <w:trPr>
          <w:trHeight w:val="20"/>
        </w:trPr>
        <w:tc>
          <w:tcPr>
            <w:tcW w:w="3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periodic pension costs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2,813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2,816</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5,626</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5,632</w:t>
            </w:r>
          </w:p>
        </w:tc>
      </w:tr>
      <w:tr>
        <w:trPr>
          <w:trHeight w:val="29"/>
        </w:trPr>
        <w:tc>
          <w:tcPr>
            <w:tcW w:w="3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-873125</wp:posOffset>
            </wp:positionV>
            <wp:extent cx="18415"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5760085</wp:posOffset>
            </wp:positionH>
            <wp:positionV relativeFrom="paragraph">
              <wp:posOffset>-873125</wp:posOffset>
            </wp:positionV>
            <wp:extent cx="1841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-661035</wp:posOffset>
            </wp:positionV>
            <wp:extent cx="6350" cy="6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-661035</wp:posOffset>
            </wp:positionV>
            <wp:extent cx="6350" cy="6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-661035</wp:posOffset>
            </wp:positionV>
            <wp:extent cx="6350"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6296660</wp:posOffset>
            </wp:positionH>
            <wp:positionV relativeFrom="paragraph">
              <wp:posOffset>-661035</wp:posOffset>
            </wp:positionV>
            <wp:extent cx="6350" cy="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During the second quarter and first half of fiscal 2009, the Company made contributions to the Plan of $4,031,000 and $10,856,000,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3"/>
                <w:szCs w:val="13"/>
                <w:b w:val="1"/>
                <w:bCs w:val="1"/>
                <w:color w:val="auto"/>
              </w:rPr>
              <w:t>8.   Comprehensive income (loss)</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56"/>
        </w:trPr>
        <w:tc>
          <w:tcPr>
            <w:tcW w:w="68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w w:val="94"/>
              </w:rPr>
              <w:t>Second Quarters Ended</w:t>
            </w: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gridSpan w:val="4"/>
          </w:tcPr>
          <w:p>
            <w:pPr>
              <w:jc w:val="right"/>
              <w:ind w:right="560"/>
              <w:spacing w:after="0"/>
              <w:rPr>
                <w:sz w:val="20"/>
                <w:szCs w:val="20"/>
                <w:color w:val="auto"/>
              </w:rPr>
            </w:pPr>
            <w:r>
              <w:rPr>
                <w:rFonts w:ascii="Arial" w:cs="Arial" w:eastAsia="Arial" w:hAnsi="Arial"/>
                <w:sz w:val="13"/>
                <w:szCs w:val="13"/>
                <w:b w:val="1"/>
                <w:bCs w:val="1"/>
                <w:color w:val="auto"/>
                <w:w w:val="95"/>
              </w:rPr>
              <w:t>Six Months Ended</w:t>
            </w:r>
          </w:p>
        </w:tc>
        <w:tc>
          <w:tcPr>
            <w:tcW w:w="800" w:type="dxa"/>
            <w:vAlign w:val="bottom"/>
          </w:tcPr>
          <w:p>
            <w:pPr>
              <w:spacing w:after="0"/>
              <w:rPr>
                <w:sz w:val="22"/>
                <w:szCs w:val="22"/>
                <w:color w:val="auto"/>
              </w:rPr>
            </w:pPr>
          </w:p>
        </w:tc>
      </w:tr>
      <w:tr>
        <w:trPr>
          <w:trHeight w:val="165"/>
        </w:trPr>
        <w:tc>
          <w:tcPr>
            <w:tcW w:w="6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9"/>
              </w:rPr>
              <w:t>December 27,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w w:val="99"/>
              </w:rPr>
              <w:t>December 29,</w:t>
            </w:r>
          </w:p>
        </w:tc>
        <w:tc>
          <w:tcPr>
            <w:tcW w:w="20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4"/>
              </w:rPr>
              <w:t>December 27,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9"/>
              </w:rPr>
              <w:t>December 29,</w:t>
            </w:r>
          </w:p>
        </w:tc>
        <w:tc>
          <w:tcPr>
            <w:tcW w:w="800" w:type="dxa"/>
            <w:vAlign w:val="bottom"/>
          </w:tcPr>
          <w:p>
            <w:pPr>
              <w:spacing w:after="0"/>
              <w:rPr>
                <w:sz w:val="14"/>
                <w:szCs w:val="14"/>
                <w:color w:val="auto"/>
              </w:rPr>
            </w:pPr>
          </w:p>
        </w:tc>
      </w:tr>
      <w:tr>
        <w:trPr>
          <w:trHeight w:val="169"/>
        </w:trPr>
        <w:tc>
          <w:tcPr>
            <w:tcW w:w="6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33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314"/>
              <w:spacing w:after="0"/>
              <w:rPr>
                <w:sz w:val="20"/>
                <w:szCs w:val="20"/>
                <w:color w:val="auto"/>
              </w:rPr>
            </w:pPr>
            <w:r>
              <w:rPr>
                <w:rFonts w:ascii="Arial" w:cs="Arial" w:eastAsia="Arial" w:hAnsi="Arial"/>
                <w:sz w:val="13"/>
                <w:szCs w:val="13"/>
                <w:b w:val="1"/>
                <w:bCs w:val="1"/>
                <w:color w:val="auto"/>
              </w:rPr>
              <w:t>2007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314"/>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314"/>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7"/>
        </w:trPr>
        <w:tc>
          <w:tcPr>
            <w:tcW w:w="68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3"/>
          </w:tcPr>
          <w:p>
            <w:pPr>
              <w:jc w:val="right"/>
              <w:ind w:right="31"/>
              <w:spacing w:after="0"/>
              <w:rPr>
                <w:sz w:val="20"/>
                <w:szCs w:val="20"/>
                <w:color w:val="auto"/>
              </w:rPr>
            </w:pPr>
            <w:r>
              <w:rPr>
                <w:rFonts w:ascii="Arial" w:cs="Arial" w:eastAsia="Arial" w:hAnsi="Arial"/>
                <w:sz w:val="13"/>
                <w:szCs w:val="13"/>
                <w:b w:val="1"/>
                <w:bCs w:val="1"/>
                <w:color w:val="auto"/>
              </w:rPr>
              <w:t>(Thousands)</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41"/>
        </w:trPr>
        <w:tc>
          <w:tcPr>
            <w:tcW w:w="68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(1,202,413)</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142,206</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(1,109,608)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247,743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Foreign currency translation adjustments</w:t>
            </w:r>
          </w:p>
        </w:tc>
        <w:tc>
          <w:tcPr>
            <w:tcW w:w="180" w:type="dxa"/>
            <w:vAlign w:val="bottom"/>
          </w:tcPr>
          <w:p>
            <w:pPr>
              <w:spacing w:after="0"/>
              <w:rPr>
                <w:sz w:val="13"/>
                <w:szCs w:val="13"/>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3"/>
                <w:szCs w:val="13"/>
                <w:color w:val="auto"/>
              </w:rPr>
              <w:t>(88,320)</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44,742</w:t>
            </w:r>
          </w:p>
        </w:tc>
        <w:tc>
          <w:tcPr>
            <w:tcW w:w="20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(239,984)</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98,638</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comprehensive income (loss)</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(1,290,733)</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186,948</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(1,349,592)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346,381</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ind w:right="134"/>
              <w:spacing w:after="0"/>
              <w:rPr>
                <w:sz w:val="20"/>
                <w:szCs w:val="20"/>
                <w:color w:val="auto"/>
              </w:rPr>
            </w:pPr>
            <w:r>
              <w:rPr>
                <w:rFonts w:ascii="Arial" w:cs="Arial" w:eastAsia="Arial" w:hAnsi="Arial"/>
                <w:sz w:val="13"/>
                <w:szCs w:val="13"/>
                <w:color w:val="auto"/>
              </w:rPr>
              <w:t>9</w:t>
            </w: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-1082675</wp:posOffset>
            </wp:positionV>
            <wp:extent cx="1841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5760085</wp:posOffset>
            </wp:positionH>
            <wp:positionV relativeFrom="paragraph">
              <wp:posOffset>-1082675</wp:posOffset>
            </wp:positionV>
            <wp:extent cx="18415" cy="63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-869950</wp:posOffset>
            </wp:positionV>
            <wp:extent cx="6350" cy="63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-869950</wp:posOffset>
            </wp:positionV>
            <wp:extent cx="6350"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-869950</wp:posOffset>
            </wp:positionV>
            <wp:extent cx="6350" cy="63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6296660</wp:posOffset>
            </wp:positionH>
            <wp:positionV relativeFrom="paragraph">
              <wp:posOffset>-869950</wp:posOffset>
            </wp:positionV>
            <wp:extent cx="635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28"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4320" w:type="dxa"/>
            <w:vAlign w:val="bottom"/>
          </w:tcPr>
          <w:p>
            <w:pPr>
              <w:spacing w:after="0"/>
              <w:rPr>
                <w:sz w:val="20"/>
                <w:szCs w:val="20"/>
                <w:color w:val="auto"/>
              </w:rPr>
            </w:pPr>
            <w:r>
              <w:rPr>
                <w:rFonts w:ascii="Arial" w:cs="Arial" w:eastAsia="Arial" w:hAnsi="Arial"/>
                <w:sz w:val="13"/>
                <w:szCs w:val="13"/>
                <w:b w:val="1"/>
                <w:bCs w:val="1"/>
                <w:color w:val="auto"/>
              </w:rPr>
              <w:t>9.   Earnings (loss) per share</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60" w:type="dxa"/>
            <w:vAlign w:val="bottom"/>
            <w:gridSpan w:val="4"/>
          </w:tcPr>
          <w:p>
            <w:pPr>
              <w:ind w:left="60"/>
              <w:spacing w:after="0"/>
              <w:rPr>
                <w:sz w:val="20"/>
                <w:szCs w:val="20"/>
                <w:color w:val="auto"/>
              </w:rPr>
            </w:pPr>
            <w:r>
              <w:rPr>
                <w:rFonts w:ascii="Arial" w:cs="Arial" w:eastAsia="Arial" w:hAnsi="Arial"/>
                <w:sz w:val="13"/>
                <w:szCs w:val="13"/>
                <w:b w:val="1"/>
                <w:bCs w:val="1"/>
                <w:color w:val="auto"/>
              </w:rPr>
              <w:t>Second Quarters Ended</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w w:val="95"/>
              </w:rPr>
              <w:t>Six Months Ended</w:t>
            </w:r>
          </w:p>
        </w:tc>
        <w:tc>
          <w:tcPr>
            <w:tcW w:w="0" w:type="dxa"/>
            <w:vAlign w:val="bottom"/>
          </w:tcPr>
          <w:p>
            <w:pPr>
              <w:spacing w:after="0"/>
              <w:rPr>
                <w:sz w:val="1"/>
                <w:szCs w:val="1"/>
                <w:color w:val="auto"/>
              </w:rPr>
            </w:pPr>
          </w:p>
        </w:tc>
      </w:tr>
      <w:tr>
        <w:trPr>
          <w:trHeight w:val="165"/>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2"/>
              </w:rPr>
              <w:t>December 27,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29,</w:t>
            </w:r>
          </w:p>
        </w:tc>
        <w:tc>
          <w:tcPr>
            <w:tcW w:w="12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4"/>
              </w:rPr>
              <w:t>December 27,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2"/>
              </w:rPr>
              <w:t>December 29,</w:t>
            </w: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2007</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14"/>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14"/>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4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w w:val="96"/>
              </w:rPr>
              <w:t>(Thousands, except per share data)</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4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Numerator:</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320" w:type="dxa"/>
            <w:vAlign w:val="bottom"/>
          </w:tcPr>
          <w:p>
            <w:pPr>
              <w:ind w:left="280"/>
              <w:spacing w:after="0"/>
              <w:rPr>
                <w:sz w:val="20"/>
                <w:szCs w:val="20"/>
                <w:color w:val="auto"/>
              </w:rPr>
            </w:pPr>
            <w:r>
              <w:rPr>
                <w:rFonts w:ascii="Arial" w:cs="Arial" w:eastAsia="Arial" w:hAnsi="Arial"/>
                <w:sz w:val="13"/>
                <w:szCs w:val="13"/>
                <w:color w:val="auto"/>
              </w:rPr>
              <w:t>Net income (loss)</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(1,202,413)</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142,206</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(1,109,608)</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247,743</w:t>
            </w:r>
          </w:p>
        </w:tc>
        <w:tc>
          <w:tcPr>
            <w:tcW w:w="0" w:type="dxa"/>
            <w:vAlign w:val="bottom"/>
          </w:tcPr>
          <w:p>
            <w:pPr>
              <w:spacing w:after="0"/>
              <w:rPr>
                <w:sz w:val="1"/>
                <w:szCs w:val="1"/>
                <w:color w:val="auto"/>
              </w:rPr>
            </w:pPr>
          </w:p>
        </w:tc>
      </w:tr>
      <w:tr>
        <w:trPr>
          <w:trHeight w:val="162"/>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Denominator:</w:t>
            </w: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320" w:type="dxa"/>
            <w:vAlign w:val="bottom"/>
          </w:tcPr>
          <w:p>
            <w:pPr>
              <w:ind w:left="280"/>
              <w:spacing w:after="0"/>
              <w:rPr>
                <w:sz w:val="20"/>
                <w:szCs w:val="20"/>
                <w:color w:val="auto"/>
              </w:rPr>
            </w:pPr>
            <w:r>
              <w:rPr>
                <w:rFonts w:ascii="Arial" w:cs="Arial" w:eastAsia="Arial" w:hAnsi="Arial"/>
                <w:sz w:val="13"/>
                <w:szCs w:val="13"/>
                <w:color w:val="auto"/>
              </w:rPr>
              <w:t>Weighted average common shares for basic earnings per share</w:t>
            </w:r>
          </w:p>
        </w:tc>
        <w:tc>
          <w:tcPr>
            <w:tcW w:w="1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150,721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150,113</w:t>
            </w:r>
          </w:p>
        </w:tc>
        <w:tc>
          <w:tcPr>
            <w:tcW w:w="1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150,641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150,045</w:t>
            </w:r>
          </w:p>
        </w:tc>
        <w:tc>
          <w:tcPr>
            <w:tcW w:w="0" w:type="dxa"/>
            <w:vAlign w:val="bottom"/>
          </w:tcPr>
          <w:p>
            <w:pPr>
              <w:spacing w:after="0"/>
              <w:rPr>
                <w:sz w:val="1"/>
                <w:szCs w:val="1"/>
                <w:color w:val="auto"/>
              </w:rPr>
            </w:pPr>
          </w:p>
        </w:tc>
      </w:tr>
      <w:tr>
        <w:trPr>
          <w:trHeight w:val="157"/>
        </w:trPr>
        <w:tc>
          <w:tcPr>
            <w:tcW w:w="4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Net effect of dilutive stock options and restricted stock awards</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1,916</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2,047</w:t>
            </w:r>
          </w:p>
        </w:tc>
        <w:tc>
          <w:tcPr>
            <w:tcW w:w="0" w:type="dxa"/>
            <w:vAlign w:val="bottom"/>
          </w:tcPr>
          <w:p>
            <w:pPr>
              <w:spacing w:after="0"/>
              <w:rPr>
                <w:sz w:val="1"/>
                <w:szCs w:val="1"/>
                <w:color w:val="auto"/>
              </w:rPr>
            </w:pPr>
          </w:p>
        </w:tc>
      </w:tr>
      <w:tr>
        <w:trPr>
          <w:trHeight w:val="157"/>
        </w:trPr>
        <w:tc>
          <w:tcPr>
            <w:tcW w:w="4320" w:type="dxa"/>
            <w:vAlign w:val="bottom"/>
          </w:tcPr>
          <w:p>
            <w:pPr>
              <w:ind w:left="280"/>
              <w:spacing w:after="0"/>
              <w:rPr>
                <w:sz w:val="20"/>
                <w:szCs w:val="20"/>
                <w:color w:val="auto"/>
              </w:rPr>
            </w:pPr>
            <w:r>
              <w:rPr>
                <w:rFonts w:ascii="Arial" w:cs="Arial" w:eastAsia="Arial" w:hAnsi="Arial"/>
                <w:sz w:val="13"/>
                <w:szCs w:val="13"/>
                <w:color w:val="auto"/>
              </w:rPr>
              <w:t>Net effect of 2% Convertible Debentures due March 15, 2034</w:t>
            </w:r>
          </w:p>
        </w:tc>
        <w:tc>
          <w:tcPr>
            <w:tcW w:w="1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946</w:t>
            </w:r>
          </w:p>
        </w:tc>
        <w:tc>
          <w:tcPr>
            <w:tcW w:w="12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1,125</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320" w:type="dxa"/>
            <w:vAlign w:val="bottom"/>
            <w:shd w:val="clear" w:color="auto" w:fill="CCEEFF"/>
          </w:tcPr>
          <w:p>
            <w:pPr>
              <w:ind w:left="280"/>
              <w:spacing w:after="0"/>
              <w:rPr>
                <w:sz w:val="20"/>
                <w:szCs w:val="20"/>
                <w:color w:val="auto"/>
              </w:rPr>
            </w:pPr>
            <w:r>
              <w:rPr>
                <w:rFonts w:ascii="Arial" w:cs="Arial" w:eastAsia="Arial" w:hAnsi="Arial"/>
                <w:sz w:val="13"/>
                <w:szCs w:val="13"/>
                <w:color w:val="auto"/>
              </w:rPr>
              <w:t>Weighted average common shares for diluted earnings per share</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150,721</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152,975</w:t>
            </w:r>
          </w:p>
        </w:tc>
        <w:tc>
          <w:tcPr>
            <w:tcW w:w="12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150,641</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153,217</w:t>
            </w:r>
          </w:p>
        </w:tc>
        <w:tc>
          <w:tcPr>
            <w:tcW w:w="0" w:type="dxa"/>
            <w:vAlign w:val="bottom"/>
          </w:tcPr>
          <w:p>
            <w:pPr>
              <w:spacing w:after="0"/>
              <w:rPr>
                <w:sz w:val="1"/>
                <w:szCs w:val="1"/>
                <w:color w:val="auto"/>
              </w:rPr>
            </w:pPr>
          </w:p>
        </w:tc>
      </w:tr>
      <w:tr>
        <w:trPr>
          <w:trHeight w:val="29"/>
        </w:trPr>
        <w:tc>
          <w:tcPr>
            <w:tcW w:w="4320" w:type="dxa"/>
            <w:vAlign w:val="bottom"/>
            <w:vMerge w:val="restart"/>
          </w:tcPr>
          <w:p>
            <w:pPr>
              <w:spacing w:after="0"/>
              <w:rPr>
                <w:sz w:val="20"/>
                <w:szCs w:val="20"/>
                <w:color w:val="auto"/>
              </w:rPr>
            </w:pPr>
            <w:r>
              <w:rPr>
                <w:rFonts w:ascii="Arial" w:cs="Arial" w:eastAsia="Arial" w:hAnsi="Arial"/>
                <w:sz w:val="13"/>
                <w:szCs w:val="13"/>
                <w:color w:val="auto"/>
              </w:rPr>
              <w:t>Basic earnings (loss) per share</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4320" w:type="dxa"/>
            <w:vAlign w:val="bottom"/>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(7.98)</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gridSpan w:val="2"/>
          </w:tcPr>
          <w:p>
            <w:pPr>
              <w:jc w:val="right"/>
              <w:ind w:right="380"/>
              <w:spacing w:after="0"/>
              <w:rPr>
                <w:sz w:val="20"/>
                <w:szCs w:val="20"/>
                <w:color w:val="auto"/>
              </w:rPr>
            </w:pPr>
            <w:r>
              <w:rPr>
                <w:rFonts w:ascii="Arial" w:cs="Arial" w:eastAsia="Arial" w:hAnsi="Arial"/>
                <w:sz w:val="13"/>
                <w:szCs w:val="13"/>
                <w:color w:val="auto"/>
              </w:rPr>
              <w:t>0.95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(7.37)</w:t>
            </w:r>
          </w:p>
        </w:tc>
        <w:tc>
          <w:tcPr>
            <w:tcW w:w="4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3"/>
                <w:szCs w:val="13"/>
                <w:color w:val="auto"/>
              </w:rPr>
              <w:t>1.65</w:t>
            </w:r>
          </w:p>
        </w:tc>
        <w:tc>
          <w:tcPr>
            <w:tcW w:w="0" w:type="dxa"/>
            <w:vAlign w:val="bottom"/>
          </w:tcPr>
          <w:p>
            <w:pPr>
              <w:spacing w:after="0"/>
              <w:rPr>
                <w:sz w:val="1"/>
                <w:szCs w:val="1"/>
                <w:color w:val="auto"/>
              </w:rPr>
            </w:pPr>
          </w:p>
        </w:tc>
      </w:tr>
      <w:tr>
        <w:trPr>
          <w:trHeight w:val="33"/>
        </w:trPr>
        <w:tc>
          <w:tcPr>
            <w:tcW w:w="4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4320" w:type="dxa"/>
            <w:vAlign w:val="bottom"/>
            <w:shd w:val="clear" w:color="auto" w:fill="CCEEFF"/>
          </w:tcPr>
          <w:p>
            <w:pPr>
              <w:spacing w:after="0"/>
              <w:rPr>
                <w:sz w:val="20"/>
                <w:szCs w:val="20"/>
                <w:color w:val="auto"/>
              </w:rPr>
            </w:pPr>
            <w:r>
              <w:rPr>
                <w:rFonts w:ascii="Arial" w:cs="Arial" w:eastAsia="Arial" w:hAnsi="Arial"/>
                <w:sz w:val="13"/>
                <w:szCs w:val="13"/>
                <w:color w:val="auto"/>
              </w:rPr>
              <w:t>Diluted earnings (loss) per share</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(7.98)</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0.93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(7.37)</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29"/>
        </w:trPr>
        <w:tc>
          <w:tcPr>
            <w:tcW w:w="4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3987800</wp:posOffset>
            </wp:positionH>
            <wp:positionV relativeFrom="paragraph">
              <wp:posOffset>-1347470</wp:posOffset>
            </wp:positionV>
            <wp:extent cx="18415" cy="63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5885180</wp:posOffset>
            </wp:positionH>
            <wp:positionV relativeFrom="paragraph">
              <wp:posOffset>-1347470</wp:posOffset>
            </wp:positionV>
            <wp:extent cx="12700" cy="6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-1135380</wp:posOffset>
            </wp:positionV>
            <wp:extent cx="6350" cy="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4474210</wp:posOffset>
            </wp:positionH>
            <wp:positionV relativeFrom="paragraph">
              <wp:posOffset>-1135380</wp:posOffset>
            </wp:positionV>
            <wp:extent cx="6350" cy="6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-1135380</wp:posOffset>
            </wp:positionV>
            <wp:extent cx="6350" cy="6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-1135380</wp:posOffset>
            </wp:positionV>
            <wp:extent cx="6350"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70" w:lineRule="exact"/>
        <w:rPr>
          <w:sz w:val="20"/>
          <w:szCs w:val="20"/>
          <w:color w:val="auto"/>
        </w:rPr>
      </w:pPr>
    </w:p>
    <w:p>
      <w:pPr>
        <w:ind w:left="680" w:right="820" w:firstLine="399"/>
        <w:spacing w:after="0" w:line="257" w:lineRule="auto"/>
        <w:rPr>
          <w:sz w:val="20"/>
          <w:szCs w:val="20"/>
          <w:color w:val="auto"/>
        </w:rPr>
      </w:pPr>
      <w:r>
        <w:rPr>
          <w:rFonts w:ascii="Arial" w:cs="Arial" w:eastAsia="Arial" w:hAnsi="Arial"/>
          <w:sz w:val="13"/>
          <w:szCs w:val="13"/>
          <w:color w:val="auto"/>
        </w:rPr>
        <w:t xml:space="preserve">Shares issuable upon conversion of the 2% Convertible Debentures are excluded from the computation of earnings per diluted share for the second quarter and first half of fiscal 2009 as a result of the Company’s election to satisfy the principal portion of the Debentures, if converted, in cash (see Note 5) in combination with the fact that the average stock price for the second quarter and first half of fiscal 2009 was below the conversion price per share of $33.84. Shares issuable for the conversion premium of the 2% Convertible Debentures are included in the computation of earnings per diluted shares for the second quarter and first half of fiscal 2008 because the average stock price for the quarter was above the conversion price per share of $33.84. The number of dilutive shares for the conversion premium was calculated in accordance with EITF 04-8, </w:t>
      </w:r>
      <w:r>
        <w:rPr>
          <w:rFonts w:ascii="Arial" w:cs="Arial" w:eastAsia="Arial" w:hAnsi="Arial"/>
          <w:sz w:val="13"/>
          <w:szCs w:val="13"/>
          <w:i w:val="1"/>
          <w:iCs w:val="1"/>
          <w:color w:val="auto"/>
        </w:rPr>
        <w:t>The Effect of Contingently Convertible Instruments on Diluted Earnings per</w:t>
      </w:r>
      <w:r>
        <w:rPr>
          <w:rFonts w:ascii="Arial" w:cs="Arial" w:eastAsia="Arial" w:hAnsi="Arial"/>
          <w:sz w:val="13"/>
          <w:szCs w:val="13"/>
          <w:color w:val="auto"/>
        </w:rPr>
        <w:t xml:space="preserve"> </w:t>
      </w:r>
      <w:r>
        <w:rPr>
          <w:rFonts w:ascii="Arial" w:cs="Arial" w:eastAsia="Arial" w:hAnsi="Arial"/>
          <w:sz w:val="13"/>
          <w:szCs w:val="13"/>
          <w:i w:val="1"/>
          <w:iCs w:val="1"/>
          <w:color w:val="auto"/>
        </w:rPr>
        <w:t>Share.</w:t>
      </w:r>
    </w:p>
    <w:p>
      <w:pPr>
        <w:spacing w:after="0" w:line="72" w:lineRule="exact"/>
        <w:rPr>
          <w:sz w:val="20"/>
          <w:szCs w:val="20"/>
          <w:color w:val="auto"/>
        </w:rPr>
      </w:pPr>
    </w:p>
    <w:p>
      <w:pPr>
        <w:jc w:val="both"/>
        <w:ind w:left="680" w:right="920" w:firstLine="399"/>
        <w:spacing w:after="0" w:line="260" w:lineRule="auto"/>
        <w:rPr>
          <w:sz w:val="20"/>
          <w:szCs w:val="20"/>
          <w:color w:val="auto"/>
        </w:rPr>
      </w:pPr>
      <w:r>
        <w:rPr>
          <w:rFonts w:ascii="Arial" w:cs="Arial" w:eastAsia="Arial" w:hAnsi="Arial"/>
          <w:sz w:val="13"/>
          <w:szCs w:val="13"/>
          <w:color w:val="auto"/>
        </w:rPr>
        <w:t>Options to purchase shares of the Company’s stock were excluded from the calculations of diluted earnings per share for the second quarter and first half of fiscal 2009 because the Company recognized a net loss. Options to purchase 35,000 shares were excluded from the diluted earnings per share calculations in the second quarter and first half of fiscal 2008 because the average exercise price was above the average market price during those periods. Inclusion of these options in the diluted earnings per share calculation would have had an anti-dilutive effect.</w:t>
      </w:r>
    </w:p>
    <w:p>
      <w:pPr>
        <w:spacing w:after="0" w:line="144" w:lineRule="exact"/>
        <w:rPr>
          <w:sz w:val="20"/>
          <w:szCs w:val="20"/>
          <w:color w:val="auto"/>
        </w:rPr>
      </w:pPr>
    </w:p>
    <w:p>
      <w:pPr>
        <w:ind w:left="1180" w:hanging="493"/>
        <w:spacing w:after="0"/>
        <w:tabs>
          <w:tab w:leader="none" w:pos="1180" w:val="left"/>
        </w:tabs>
        <w:numPr>
          <w:ilvl w:val="0"/>
          <w:numId w:val="7"/>
        </w:numPr>
        <w:rPr>
          <w:rFonts w:ascii="Arial" w:cs="Arial" w:eastAsia="Arial" w:hAnsi="Arial"/>
          <w:sz w:val="13"/>
          <w:szCs w:val="13"/>
          <w:b w:val="1"/>
          <w:bCs w:val="1"/>
          <w:color w:val="auto"/>
        </w:rPr>
      </w:pPr>
      <w:r>
        <w:rPr>
          <w:rFonts w:ascii="Arial" w:cs="Arial" w:eastAsia="Arial" w:hAnsi="Arial"/>
          <w:sz w:val="13"/>
          <w:szCs w:val="13"/>
          <w:b w:val="1"/>
          <w:bCs w:val="1"/>
          <w:color w:val="auto"/>
        </w:rPr>
        <w:t>Additional cash flow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Interest and income taxes paid in the six months ended December 27, 2008 and December 29, 2007, respectively, were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9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80" w:type="dxa"/>
            <w:vAlign w:val="bottom"/>
            <w:gridSpan w:val="2"/>
          </w:tcPr>
          <w:p>
            <w:pPr>
              <w:jc w:val="right"/>
              <w:ind w:right="1294"/>
              <w:spacing w:after="0"/>
              <w:rPr>
                <w:sz w:val="20"/>
                <w:szCs w:val="20"/>
                <w:color w:val="auto"/>
              </w:rPr>
            </w:pPr>
            <w:r>
              <w:rPr>
                <w:rFonts w:ascii="Arial" w:cs="Arial" w:eastAsia="Arial" w:hAnsi="Arial"/>
                <w:sz w:val="13"/>
                <w:szCs w:val="13"/>
                <w:b w:val="1"/>
                <w:bCs w:val="1"/>
                <w:color w:val="auto"/>
                <w:w w:val="97"/>
              </w:rPr>
              <w:t>Six Months Ended</w:t>
            </w:r>
          </w:p>
        </w:tc>
      </w:tr>
      <w:tr>
        <w:trPr>
          <w:trHeight w:val="165"/>
        </w:trPr>
        <w:tc>
          <w:tcPr>
            <w:tcW w:w="39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20" w:type="dxa"/>
            <w:vAlign w:val="bottom"/>
          </w:tcPr>
          <w:p>
            <w:pPr>
              <w:jc w:val="right"/>
              <w:ind w:right="294"/>
              <w:spacing w:after="0"/>
              <w:rPr>
                <w:sz w:val="20"/>
                <w:szCs w:val="20"/>
                <w:color w:val="auto"/>
              </w:rPr>
            </w:pPr>
            <w:r>
              <w:rPr>
                <w:rFonts w:ascii="Arial" w:cs="Arial" w:eastAsia="Arial" w:hAnsi="Arial"/>
                <w:sz w:val="13"/>
                <w:szCs w:val="13"/>
                <w:b w:val="1"/>
                <w:bCs w:val="1"/>
                <w:color w:val="auto"/>
                <w:w w:val="99"/>
              </w:rPr>
              <w:t>December 27,</w:t>
            </w:r>
          </w:p>
        </w:tc>
        <w:tc>
          <w:tcPr>
            <w:tcW w:w="500" w:type="dxa"/>
            <w:vAlign w:val="bottom"/>
          </w:tcPr>
          <w:p>
            <w:pPr>
              <w:spacing w:after="0"/>
              <w:rPr>
                <w:sz w:val="14"/>
                <w:szCs w:val="14"/>
                <w:color w:val="auto"/>
              </w:rPr>
            </w:pPr>
          </w:p>
        </w:tc>
        <w:tc>
          <w:tcPr>
            <w:tcW w:w="1980" w:type="dxa"/>
            <w:vAlign w:val="bottom"/>
          </w:tcPr>
          <w:p>
            <w:pPr>
              <w:jc w:val="right"/>
              <w:ind w:right="1094"/>
              <w:spacing w:after="0"/>
              <w:rPr>
                <w:sz w:val="20"/>
                <w:szCs w:val="20"/>
                <w:color w:val="auto"/>
              </w:rPr>
            </w:pPr>
            <w:r>
              <w:rPr>
                <w:rFonts w:ascii="Arial" w:cs="Arial" w:eastAsia="Arial" w:hAnsi="Arial"/>
                <w:sz w:val="13"/>
                <w:szCs w:val="13"/>
                <w:b w:val="1"/>
                <w:bCs w:val="1"/>
                <w:color w:val="auto"/>
                <w:w w:val="94"/>
              </w:rPr>
              <w:t>December 29,</w:t>
            </w:r>
          </w:p>
        </w:tc>
      </w:tr>
      <w:tr>
        <w:trPr>
          <w:trHeight w:val="169"/>
        </w:trPr>
        <w:tc>
          <w:tcPr>
            <w:tcW w:w="39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20" w:type="dxa"/>
            <w:vAlign w:val="bottom"/>
          </w:tcPr>
          <w:p>
            <w:pPr>
              <w:jc w:val="right"/>
              <w:ind w:right="414"/>
              <w:spacing w:after="0"/>
              <w:rPr>
                <w:sz w:val="20"/>
                <w:szCs w:val="20"/>
                <w:color w:val="auto"/>
              </w:rPr>
            </w:pPr>
            <w:r>
              <w:rPr>
                <w:rFonts w:ascii="Arial" w:cs="Arial" w:eastAsia="Arial" w:hAnsi="Arial"/>
                <w:sz w:val="13"/>
                <w:szCs w:val="13"/>
                <w:b w:val="1"/>
                <w:bCs w:val="1"/>
                <w:color w:val="auto"/>
              </w:rPr>
              <w:t>2008</w:t>
            </w:r>
          </w:p>
        </w:tc>
        <w:tc>
          <w:tcPr>
            <w:tcW w:w="500" w:type="dxa"/>
            <w:vAlign w:val="bottom"/>
          </w:tcPr>
          <w:p>
            <w:pPr>
              <w:spacing w:after="0"/>
              <w:rPr>
                <w:sz w:val="14"/>
                <w:szCs w:val="14"/>
                <w:color w:val="auto"/>
              </w:rPr>
            </w:pPr>
          </w:p>
        </w:tc>
        <w:tc>
          <w:tcPr>
            <w:tcW w:w="1980" w:type="dxa"/>
            <w:vAlign w:val="bottom"/>
          </w:tcPr>
          <w:p>
            <w:pPr>
              <w:jc w:val="right"/>
              <w:ind w:right="1214"/>
              <w:spacing w:after="0"/>
              <w:rPr>
                <w:sz w:val="20"/>
                <w:szCs w:val="20"/>
                <w:color w:val="auto"/>
              </w:rPr>
            </w:pPr>
            <w:r>
              <w:rPr>
                <w:rFonts w:ascii="Arial" w:cs="Arial" w:eastAsia="Arial" w:hAnsi="Arial"/>
                <w:sz w:val="13"/>
                <w:szCs w:val="13"/>
                <w:b w:val="1"/>
                <w:bCs w:val="1"/>
                <w:color w:val="auto"/>
              </w:rPr>
              <w:t>2007</w:t>
            </w:r>
          </w:p>
        </w:tc>
      </w:tr>
      <w:tr>
        <w:trPr>
          <w:trHeight w:val="177"/>
        </w:trPr>
        <w:tc>
          <w:tcPr>
            <w:tcW w:w="39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Arial" w:cs="Arial" w:eastAsia="Arial" w:hAnsi="Arial"/>
                <w:sz w:val="13"/>
                <w:szCs w:val="13"/>
                <w:b w:val="1"/>
                <w:bCs w:val="1"/>
                <w:color w:val="auto"/>
              </w:rPr>
              <w:t>(Thousands)</w:t>
            </w:r>
          </w:p>
        </w:tc>
        <w:tc>
          <w:tcPr>
            <w:tcW w:w="1980" w:type="dxa"/>
            <w:vAlign w:val="bottom"/>
          </w:tcPr>
          <w:p>
            <w:pPr>
              <w:spacing w:after="0"/>
              <w:rPr>
                <w:sz w:val="15"/>
                <w:szCs w:val="15"/>
                <w:color w:val="auto"/>
              </w:rPr>
            </w:pPr>
          </w:p>
        </w:tc>
      </w:tr>
      <w:tr>
        <w:trPr>
          <w:trHeight w:val="189"/>
        </w:trPr>
        <w:tc>
          <w:tcPr>
            <w:tcW w:w="3900" w:type="dxa"/>
            <w:vAlign w:val="bottom"/>
          </w:tcPr>
          <w:p>
            <w:pPr>
              <w:ind w:left="680"/>
              <w:spacing w:after="0"/>
              <w:rPr>
                <w:sz w:val="20"/>
                <w:szCs w:val="20"/>
                <w:color w:val="auto"/>
              </w:rPr>
            </w:pPr>
            <w:r>
              <w:rPr>
                <w:rFonts w:ascii="Arial" w:cs="Arial" w:eastAsia="Arial" w:hAnsi="Arial"/>
                <w:sz w:val="13"/>
                <w:szCs w:val="13"/>
                <w:color w:val="auto"/>
              </w:rPr>
              <w:t>Interest</w:t>
            </w:r>
          </w:p>
        </w:tc>
        <w:tc>
          <w:tcPr>
            <w:tcW w:w="38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33,730</w:t>
            </w:r>
          </w:p>
        </w:tc>
        <w:tc>
          <w:tcPr>
            <w:tcW w:w="500" w:type="dxa"/>
            <w:vAlign w:val="bottom"/>
          </w:tcPr>
          <w:p>
            <w:pPr>
              <w:jc w:val="right"/>
              <w:ind w:right="74"/>
              <w:spacing w:after="0"/>
              <w:rPr>
                <w:sz w:val="20"/>
                <w:szCs w:val="20"/>
                <w:color w:val="auto"/>
              </w:rPr>
            </w:pPr>
            <w:r>
              <w:rPr>
                <w:rFonts w:ascii="Arial" w:cs="Arial" w:eastAsia="Arial" w:hAnsi="Arial"/>
                <w:sz w:val="13"/>
                <w:szCs w:val="13"/>
                <w:color w:val="auto"/>
              </w:rPr>
              <w:t>$</w:t>
            </w:r>
          </w:p>
        </w:tc>
        <w:tc>
          <w:tcPr>
            <w:tcW w:w="1980" w:type="dxa"/>
            <w:vAlign w:val="bottom"/>
          </w:tcPr>
          <w:p>
            <w:pPr>
              <w:jc w:val="right"/>
              <w:ind w:right="834"/>
              <w:spacing w:after="0"/>
              <w:rPr>
                <w:sz w:val="20"/>
                <w:szCs w:val="20"/>
                <w:color w:val="auto"/>
              </w:rPr>
            </w:pPr>
            <w:r>
              <w:rPr>
                <w:rFonts w:ascii="Arial" w:cs="Arial" w:eastAsia="Arial" w:hAnsi="Arial"/>
                <w:sz w:val="13"/>
                <w:szCs w:val="13"/>
                <w:color w:val="auto"/>
              </w:rPr>
              <w:t>36,132</w:t>
            </w:r>
          </w:p>
        </w:tc>
      </w:tr>
      <w:tr>
        <w:trPr>
          <w:trHeight w:val="165"/>
        </w:trPr>
        <w:tc>
          <w:tcPr>
            <w:tcW w:w="3900" w:type="dxa"/>
            <w:vAlign w:val="bottom"/>
          </w:tcPr>
          <w:p>
            <w:pPr>
              <w:ind w:left="680"/>
              <w:spacing w:after="0"/>
              <w:rPr>
                <w:sz w:val="20"/>
                <w:szCs w:val="20"/>
                <w:color w:val="auto"/>
              </w:rPr>
            </w:pPr>
            <w:r>
              <w:rPr>
                <w:rFonts w:ascii="Arial" w:cs="Arial" w:eastAsia="Arial" w:hAnsi="Arial"/>
                <w:sz w:val="13"/>
                <w:szCs w:val="13"/>
                <w:color w:val="auto"/>
              </w:rPr>
              <w:t>Income taxes, net of refunds</w:t>
            </w:r>
          </w:p>
        </w:tc>
        <w:tc>
          <w:tcPr>
            <w:tcW w:w="3860" w:type="dxa"/>
            <w:vAlign w:val="bottom"/>
          </w:tcPr>
          <w:p>
            <w:pPr>
              <w:spacing w:after="0"/>
              <w:rPr>
                <w:sz w:val="14"/>
                <w:szCs w:val="14"/>
                <w:color w:val="auto"/>
              </w:rPr>
            </w:pPr>
          </w:p>
        </w:tc>
        <w:tc>
          <w:tcPr>
            <w:tcW w:w="1220" w:type="dxa"/>
            <w:vAlign w:val="bottom"/>
          </w:tcPr>
          <w:p>
            <w:pPr>
              <w:jc w:val="right"/>
              <w:ind w:right="34"/>
              <w:spacing w:after="0"/>
              <w:rPr>
                <w:sz w:val="20"/>
                <w:szCs w:val="20"/>
                <w:color w:val="auto"/>
              </w:rPr>
            </w:pPr>
            <w:r>
              <w:rPr>
                <w:rFonts w:ascii="Arial" w:cs="Arial" w:eastAsia="Arial" w:hAnsi="Arial"/>
                <w:sz w:val="13"/>
                <w:szCs w:val="13"/>
                <w:color w:val="auto"/>
              </w:rPr>
              <w:t>18,165</w:t>
            </w:r>
          </w:p>
        </w:tc>
        <w:tc>
          <w:tcPr>
            <w:tcW w:w="500" w:type="dxa"/>
            <w:vAlign w:val="bottom"/>
          </w:tcPr>
          <w:p>
            <w:pPr>
              <w:spacing w:after="0"/>
              <w:rPr>
                <w:sz w:val="14"/>
                <w:szCs w:val="14"/>
                <w:color w:val="auto"/>
              </w:rPr>
            </w:pPr>
          </w:p>
        </w:tc>
        <w:tc>
          <w:tcPr>
            <w:tcW w:w="1980" w:type="dxa"/>
            <w:vAlign w:val="bottom"/>
          </w:tcPr>
          <w:p>
            <w:pPr>
              <w:jc w:val="right"/>
              <w:ind w:right="834"/>
              <w:spacing w:after="0"/>
              <w:rPr>
                <w:sz w:val="20"/>
                <w:szCs w:val="20"/>
                <w:color w:val="auto"/>
              </w:rPr>
            </w:pPr>
            <w:r>
              <w:rPr>
                <w:rFonts w:ascii="Arial" w:cs="Arial" w:eastAsia="Arial" w:hAnsi="Arial"/>
                <w:sz w:val="13"/>
                <w:szCs w:val="13"/>
                <w:color w:val="auto"/>
              </w:rPr>
              <w:t>67,915</w:t>
            </w:r>
          </w:p>
        </w:tc>
      </w:tr>
      <w:tr>
        <w:trPr>
          <w:trHeight w:val="452"/>
        </w:trPr>
        <w:tc>
          <w:tcPr>
            <w:tcW w:w="3900" w:type="dxa"/>
            <w:vAlign w:val="bottom"/>
          </w:tcPr>
          <w:p>
            <w:pPr>
              <w:spacing w:after="0"/>
              <w:rPr>
                <w:sz w:val="24"/>
                <w:szCs w:val="24"/>
                <w:color w:val="auto"/>
              </w:rPr>
            </w:pPr>
          </w:p>
        </w:tc>
        <w:tc>
          <w:tcPr>
            <w:tcW w:w="3860" w:type="dxa"/>
            <w:vAlign w:val="bottom"/>
          </w:tcPr>
          <w:p>
            <w:pPr>
              <w:jc w:val="right"/>
              <w:ind w:right="1954"/>
              <w:spacing w:after="0"/>
              <w:rPr>
                <w:sz w:val="20"/>
                <w:szCs w:val="20"/>
                <w:color w:val="auto"/>
              </w:rPr>
            </w:pPr>
            <w:r>
              <w:rPr>
                <w:rFonts w:ascii="Arial" w:cs="Arial" w:eastAsia="Arial" w:hAnsi="Arial"/>
                <w:sz w:val="13"/>
                <w:szCs w:val="13"/>
                <w:color w:val="auto"/>
              </w:rPr>
              <w:t>10</w:t>
            </w: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3"/>
        </w:trPr>
        <w:tc>
          <w:tcPr>
            <w:tcW w:w="3900" w:type="dxa"/>
            <w:vAlign w:val="bottom"/>
            <w:tcBorders>
              <w:bottom w:val="single" w:sz="8" w:color="808080"/>
            </w:tcBorders>
          </w:tcPr>
          <w:p>
            <w:pPr>
              <w:spacing w:after="0"/>
              <w:rPr>
                <w:sz w:val="14"/>
                <w:szCs w:val="14"/>
                <w:color w:val="auto"/>
              </w:rPr>
            </w:pPr>
          </w:p>
        </w:tc>
        <w:tc>
          <w:tcPr>
            <w:tcW w:w="386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9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5753735</wp:posOffset>
            </wp:positionH>
            <wp:positionV relativeFrom="paragraph">
              <wp:posOffset>-944880</wp:posOffset>
            </wp:positionV>
            <wp:extent cx="18415" cy="6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-732790</wp:posOffset>
            </wp:positionV>
            <wp:extent cx="6350" cy="6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6296660</wp:posOffset>
            </wp:positionH>
            <wp:positionV relativeFrom="paragraph">
              <wp:posOffset>-732790</wp:posOffset>
            </wp:positionV>
            <wp:extent cx="635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28"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500" w:type="dxa"/>
            <w:vAlign w:val="bottom"/>
          </w:tcPr>
          <w:p>
            <w:pPr>
              <w:spacing w:after="0"/>
              <w:rPr>
                <w:sz w:val="20"/>
                <w:szCs w:val="20"/>
                <w:color w:val="auto"/>
              </w:rPr>
            </w:pPr>
            <w:r>
              <w:rPr>
                <w:rFonts w:ascii="Arial" w:cs="Arial" w:eastAsia="Arial" w:hAnsi="Arial"/>
                <w:sz w:val="13"/>
                <w:szCs w:val="13"/>
                <w:b w:val="1"/>
                <w:bCs w:val="1"/>
                <w:color w:val="auto"/>
              </w:rPr>
              <w:t>11.</w:t>
            </w:r>
          </w:p>
        </w:tc>
        <w:tc>
          <w:tcPr>
            <w:tcW w:w="3000" w:type="dxa"/>
            <w:vAlign w:val="bottom"/>
          </w:tcPr>
          <w:p>
            <w:pPr>
              <w:spacing w:after="0"/>
              <w:rPr>
                <w:sz w:val="20"/>
                <w:szCs w:val="20"/>
                <w:color w:val="auto"/>
              </w:rPr>
            </w:pPr>
            <w:r>
              <w:rPr>
                <w:rFonts w:ascii="Arial" w:cs="Arial" w:eastAsia="Arial" w:hAnsi="Arial"/>
                <w:sz w:val="13"/>
                <w:szCs w:val="13"/>
                <w:b w:val="1"/>
                <w:bCs w:val="1"/>
                <w:color w:val="auto"/>
              </w:rPr>
              <w:t>Segment information</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56"/>
        </w:trPr>
        <w:tc>
          <w:tcPr>
            <w:tcW w:w="50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0" w:type="dxa"/>
            <w:vAlign w:val="bottom"/>
            <w:gridSpan w:val="4"/>
          </w:tcPr>
          <w:p>
            <w:pPr>
              <w:jc w:val="right"/>
              <w:ind w:right="580"/>
              <w:spacing w:after="0"/>
              <w:rPr>
                <w:sz w:val="20"/>
                <w:szCs w:val="20"/>
                <w:color w:val="auto"/>
              </w:rPr>
            </w:pPr>
            <w:r>
              <w:rPr>
                <w:rFonts w:ascii="Arial" w:cs="Arial" w:eastAsia="Arial" w:hAnsi="Arial"/>
                <w:sz w:val="13"/>
                <w:szCs w:val="13"/>
                <w:b w:val="1"/>
                <w:bCs w:val="1"/>
                <w:color w:val="auto"/>
                <w:w w:val="94"/>
              </w:rPr>
              <w:t>Second Quarters Ended</w:t>
            </w:r>
          </w:p>
        </w:tc>
        <w:tc>
          <w:tcPr>
            <w:tcW w:w="2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gridSpan w:val="4"/>
          </w:tcPr>
          <w:p>
            <w:pPr>
              <w:jc w:val="right"/>
              <w:ind w:right="560"/>
              <w:spacing w:after="0"/>
              <w:rPr>
                <w:sz w:val="20"/>
                <w:szCs w:val="20"/>
                <w:color w:val="auto"/>
              </w:rPr>
            </w:pPr>
            <w:r>
              <w:rPr>
                <w:rFonts w:ascii="Arial" w:cs="Arial" w:eastAsia="Arial" w:hAnsi="Arial"/>
                <w:sz w:val="13"/>
                <w:szCs w:val="13"/>
                <w:b w:val="1"/>
                <w:bCs w:val="1"/>
                <w:color w:val="auto"/>
                <w:w w:val="95"/>
              </w:rPr>
              <w:t>Six Months Ended</w:t>
            </w:r>
          </w:p>
        </w:tc>
      </w:tr>
      <w:tr>
        <w:trPr>
          <w:trHeight w:val="165"/>
        </w:trPr>
        <w:tc>
          <w:tcPr>
            <w:tcW w:w="5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9"/>
              </w:rPr>
              <w:t>December 27,</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w w:val="99"/>
              </w:rPr>
              <w:t>December 29,</w:t>
            </w:r>
          </w:p>
        </w:tc>
        <w:tc>
          <w:tcPr>
            <w:tcW w:w="200" w:type="dxa"/>
            <w:vAlign w:val="bottom"/>
          </w:tcPr>
          <w:p>
            <w:pPr>
              <w:spacing w:after="0"/>
              <w:rPr>
                <w:sz w:val="14"/>
                <w:szCs w:val="1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4"/>
              </w:rPr>
              <w:t>December 27,</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99"/>
              </w:rPr>
              <w:t>December 29,</w:t>
            </w:r>
          </w:p>
        </w:tc>
      </w:tr>
      <w:tr>
        <w:trPr>
          <w:trHeight w:val="169"/>
        </w:trPr>
        <w:tc>
          <w:tcPr>
            <w:tcW w:w="5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33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314"/>
              <w:spacing w:after="0"/>
              <w:rPr>
                <w:sz w:val="20"/>
                <w:szCs w:val="20"/>
                <w:color w:val="auto"/>
              </w:rPr>
            </w:pPr>
            <w:r>
              <w:rPr>
                <w:rFonts w:ascii="Arial" w:cs="Arial" w:eastAsia="Arial" w:hAnsi="Arial"/>
                <w:sz w:val="13"/>
                <w:szCs w:val="13"/>
                <w:b w:val="1"/>
                <w:bCs w:val="1"/>
                <w:color w:val="auto"/>
              </w:rPr>
              <w:t>2007</w:t>
            </w: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314"/>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314"/>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4"/>
                <w:szCs w:val="14"/>
                <w:color w:val="auto"/>
              </w:rPr>
            </w:pPr>
          </w:p>
        </w:tc>
      </w:tr>
      <w:tr>
        <w:trPr>
          <w:trHeight w:val="177"/>
        </w:trPr>
        <w:tc>
          <w:tcPr>
            <w:tcW w:w="50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gridSpan w:val="3"/>
          </w:tcPr>
          <w:p>
            <w:pPr>
              <w:jc w:val="right"/>
              <w:ind w:right="31"/>
              <w:spacing w:after="0"/>
              <w:rPr>
                <w:sz w:val="20"/>
                <w:szCs w:val="20"/>
                <w:color w:val="auto"/>
              </w:rPr>
            </w:pPr>
            <w:r>
              <w:rPr>
                <w:rFonts w:ascii="Arial" w:cs="Arial" w:eastAsia="Arial" w:hAnsi="Arial"/>
                <w:sz w:val="13"/>
                <w:szCs w:val="13"/>
                <w:b w:val="1"/>
                <w:bCs w:val="1"/>
                <w:color w:val="auto"/>
              </w:rPr>
              <w:t>(Thousands)</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41"/>
        </w:trPr>
        <w:tc>
          <w:tcPr>
            <w:tcW w:w="500" w:type="dxa"/>
            <w:vAlign w:val="bottom"/>
          </w:tcPr>
          <w:p>
            <w:pPr>
              <w:spacing w:after="0"/>
              <w:rPr>
                <w:sz w:val="3"/>
                <w:szCs w:val="3"/>
                <w:color w:val="auto"/>
              </w:rPr>
            </w:pPr>
          </w:p>
        </w:tc>
        <w:tc>
          <w:tcPr>
            <w:tcW w:w="30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57"/>
        </w:trPr>
        <w:tc>
          <w:tcPr>
            <w:tcW w:w="500" w:type="dxa"/>
            <w:vAlign w:val="bottom"/>
            <w:shd w:val="clear" w:color="auto" w:fill="CCEEFF"/>
          </w:tcPr>
          <w:p>
            <w:pPr>
              <w:spacing w:after="0"/>
              <w:rPr>
                <w:sz w:val="20"/>
                <w:szCs w:val="20"/>
                <w:color w:val="auto"/>
              </w:rPr>
            </w:pPr>
            <w:r>
              <w:rPr>
                <w:rFonts w:ascii="Arial" w:cs="Arial" w:eastAsia="Arial" w:hAnsi="Arial"/>
                <w:sz w:val="13"/>
                <w:szCs w:val="13"/>
                <w:color w:val="auto"/>
              </w:rPr>
              <w:t>Sales:</w:t>
            </w:r>
          </w:p>
        </w:tc>
        <w:tc>
          <w:tcPr>
            <w:tcW w:w="3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3500" w:type="dxa"/>
            <w:vAlign w:val="bottom"/>
            <w:gridSpan w:val="2"/>
          </w:tcPr>
          <w:p>
            <w:pPr>
              <w:spacing w:after="0"/>
              <w:rPr>
                <w:sz w:val="20"/>
                <w:szCs w:val="20"/>
                <w:color w:val="auto"/>
              </w:rPr>
            </w:pPr>
            <w:r>
              <w:rPr>
                <w:rFonts w:ascii="Arial" w:cs="Arial" w:eastAsia="Arial" w:hAnsi="Arial"/>
                <w:sz w:val="13"/>
                <w:szCs w:val="13"/>
                <w:color w:val="auto"/>
              </w:rPr>
              <w:t>Electronics Marketing</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2,267,318</w:t>
            </w:r>
          </w:p>
        </w:tc>
        <w:tc>
          <w:tcPr>
            <w:tcW w:w="100" w:type="dxa"/>
            <w:vAlign w:val="bottom"/>
          </w:tcPr>
          <w:p>
            <w:pPr>
              <w:spacing w:after="0"/>
              <w:rPr>
                <w:sz w:val="13"/>
                <w:szCs w:val="13"/>
                <w:color w:val="auto"/>
              </w:rPr>
            </w:pPr>
          </w:p>
        </w:tc>
        <w:tc>
          <w:tcPr>
            <w:tcW w:w="4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2,479,117</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4,968,797</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4,970,311</w:t>
            </w:r>
          </w:p>
        </w:tc>
      </w:tr>
      <w:tr>
        <w:trPr>
          <w:trHeight w:val="157"/>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Technology Solutions</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2,001,860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2,274,028</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3,794,831</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3,881,552</w:t>
            </w:r>
          </w:p>
        </w:tc>
      </w:tr>
      <w:tr>
        <w:trPr>
          <w:trHeight w:val="20"/>
        </w:trPr>
        <w:tc>
          <w:tcPr>
            <w:tcW w:w="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4,269,178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4,753,145</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8,763,628</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8,851,863</w:t>
            </w:r>
          </w:p>
        </w:tc>
      </w:tr>
      <w:tr>
        <w:trPr>
          <w:trHeight w:val="165"/>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Operating income (loss):</w:t>
            </w:r>
          </w:p>
        </w:tc>
        <w:tc>
          <w:tcPr>
            <w:tcW w:w="1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3500" w:type="dxa"/>
            <w:vAlign w:val="bottom"/>
            <w:gridSpan w:val="2"/>
          </w:tcPr>
          <w:p>
            <w:pPr>
              <w:spacing w:after="0"/>
              <w:rPr>
                <w:sz w:val="20"/>
                <w:szCs w:val="20"/>
                <w:color w:val="auto"/>
              </w:rPr>
            </w:pPr>
            <w:r>
              <w:rPr>
                <w:rFonts w:ascii="Arial" w:cs="Arial" w:eastAsia="Arial" w:hAnsi="Arial"/>
                <w:sz w:val="13"/>
                <w:szCs w:val="13"/>
                <w:color w:val="auto"/>
              </w:rPr>
              <w:t>Electronics Marketing</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99,092</w:t>
            </w:r>
          </w:p>
        </w:tc>
        <w:tc>
          <w:tcPr>
            <w:tcW w:w="100" w:type="dxa"/>
            <w:vAlign w:val="bottom"/>
          </w:tcPr>
          <w:p>
            <w:pPr>
              <w:spacing w:after="0"/>
              <w:rPr>
                <w:sz w:val="13"/>
                <w:szCs w:val="13"/>
                <w:color w:val="auto"/>
              </w:rPr>
            </w:pPr>
          </w:p>
        </w:tc>
        <w:tc>
          <w:tcPr>
            <w:tcW w:w="480" w:type="dxa"/>
            <w:vAlign w:val="bottom"/>
            <w:gridSpan w:val="2"/>
          </w:tcPr>
          <w:p>
            <w:pPr>
              <w:jc w:val="right"/>
              <w:ind w:right="34"/>
              <w:spacing w:after="0"/>
              <w:rPr>
                <w:sz w:val="20"/>
                <w:szCs w:val="20"/>
                <w:color w:val="auto"/>
              </w:rPr>
            </w:pPr>
            <w:r>
              <w:rPr>
                <w:rFonts w:ascii="Arial" w:cs="Arial" w:eastAsia="Arial" w:hAnsi="Arial"/>
                <w:sz w:val="13"/>
                <w:szCs w:val="13"/>
                <w:color w:val="auto"/>
              </w:rPr>
              <w:t>$</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126,607</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237,798</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256,778</w:t>
            </w:r>
          </w:p>
        </w:tc>
      </w:tr>
      <w:tr>
        <w:trPr>
          <w:trHeight w:val="157"/>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Technology Solutions</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66,880</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99,345</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117,987</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157,874</w:t>
            </w:r>
          </w:p>
        </w:tc>
      </w:tr>
      <w:tr>
        <w:trPr>
          <w:trHeight w:val="157"/>
        </w:trPr>
        <w:tc>
          <w:tcPr>
            <w:tcW w:w="3500" w:type="dxa"/>
            <w:vAlign w:val="bottom"/>
            <w:gridSpan w:val="2"/>
          </w:tcPr>
          <w:p>
            <w:pPr>
              <w:spacing w:after="0"/>
              <w:rPr>
                <w:sz w:val="20"/>
                <w:szCs w:val="20"/>
                <w:color w:val="auto"/>
              </w:rPr>
            </w:pPr>
            <w:r>
              <w:rPr>
                <w:rFonts w:ascii="Arial" w:cs="Arial" w:eastAsia="Arial" w:hAnsi="Arial"/>
                <w:sz w:val="13"/>
                <w:szCs w:val="13"/>
                <w:color w:val="auto"/>
              </w:rPr>
              <w:t>Corporate</w:t>
            </w:r>
          </w:p>
        </w:tc>
        <w:tc>
          <w:tcPr>
            <w:tcW w:w="180" w:type="dxa"/>
            <w:vAlign w:val="bottom"/>
          </w:tcPr>
          <w:p>
            <w:pPr>
              <w:spacing w:after="0"/>
              <w:rPr>
                <w:sz w:val="13"/>
                <w:szCs w:val="13"/>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3"/>
                <w:szCs w:val="13"/>
                <w:color w:val="auto"/>
              </w:rPr>
              <w:t>(12,731)</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3"/>
                <w:szCs w:val="13"/>
                <w:color w:val="auto"/>
              </w:rPr>
              <w:t>(18,085)</w:t>
            </w:r>
          </w:p>
        </w:tc>
        <w:tc>
          <w:tcPr>
            <w:tcW w:w="20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(38,028)</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(41,589)</w:t>
            </w:r>
          </w:p>
        </w:tc>
      </w:tr>
      <w:tr>
        <w:trPr>
          <w:trHeight w:val="20"/>
        </w:trPr>
        <w:tc>
          <w:tcPr>
            <w:tcW w:w="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00" w:type="dxa"/>
            <w:vAlign w:val="bottom"/>
            <w:shd w:val="clear" w:color="auto" w:fill="CCEEFF"/>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153,241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207,867</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317,757</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373,063</w:t>
            </w:r>
          </w:p>
        </w:tc>
      </w:tr>
      <w:tr>
        <w:trPr>
          <w:trHeight w:val="157"/>
        </w:trPr>
        <w:tc>
          <w:tcPr>
            <w:tcW w:w="3500" w:type="dxa"/>
            <w:vAlign w:val="bottom"/>
            <w:gridSpan w:val="2"/>
          </w:tcPr>
          <w:p>
            <w:pPr>
              <w:spacing w:after="0"/>
              <w:rPr>
                <w:sz w:val="20"/>
                <w:szCs w:val="20"/>
                <w:color w:val="auto"/>
              </w:rPr>
            </w:pPr>
            <w:r>
              <w:rPr>
                <w:rFonts w:ascii="Arial" w:cs="Arial" w:eastAsia="Arial" w:hAnsi="Arial"/>
                <w:sz w:val="13"/>
                <w:szCs w:val="13"/>
                <w:color w:val="auto"/>
              </w:rPr>
              <w:t>Impairment charges (Note 4)</w:t>
            </w:r>
          </w:p>
        </w:tc>
        <w:tc>
          <w:tcPr>
            <w:tcW w:w="180" w:type="dxa"/>
            <w:vAlign w:val="bottom"/>
          </w:tcPr>
          <w:p>
            <w:pPr>
              <w:spacing w:after="0"/>
              <w:rPr>
                <w:sz w:val="13"/>
                <w:szCs w:val="13"/>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3"/>
                <w:szCs w:val="13"/>
                <w:color w:val="auto"/>
              </w:rPr>
              <w:t>(1,348,845)</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(1,348,845)</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Restructuring, integration and other charges (Note 12)</w:t>
            </w:r>
          </w:p>
        </w:tc>
        <w:tc>
          <w:tcPr>
            <w:tcW w:w="1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(13,149)</w:t>
            </w: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(19,310)</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3500" w:type="dxa"/>
            <w:vAlign w:val="bottom"/>
            <w:gridSpan w:val="2"/>
          </w:tcPr>
          <w:p>
            <w:pPr>
              <w:spacing w:after="0"/>
              <w:rPr>
                <w:sz w:val="20"/>
                <w:szCs w:val="20"/>
                <w:color w:val="auto"/>
              </w:rPr>
            </w:pPr>
            <w:r>
              <w:rPr>
                <w:rFonts w:ascii="Arial" w:cs="Arial" w:eastAsia="Arial" w:hAnsi="Arial"/>
                <w:sz w:val="13"/>
                <w:szCs w:val="13"/>
                <w:color w:val="auto"/>
              </w:rPr>
              <w:t>Incremental intangible asset amortization</w:t>
            </w: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3"/>
                <w:szCs w:val="13"/>
                <w:color w:val="auto"/>
              </w:rPr>
              <w:t>(3,830)</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20"/>
        </w:trPr>
        <w:tc>
          <w:tcPr>
            <w:tcW w:w="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500" w:type="dxa"/>
            <w:vAlign w:val="bottom"/>
            <w:shd w:val="clear" w:color="auto" w:fill="CCEEFF"/>
          </w:tcPr>
          <w:p>
            <w:pPr>
              <w:spacing w:after="0"/>
              <w:rPr>
                <w:sz w:val="14"/>
                <w:szCs w:val="14"/>
                <w:color w:val="auto"/>
              </w:rPr>
            </w:pPr>
          </w:p>
        </w:tc>
        <w:tc>
          <w:tcPr>
            <w:tcW w:w="30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(1,208,753)</w:t>
            </w:r>
          </w:p>
        </w:tc>
        <w:tc>
          <w:tcPr>
            <w:tcW w:w="48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207,867</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(1,054,228)</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373,063</w:t>
            </w:r>
          </w:p>
        </w:tc>
      </w:tr>
      <w:tr>
        <w:trPr>
          <w:trHeight w:val="166"/>
        </w:trPr>
        <w:tc>
          <w:tcPr>
            <w:tcW w:w="3500" w:type="dxa"/>
            <w:vAlign w:val="bottom"/>
            <w:gridSpan w:val="2"/>
          </w:tcPr>
          <w:p>
            <w:pPr>
              <w:spacing w:after="0"/>
              <w:rPr>
                <w:sz w:val="20"/>
                <w:szCs w:val="20"/>
                <w:color w:val="auto"/>
              </w:rPr>
            </w:pPr>
            <w:r>
              <w:rPr>
                <w:rFonts w:ascii="Arial" w:cs="Arial" w:eastAsia="Arial" w:hAnsi="Arial"/>
                <w:sz w:val="13"/>
                <w:szCs w:val="13"/>
                <w:color w:val="auto"/>
              </w:rPr>
              <w:t>Sales, by geographic area:</w:t>
            </w:r>
          </w:p>
        </w:tc>
        <w:tc>
          <w:tcPr>
            <w:tcW w:w="1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Americas</w:t>
            </w:r>
            <w:r>
              <w:rPr>
                <w:rFonts w:ascii="Arial" w:cs="Arial" w:eastAsia="Arial" w:hAnsi="Arial"/>
                <w:sz w:val="11"/>
                <w:szCs w:val="11"/>
                <w:color w:val="auto"/>
              </w:rPr>
              <w:t>(1)</w:t>
            </w:r>
          </w:p>
        </w:tc>
        <w:tc>
          <w:tcPr>
            <w:tcW w:w="1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2,117,279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2,360,055</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4,134,450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4,344,403</w:t>
            </w:r>
          </w:p>
        </w:tc>
      </w:tr>
      <w:tr>
        <w:trPr>
          <w:trHeight w:val="157"/>
        </w:trPr>
        <w:tc>
          <w:tcPr>
            <w:tcW w:w="500" w:type="dxa"/>
            <w:vAlign w:val="bottom"/>
          </w:tcPr>
          <w:p>
            <w:pPr>
              <w:spacing w:after="0"/>
              <w:rPr>
                <w:sz w:val="20"/>
                <w:szCs w:val="20"/>
                <w:color w:val="auto"/>
              </w:rPr>
            </w:pPr>
            <w:r>
              <w:rPr>
                <w:rFonts w:ascii="Arial" w:cs="Arial" w:eastAsia="Arial" w:hAnsi="Arial"/>
                <w:sz w:val="13"/>
                <w:szCs w:val="13"/>
                <w:color w:val="auto"/>
                <w:w w:val="95"/>
              </w:rPr>
              <w:t>EMEA</w:t>
            </w:r>
            <w:r>
              <w:rPr>
                <w:rFonts w:ascii="Arial" w:cs="Arial" w:eastAsia="Arial" w:hAnsi="Arial"/>
                <w:sz w:val="11"/>
                <w:szCs w:val="11"/>
                <w:color w:val="auto"/>
                <w:w w:val="95"/>
              </w:rPr>
              <w:t>(2)</w:t>
            </w:r>
          </w:p>
        </w:tc>
        <w:tc>
          <w:tcPr>
            <w:tcW w:w="3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1,363,831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1,527,675</w:t>
            </w:r>
          </w:p>
        </w:tc>
        <w:tc>
          <w:tcPr>
            <w:tcW w:w="200" w:type="dxa"/>
            <w:vAlign w:val="bottom"/>
          </w:tcPr>
          <w:p>
            <w:pPr>
              <w:spacing w:after="0"/>
              <w:rPr>
                <w:sz w:val="13"/>
                <w:szCs w:val="13"/>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2,860,303</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2,782,482</w:t>
            </w:r>
          </w:p>
        </w:tc>
      </w:tr>
      <w:tr>
        <w:trPr>
          <w:trHeight w:val="157"/>
        </w:trPr>
        <w:tc>
          <w:tcPr>
            <w:tcW w:w="3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Asia/Pacific</w:t>
            </w:r>
            <w:r>
              <w:rPr>
                <w:rFonts w:ascii="Arial" w:cs="Arial" w:eastAsia="Arial" w:hAnsi="Arial"/>
                <w:sz w:val="11"/>
                <w:szCs w:val="11"/>
                <w:color w:val="auto"/>
              </w:rPr>
              <w:t>(3)</w:t>
            </w: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788,068</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865,415</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1,768,875</w:t>
            </w: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1,724,978</w:t>
            </w:r>
          </w:p>
        </w:tc>
      </w:tr>
      <w:tr>
        <w:trPr>
          <w:trHeight w:val="20"/>
        </w:trPr>
        <w:tc>
          <w:tcPr>
            <w:tcW w:w="5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0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4,269,178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520" w:type="dxa"/>
            <w:vAlign w:val="bottom"/>
            <w:gridSpan w:val="2"/>
          </w:tcPr>
          <w:p>
            <w:pPr>
              <w:jc w:val="right"/>
              <w:ind w:right="400"/>
              <w:spacing w:after="0"/>
              <w:rPr>
                <w:sz w:val="20"/>
                <w:szCs w:val="20"/>
                <w:color w:val="auto"/>
              </w:rPr>
            </w:pPr>
            <w:r>
              <w:rPr>
                <w:rFonts w:ascii="Arial" w:cs="Arial" w:eastAsia="Arial" w:hAnsi="Arial"/>
                <w:sz w:val="13"/>
                <w:szCs w:val="13"/>
                <w:color w:val="auto"/>
              </w:rPr>
              <w:t>4,753,145</w:t>
            </w:r>
          </w:p>
        </w:tc>
        <w:tc>
          <w:tcPr>
            <w:tcW w:w="200" w:type="dxa"/>
            <w:vAlign w:val="bottom"/>
          </w:tcPr>
          <w:p>
            <w:pPr>
              <w:jc w:val="right"/>
              <w:ind w:right="91"/>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8,763,628</w:t>
            </w: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3"/>
                <w:szCs w:val="13"/>
                <w:color w:val="auto"/>
              </w:rPr>
              <w:t>8,851,863</w:t>
            </w:r>
          </w:p>
        </w:tc>
      </w:tr>
      <w:tr>
        <w:trPr>
          <w:trHeight w:val="30"/>
        </w:trPr>
        <w:tc>
          <w:tcPr>
            <w:tcW w:w="5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-2258695</wp:posOffset>
            </wp:positionV>
            <wp:extent cx="1841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5760085</wp:posOffset>
            </wp:positionH>
            <wp:positionV relativeFrom="paragraph">
              <wp:posOffset>-2258695</wp:posOffset>
            </wp:positionV>
            <wp:extent cx="18415"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3070225</wp:posOffset>
            </wp:positionH>
            <wp:positionV relativeFrom="paragraph">
              <wp:posOffset>-2046605</wp:posOffset>
            </wp:positionV>
            <wp:extent cx="635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-2046605</wp:posOffset>
            </wp:positionV>
            <wp:extent cx="635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-2046605</wp:posOffset>
            </wp:positionV>
            <wp:extent cx="635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6296660</wp:posOffset>
            </wp:positionH>
            <wp:positionV relativeFrom="paragraph">
              <wp:posOffset>-2046605</wp:posOffset>
            </wp:positionV>
            <wp:extent cx="6350"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89" w:lineRule="exact"/>
        <w:rPr>
          <w:sz w:val="20"/>
          <w:szCs w:val="20"/>
          <w:color w:val="auto"/>
        </w:rPr>
      </w:pPr>
    </w:p>
    <w:p>
      <w:pPr>
        <w:ind w:left="1000" w:right="340" w:hanging="313"/>
        <w:spacing w:after="0" w:line="276" w:lineRule="auto"/>
        <w:tabs>
          <w:tab w:leader="none" w:pos="1000" w:val="left"/>
        </w:tabs>
        <w:numPr>
          <w:ilvl w:val="0"/>
          <w:numId w:val="8"/>
        </w:numPr>
        <w:rPr>
          <w:rFonts w:ascii="Arial" w:cs="Arial" w:eastAsia="Arial" w:hAnsi="Arial"/>
          <w:sz w:val="11"/>
          <w:szCs w:val="11"/>
          <w:color w:val="auto"/>
        </w:rPr>
      </w:pPr>
      <w:r>
        <w:rPr>
          <w:rFonts w:ascii="Arial" w:cs="Arial" w:eastAsia="Arial" w:hAnsi="Arial"/>
          <w:sz w:val="13"/>
          <w:szCs w:val="13"/>
          <w:color w:val="auto"/>
        </w:rPr>
        <w:t>Includes sales in the United States of $1.92 billion and $2.15 billion for the second quarters ended December 27, 2008 and December 29, 2007, respectively. Includes sales in the United States of $3.75 billion and $3.97 billion for the first half of fiscal 2008 and 2007, respectively.</w:t>
      </w:r>
    </w:p>
    <w:p>
      <w:pPr>
        <w:spacing w:after="0" w:line="10" w:lineRule="exact"/>
        <w:rPr>
          <w:rFonts w:ascii="Arial" w:cs="Arial" w:eastAsia="Arial" w:hAnsi="Arial"/>
          <w:sz w:val="11"/>
          <w:szCs w:val="11"/>
          <w:color w:val="auto"/>
        </w:rPr>
      </w:pPr>
    </w:p>
    <w:p>
      <w:pPr>
        <w:ind w:left="1000" w:hanging="313"/>
        <w:spacing w:after="0" w:line="260" w:lineRule="auto"/>
        <w:tabs>
          <w:tab w:leader="none" w:pos="1000" w:val="left"/>
        </w:tabs>
        <w:numPr>
          <w:ilvl w:val="0"/>
          <w:numId w:val="8"/>
        </w:numPr>
        <w:rPr>
          <w:rFonts w:ascii="Arial" w:cs="Arial" w:eastAsia="Arial" w:hAnsi="Arial"/>
          <w:sz w:val="11"/>
          <w:szCs w:val="11"/>
          <w:color w:val="auto"/>
        </w:rPr>
      </w:pPr>
      <w:r>
        <w:rPr>
          <w:rFonts w:ascii="Arial" w:cs="Arial" w:eastAsia="Arial" w:hAnsi="Arial"/>
          <w:sz w:val="13"/>
          <w:szCs w:val="13"/>
          <w:color w:val="auto"/>
        </w:rPr>
        <w:t>Includes sales in Germany and the United Kingdom of $474.4 million and $227.7 million, respectively, for the second quarter ended December 27, 2008. Includes sales in Germany and the United Kingdom of $1.03 billion and $477.7 million, respectively, for the first half of fiscal 2009. Includes sales in Germany of $541.2 million and $1.01 billion for the second quarter and first half of fiscal 2008, respectively. For the second quarter and first half of fiscal 2008, sales in the United Kingdom were not a significant component of consolidated sales.</w:t>
      </w:r>
    </w:p>
    <w:p>
      <w:pPr>
        <w:spacing w:after="0" w:line="20" w:lineRule="exact"/>
        <w:rPr>
          <w:rFonts w:ascii="Arial" w:cs="Arial" w:eastAsia="Arial" w:hAnsi="Arial"/>
          <w:sz w:val="11"/>
          <w:szCs w:val="11"/>
          <w:color w:val="auto"/>
        </w:rPr>
      </w:pPr>
    </w:p>
    <w:p>
      <w:pPr>
        <w:ind w:left="1000" w:right="40" w:hanging="313"/>
        <w:spacing w:after="0" w:line="277" w:lineRule="auto"/>
        <w:tabs>
          <w:tab w:leader="none" w:pos="1000" w:val="left"/>
        </w:tabs>
        <w:numPr>
          <w:ilvl w:val="0"/>
          <w:numId w:val="8"/>
        </w:numPr>
        <w:rPr>
          <w:rFonts w:ascii="Arial" w:cs="Arial" w:eastAsia="Arial" w:hAnsi="Arial"/>
          <w:sz w:val="10"/>
          <w:szCs w:val="10"/>
          <w:color w:val="auto"/>
        </w:rPr>
      </w:pPr>
      <w:r>
        <w:rPr>
          <w:rFonts w:ascii="Arial" w:cs="Arial" w:eastAsia="Arial" w:hAnsi="Arial"/>
          <w:sz w:val="12"/>
          <w:szCs w:val="12"/>
          <w:color w:val="auto"/>
        </w:rPr>
        <w:t>Includes sales in Taiwan, Singapore and Hong Kong of $234.9 million, $215.6 million and $303.2 million, respectively, for the second quarter of fiscal 2009. Includes sales in Taiwan, Singapore and Hong Kong of $567.9 million, $465.3 million and $601.4 million, respectively, for the first half of fiscal 2009. Includes sales in Taiwan, Singapore and Hong Kong of $274.7 million, $237.7 million and $216.2 million, respectively, for the second quarter of fiscal 2008. Includes sales in Taiwan, Singapore and Hong Kong of</w:t>
      </w:r>
    </w:p>
    <w:p>
      <w:pPr>
        <w:spacing w:after="0" w:line="1" w:lineRule="exact"/>
        <w:rPr>
          <w:rFonts w:ascii="Arial" w:cs="Arial" w:eastAsia="Arial" w:hAnsi="Arial"/>
          <w:sz w:val="10"/>
          <w:szCs w:val="10"/>
          <w:color w:val="auto"/>
        </w:rPr>
      </w:pPr>
    </w:p>
    <w:p>
      <w:pPr>
        <w:ind w:left="1000"/>
        <w:spacing w:after="0"/>
        <w:rPr>
          <w:rFonts w:ascii="Arial" w:cs="Arial" w:eastAsia="Arial" w:hAnsi="Arial"/>
          <w:sz w:val="10"/>
          <w:szCs w:val="10"/>
          <w:color w:val="auto"/>
        </w:rPr>
      </w:pPr>
      <w:r>
        <w:rPr>
          <w:rFonts w:ascii="Arial" w:cs="Arial" w:eastAsia="Arial" w:hAnsi="Arial"/>
          <w:sz w:val="13"/>
          <w:szCs w:val="13"/>
          <w:color w:val="auto"/>
        </w:rPr>
        <w:t>$552.0 million, $454.2 million and $442.5 million, respectively, for the first half of fiscal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-1048385</wp:posOffset>
            </wp:positionV>
            <wp:extent cx="14605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60500" cy="6350"/>
                    </a:xfrm>
                    <a:prstGeom prst="rect">
                      <a:avLst/>
                    </a:prstGeom>
                    <a:noFill/>
                  </pic:spPr>
                </pic:pic>
              </a:graphicData>
            </a:graphic>
          </wp:anchor>
        </w:drawing>
      </w:r>
    </w:p>
    <w:p>
      <w:pPr>
        <w:spacing w:after="0" w:line="35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8"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230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w w:val="94"/>
              </w:rPr>
              <w:t>December 27,</w:t>
            </w:r>
          </w:p>
        </w:tc>
        <w:tc>
          <w:tcPr>
            <w:tcW w:w="22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June 28,</w:t>
            </w:r>
          </w:p>
        </w:tc>
        <w:tc>
          <w:tcPr>
            <w:tcW w:w="0" w:type="dxa"/>
            <w:vAlign w:val="bottom"/>
          </w:tcPr>
          <w:p>
            <w:pPr>
              <w:spacing w:after="0"/>
              <w:rPr>
                <w:sz w:val="1"/>
                <w:szCs w:val="1"/>
                <w:color w:val="auto"/>
              </w:rPr>
            </w:pPr>
          </w:p>
        </w:tc>
      </w:tr>
      <w:tr>
        <w:trPr>
          <w:trHeight w:val="169"/>
        </w:trPr>
        <w:tc>
          <w:tcPr>
            <w:tcW w:w="23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34"/>
              <w:spacing w:after="0"/>
              <w:rPr>
                <w:sz w:val="20"/>
                <w:szCs w:val="20"/>
                <w:color w:val="auto"/>
              </w:rPr>
            </w:pPr>
            <w:r>
              <w:rPr>
                <w:rFonts w:ascii="Arial" w:cs="Arial" w:eastAsia="Arial" w:hAnsi="Arial"/>
                <w:sz w:val="13"/>
                <w:szCs w:val="13"/>
                <w:b w:val="1"/>
                <w:bCs w:val="1"/>
                <w:color w:val="auto"/>
              </w:rPr>
              <w:t>2008</w:t>
            </w: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214"/>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3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right"/>
              <w:ind w:right="31"/>
              <w:spacing w:after="0"/>
              <w:rPr>
                <w:sz w:val="20"/>
                <w:szCs w:val="20"/>
                <w:color w:val="auto"/>
              </w:rPr>
            </w:pPr>
            <w:r>
              <w:rPr>
                <w:rFonts w:ascii="Arial" w:cs="Arial" w:eastAsia="Arial" w:hAnsi="Arial"/>
                <w:sz w:val="13"/>
                <w:szCs w:val="13"/>
                <w:b w:val="1"/>
                <w:bCs w:val="1"/>
                <w:color w:val="auto"/>
              </w:rPr>
              <w:t>(Thousands)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300" w:type="dxa"/>
            <w:vAlign w:val="bottom"/>
          </w:tcPr>
          <w:p>
            <w:pPr>
              <w:spacing w:after="0"/>
              <w:rPr>
                <w:sz w:val="3"/>
                <w:szCs w:val="3"/>
                <w:color w:val="auto"/>
              </w:rPr>
            </w:pPr>
          </w:p>
        </w:tc>
        <w:tc>
          <w:tcPr>
            <w:tcW w:w="5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00" w:type="dxa"/>
            <w:vAlign w:val="bottom"/>
            <w:gridSpan w:val="2"/>
          </w:tcPr>
          <w:p>
            <w:pPr>
              <w:ind w:left="140"/>
              <w:spacing w:after="0"/>
              <w:rPr>
                <w:sz w:val="20"/>
                <w:szCs w:val="20"/>
                <w:color w:val="auto"/>
              </w:rPr>
            </w:pPr>
            <w:r>
              <w:rPr>
                <w:rFonts w:ascii="Arial" w:cs="Arial" w:eastAsia="Arial" w:hAnsi="Arial"/>
                <w:sz w:val="13"/>
                <w:szCs w:val="13"/>
                <w:color w:val="auto"/>
              </w:rPr>
              <w:t>Electronics Marketing</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3,886,525</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5,140,468</w:t>
            </w:r>
          </w:p>
        </w:tc>
        <w:tc>
          <w:tcPr>
            <w:tcW w:w="0" w:type="dxa"/>
            <w:vAlign w:val="bottom"/>
          </w:tcPr>
          <w:p>
            <w:pPr>
              <w:spacing w:after="0"/>
              <w:rPr>
                <w:sz w:val="1"/>
                <w:szCs w:val="1"/>
                <w:color w:val="auto"/>
              </w:rPr>
            </w:pPr>
          </w:p>
        </w:tc>
      </w:tr>
      <w:tr>
        <w:trPr>
          <w:trHeight w:val="157"/>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Technology Solutions</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2,590,282</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2,785,103</w:t>
            </w:r>
          </w:p>
        </w:tc>
        <w:tc>
          <w:tcPr>
            <w:tcW w:w="0" w:type="dxa"/>
            <w:vAlign w:val="bottom"/>
          </w:tcPr>
          <w:p>
            <w:pPr>
              <w:spacing w:after="0"/>
              <w:rPr>
                <w:sz w:val="1"/>
                <w:szCs w:val="1"/>
                <w:color w:val="auto"/>
              </w:rPr>
            </w:pPr>
          </w:p>
        </w:tc>
      </w:tr>
      <w:tr>
        <w:trPr>
          <w:trHeight w:val="157"/>
        </w:trPr>
        <w:tc>
          <w:tcPr>
            <w:tcW w:w="7300" w:type="dxa"/>
            <w:vAlign w:val="bottom"/>
            <w:gridSpan w:val="2"/>
          </w:tcPr>
          <w:p>
            <w:pPr>
              <w:ind w:left="140"/>
              <w:spacing w:after="0"/>
              <w:rPr>
                <w:sz w:val="20"/>
                <w:szCs w:val="20"/>
                <w:color w:val="auto"/>
              </w:rPr>
            </w:pPr>
            <w:r>
              <w:rPr>
                <w:rFonts w:ascii="Arial" w:cs="Arial" w:eastAsia="Arial" w:hAnsi="Arial"/>
                <w:sz w:val="13"/>
                <w:szCs w:val="13"/>
                <w:color w:val="auto"/>
              </w:rPr>
              <w:t>Corporate</w:t>
            </w:r>
          </w:p>
        </w:tc>
        <w:tc>
          <w:tcPr>
            <w:tcW w:w="12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260,144</w:t>
            </w:r>
          </w:p>
        </w:tc>
        <w:tc>
          <w:tcPr>
            <w:tcW w:w="2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274,559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300" w:type="dxa"/>
            <w:vAlign w:val="bottom"/>
            <w:shd w:val="clear" w:color="auto" w:fill="CCEEFF"/>
          </w:tcPr>
          <w:p>
            <w:pPr>
              <w:spacing w:after="0"/>
              <w:rPr>
                <w:sz w:val="13"/>
                <w:szCs w:val="13"/>
                <w:color w:val="auto"/>
              </w:rPr>
            </w:pPr>
          </w:p>
        </w:tc>
        <w:tc>
          <w:tcPr>
            <w:tcW w:w="50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6,736,951</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8,200,130</w:t>
            </w:r>
          </w:p>
        </w:tc>
        <w:tc>
          <w:tcPr>
            <w:tcW w:w="0" w:type="dxa"/>
            <w:vAlign w:val="bottom"/>
          </w:tcPr>
          <w:p>
            <w:pPr>
              <w:spacing w:after="0"/>
              <w:rPr>
                <w:sz w:val="1"/>
                <w:szCs w:val="1"/>
                <w:color w:val="auto"/>
              </w:rPr>
            </w:pPr>
          </w:p>
        </w:tc>
      </w:tr>
      <w:tr>
        <w:trPr>
          <w:trHeight w:val="29"/>
        </w:trPr>
        <w:tc>
          <w:tcPr>
            <w:tcW w:w="7300" w:type="dxa"/>
            <w:vAlign w:val="bottom"/>
            <w:gridSpan w:val="2"/>
            <w:vMerge w:val="restart"/>
          </w:tcPr>
          <w:p>
            <w:pPr>
              <w:spacing w:after="0"/>
              <w:rPr>
                <w:sz w:val="20"/>
                <w:szCs w:val="20"/>
                <w:color w:val="auto"/>
              </w:rPr>
            </w:pPr>
            <w:r>
              <w:rPr>
                <w:rFonts w:ascii="Arial" w:cs="Arial" w:eastAsia="Arial" w:hAnsi="Arial"/>
                <w:sz w:val="13"/>
                <w:szCs w:val="13"/>
                <w:color w:val="auto"/>
              </w:rPr>
              <w:t>Property, plant, and equipment, net, by geographic area Americas</w:t>
            </w:r>
            <w:r>
              <w:rPr>
                <w:rFonts w:ascii="Arial" w:cs="Arial" w:eastAsia="Arial" w:hAnsi="Arial"/>
                <w:sz w:val="11"/>
                <w:szCs w:val="11"/>
                <w:color w:val="auto"/>
              </w:rPr>
              <w:t>(4)</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300" w:type="dxa"/>
            <w:vAlign w:val="bottom"/>
            <w:gridSpan w:val="2"/>
            <w:vMerge w:val="continue"/>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167,706</w:t>
            </w:r>
          </w:p>
        </w:tc>
        <w:tc>
          <w:tcPr>
            <w:tcW w:w="220" w:type="dxa"/>
            <w:vAlign w:val="bottom"/>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148,872</w:t>
            </w:r>
          </w:p>
        </w:tc>
        <w:tc>
          <w:tcPr>
            <w:tcW w:w="0" w:type="dxa"/>
            <w:vAlign w:val="bottom"/>
          </w:tcPr>
          <w:p>
            <w:pPr>
              <w:spacing w:after="0"/>
              <w:rPr>
                <w:sz w:val="1"/>
                <w:szCs w:val="1"/>
                <w:color w:val="auto"/>
              </w:rPr>
            </w:pPr>
          </w:p>
        </w:tc>
      </w:tr>
      <w:tr>
        <w:trPr>
          <w:trHeight w:val="158"/>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EMEA</w:t>
            </w:r>
            <w:r>
              <w:rPr>
                <w:rFonts w:ascii="Arial" w:cs="Arial" w:eastAsia="Arial" w:hAnsi="Arial"/>
                <w:sz w:val="11"/>
                <w:szCs w:val="11"/>
                <w:color w:val="auto"/>
              </w:rPr>
              <w:t>(5)</w:t>
            </w:r>
          </w:p>
        </w:tc>
        <w:tc>
          <w:tcPr>
            <w:tcW w:w="12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64,327</w:t>
            </w:r>
          </w:p>
        </w:tc>
        <w:tc>
          <w:tcPr>
            <w:tcW w:w="2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64,880</w:t>
            </w:r>
          </w:p>
        </w:tc>
        <w:tc>
          <w:tcPr>
            <w:tcW w:w="0" w:type="dxa"/>
            <w:vAlign w:val="bottom"/>
          </w:tcPr>
          <w:p>
            <w:pPr>
              <w:spacing w:after="0"/>
              <w:rPr>
                <w:sz w:val="1"/>
                <w:szCs w:val="1"/>
                <w:color w:val="auto"/>
              </w:rPr>
            </w:pPr>
          </w:p>
        </w:tc>
      </w:tr>
      <w:tr>
        <w:trPr>
          <w:trHeight w:val="157"/>
        </w:trPr>
        <w:tc>
          <w:tcPr>
            <w:tcW w:w="7300" w:type="dxa"/>
            <w:vAlign w:val="bottom"/>
            <w:gridSpan w:val="2"/>
          </w:tcPr>
          <w:p>
            <w:pPr>
              <w:ind w:left="140"/>
              <w:spacing w:after="0"/>
              <w:rPr>
                <w:sz w:val="20"/>
                <w:szCs w:val="20"/>
                <w:color w:val="auto"/>
              </w:rPr>
            </w:pPr>
            <w:r>
              <w:rPr>
                <w:rFonts w:ascii="Arial" w:cs="Arial" w:eastAsia="Arial" w:hAnsi="Arial"/>
                <w:sz w:val="13"/>
                <w:szCs w:val="13"/>
                <w:color w:val="auto"/>
              </w:rPr>
              <w:t>Asia/Pacific</w:t>
            </w:r>
          </w:p>
        </w:tc>
        <w:tc>
          <w:tcPr>
            <w:tcW w:w="12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3"/>
                <w:szCs w:val="13"/>
                <w:color w:val="auto"/>
              </w:rPr>
              <w:t>18,658</w:t>
            </w:r>
          </w:p>
        </w:tc>
        <w:tc>
          <w:tcPr>
            <w:tcW w:w="2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3"/>
                <w:szCs w:val="13"/>
                <w:color w:val="auto"/>
              </w:rPr>
              <w:t>13,435</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300" w:type="dxa"/>
            <w:vAlign w:val="bottom"/>
            <w:shd w:val="clear" w:color="auto" w:fill="CCEEFF"/>
          </w:tcPr>
          <w:p>
            <w:pPr>
              <w:spacing w:after="0"/>
              <w:rPr>
                <w:sz w:val="14"/>
                <w:szCs w:val="14"/>
                <w:color w:val="auto"/>
              </w:rPr>
            </w:pPr>
          </w:p>
        </w:tc>
        <w:tc>
          <w:tcPr>
            <w:tcW w:w="50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250,691</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227,187</w:t>
            </w:r>
          </w:p>
        </w:tc>
        <w:tc>
          <w:tcPr>
            <w:tcW w:w="0" w:type="dxa"/>
            <w:vAlign w:val="bottom"/>
          </w:tcPr>
          <w:p>
            <w:pPr>
              <w:spacing w:after="0"/>
              <w:rPr>
                <w:sz w:val="1"/>
                <w:szCs w:val="1"/>
                <w:color w:val="auto"/>
              </w:rPr>
            </w:pPr>
          </w:p>
        </w:tc>
      </w:tr>
      <w:tr>
        <w:trPr>
          <w:trHeight w:val="108"/>
        </w:trPr>
        <w:tc>
          <w:tcPr>
            <w:tcW w:w="2300" w:type="dxa"/>
            <w:vAlign w:val="bottom"/>
            <w:tcBorders>
              <w:bottom w:val="single" w:sz="8" w:color="auto"/>
            </w:tcBorders>
          </w:tcPr>
          <w:p>
            <w:pPr>
              <w:spacing w:after="0"/>
              <w:rPr>
                <w:sz w:val="9"/>
                <w:szCs w:val="9"/>
                <w:color w:val="auto"/>
              </w:rPr>
            </w:pPr>
          </w:p>
        </w:tc>
        <w:tc>
          <w:tcPr>
            <w:tcW w:w="50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5416550</wp:posOffset>
            </wp:positionH>
            <wp:positionV relativeFrom="paragraph">
              <wp:posOffset>-1172845</wp:posOffset>
            </wp:positionV>
            <wp:extent cx="635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-1172845</wp:posOffset>
            </wp:positionV>
            <wp:extent cx="635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20" w:lineRule="exact"/>
        <w:rPr>
          <w:sz w:val="20"/>
          <w:szCs w:val="20"/>
          <w:color w:val="auto"/>
        </w:rPr>
      </w:pPr>
    </w:p>
    <w:p>
      <w:pPr>
        <w:ind w:left="1400" w:hanging="310"/>
        <w:spacing w:after="0"/>
        <w:tabs>
          <w:tab w:leader="none" w:pos="1400" w:val="left"/>
        </w:tabs>
        <w:numPr>
          <w:ilvl w:val="1"/>
          <w:numId w:val="9"/>
        </w:numPr>
        <w:rPr>
          <w:rFonts w:ascii="Arial" w:cs="Arial" w:eastAsia="Arial" w:hAnsi="Arial"/>
          <w:sz w:val="11"/>
          <w:szCs w:val="11"/>
          <w:color w:val="auto"/>
        </w:rPr>
      </w:pPr>
      <w:r>
        <w:rPr>
          <w:rFonts w:ascii="Arial" w:cs="Arial" w:eastAsia="Arial" w:hAnsi="Arial"/>
          <w:sz w:val="13"/>
          <w:szCs w:val="13"/>
          <w:color w:val="auto"/>
        </w:rPr>
        <w:t>Includes property, plant and equipment, net, of $163.0 million and $145.4 million as of December 27, 2008 and June 28, 2008, respectively, in the United States.</w:t>
      </w:r>
    </w:p>
    <w:p>
      <w:pPr>
        <w:spacing w:after="0" w:line="47" w:lineRule="exact"/>
        <w:rPr>
          <w:rFonts w:ascii="Arial" w:cs="Arial" w:eastAsia="Arial" w:hAnsi="Arial"/>
          <w:sz w:val="11"/>
          <w:szCs w:val="11"/>
          <w:color w:val="auto"/>
        </w:rPr>
      </w:pPr>
    </w:p>
    <w:p>
      <w:pPr>
        <w:ind w:left="1400" w:right="1280" w:hanging="310"/>
        <w:spacing w:after="0" w:line="276" w:lineRule="auto"/>
        <w:tabs>
          <w:tab w:leader="none" w:pos="1400" w:val="left"/>
        </w:tabs>
        <w:numPr>
          <w:ilvl w:val="1"/>
          <w:numId w:val="9"/>
        </w:numPr>
        <w:rPr>
          <w:rFonts w:ascii="Arial" w:cs="Arial" w:eastAsia="Arial" w:hAnsi="Arial"/>
          <w:sz w:val="11"/>
          <w:szCs w:val="11"/>
          <w:color w:val="auto"/>
        </w:rPr>
      </w:pPr>
      <w:r>
        <w:rPr>
          <w:rFonts w:ascii="Arial" w:cs="Arial" w:eastAsia="Arial" w:hAnsi="Arial"/>
          <w:sz w:val="13"/>
          <w:szCs w:val="13"/>
          <w:color w:val="auto"/>
        </w:rPr>
        <w:t>Includes property, plant and equipment, net, of $26.4 million and $23.4 million in Germany and Belgium, respectively, as of December 27, 2008 and $31.8 million and $16.8 million in Germany and Belgium, respectively, as of June 28, 2008.</w:t>
      </w:r>
    </w:p>
    <w:p>
      <w:pPr>
        <w:spacing w:after="0" w:line="133" w:lineRule="exact"/>
        <w:rPr>
          <w:rFonts w:ascii="Arial" w:cs="Arial" w:eastAsia="Arial" w:hAnsi="Arial"/>
          <w:sz w:val="11"/>
          <w:szCs w:val="11"/>
          <w:color w:val="auto"/>
        </w:rPr>
      </w:pPr>
    </w:p>
    <w:p>
      <w:pPr>
        <w:ind w:left="1180" w:hanging="493"/>
        <w:spacing w:after="0"/>
        <w:tabs>
          <w:tab w:leader="none" w:pos="1180" w:val="left"/>
        </w:tabs>
        <w:numPr>
          <w:ilvl w:val="0"/>
          <w:numId w:val="10"/>
        </w:numPr>
        <w:rPr>
          <w:rFonts w:ascii="Arial" w:cs="Arial" w:eastAsia="Arial" w:hAnsi="Arial"/>
          <w:sz w:val="13"/>
          <w:szCs w:val="13"/>
          <w:b w:val="1"/>
          <w:bCs w:val="1"/>
          <w:color w:val="auto"/>
        </w:rPr>
      </w:pPr>
      <w:r>
        <w:rPr>
          <w:rFonts w:ascii="Arial" w:cs="Arial" w:eastAsia="Arial" w:hAnsi="Arial"/>
          <w:sz w:val="13"/>
          <w:szCs w:val="13"/>
          <w:b w:val="1"/>
          <w:bCs w:val="1"/>
          <w:color w:val="auto"/>
        </w:rPr>
        <w:t>Restructuring, integration and other items</w:t>
      </w:r>
    </w:p>
    <w:p>
      <w:pPr>
        <w:spacing w:after="0" w:line="100"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Fiscal 2009</w:t>
      </w:r>
    </w:p>
    <w:p>
      <w:pPr>
        <w:spacing w:after="0" w:line="96" w:lineRule="exact"/>
        <w:rPr>
          <w:sz w:val="20"/>
          <w:szCs w:val="20"/>
          <w:color w:val="auto"/>
        </w:rPr>
      </w:pPr>
    </w:p>
    <w:p>
      <w:pPr>
        <w:ind w:left="680" w:right="960" w:firstLine="399"/>
        <w:spacing w:after="0" w:line="258" w:lineRule="auto"/>
        <w:rPr>
          <w:sz w:val="20"/>
          <w:szCs w:val="20"/>
          <w:color w:val="auto"/>
        </w:rPr>
      </w:pPr>
      <w:r>
        <w:rPr>
          <w:rFonts w:ascii="Arial" w:cs="Arial" w:eastAsia="Arial" w:hAnsi="Arial"/>
          <w:sz w:val="13"/>
          <w:szCs w:val="13"/>
          <w:color w:val="auto"/>
        </w:rPr>
        <w:t>During the second quarter and first half of fiscal 2009, the Company incurred restructuring, integration and other charges included in “selling, general and administrative expenses” related to cost reduction actions taken in response to current market conditions, costs for integration activity for recently acquired businesses and a loss on investment. Based upon the weakening demand experienced during the second quarter of fiscal 2009 and management’s expectation of continued market weakness into the March and June fiscal 2009 quarters, the Company has announced additional actions to reduce costs to better align its cost structure with current market conditions which will result in additional restructuring costs during fiscal 2009.</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center"/>
              <w:ind w:right="556"/>
              <w:spacing w:after="0"/>
              <w:rPr>
                <w:sz w:val="20"/>
                <w:szCs w:val="20"/>
                <w:color w:val="auto"/>
              </w:rPr>
            </w:pPr>
            <w:r>
              <w:rPr>
                <w:rFonts w:ascii="Arial" w:cs="Arial" w:eastAsia="Arial" w:hAnsi="Arial"/>
                <w:sz w:val="13"/>
                <w:szCs w:val="13"/>
                <w:b w:val="1"/>
                <w:bCs w:val="1"/>
                <w:color w:val="auto"/>
                <w:w w:val="92"/>
              </w:rPr>
              <w:t>Second Quarter</w:t>
            </w:r>
          </w:p>
        </w:tc>
        <w:tc>
          <w:tcPr>
            <w:tcW w:w="220" w:type="dxa"/>
            <w:vAlign w:val="bottom"/>
          </w:tcPr>
          <w:p>
            <w:pPr>
              <w:spacing w:after="0"/>
              <w:rPr>
                <w:sz w:val="13"/>
                <w:szCs w:val="13"/>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Six Months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center"/>
              <w:ind w:right="536"/>
              <w:spacing w:after="0"/>
              <w:rPr>
                <w:sz w:val="20"/>
                <w:szCs w:val="20"/>
                <w:color w:val="auto"/>
              </w:rPr>
            </w:pPr>
            <w:r>
              <w:rPr>
                <w:rFonts w:ascii="Arial" w:cs="Arial" w:eastAsia="Arial" w:hAnsi="Arial"/>
                <w:sz w:val="13"/>
                <w:szCs w:val="13"/>
                <w:b w:val="1"/>
                <w:bCs w:val="1"/>
                <w:color w:val="auto"/>
                <w:w w:val="90"/>
              </w:rPr>
              <w:t>Ended</w:t>
            </w:r>
          </w:p>
        </w:tc>
        <w:tc>
          <w:tcPr>
            <w:tcW w:w="220" w:type="dxa"/>
            <w:vAlign w:val="bottom"/>
          </w:tcPr>
          <w:p>
            <w:pPr>
              <w:spacing w:after="0"/>
              <w:rPr>
                <w:sz w:val="13"/>
                <w:szCs w:val="13"/>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Ended</w:t>
            </w:r>
          </w:p>
        </w:tc>
        <w:tc>
          <w:tcPr>
            <w:tcW w:w="800" w:type="dxa"/>
            <w:vAlign w:val="bottom"/>
          </w:tcPr>
          <w:p>
            <w:pPr>
              <w:spacing w:after="0"/>
              <w:rPr>
                <w:sz w:val="13"/>
                <w:szCs w:val="13"/>
                <w:color w:val="auto"/>
              </w:rPr>
            </w:pPr>
          </w:p>
        </w:tc>
      </w:tr>
      <w:tr>
        <w:trPr>
          <w:trHeight w:val="169"/>
        </w:trPr>
        <w:tc>
          <w:tcPr>
            <w:tcW w:w="6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2"/>
          </w:tcPr>
          <w:p>
            <w:pPr>
              <w:jc w:val="center"/>
              <w:ind w:right="556"/>
              <w:spacing w:after="0"/>
              <w:rPr>
                <w:sz w:val="20"/>
                <w:szCs w:val="20"/>
                <w:color w:val="auto"/>
              </w:rPr>
            </w:pPr>
            <w:r>
              <w:rPr>
                <w:rFonts w:ascii="Arial" w:cs="Arial" w:eastAsia="Arial" w:hAnsi="Arial"/>
                <w:sz w:val="13"/>
                <w:szCs w:val="13"/>
                <w:b w:val="1"/>
                <w:bCs w:val="1"/>
                <w:color w:val="auto"/>
                <w:w w:val="90"/>
              </w:rPr>
              <w:t>December 27, 2008</w:t>
            </w:r>
          </w:p>
        </w:tc>
        <w:tc>
          <w:tcPr>
            <w:tcW w:w="22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December 27, 2008</w:t>
            </w:r>
          </w:p>
        </w:tc>
        <w:tc>
          <w:tcPr>
            <w:tcW w:w="800" w:type="dxa"/>
            <w:vAlign w:val="bottom"/>
          </w:tcPr>
          <w:p>
            <w:pPr>
              <w:spacing w:after="0"/>
              <w:rPr>
                <w:sz w:val="14"/>
                <w:szCs w:val="14"/>
                <w:color w:val="auto"/>
              </w:rPr>
            </w:pPr>
          </w:p>
        </w:tc>
      </w:tr>
      <w:tr>
        <w:trPr>
          <w:trHeight w:val="149"/>
        </w:trPr>
        <w:tc>
          <w:tcPr>
            <w:tcW w:w="68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9"/>
                <w:szCs w:val="9"/>
                <w:b w:val="1"/>
                <w:bCs w:val="1"/>
                <w:color w:val="auto"/>
                <w:w w:val="70"/>
              </w:rPr>
              <w:t>(Thousands)</w:t>
            </w: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39"/>
        </w:trPr>
        <w:tc>
          <w:tcPr>
            <w:tcW w:w="680" w:type="dxa"/>
            <w:vAlign w:val="bottom"/>
          </w:tcPr>
          <w:p>
            <w:pPr>
              <w:spacing w:after="0"/>
              <w:rPr>
                <w:sz w:val="3"/>
                <w:szCs w:val="3"/>
                <w:color w:val="auto"/>
              </w:rPr>
            </w:pPr>
          </w:p>
        </w:tc>
        <w:tc>
          <w:tcPr>
            <w:tcW w:w="38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57"/>
        </w:trPr>
        <w:tc>
          <w:tcPr>
            <w:tcW w:w="680" w:type="dxa"/>
            <w:vAlign w:val="bottom"/>
          </w:tcPr>
          <w:p>
            <w:pPr>
              <w:spacing w:after="0"/>
              <w:rPr>
                <w:sz w:val="13"/>
                <w:szCs w:val="13"/>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Restructuring charges</w:t>
            </w:r>
          </w:p>
        </w:tc>
        <w:tc>
          <w:tcPr>
            <w:tcW w:w="2480" w:type="dxa"/>
            <w:vAlign w:val="bottom"/>
            <w:gridSpan w:val="2"/>
            <w:shd w:val="clear" w:color="auto" w:fill="CCEEFF"/>
          </w:tcPr>
          <w:p>
            <w:pPr>
              <w:jc w:val="right"/>
              <w:ind w:right="91"/>
              <w:spacing w:after="0"/>
              <w:rPr>
                <w:sz w:val="20"/>
                <w:szCs w:val="20"/>
                <w:color w:val="auto"/>
              </w:rPr>
            </w:pPr>
            <w:r>
              <w:rPr>
                <w:rFonts w:ascii="Arial" w:cs="Arial" w:eastAsia="Arial" w:hAnsi="Arial"/>
                <w:sz w:val="13"/>
                <w:szCs w:val="13"/>
                <w:color w:val="auto"/>
              </w:rPr>
              <w:t>$</w:t>
            </w:r>
          </w:p>
        </w:tc>
        <w:tc>
          <w:tcPr>
            <w:tcW w:w="1900" w:type="dxa"/>
            <w:vAlign w:val="bottom"/>
            <w:gridSpan w:val="2"/>
            <w:shd w:val="clear" w:color="auto" w:fill="CCEEFF"/>
          </w:tcPr>
          <w:p>
            <w:pPr>
              <w:jc w:val="right"/>
              <w:ind w:right="356"/>
              <w:spacing w:after="0"/>
              <w:rPr>
                <w:sz w:val="20"/>
                <w:szCs w:val="20"/>
                <w:color w:val="auto"/>
              </w:rPr>
            </w:pPr>
            <w:r>
              <w:rPr>
                <w:rFonts w:ascii="Arial" w:cs="Arial" w:eastAsia="Arial" w:hAnsi="Arial"/>
                <w:sz w:val="13"/>
                <w:szCs w:val="13"/>
                <w:color w:val="auto"/>
              </w:rPr>
              <w:t>9,424</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14,675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Integration costs</w:t>
            </w: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356"/>
              <w:spacing w:after="0"/>
              <w:rPr>
                <w:sz w:val="20"/>
                <w:szCs w:val="20"/>
                <w:color w:val="auto"/>
              </w:rPr>
            </w:pPr>
            <w:r>
              <w:rPr>
                <w:rFonts w:ascii="Arial" w:cs="Arial" w:eastAsia="Arial" w:hAnsi="Arial"/>
                <w:sz w:val="13"/>
                <w:szCs w:val="13"/>
                <w:color w:val="auto"/>
              </w:rPr>
              <w:t>1,823</w:t>
            </w:r>
          </w:p>
        </w:tc>
        <w:tc>
          <w:tcPr>
            <w:tcW w:w="22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2,741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Reversal of excess prior year restructuring reserves</w:t>
            </w:r>
          </w:p>
        </w:tc>
        <w:tc>
          <w:tcPr>
            <w:tcW w:w="2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900" w:type="dxa"/>
            <w:vAlign w:val="bottom"/>
            <w:gridSpan w:val="2"/>
            <w:shd w:val="clear" w:color="auto" w:fill="CCEEFF"/>
          </w:tcPr>
          <w:p>
            <w:pPr>
              <w:jc w:val="right"/>
              <w:ind w:right="316"/>
              <w:spacing w:after="0"/>
              <w:rPr>
                <w:sz w:val="20"/>
                <w:szCs w:val="20"/>
                <w:color w:val="auto"/>
              </w:rPr>
            </w:pPr>
            <w:r>
              <w:rPr>
                <w:rFonts w:ascii="Arial" w:cs="Arial" w:eastAsia="Arial" w:hAnsi="Arial"/>
                <w:sz w:val="13"/>
                <w:szCs w:val="13"/>
                <w:color w:val="auto"/>
              </w:rPr>
              <w:t>(105)</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(1,197)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20" w:type="dxa"/>
            <w:vAlign w:val="bottom"/>
          </w:tcPr>
          <w:p>
            <w:pPr>
              <w:spacing w:after="0"/>
              <w:rPr>
                <w:sz w:val="20"/>
                <w:szCs w:val="20"/>
                <w:color w:val="auto"/>
              </w:rPr>
            </w:pPr>
            <w:r>
              <w:rPr>
                <w:rFonts w:ascii="Arial" w:cs="Arial" w:eastAsia="Arial" w:hAnsi="Arial"/>
                <w:sz w:val="13"/>
                <w:szCs w:val="13"/>
                <w:color w:val="auto"/>
              </w:rPr>
              <w:t>Loss on investment</w:t>
            </w:r>
          </w:p>
        </w:tc>
        <w:tc>
          <w:tcPr>
            <w:tcW w:w="2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00" w:type="dxa"/>
            <w:vAlign w:val="bottom"/>
            <w:gridSpan w:val="2"/>
          </w:tcPr>
          <w:p>
            <w:pPr>
              <w:jc w:val="right"/>
              <w:ind w:right="356"/>
              <w:spacing w:after="0"/>
              <w:rPr>
                <w:sz w:val="20"/>
                <w:szCs w:val="20"/>
                <w:color w:val="auto"/>
              </w:rPr>
            </w:pPr>
            <w:r>
              <w:rPr>
                <w:rFonts w:ascii="Arial" w:cs="Arial" w:eastAsia="Arial" w:hAnsi="Arial"/>
                <w:sz w:val="13"/>
                <w:szCs w:val="13"/>
                <w:color w:val="auto"/>
              </w:rPr>
              <w:t>2,007</w:t>
            </w:r>
          </w:p>
        </w:tc>
        <w:tc>
          <w:tcPr>
            <w:tcW w:w="220" w:type="dxa"/>
            <w:vAlign w:val="bottom"/>
          </w:tcPr>
          <w:p>
            <w:pPr>
              <w:spacing w:after="0"/>
              <w:rPr>
                <w:sz w:val="13"/>
                <w:szCs w:val="13"/>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3"/>
                <w:szCs w:val="13"/>
                <w:color w:val="auto"/>
              </w:rPr>
              <w:t>3,091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3"/>
                <w:szCs w:val="13"/>
                <w:color w:val="auto"/>
              </w:rPr>
              <w:t>Total restructuring, integration and other charges</w:t>
            </w:r>
          </w:p>
        </w:tc>
        <w:tc>
          <w:tcPr>
            <w:tcW w:w="22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1900" w:type="dxa"/>
            <w:vAlign w:val="bottom"/>
            <w:gridSpan w:val="2"/>
            <w:shd w:val="clear" w:color="auto" w:fill="CCEEFF"/>
          </w:tcPr>
          <w:p>
            <w:pPr>
              <w:jc w:val="right"/>
              <w:ind w:right="356"/>
              <w:spacing w:after="0"/>
              <w:rPr>
                <w:sz w:val="20"/>
                <w:szCs w:val="20"/>
                <w:color w:val="auto"/>
              </w:rPr>
            </w:pPr>
            <w:r>
              <w:rPr>
                <w:rFonts w:ascii="Arial" w:cs="Arial" w:eastAsia="Arial" w:hAnsi="Arial"/>
                <w:sz w:val="13"/>
                <w:szCs w:val="13"/>
                <w:color w:val="auto"/>
              </w:rPr>
              <w:t>13,149</w:t>
            </w:r>
          </w:p>
        </w:tc>
        <w:tc>
          <w:tcPr>
            <w:tcW w:w="220" w:type="dxa"/>
            <w:vAlign w:val="bottom"/>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19,310</w:t>
            </w:r>
          </w:p>
        </w:tc>
        <w:tc>
          <w:tcPr>
            <w:tcW w:w="800" w:type="dxa"/>
            <w:vAlign w:val="bottom"/>
          </w:tcPr>
          <w:p>
            <w:pPr>
              <w:spacing w:after="0"/>
              <w:rPr>
                <w:sz w:val="14"/>
                <w:szCs w:val="14"/>
                <w:color w:val="auto"/>
              </w:rPr>
            </w:pPr>
          </w:p>
        </w:tc>
      </w:tr>
      <w:tr>
        <w:trPr>
          <w:trHeight w:val="294"/>
        </w:trPr>
        <w:tc>
          <w:tcPr>
            <w:tcW w:w="68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280" w:type="dxa"/>
            <w:vAlign w:val="bottom"/>
          </w:tcPr>
          <w:p>
            <w:pPr>
              <w:jc w:val="right"/>
              <w:ind w:right="974"/>
              <w:spacing w:after="0"/>
              <w:rPr>
                <w:sz w:val="20"/>
                <w:szCs w:val="20"/>
                <w:color w:val="auto"/>
              </w:rPr>
            </w:pPr>
            <w:r>
              <w:rPr>
                <w:rFonts w:ascii="Arial" w:cs="Arial" w:eastAsia="Arial" w:hAnsi="Arial"/>
                <w:sz w:val="13"/>
                <w:szCs w:val="13"/>
                <w:color w:val="auto"/>
              </w:rPr>
              <w:t>12</w:t>
            </w:r>
          </w:p>
        </w:tc>
        <w:tc>
          <w:tcPr>
            <w:tcW w:w="2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20" w:type="dxa"/>
            <w:vAlign w:val="bottom"/>
            <w:tcBorders>
              <w:bottom w:val="single" w:sz="8" w:color="808080"/>
            </w:tcBorders>
          </w:tcPr>
          <w:p>
            <w:pPr>
              <w:spacing w:after="0"/>
              <w:rPr>
                <w:sz w:val="14"/>
                <w:szCs w:val="14"/>
                <w:color w:val="auto"/>
              </w:rPr>
            </w:pPr>
          </w:p>
        </w:tc>
        <w:tc>
          <w:tcPr>
            <w:tcW w:w="22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activity related to the restructuring charges incurred during the first six months of fiscal 2009 is presented in the following table: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w w:val="89"/>
              </w:rPr>
              <w:t>Severance</w:t>
            </w:r>
          </w:p>
        </w:tc>
        <w:tc>
          <w:tcPr>
            <w:tcW w:w="100" w:type="dxa"/>
            <w:vAlign w:val="bottom"/>
          </w:tcPr>
          <w:p>
            <w:pPr>
              <w:spacing w:after="0"/>
              <w:rPr>
                <w:sz w:val="13"/>
                <w:szCs w:val="13"/>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Facility</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Reserves</w:t>
            </w:r>
          </w:p>
        </w:tc>
        <w:tc>
          <w:tcPr>
            <w:tcW w:w="56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b w:val="1"/>
                <w:bCs w:val="1"/>
                <w:color w:val="auto"/>
                <w:w w:val="88"/>
              </w:rPr>
              <w:t>Exit Costs</w:t>
            </w:r>
          </w:p>
        </w:tc>
        <w:tc>
          <w:tcPr>
            <w:tcW w:w="380" w:type="dxa"/>
            <w:vAlign w:val="bottom"/>
          </w:tcPr>
          <w:p>
            <w:pPr>
              <w:spacing w:after="0"/>
              <w:rPr>
                <w:sz w:val="13"/>
                <w:szCs w:val="13"/>
                <w:color w:val="auto"/>
              </w:rPr>
            </w:pPr>
          </w:p>
        </w:tc>
        <w:tc>
          <w:tcPr>
            <w:tcW w:w="4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7"/>
              </w:rPr>
              <w:t>Other</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Total</w:t>
            </w:r>
          </w:p>
        </w:tc>
        <w:tc>
          <w:tcPr>
            <w:tcW w:w="2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(Thousands)</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Fiscal 2009 pre-tax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10,655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3,759</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261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14,675</w:t>
            </w:r>
          </w:p>
        </w:tc>
        <w:tc>
          <w:tcPr>
            <w:tcW w:w="0" w:type="dxa"/>
            <w:vAlign w:val="bottom"/>
          </w:tcPr>
          <w:p>
            <w:pPr>
              <w:spacing w:after="0"/>
              <w:rPr>
                <w:sz w:val="1"/>
                <w:szCs w:val="1"/>
                <w:color w:val="auto"/>
              </w:rPr>
            </w:pPr>
          </w:p>
        </w:tc>
      </w:tr>
      <w:tr>
        <w:trPr>
          <w:trHeight w:val="157"/>
        </w:trPr>
        <w:tc>
          <w:tcPr>
            <w:tcW w:w="6100" w:type="dxa"/>
            <w:vAlign w:val="bottom"/>
          </w:tcPr>
          <w:p>
            <w:pPr>
              <w:ind w:left="8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120" w:type="dxa"/>
            <w:vAlign w:val="bottom"/>
            <w:gridSpan w:val="4"/>
          </w:tcPr>
          <w:p>
            <w:pPr>
              <w:jc w:val="right"/>
              <w:ind w:right="360"/>
              <w:spacing w:after="0"/>
              <w:rPr>
                <w:sz w:val="20"/>
                <w:szCs w:val="20"/>
                <w:color w:val="auto"/>
              </w:rPr>
            </w:pPr>
            <w:r>
              <w:rPr>
                <w:rFonts w:ascii="Arial" w:cs="Arial" w:eastAsia="Arial" w:hAnsi="Arial"/>
                <w:sz w:val="13"/>
                <w:szCs w:val="13"/>
                <w:color w:val="auto"/>
              </w:rPr>
              <w:t>(5,936)</w:t>
            </w:r>
          </w:p>
        </w:tc>
        <w:tc>
          <w:tcPr>
            <w:tcW w:w="100" w:type="dxa"/>
            <w:vAlign w:val="bottom"/>
          </w:tcPr>
          <w:p>
            <w:pPr>
              <w:spacing w:after="0"/>
              <w:rPr>
                <w:sz w:val="13"/>
                <w:szCs w:val="13"/>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(1,215)</w:t>
            </w:r>
          </w:p>
        </w:tc>
        <w:tc>
          <w:tcPr>
            <w:tcW w:w="140" w:type="dxa"/>
            <w:vAlign w:val="bottom"/>
          </w:tcPr>
          <w:p>
            <w:pPr>
              <w:spacing w:after="0"/>
              <w:rPr>
                <w:sz w:val="13"/>
                <w:szCs w:val="13"/>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3"/>
                <w:szCs w:val="13"/>
                <w:color w:val="auto"/>
              </w:rPr>
              <w:t>(39)</w:t>
            </w:r>
          </w:p>
        </w:tc>
        <w:tc>
          <w:tcPr>
            <w:tcW w:w="14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(7,190)</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(43)</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3"/>
                <w:szCs w:val="13"/>
                <w:color w:val="auto"/>
              </w:rPr>
              <w:t>Balance at December 27, 2008</w:t>
            </w: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spacing w:after="0"/>
              <w:rPr>
                <w:sz w:val="20"/>
                <w:szCs w:val="20"/>
                <w:color w:val="auto"/>
              </w:rPr>
            </w:pPr>
            <w:r>
              <w:rPr>
                <w:rFonts w:ascii="Arial" w:cs="Arial" w:eastAsia="Arial" w:hAnsi="Arial"/>
                <w:sz w:val="13"/>
                <w:szCs w:val="13"/>
                <w:color w:val="auto"/>
              </w:rPr>
              <w:t>4,781</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2,501</w:t>
            </w:r>
          </w:p>
        </w:tc>
        <w:tc>
          <w:tcPr>
            <w:tcW w:w="3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tcPr>
          <w:p>
            <w:pPr>
              <w:jc w:val="right"/>
              <w:ind w:right="400"/>
              <w:spacing w:after="0"/>
              <w:rPr>
                <w:sz w:val="20"/>
                <w:szCs w:val="20"/>
                <w:color w:val="auto"/>
              </w:rPr>
            </w:pPr>
            <w:r>
              <w:rPr>
                <w:rFonts w:ascii="Arial" w:cs="Arial" w:eastAsia="Arial" w:hAnsi="Arial"/>
                <w:sz w:val="13"/>
                <w:szCs w:val="13"/>
                <w:color w:val="auto"/>
              </w:rPr>
              <w:t>224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3"/>
          </w:tcPr>
          <w:p>
            <w:pPr>
              <w:jc w:val="right"/>
              <w:ind w:right="100"/>
              <w:spacing w:after="0"/>
              <w:rPr>
                <w:sz w:val="20"/>
                <w:szCs w:val="20"/>
                <w:color w:val="auto"/>
              </w:rPr>
            </w:pPr>
            <w:r>
              <w:rPr>
                <w:rFonts w:ascii="Arial" w:cs="Arial" w:eastAsia="Arial" w:hAnsi="Arial"/>
                <w:sz w:val="13"/>
                <w:szCs w:val="13"/>
                <w:color w:val="auto"/>
              </w:rPr>
              <w:t>7,506</w:t>
            </w:r>
          </w:p>
        </w:tc>
        <w:tc>
          <w:tcPr>
            <w:tcW w:w="0" w:type="dxa"/>
            <w:vAlign w:val="bottom"/>
          </w:tcPr>
          <w:p>
            <w:pPr>
              <w:spacing w:after="0"/>
              <w:rPr>
                <w:sz w:val="1"/>
                <w:szCs w:val="1"/>
                <w:color w:val="auto"/>
              </w:rPr>
            </w:pPr>
          </w:p>
        </w:tc>
      </w:tr>
      <w:tr>
        <w:trPr>
          <w:trHeight w:val="30"/>
        </w:trPr>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color w:val="auto"/>
        </w:rPr>
        <w:t>Of the $14,675,000 of restructuring charges incurred during the first half of fiscal 2009, $5,068,000 and $9,607,000 related to EM and TS, respectively. Severance charges related to personnel reductions of approximately 440 employees in administrative, finance and sales functions in connection with the cost reduction actions in all three regions of both operating groups with approximately 330 and 110 employee reductions in EM and TS, respectively. Facility exit costs related to five facilities in the Americas that were vacated. Other charges included contractual obligations with no on-going benefit to the Company. Cash payments of $7,175,000 are reflected in the amounts utilized during the first six months of fiscal 2009 and the remaining amounts were related to non-cash asset write downs. As of December 27, 2008, management expects the majority of the remaining severance and other reserves to be utilized by the end of fiscal 2009 and the remaining facility exit cost reserves to be utilized by the end of fiscal 2014.</w:t>
      </w:r>
    </w:p>
    <w:p>
      <w:pPr>
        <w:spacing w:after="0" w:line="59"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During the first six months of fiscal 2009, the Company incurred integration costs for professional fees, facility moving costs, travel, meeting, marketing and communication costs that were incrementally incurred as a result of the integration efforts. In addition, the Company incurred a loss resulting from a decline in the market value of certain small investments that the Company has liquidated related to its deferred compensation program.</w:t>
      </w:r>
    </w:p>
    <w:p>
      <w:pPr>
        <w:spacing w:after="0" w:line="146"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Fiscal 2008</w:t>
      </w:r>
    </w:p>
    <w:p>
      <w:pPr>
        <w:spacing w:after="0" w:line="96"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During fiscal 2008, the Company incurred restructuring, integration and other charges related to cost reductions required to improve the performance at certain business units and incurred integration costs associated with recently acquired businesses. The activity related to the restructuring reserves is presented in the following table:</w:t>
      </w:r>
    </w:p>
    <w:p>
      <w:pPr>
        <w:spacing w:after="0" w:line="41"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w w:val="89"/>
              </w:rPr>
              <w:t>Severance</w:t>
            </w:r>
          </w:p>
        </w:tc>
        <w:tc>
          <w:tcPr>
            <w:tcW w:w="100" w:type="dxa"/>
            <w:vAlign w:val="bottom"/>
          </w:tcPr>
          <w:p>
            <w:pPr>
              <w:spacing w:after="0"/>
              <w:rPr>
                <w:sz w:val="13"/>
                <w:szCs w:val="13"/>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Facility</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0"/>
        </w:trPr>
        <w:tc>
          <w:tcPr>
            <w:tcW w:w="6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center"/>
              <w:spacing w:after="0"/>
              <w:rPr>
                <w:sz w:val="20"/>
                <w:szCs w:val="20"/>
                <w:color w:val="auto"/>
              </w:rPr>
            </w:pPr>
            <w:r>
              <w:rPr>
                <w:rFonts w:ascii="Arial" w:cs="Arial" w:eastAsia="Arial" w:hAnsi="Arial"/>
                <w:sz w:val="13"/>
                <w:szCs w:val="13"/>
                <w:b w:val="1"/>
                <w:bCs w:val="1"/>
                <w:color w:val="auto"/>
                <w:w w:val="86"/>
              </w:rPr>
              <w:t>Reserves</w:t>
            </w:r>
          </w:p>
        </w:tc>
        <w:tc>
          <w:tcPr>
            <w:tcW w:w="5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54"/>
              <w:spacing w:after="0"/>
              <w:rPr>
                <w:sz w:val="20"/>
                <w:szCs w:val="20"/>
                <w:color w:val="auto"/>
              </w:rPr>
            </w:pPr>
            <w:r>
              <w:rPr>
                <w:rFonts w:ascii="Arial" w:cs="Arial" w:eastAsia="Arial" w:hAnsi="Arial"/>
                <w:sz w:val="13"/>
                <w:szCs w:val="13"/>
                <w:b w:val="1"/>
                <w:bCs w:val="1"/>
                <w:color w:val="auto"/>
                <w:w w:val="88"/>
              </w:rPr>
              <w:t>Exit Costs</w:t>
            </w:r>
          </w:p>
        </w:tc>
        <w:tc>
          <w:tcPr>
            <w:tcW w:w="420" w:type="dxa"/>
            <w:vAlign w:val="bottom"/>
          </w:tcPr>
          <w:p>
            <w:pPr>
              <w:spacing w:after="0"/>
              <w:rPr>
                <w:sz w:val="13"/>
                <w:szCs w:val="13"/>
                <w:color w:val="auto"/>
              </w:rPr>
            </w:pPr>
          </w:p>
        </w:tc>
        <w:tc>
          <w:tcPr>
            <w:tcW w:w="76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3"/>
                <w:szCs w:val="13"/>
                <w:color w:val="auto"/>
              </w:rPr>
            </w:pPr>
          </w:p>
        </w:tc>
        <w:tc>
          <w:tcPr>
            <w:tcW w:w="54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89"/>
              </w:rPr>
              <w:t>Total</w:t>
            </w:r>
          </w:p>
        </w:tc>
      </w:tr>
      <w:tr>
        <w:trPr>
          <w:trHeight w:val="29"/>
        </w:trPr>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9"/>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(Thousands)</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8"/>
        </w:trPr>
        <w:tc>
          <w:tcPr>
            <w:tcW w:w="6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28, 2008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4"/>
            <w:shd w:val="clear" w:color="auto" w:fill="CCEEFF"/>
          </w:tcPr>
          <w:p>
            <w:pPr>
              <w:jc w:val="right"/>
              <w:ind w:right="400"/>
              <w:spacing w:after="0"/>
              <w:rPr>
                <w:sz w:val="20"/>
                <w:szCs w:val="20"/>
                <w:color w:val="auto"/>
              </w:rPr>
            </w:pPr>
            <w:r>
              <w:rPr>
                <w:rFonts w:ascii="Arial" w:cs="Arial" w:eastAsia="Arial" w:hAnsi="Arial"/>
                <w:sz w:val="13"/>
                <w:szCs w:val="13"/>
                <w:color w:val="auto"/>
              </w:rPr>
              <w:t>10,477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2,833</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1,130</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14,440</w:t>
            </w:r>
          </w:p>
        </w:tc>
      </w:tr>
      <w:tr>
        <w:trPr>
          <w:trHeight w:val="157"/>
        </w:trPr>
        <w:tc>
          <w:tcPr>
            <w:tcW w:w="6100" w:type="dxa"/>
            <w:vAlign w:val="bottom"/>
          </w:tcPr>
          <w:p>
            <w:pPr>
              <w:ind w:left="80"/>
              <w:spacing w:after="0"/>
              <w:rPr>
                <w:sz w:val="20"/>
                <w:szCs w:val="20"/>
                <w:color w:val="auto"/>
              </w:rPr>
            </w:pPr>
            <w:r>
              <w:rPr>
                <w:rFonts w:ascii="Arial" w:cs="Arial" w:eastAsia="Arial" w:hAnsi="Arial"/>
                <w:sz w:val="13"/>
                <w:szCs w:val="13"/>
                <w:color w:val="auto"/>
              </w:rPr>
              <w:t>Amounts utilized</w:t>
            </w:r>
          </w:p>
        </w:tc>
        <w:tc>
          <w:tcPr>
            <w:tcW w:w="100" w:type="dxa"/>
            <w:vAlign w:val="bottom"/>
          </w:tcPr>
          <w:p>
            <w:pPr>
              <w:spacing w:after="0"/>
              <w:rPr>
                <w:sz w:val="13"/>
                <w:szCs w:val="13"/>
                <w:color w:val="auto"/>
              </w:rPr>
            </w:pPr>
          </w:p>
        </w:tc>
        <w:tc>
          <w:tcPr>
            <w:tcW w:w="1120" w:type="dxa"/>
            <w:vAlign w:val="bottom"/>
            <w:gridSpan w:val="4"/>
          </w:tcPr>
          <w:p>
            <w:pPr>
              <w:jc w:val="right"/>
              <w:ind w:right="360"/>
              <w:spacing w:after="0"/>
              <w:rPr>
                <w:sz w:val="20"/>
                <w:szCs w:val="20"/>
                <w:color w:val="auto"/>
              </w:rPr>
            </w:pPr>
            <w:r>
              <w:rPr>
                <w:rFonts w:ascii="Arial" w:cs="Arial" w:eastAsia="Arial" w:hAnsi="Arial"/>
                <w:sz w:val="13"/>
                <w:szCs w:val="13"/>
                <w:color w:val="auto"/>
              </w:rPr>
              <w:t>(5,976)</w:t>
            </w:r>
          </w:p>
        </w:tc>
        <w:tc>
          <w:tcPr>
            <w:tcW w:w="10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(550)</w:t>
            </w:r>
          </w:p>
        </w:tc>
        <w:tc>
          <w:tcPr>
            <w:tcW w:w="60" w:type="dxa"/>
            <w:vAlign w:val="bottom"/>
          </w:tcPr>
          <w:p>
            <w:pPr>
              <w:spacing w:after="0"/>
              <w:rPr>
                <w:sz w:val="13"/>
                <w:szCs w:val="13"/>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3"/>
                <w:szCs w:val="13"/>
                <w:color w:val="auto"/>
              </w:rPr>
              <w:t>(700)</w:t>
            </w:r>
          </w:p>
        </w:tc>
        <w:tc>
          <w:tcPr>
            <w:tcW w:w="14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(7,226)</w:t>
            </w:r>
          </w:p>
        </w:tc>
      </w:tr>
      <w:tr>
        <w:trPr>
          <w:trHeight w:val="157"/>
        </w:trPr>
        <w:tc>
          <w:tcPr>
            <w:tcW w:w="6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Adjustments</w:t>
            </w:r>
          </w:p>
        </w:tc>
        <w:tc>
          <w:tcPr>
            <w:tcW w:w="100" w:type="dxa"/>
            <w:vAlign w:val="bottom"/>
            <w:shd w:val="clear" w:color="auto" w:fill="CCEEFF"/>
          </w:tcPr>
          <w:p>
            <w:pPr>
              <w:spacing w:after="0"/>
              <w:rPr>
                <w:sz w:val="13"/>
                <w:szCs w:val="13"/>
                <w:color w:val="auto"/>
              </w:rPr>
            </w:pPr>
          </w:p>
        </w:tc>
        <w:tc>
          <w:tcPr>
            <w:tcW w:w="1120" w:type="dxa"/>
            <w:vAlign w:val="bottom"/>
            <w:gridSpan w:val="4"/>
            <w:shd w:val="clear" w:color="auto" w:fill="CCEEFF"/>
          </w:tcPr>
          <w:p>
            <w:pPr>
              <w:jc w:val="right"/>
              <w:ind w:right="360"/>
              <w:spacing w:after="0"/>
              <w:rPr>
                <w:sz w:val="20"/>
                <w:szCs w:val="20"/>
                <w:color w:val="auto"/>
              </w:rPr>
            </w:pPr>
            <w:r>
              <w:rPr>
                <w:rFonts w:ascii="Arial" w:cs="Arial" w:eastAsia="Arial" w:hAnsi="Arial"/>
                <w:sz w:val="13"/>
                <w:szCs w:val="13"/>
                <w:color w:val="auto"/>
              </w:rPr>
              <w:t>(1,203)</w:t>
            </w:r>
          </w:p>
        </w:tc>
        <w:tc>
          <w:tcPr>
            <w:tcW w:w="100" w:type="dxa"/>
            <w:vAlign w:val="bottom"/>
            <w:shd w:val="clear" w:color="auto" w:fill="CCEEFF"/>
          </w:tcPr>
          <w:p>
            <w:pPr>
              <w:spacing w:after="0"/>
              <w:rPr>
                <w:sz w:val="13"/>
                <w:szCs w:val="13"/>
                <w:color w:val="auto"/>
              </w:rPr>
            </w:pPr>
          </w:p>
        </w:tc>
        <w:tc>
          <w:tcPr>
            <w:tcW w:w="11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(1,203)</w:t>
            </w:r>
          </w:p>
        </w:tc>
      </w:tr>
      <w:tr>
        <w:trPr>
          <w:trHeight w:val="157"/>
        </w:trPr>
        <w:tc>
          <w:tcPr>
            <w:tcW w:w="6100" w:type="dxa"/>
            <w:vAlign w:val="bottom"/>
          </w:tcPr>
          <w:p>
            <w:pPr>
              <w:ind w:left="80"/>
              <w:spacing w:after="0"/>
              <w:rPr>
                <w:sz w:val="20"/>
                <w:szCs w:val="20"/>
                <w:color w:val="auto"/>
              </w:rPr>
            </w:pPr>
            <w:r>
              <w:rPr>
                <w:rFonts w:ascii="Arial" w:cs="Arial" w:eastAsia="Arial" w:hAnsi="Arial"/>
                <w:sz w:val="13"/>
                <w:szCs w:val="13"/>
                <w:color w:val="auto"/>
              </w:rPr>
              <w:t>Other, principally foreign currency translation</w:t>
            </w:r>
          </w:p>
        </w:tc>
        <w:tc>
          <w:tcPr>
            <w:tcW w:w="100" w:type="dxa"/>
            <w:vAlign w:val="bottom"/>
          </w:tcPr>
          <w:p>
            <w:pPr>
              <w:spacing w:after="0"/>
              <w:rPr>
                <w:sz w:val="13"/>
                <w:szCs w:val="13"/>
                <w:color w:val="auto"/>
              </w:rPr>
            </w:pPr>
          </w:p>
        </w:tc>
        <w:tc>
          <w:tcPr>
            <w:tcW w:w="1120" w:type="dxa"/>
            <w:vAlign w:val="bottom"/>
            <w:gridSpan w:val="4"/>
          </w:tcPr>
          <w:p>
            <w:pPr>
              <w:jc w:val="right"/>
              <w:ind w:right="360"/>
              <w:spacing w:after="0"/>
              <w:rPr>
                <w:sz w:val="20"/>
                <w:szCs w:val="20"/>
                <w:color w:val="auto"/>
              </w:rPr>
            </w:pPr>
            <w:r>
              <w:rPr>
                <w:rFonts w:ascii="Arial" w:cs="Arial" w:eastAsia="Arial" w:hAnsi="Arial"/>
                <w:sz w:val="13"/>
                <w:szCs w:val="13"/>
                <w:color w:val="auto"/>
              </w:rPr>
              <w:t>(659)</w:t>
            </w:r>
          </w:p>
        </w:tc>
        <w:tc>
          <w:tcPr>
            <w:tcW w:w="100" w:type="dxa"/>
            <w:vAlign w:val="bottom"/>
          </w:tcPr>
          <w:p>
            <w:pPr>
              <w:spacing w:after="0"/>
              <w:rPr>
                <w:sz w:val="13"/>
                <w:szCs w:val="13"/>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3"/>
                <w:szCs w:val="13"/>
                <w:color w:val="auto"/>
              </w:rPr>
              <w:t>(456)</w:t>
            </w:r>
          </w:p>
        </w:tc>
        <w:tc>
          <w:tcPr>
            <w:tcW w:w="60" w:type="dxa"/>
            <w:vAlign w:val="bottom"/>
          </w:tcPr>
          <w:p>
            <w:pPr>
              <w:spacing w:after="0"/>
              <w:rPr>
                <w:sz w:val="13"/>
                <w:szCs w:val="13"/>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3"/>
                <w:szCs w:val="13"/>
                <w:color w:val="auto"/>
              </w:rPr>
              <w:t>(101)</w:t>
            </w:r>
          </w:p>
        </w:tc>
        <w:tc>
          <w:tcPr>
            <w:tcW w:w="140" w:type="dxa"/>
            <w:vAlign w:val="bottom"/>
          </w:tcPr>
          <w:p>
            <w:pPr>
              <w:spacing w:after="0"/>
              <w:rPr>
                <w:sz w:val="13"/>
                <w:szCs w:val="13"/>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(1,216)</w:t>
            </w:r>
          </w:p>
        </w:tc>
      </w:tr>
      <w:tr>
        <w:trPr>
          <w:trHeight w:val="20"/>
        </w:trPr>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27, 2008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2,639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1,827</w:t>
            </w:r>
          </w:p>
        </w:tc>
        <w:tc>
          <w:tcPr>
            <w:tcW w:w="42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4,795</w:t>
            </w:r>
          </w:p>
        </w:tc>
      </w:tr>
      <w:tr>
        <w:trPr>
          <w:trHeight w:val="29"/>
        </w:trPr>
        <w:tc>
          <w:tcPr>
            <w:tcW w:w="6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Cash payments of $7,172,000 are reflected in the amounts utilized during the first six months of fiscal 2009 and the remaining amounts were related to non-cash asset write downs. The adjustment in the preceding table related to severance reserves that were deemed excessive and released during the first half of fiscal 2009. Management expects the majority of the remaining severance reserves to be utilized in fiscal 2009, the remaining facility exit cost reserves to be utilized by the end of fiscal 2013 and other contractual obligations to be utilized by the end of fiscal 2010.</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5"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AVNET, INC. AND SUBSIDIARIES</w:t>
      </w:r>
    </w:p>
    <w:p>
      <w:pPr>
        <w:spacing w:after="0" w:line="11"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NOTES TO CONSOLIDATED FINANCIAL STATEMENTS – (Continued)</w:t>
      </w:r>
    </w:p>
    <w:p>
      <w:pPr>
        <w:spacing w:after="0" w:line="232" w:lineRule="exact"/>
        <w:rPr>
          <w:sz w:val="20"/>
          <w:szCs w:val="20"/>
          <w:color w:val="auto"/>
        </w:rPr>
      </w:pPr>
    </w:p>
    <w:p>
      <w:pPr>
        <w:ind w:left="680"/>
        <w:spacing w:after="0"/>
        <w:rPr>
          <w:sz w:val="20"/>
          <w:szCs w:val="20"/>
          <w:color w:val="auto"/>
        </w:rPr>
      </w:pPr>
      <w:r>
        <w:rPr>
          <w:rFonts w:ascii="Arial" w:cs="Arial" w:eastAsia="Arial" w:hAnsi="Arial"/>
          <w:sz w:val="13"/>
          <w:szCs w:val="13"/>
          <w:b w:val="1"/>
          <w:bCs w:val="1"/>
          <w:i w:val="1"/>
          <w:iCs w:val="1"/>
          <w:color w:val="auto"/>
        </w:rPr>
        <w:t>Fiscal 2007 and prior restructuring reserves</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In fiscal year 2007 and prior, the Company incurred restructuring charges under four separate restructuring plans. The table below presents the activity during the first six months of fiscal 2009 related to reserves established as part of these restructuring plans:</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67"/>
        </w:trPr>
        <w:tc>
          <w:tcPr>
            <w:tcW w:w="5300" w:type="dxa"/>
            <w:vAlign w:val="bottom"/>
            <w:vMerge w:val="restart"/>
          </w:tcPr>
          <w:p>
            <w:pPr>
              <w:spacing w:after="0"/>
              <w:rPr>
                <w:sz w:val="20"/>
                <w:szCs w:val="20"/>
                <w:color w:val="auto"/>
              </w:rPr>
            </w:pPr>
            <w:r>
              <w:rPr>
                <w:rFonts w:ascii="Arial" w:cs="Arial" w:eastAsia="Arial" w:hAnsi="Arial"/>
                <w:sz w:val="13"/>
                <w:szCs w:val="13"/>
                <w:b w:val="1"/>
                <w:bCs w:val="1"/>
                <w:color w:val="auto"/>
              </w:rPr>
              <w:t>Restructuring charges</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5"/>
              </w:rPr>
              <w:t>Memec</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4"/>
                <w:szCs w:val="14"/>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w w:val="97"/>
              </w:rPr>
              <w:t>FY 2004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53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89"/>
              </w:rPr>
              <w:t>FY 2007</w:t>
            </w:r>
          </w:p>
        </w:tc>
        <w:tc>
          <w:tcPr>
            <w:tcW w:w="8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9"/>
              </w:rPr>
              <w:t>FY 2006</w:t>
            </w:r>
          </w:p>
        </w:tc>
        <w:tc>
          <w:tcPr>
            <w:tcW w:w="200" w:type="dxa"/>
            <w:vAlign w:val="bottom"/>
          </w:tcPr>
          <w:p>
            <w:pPr>
              <w:spacing w:after="0"/>
              <w:rPr>
                <w:sz w:val="13"/>
                <w:szCs w:val="13"/>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rPr>
              <w:t>FY 2006</w:t>
            </w:r>
          </w:p>
        </w:tc>
        <w:tc>
          <w:tcPr>
            <w:tcW w:w="8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w w:val="89"/>
              </w:rPr>
              <w:t>and 2003</w:t>
            </w:r>
          </w:p>
        </w:tc>
        <w:tc>
          <w:tcPr>
            <w:tcW w:w="100" w:type="dxa"/>
            <w:vAlign w:val="bottom"/>
          </w:tcPr>
          <w:p>
            <w:pPr>
              <w:spacing w:after="0"/>
              <w:rPr>
                <w:sz w:val="13"/>
                <w:szCs w:val="13"/>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w w:val="74"/>
              </w:rPr>
              <w:t>(Thousands)</w:t>
            </w: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Balance at June 28, 2008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45</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794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2,571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3,959</w:t>
            </w:r>
          </w:p>
        </w:tc>
        <w:tc>
          <w:tcPr>
            <w:tcW w:w="0" w:type="dxa"/>
            <w:vAlign w:val="bottom"/>
          </w:tcPr>
          <w:p>
            <w:pPr>
              <w:spacing w:after="0"/>
              <w:rPr>
                <w:sz w:val="1"/>
                <w:szCs w:val="1"/>
                <w:color w:val="auto"/>
              </w:rPr>
            </w:pPr>
          </w:p>
        </w:tc>
      </w:tr>
      <w:tr>
        <w:trPr>
          <w:trHeight w:val="157"/>
        </w:trPr>
        <w:tc>
          <w:tcPr>
            <w:tcW w:w="5300" w:type="dxa"/>
            <w:vAlign w:val="bottom"/>
          </w:tcPr>
          <w:p>
            <w:pPr>
              <w:ind w:left="140"/>
              <w:spacing w:after="0"/>
              <w:rPr>
                <w:sz w:val="20"/>
                <w:szCs w:val="20"/>
                <w:color w:val="auto"/>
              </w:rPr>
            </w:pPr>
            <w:r>
              <w:rPr>
                <w:rFonts w:ascii="Arial" w:cs="Arial" w:eastAsia="Arial" w:hAnsi="Arial"/>
                <w:sz w:val="13"/>
                <w:szCs w:val="13"/>
                <w:color w:val="auto"/>
              </w:rPr>
              <w:t>Amounts utilized</w:t>
            </w:r>
          </w:p>
        </w:tc>
        <w:tc>
          <w:tcPr>
            <w:tcW w:w="8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(262)</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(226)</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(512)</w:t>
            </w:r>
          </w:p>
        </w:tc>
        <w:tc>
          <w:tcPr>
            <w:tcW w:w="100" w:type="dxa"/>
            <w:vAlign w:val="bottom"/>
          </w:tcPr>
          <w:p>
            <w:pPr>
              <w:spacing w:after="0"/>
              <w:rPr>
                <w:sz w:val="13"/>
                <w:szCs w:val="13"/>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3"/>
                <w:szCs w:val="13"/>
                <w:color w:val="auto"/>
              </w:rPr>
              <w:t>(1,014)</w:t>
            </w:r>
          </w:p>
        </w:tc>
        <w:tc>
          <w:tcPr>
            <w:tcW w:w="0" w:type="dxa"/>
            <w:vAlign w:val="bottom"/>
          </w:tcPr>
          <w:p>
            <w:pPr>
              <w:spacing w:after="0"/>
              <w:rPr>
                <w:sz w:val="1"/>
                <w:szCs w:val="1"/>
                <w:color w:val="auto"/>
              </w:rPr>
            </w:pPr>
          </w:p>
        </w:tc>
      </w:tr>
      <w:tr>
        <w:trPr>
          <w:trHeight w:val="157"/>
        </w:trPr>
        <w:tc>
          <w:tcPr>
            <w:tcW w:w="5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w:t>
            </w: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(53)</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57"/>
        </w:trPr>
        <w:tc>
          <w:tcPr>
            <w:tcW w:w="5300" w:type="dxa"/>
            <w:vAlign w:val="bottom"/>
          </w:tcPr>
          <w:p>
            <w:pPr>
              <w:ind w:left="140"/>
              <w:spacing w:after="0"/>
              <w:rPr>
                <w:sz w:val="20"/>
                <w:szCs w:val="20"/>
                <w:color w:val="auto"/>
              </w:rPr>
            </w:pPr>
            <w:r>
              <w:rPr>
                <w:rFonts w:ascii="Arial" w:cs="Arial" w:eastAsia="Arial" w:hAnsi="Arial"/>
                <w:sz w:val="13"/>
                <w:szCs w:val="13"/>
                <w:color w:val="auto"/>
              </w:rPr>
              <w:t>Other, principally foreign currency translation</w:t>
            </w:r>
          </w:p>
        </w:tc>
        <w:tc>
          <w:tcPr>
            <w:tcW w:w="8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3"/>
                <w:szCs w:val="13"/>
                <w:color w:val="auto"/>
              </w:rPr>
              <w:t>(238)</w:t>
            </w:r>
          </w:p>
        </w:tc>
        <w:tc>
          <w:tcPr>
            <w:tcW w:w="100" w:type="dxa"/>
            <w:vAlign w:val="bottom"/>
          </w:tcPr>
          <w:p>
            <w:pPr>
              <w:spacing w:after="0"/>
              <w:rPr>
                <w:sz w:val="13"/>
                <w:szCs w:val="13"/>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300" w:type="dxa"/>
            <w:vAlign w:val="bottom"/>
            <w:shd w:val="clear" w:color="auto" w:fill="CCEEFF"/>
          </w:tcPr>
          <w:p>
            <w:pPr>
              <w:spacing w:after="0"/>
              <w:rPr>
                <w:sz w:val="20"/>
                <w:szCs w:val="20"/>
                <w:color w:val="auto"/>
              </w:rPr>
            </w:pPr>
            <w:r>
              <w:rPr>
                <w:rFonts w:ascii="Arial" w:cs="Arial" w:eastAsia="Arial" w:hAnsi="Arial"/>
                <w:sz w:val="13"/>
                <w:szCs w:val="13"/>
                <w:color w:val="auto"/>
              </w:rPr>
              <w:t>Balance at December 27, 2008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2,615</w:t>
            </w: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-661035</wp:posOffset>
            </wp:positionV>
            <wp:extent cx="3111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115" cy="6350"/>
                    </a:xfrm>
                    <a:prstGeom prst="rect">
                      <a:avLst/>
                    </a:prstGeom>
                    <a:noFill/>
                  </pic:spPr>
                </pic:pic>
              </a:graphicData>
            </a:graphic>
          </wp:anchor>
        </w:drawing>
      </w:r>
    </w:p>
    <w:p>
      <w:pPr>
        <w:spacing w:after="0" w:line="70" w:lineRule="exact"/>
        <w:rPr>
          <w:sz w:val="20"/>
          <w:szCs w:val="20"/>
          <w:color w:val="auto"/>
        </w:rPr>
      </w:pPr>
    </w:p>
    <w:p>
      <w:pPr>
        <w:ind w:left="680" w:right="80" w:firstLine="399"/>
        <w:spacing w:after="0" w:line="289" w:lineRule="auto"/>
        <w:rPr>
          <w:sz w:val="20"/>
          <w:szCs w:val="20"/>
          <w:color w:val="auto"/>
        </w:rPr>
      </w:pPr>
      <w:r>
        <w:rPr>
          <w:rFonts w:ascii="Arial" w:cs="Arial" w:eastAsia="Arial" w:hAnsi="Arial"/>
          <w:sz w:val="12"/>
          <w:szCs w:val="12"/>
          <w:color w:val="auto"/>
        </w:rPr>
        <w:t>As of December 27, 2008, the remaining FY 2007 reserves related to severance which management expects to utilize by the end of fiscal 2009. The remaining Memec FY 2006 reserves related to facility exit costs, which management expects to utilize by fiscal 2010. The Other FY 2006 remaining reserves related to facility exit costs, which management expects to utilize by fiscal 2013. The remaining reserves for FY 2004 and 2003 restructuring activities related to contractual lease commitments, substantially all of which the Company expects to utilize by the end of fiscal 2010, although a small portion of the remaining reserves relate to lease payouts that extend to fiscal 2012.</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0" w:lineRule="exact"/>
        <w:rPr>
          <w:sz w:val="20"/>
          <w:szCs w:val="20"/>
          <w:color w:val="auto"/>
        </w:rPr>
      </w:pPr>
    </w:p>
    <w:p>
      <w:pPr>
        <w:jc w:val="both"/>
        <w:ind w:left="680" w:right="60" w:firstLine="399"/>
        <w:spacing w:after="0" w:line="260" w:lineRule="auto"/>
        <w:rPr>
          <w:sz w:val="20"/>
          <w:szCs w:val="20"/>
          <w:color w:val="auto"/>
        </w:rPr>
      </w:pPr>
      <w:r>
        <w:rPr>
          <w:rFonts w:ascii="Arial" w:cs="Arial" w:eastAsia="Arial" w:hAnsi="Arial"/>
          <w:sz w:val="13"/>
          <w:szCs w:val="13"/>
          <w:color w:val="auto"/>
        </w:rPr>
        <w:t xml:space="preserve">For a description of the Company’s critical accounting policies and an understanding of the significant factors that influenced the Company’s performance during the second quarters and six months ended December 27, 2008 and December 29, 2007, this </w:t>
      </w:r>
      <w:r>
        <w:rPr>
          <w:rFonts w:ascii="Arial" w:cs="Arial" w:eastAsia="Arial" w:hAnsi="Arial"/>
          <w:sz w:val="13"/>
          <w:szCs w:val="13"/>
          <w:i w:val="1"/>
          <w:iCs w:val="1"/>
          <w:color w:val="auto"/>
        </w:rPr>
        <w:t>Management’s Discussion and Analysis of Financial Condition and Results of Operations</w:t>
      </w:r>
      <w:r>
        <w:rPr>
          <w:rFonts w:ascii="Arial" w:cs="Arial" w:eastAsia="Arial" w:hAnsi="Arial"/>
          <w:sz w:val="13"/>
          <w:szCs w:val="13"/>
          <w:color w:val="auto"/>
        </w:rPr>
        <w:t xml:space="preserve"> (“MD&amp;A”) should be read in conjunction with the consolidated financial statements, including the related notes, appearing in Item 1 of this Report, as well as the Company’s Annual Report on Form 10-K for the year ended June 28, 2008.</w:t>
      </w:r>
    </w:p>
    <w:p>
      <w:pPr>
        <w:spacing w:after="0" w:line="70" w:lineRule="exact"/>
        <w:rPr>
          <w:sz w:val="20"/>
          <w:szCs w:val="20"/>
          <w:color w:val="auto"/>
        </w:rPr>
      </w:pPr>
    </w:p>
    <w:p>
      <w:pPr>
        <w:jc w:val="both"/>
        <w:ind w:left="680" w:right="80" w:firstLine="399"/>
        <w:spacing w:after="0" w:line="285" w:lineRule="auto"/>
        <w:rPr>
          <w:sz w:val="20"/>
          <w:szCs w:val="20"/>
          <w:color w:val="auto"/>
        </w:rPr>
      </w:pPr>
      <w:r>
        <w:rPr>
          <w:rFonts w:ascii="Arial" w:cs="Arial" w:eastAsia="Arial" w:hAnsi="Arial"/>
          <w:sz w:val="12"/>
          <w:szCs w:val="12"/>
          <w:color w:val="auto"/>
        </w:rPr>
        <w:t>There are numerous references to the impact of foreign currency translation in the discussion of the Company’s results of operations. Over the past several years, the exchange rates between the US Dollar and many foreign currencies, especially the Euro, have fluctuated significantly. For example, the US Dollar has strengthened against the Euro by approximately 9% when comparing the second quarter of fiscal 2009 with the second quarter of fiscal 2008. When the stronger US Dollar exchange rates of the current year are used to translate the results of operations of Avnet’s subsidiaries denominated in foreign currencies, the resulting impact is a decrease in US Dollars of reported results as compared with the prior period. In the discussion that follows, this is referred to as the “translation impact of changes in foreign currency exchange rates.”</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addition to disclosing financial results that are determined in accordance with US generally accepted accounting principles (“GAAP”), the Company also discloses certain non-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GAAP financial information, such as:</w:t>
      </w:r>
    </w:p>
    <w:p>
      <w:pPr>
        <w:spacing w:after="0" w:line="89" w:lineRule="exact"/>
        <w:rPr>
          <w:sz w:val="20"/>
          <w:szCs w:val="20"/>
          <w:color w:val="auto"/>
        </w:rPr>
      </w:pPr>
    </w:p>
    <w:p>
      <w:pPr>
        <w:ind w:left="1280"/>
        <w:spacing w:after="0"/>
        <w:rPr>
          <w:sz w:val="20"/>
          <w:szCs w:val="20"/>
          <w:color w:val="auto"/>
        </w:rPr>
      </w:pPr>
      <w:r>
        <w:rPr>
          <w:rFonts w:ascii="Arial" w:cs="Arial" w:eastAsia="Arial" w:hAnsi="Arial"/>
          <w:sz w:val="13"/>
          <w:szCs w:val="13"/>
          <w:color w:val="auto"/>
        </w:rPr>
        <w:t>Income or expense items as adjusted for the translation impact of changes in foreign currency exchange rates, as discussed above.</w:t>
      </w:r>
    </w:p>
    <w:p>
      <w:pPr>
        <w:spacing w:after="0" w:line="86" w:lineRule="exact"/>
        <w:rPr>
          <w:sz w:val="20"/>
          <w:szCs w:val="20"/>
          <w:color w:val="auto"/>
        </w:rPr>
      </w:pPr>
    </w:p>
    <w:p>
      <w:pPr>
        <w:ind w:left="1280" w:right="160"/>
        <w:spacing w:after="0" w:line="276" w:lineRule="auto"/>
        <w:rPr>
          <w:sz w:val="20"/>
          <w:szCs w:val="20"/>
          <w:color w:val="auto"/>
        </w:rPr>
      </w:pPr>
      <w:r>
        <w:rPr>
          <w:rFonts w:ascii="Arial" w:cs="Arial" w:eastAsia="Arial" w:hAnsi="Arial"/>
          <w:sz w:val="13"/>
          <w:szCs w:val="13"/>
          <w:color w:val="auto"/>
        </w:rPr>
        <w:t>Sales adjusted for the impact of acquisitions by adjusting Avnet’s prior periods to include the sales of businesses acquired as if the acquisitions had occurred at the beginning of the period presented and, in the discussion that follows, this adjustment for acquisitions is referred to as “pro forma sales” or “organic sales.”</w:t>
      </w:r>
    </w:p>
    <w:p>
      <w:pPr>
        <w:spacing w:after="0" w:line="49" w:lineRule="exact"/>
        <w:rPr>
          <w:sz w:val="20"/>
          <w:szCs w:val="20"/>
          <w:color w:val="auto"/>
        </w:rPr>
      </w:pPr>
    </w:p>
    <w:p>
      <w:pPr>
        <w:ind w:left="1280" w:right="60"/>
        <w:spacing w:after="0" w:line="276" w:lineRule="auto"/>
        <w:rPr>
          <w:sz w:val="20"/>
          <w:szCs w:val="20"/>
          <w:color w:val="auto"/>
        </w:rPr>
      </w:pPr>
      <w:r>
        <w:rPr>
          <w:rFonts w:ascii="Arial" w:cs="Arial" w:eastAsia="Arial" w:hAnsi="Arial"/>
          <w:sz w:val="13"/>
          <w:szCs w:val="13"/>
          <w:color w:val="auto"/>
        </w:rPr>
        <w:t>Operating income excluding the non-cash goodwill and intangible asset impairment charges incurred during the second quarter of fiscal 2009. Below is a reconciliation of GAAP results for the second quarter of fiscal 2009 to the results excluding the impairment charges, as discussed further in this MD&amp;A:</w:t>
      </w:r>
    </w:p>
    <w:p>
      <w:pPr>
        <w:spacing w:after="0" w:line="69" w:lineRule="exact"/>
        <w:rPr>
          <w:sz w:val="20"/>
          <w:szCs w:val="20"/>
          <w:color w:val="auto"/>
        </w:rPr>
      </w:pPr>
    </w:p>
    <w:tbl>
      <w:tblPr>
        <w:tblLayout w:type="fixed"/>
        <w:tblInd w:w="680" w:type="dxa"/>
        <w:tblCellMar>
          <w:top w:w="0" w:type="dxa"/>
          <w:left w:w="0" w:type="dxa"/>
          <w:bottom w:w="0" w:type="dxa"/>
          <w:right w:w="0" w:type="dxa"/>
        </w:tblCellMar>
      </w:tblPr>
      <w:tr>
        <w:trPr>
          <w:trHeight w:val="166"/>
        </w:trPr>
        <w:tc>
          <w:tcPr>
            <w:tcW w:w="4220" w:type="dxa"/>
            <w:vAlign w:val="bottom"/>
            <w:gridSpan w:val="2"/>
          </w:tcPr>
          <w:p>
            <w:pPr>
              <w:jc w:val="center"/>
              <w:ind w:right="120"/>
              <w:spacing w:after="0"/>
              <w:rPr>
                <w:sz w:val="20"/>
                <w:szCs w:val="20"/>
                <w:color w:val="auto"/>
              </w:rPr>
            </w:pPr>
            <w:r>
              <w:rPr>
                <w:rFonts w:ascii="Arial" w:cs="Arial" w:eastAsia="Arial" w:hAnsi="Arial"/>
                <w:sz w:val="13"/>
                <w:szCs w:val="13"/>
                <w:color w:val="auto"/>
                <w:w w:val="89"/>
              </w:rPr>
              <w:t>Second Quarter</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Op Income</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8"/>
              <w:spacing w:after="0"/>
              <w:rPr>
                <w:sz w:val="20"/>
                <w:szCs w:val="20"/>
                <w:color w:val="auto"/>
              </w:rPr>
            </w:pPr>
            <w:r>
              <w:rPr>
                <w:rFonts w:ascii="Arial" w:cs="Arial" w:eastAsia="Arial" w:hAnsi="Arial"/>
                <w:sz w:val="13"/>
                <w:szCs w:val="13"/>
                <w:color w:val="auto"/>
              </w:rPr>
              <w:t>Pre-tax</w:t>
            </w:r>
          </w:p>
        </w:tc>
        <w:tc>
          <w:tcPr>
            <w:tcW w:w="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79"/>
              <w:spacing w:after="0"/>
              <w:rPr>
                <w:sz w:val="20"/>
                <w:szCs w:val="20"/>
                <w:color w:val="auto"/>
              </w:rPr>
            </w:pPr>
            <w:r>
              <w:rPr>
                <w:rFonts w:ascii="Arial" w:cs="Arial" w:eastAsia="Arial" w:hAnsi="Arial"/>
                <w:sz w:val="13"/>
                <w:szCs w:val="13"/>
                <w:color w:val="auto"/>
              </w:rPr>
              <w:t>Net Income</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EPS *</w:t>
            </w:r>
          </w:p>
        </w:tc>
        <w:tc>
          <w:tcPr>
            <w:tcW w:w="100" w:type="dxa"/>
            <w:vAlign w:val="bottom"/>
          </w:tcPr>
          <w:p>
            <w:pPr>
              <w:spacing w:after="0"/>
              <w:rPr>
                <w:sz w:val="14"/>
                <w:szCs w:val="14"/>
                <w:color w:val="auto"/>
              </w:rPr>
            </w:pPr>
          </w:p>
        </w:tc>
      </w:tr>
      <w:tr>
        <w:trPr>
          <w:trHeight w:val="147"/>
        </w:trPr>
        <w:tc>
          <w:tcPr>
            <w:tcW w:w="4220" w:type="dxa"/>
            <w:vAlign w:val="bottom"/>
            <w:gridSpan w:val="2"/>
          </w:tcPr>
          <w:p>
            <w:pPr>
              <w:jc w:val="center"/>
              <w:ind w:right="100"/>
              <w:spacing w:after="0" w:line="146" w:lineRule="exact"/>
              <w:rPr>
                <w:sz w:val="20"/>
                <w:szCs w:val="20"/>
                <w:color w:val="auto"/>
              </w:rPr>
            </w:pPr>
            <w:r>
              <w:rPr>
                <w:rFonts w:ascii="Arial" w:cs="Arial" w:eastAsia="Arial" w:hAnsi="Arial"/>
                <w:sz w:val="13"/>
                <w:szCs w:val="13"/>
                <w:color w:val="auto"/>
                <w:w w:val="89"/>
              </w:rPr>
              <w:t>Ended Fiscal 2009</w:t>
            </w: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00" w:type="dxa"/>
            <w:vAlign w:val="bottom"/>
            <w:gridSpan w:val="5"/>
          </w:tcPr>
          <w:p>
            <w:pPr>
              <w:jc w:val="right"/>
              <w:ind w:right="1060"/>
              <w:spacing w:after="0" w:line="148" w:lineRule="exact"/>
              <w:rPr>
                <w:sz w:val="20"/>
                <w:szCs w:val="20"/>
                <w:color w:val="auto"/>
              </w:rPr>
            </w:pPr>
            <w:r>
              <w:rPr>
                <w:rFonts w:ascii="Arial" w:cs="Arial" w:eastAsia="Arial" w:hAnsi="Arial"/>
                <w:sz w:val="13"/>
                <w:szCs w:val="13"/>
                <w:color w:val="auto"/>
                <w:w w:val="92"/>
              </w:rPr>
              <w:t>$ in thousands, except per share data</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9"/>
        </w:trPr>
        <w:tc>
          <w:tcPr>
            <w:tcW w:w="41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47"/>
        </w:trPr>
        <w:tc>
          <w:tcPr>
            <w:tcW w:w="4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GAAP results</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2"/>
                <w:szCs w:val="12"/>
                <w:color w:val="auto"/>
              </w:rPr>
              <w:t>(1,208,753)</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(1,225,371)</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2"/>
                <w:szCs w:val="12"/>
                <w:color w:val="auto"/>
              </w:rPr>
              <w:t>(1,202,413)</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(7.98)</w:t>
            </w:r>
          </w:p>
        </w:tc>
      </w:tr>
      <w:tr>
        <w:trPr>
          <w:trHeight w:val="147"/>
        </w:trPr>
        <w:tc>
          <w:tcPr>
            <w:tcW w:w="4220" w:type="dxa"/>
            <w:vAlign w:val="bottom"/>
            <w:gridSpan w:val="2"/>
          </w:tcPr>
          <w:p>
            <w:pPr>
              <w:ind w:left="120"/>
              <w:spacing w:after="0"/>
              <w:rPr>
                <w:sz w:val="20"/>
                <w:szCs w:val="20"/>
                <w:color w:val="auto"/>
              </w:rPr>
            </w:pPr>
            <w:r>
              <w:rPr>
                <w:rFonts w:ascii="Arial" w:cs="Arial" w:eastAsia="Arial" w:hAnsi="Arial"/>
                <w:sz w:val="12"/>
                <w:szCs w:val="12"/>
                <w:color w:val="auto"/>
              </w:rPr>
              <w:t>Impairment charges</w:t>
            </w:r>
          </w:p>
        </w:tc>
        <w:tc>
          <w:tcPr>
            <w:tcW w:w="180" w:type="dxa"/>
            <w:vAlign w:val="bottom"/>
          </w:tcPr>
          <w:p>
            <w:pPr>
              <w:spacing w:after="0"/>
              <w:rPr>
                <w:sz w:val="12"/>
                <w:szCs w:val="12"/>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2"/>
                <w:szCs w:val="12"/>
                <w:color w:val="auto"/>
              </w:rPr>
              <w:t>1,348,845</w:t>
            </w:r>
          </w:p>
        </w:tc>
        <w:tc>
          <w:tcPr>
            <w:tcW w:w="160" w:type="dxa"/>
            <w:vAlign w:val="bottom"/>
          </w:tcPr>
          <w:p>
            <w:pPr>
              <w:spacing w:after="0"/>
              <w:rPr>
                <w:sz w:val="12"/>
                <w:szCs w:val="12"/>
                <w:color w:val="auto"/>
              </w:rPr>
            </w:pPr>
          </w:p>
        </w:tc>
        <w:tc>
          <w:tcPr>
            <w:tcW w:w="1420" w:type="dxa"/>
            <w:vAlign w:val="bottom"/>
            <w:gridSpan w:val="2"/>
          </w:tcPr>
          <w:p>
            <w:pPr>
              <w:jc w:val="right"/>
              <w:ind w:right="380"/>
              <w:spacing w:after="0"/>
              <w:rPr>
                <w:sz w:val="20"/>
                <w:szCs w:val="20"/>
                <w:color w:val="auto"/>
              </w:rPr>
            </w:pPr>
            <w:r>
              <w:rPr>
                <w:rFonts w:ascii="Arial" w:cs="Arial" w:eastAsia="Arial" w:hAnsi="Arial"/>
                <w:sz w:val="12"/>
                <w:szCs w:val="12"/>
                <w:color w:val="auto"/>
              </w:rPr>
              <w:t>1,348,845</w:t>
            </w:r>
          </w:p>
        </w:tc>
        <w:tc>
          <w:tcPr>
            <w:tcW w:w="200" w:type="dxa"/>
            <w:vAlign w:val="bottom"/>
          </w:tcPr>
          <w:p>
            <w:pPr>
              <w:spacing w:after="0"/>
              <w:rPr>
                <w:sz w:val="12"/>
                <w:szCs w:val="12"/>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2"/>
                <w:szCs w:val="12"/>
                <w:color w:val="auto"/>
              </w:rPr>
              <w:t>1,314,701</w:t>
            </w:r>
          </w:p>
        </w:tc>
        <w:tc>
          <w:tcPr>
            <w:tcW w:w="16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2"/>
                <w:szCs w:val="12"/>
                <w:color w:val="auto"/>
              </w:rPr>
              <w:t>8.72</w:t>
            </w:r>
          </w:p>
        </w:tc>
      </w:tr>
      <w:tr>
        <w:trPr>
          <w:trHeight w:val="20"/>
        </w:trPr>
        <w:tc>
          <w:tcPr>
            <w:tcW w:w="4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7"/>
        </w:trPr>
        <w:tc>
          <w:tcPr>
            <w:tcW w:w="422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Adjusted results</w:t>
            </w: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140,092</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123,474</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2"/>
                <w:szCs w:val="12"/>
                <w:color w:val="auto"/>
              </w:rPr>
              <w:t>112,288</w:t>
            </w: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0.75</w:t>
            </w:r>
          </w:p>
        </w:tc>
      </w:tr>
      <w:tr>
        <w:trPr>
          <w:trHeight w:val="29"/>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3" w:lineRule="exact"/>
        <w:rPr>
          <w:sz w:val="20"/>
          <w:szCs w:val="20"/>
          <w:color w:val="auto"/>
        </w:rPr>
      </w:pPr>
    </w:p>
    <w:p>
      <w:pPr>
        <w:ind w:left="3680"/>
        <w:spacing w:after="0"/>
        <w:rPr>
          <w:sz w:val="20"/>
          <w:szCs w:val="20"/>
          <w:color w:val="auto"/>
        </w:rPr>
      </w:pPr>
      <w:r>
        <w:rPr>
          <w:rFonts w:ascii="Arial" w:cs="Arial" w:eastAsia="Arial" w:hAnsi="Arial"/>
          <w:sz w:val="12"/>
          <w:szCs w:val="12"/>
          <w:color w:val="auto"/>
        </w:rPr>
        <w:t>* Earnings per share does not add due to rounding.</w:t>
      </w:r>
    </w:p>
    <w:p>
      <w:pPr>
        <w:spacing w:after="0" w:line="96"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and outlook on a non-GAAP basis should be used as a complement to, and in conjunction with, data presented in accordance with GAAP.</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OVERVIEW</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Organization</w:t>
      </w:r>
    </w:p>
    <w:p>
      <w:pPr>
        <w:spacing w:after="0" w:line="96" w:lineRule="exact"/>
        <w:rPr>
          <w:sz w:val="20"/>
          <w:szCs w:val="20"/>
          <w:color w:val="auto"/>
        </w:rPr>
      </w:pPr>
    </w:p>
    <w:p>
      <w:pPr>
        <w:ind w:left="680" w:right="820" w:firstLine="399"/>
        <w:spacing w:after="0" w:line="282" w:lineRule="auto"/>
        <w:rPr>
          <w:sz w:val="20"/>
          <w:szCs w:val="20"/>
          <w:color w:val="auto"/>
        </w:rPr>
      </w:pPr>
      <w:r>
        <w:rPr>
          <w:rFonts w:ascii="Arial" w:cs="Arial" w:eastAsia="Arial" w:hAnsi="Arial"/>
          <w:sz w:val="12"/>
          <w:szCs w:val="12"/>
          <w:color w:val="auto"/>
        </w:rPr>
        <w:t>Avnet, Inc., incorporated in New York in 1955, together with its consolidated subsidiaries (the “Company” or “Avnet”), is one of the world’s largest industrial distributors, based on sales, of electronic components, enterprise computer and storage products and embedded subsystems. Avnet creates a vital link in the technology supply chain that connects more than 300 of the world’s leading electronic component and computer product manufacturers and software developers with a global customer base of more than 100,000 original equipment manufacturers (“OEMs”), electronic manufacturing services (“EMS”) providers, original design manufacturers (“ODMs”), and value-added resellers (“VARs”). Avnet distributes electronic components, computer products and software as received from its suppliers or with assembly or other value added by Avnet. Additionally, Avnet provides engineering design, materials management and logistics services, system integration and configuration, and supply chain services.</w:t>
      </w:r>
    </w:p>
    <w:p>
      <w:pPr>
        <w:spacing w:after="0" w:line="59" w:lineRule="exact"/>
        <w:rPr>
          <w:sz w:val="20"/>
          <w:szCs w:val="20"/>
          <w:color w:val="auto"/>
        </w:rPr>
      </w:pPr>
    </w:p>
    <w:p>
      <w:pPr>
        <w:ind w:left="680" w:right="1040" w:firstLine="399"/>
        <w:spacing w:after="0" w:line="264" w:lineRule="auto"/>
        <w:rPr>
          <w:sz w:val="20"/>
          <w:szCs w:val="20"/>
          <w:color w:val="auto"/>
        </w:rPr>
      </w:pPr>
      <w:r>
        <w:rPr>
          <w:rFonts w:ascii="Arial" w:cs="Arial" w:eastAsia="Arial" w:hAnsi="Arial"/>
          <w:sz w:val="13"/>
          <w:szCs w:val="13"/>
          <w:color w:val="auto"/>
        </w:rPr>
        <w:t>Avnet has two primary operating groups — Electronics Marketing (“EM”) and Technology Solutions (“TS”). Both operating groups have operations in each of the three major economic regions of the world: the Americas; Europe, the Middle East and Africa (“EMEA”); and Asia/Pacific, consisting of Asia, Australia and New Zealand (“Asia” or “Asia/Pac”). A brief summary of each operating group is provided below:</w:t>
      </w:r>
    </w:p>
    <w:p>
      <w:pPr>
        <w:spacing w:after="0" w:line="67" w:lineRule="exact"/>
        <w:rPr>
          <w:sz w:val="20"/>
          <w:szCs w:val="20"/>
          <w:color w:val="auto"/>
        </w:rPr>
      </w:pPr>
    </w:p>
    <w:p>
      <w:pPr>
        <w:ind w:left="1400" w:right="800" w:hanging="310"/>
        <w:spacing w:after="0" w:line="257" w:lineRule="auto"/>
        <w:tabs>
          <w:tab w:leader="none" w:pos="14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EM markets and sells semiconductors and interconnect, passive and electromechanical devices (“IP&amp;E”) for more than 300 of the world’s leading electronic component manufacturers. EM markets and sells its products and services to a diverse customer base serving many end-markets including automotive, communications, computer hardware and peripheral, industrial and manufacturing, medical equipment, military and aerospace. EM also offers an array of value-added services that help customers evaluate, design-in and procure electronic components throughout the lifecycle of their technology products and systems. By working with EM from the design phase through new product introduction and through the product lifecycle, customers and suppliers can accelerate their time to market and realize cost efficiencies in both the design and manufacturing process.</w:t>
      </w:r>
    </w:p>
    <w:p>
      <w:pPr>
        <w:spacing w:after="0" w:line="61" w:lineRule="exact"/>
        <w:rPr>
          <w:rFonts w:ascii="Arial" w:cs="Arial" w:eastAsia="Arial" w:hAnsi="Arial"/>
          <w:sz w:val="13"/>
          <w:szCs w:val="13"/>
          <w:color w:val="auto"/>
        </w:rPr>
      </w:pPr>
    </w:p>
    <w:p>
      <w:pPr>
        <w:ind w:left="1400" w:right="880" w:hanging="310"/>
        <w:spacing w:after="0" w:line="264" w:lineRule="auto"/>
        <w:tabs>
          <w:tab w:leader="none" w:pos="14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TS markets and sells mid- to high-end servers, data storage, software, and the services required to implement these products and solutions to the VAR channel. TS also focuses on the worldwide OEM market for computing technology, system integrators and non-PC OEMs that require embedded systems and solutions including engineering, product prototyping, integration and other value-added services.</w:t>
      </w:r>
    </w:p>
    <w:p>
      <w:pPr>
        <w:spacing w:after="0" w:line="67" w:lineRule="exact"/>
        <w:rPr>
          <w:sz w:val="20"/>
          <w:szCs w:val="20"/>
          <w:color w:val="auto"/>
        </w:rPr>
      </w:pPr>
    </w:p>
    <w:p>
      <w:pPr>
        <w:ind w:left="680" w:right="1100" w:firstLine="399"/>
        <w:spacing w:after="0" w:line="264" w:lineRule="auto"/>
        <w:rPr>
          <w:sz w:val="20"/>
          <w:szCs w:val="20"/>
          <w:color w:val="auto"/>
        </w:rPr>
      </w:pPr>
      <w:r>
        <w:rPr>
          <w:rFonts w:ascii="Arial" w:cs="Arial" w:eastAsia="Arial" w:hAnsi="Arial"/>
          <w:sz w:val="13"/>
          <w:szCs w:val="13"/>
          <w:color w:val="auto"/>
        </w:rPr>
        <w:t xml:space="preserve">During the last eighteen months, the Company acquired ten businesses as presented in the table below. In addition, subsequent to the second quarter of fiscal 2009, the Company acquired Abacus Group plc, a value-added distributor of electronic components in Europe and Nippon Denso Industry Co., Ltd., a Tokyo-based, value-added distributor of electronic components (see Note 3 to the </w:t>
      </w:r>
      <w:r>
        <w:rPr>
          <w:rFonts w:ascii="Arial" w:cs="Arial" w:eastAsia="Arial" w:hAnsi="Arial"/>
          <w:sz w:val="13"/>
          <w:szCs w:val="13"/>
          <w:i w:val="1"/>
          <w:iCs w:val="1"/>
          <w:color w:val="auto"/>
        </w:rPr>
        <w:t>Notes to Consolidated Financial Statements</w:t>
      </w:r>
      <w:r>
        <w:rPr>
          <w:rFonts w:ascii="Arial" w:cs="Arial" w:eastAsia="Arial" w:hAnsi="Arial"/>
          <w:sz w:val="13"/>
          <w:szCs w:val="13"/>
          <w:color w:val="auto"/>
        </w:rPr>
        <w:t xml:space="preserve"> in Item 1 of this Form 10Q).</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3360" w:type="dxa"/>
            <w:vAlign w:val="bottom"/>
            <w:vMerge w:val="restart"/>
          </w:tcPr>
          <w:p>
            <w:pPr>
              <w:spacing w:after="0"/>
              <w:rPr>
                <w:sz w:val="20"/>
                <w:szCs w:val="20"/>
                <w:color w:val="auto"/>
              </w:rPr>
            </w:pPr>
            <w:r>
              <w:rPr>
                <w:rFonts w:ascii="Arial" w:cs="Arial" w:eastAsia="Arial" w:hAnsi="Arial"/>
                <w:sz w:val="13"/>
                <w:szCs w:val="13"/>
                <w:b w:val="1"/>
                <w:bCs w:val="1"/>
                <w:color w:val="auto"/>
              </w:rPr>
              <w:t>Acquired Business</w:t>
            </w:r>
          </w:p>
        </w:tc>
        <w:tc>
          <w:tcPr>
            <w:tcW w:w="3300" w:type="dxa"/>
            <w:vAlign w:val="bottom"/>
            <w:vMerge w:val="restart"/>
          </w:tcPr>
          <w:p>
            <w:pPr>
              <w:jc w:val="right"/>
              <w:ind w:right="474"/>
              <w:spacing w:after="0"/>
              <w:rPr>
                <w:sz w:val="20"/>
                <w:szCs w:val="20"/>
                <w:color w:val="auto"/>
              </w:rPr>
            </w:pPr>
            <w:r>
              <w:rPr>
                <w:rFonts w:ascii="Arial" w:cs="Arial" w:eastAsia="Arial" w:hAnsi="Arial"/>
                <w:sz w:val="13"/>
                <w:szCs w:val="13"/>
                <w:b w:val="1"/>
                <w:bCs w:val="1"/>
                <w:color w:val="auto"/>
              </w:rPr>
              <w:t>Operating Group</w:t>
            </w:r>
          </w:p>
        </w:tc>
        <w:tc>
          <w:tcPr>
            <w:tcW w:w="1720" w:type="dxa"/>
            <w:vAlign w:val="bottom"/>
            <w:vMerge w:val="restart"/>
          </w:tcPr>
          <w:p>
            <w:pPr>
              <w:ind w:left="780"/>
              <w:spacing w:after="0"/>
              <w:rPr>
                <w:sz w:val="20"/>
                <w:szCs w:val="20"/>
                <w:color w:val="auto"/>
              </w:rPr>
            </w:pPr>
            <w:r>
              <w:rPr>
                <w:rFonts w:ascii="Arial" w:cs="Arial" w:eastAsia="Arial" w:hAnsi="Arial"/>
                <w:sz w:val="13"/>
                <w:szCs w:val="13"/>
                <w:b w:val="1"/>
                <w:bCs w:val="1"/>
                <w:color w:val="auto"/>
              </w:rPr>
              <w:t>Region</w:t>
            </w:r>
          </w:p>
        </w:tc>
        <w:tc>
          <w:tcPr>
            <w:tcW w:w="1600" w:type="dxa"/>
            <w:vAlign w:val="bottom"/>
            <w:gridSpan w:val="3"/>
          </w:tcPr>
          <w:p>
            <w:pPr>
              <w:jc w:val="center"/>
              <w:ind w:left="54"/>
              <w:spacing w:after="0"/>
              <w:rPr>
                <w:sz w:val="20"/>
                <w:szCs w:val="20"/>
                <w:color w:val="auto"/>
              </w:rPr>
            </w:pPr>
            <w:r>
              <w:rPr>
                <w:rFonts w:ascii="Arial" w:cs="Arial" w:eastAsia="Arial" w:hAnsi="Arial"/>
                <w:sz w:val="13"/>
                <w:szCs w:val="13"/>
                <w:b w:val="1"/>
                <w:bCs w:val="1"/>
                <w:color w:val="auto"/>
                <w:w w:val="90"/>
              </w:rPr>
              <w:t>Acquisition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3360" w:type="dxa"/>
            <w:vAlign w:val="bottom"/>
            <w:vMerge w:val="continue"/>
          </w:tcPr>
          <w:p>
            <w:pPr>
              <w:spacing w:after="0"/>
              <w:rPr>
                <w:sz w:val="12"/>
                <w:szCs w:val="12"/>
                <w:color w:val="auto"/>
              </w:rPr>
            </w:pPr>
          </w:p>
        </w:tc>
        <w:tc>
          <w:tcPr>
            <w:tcW w:w="3300" w:type="dxa"/>
            <w:vAlign w:val="bottom"/>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600" w:type="dxa"/>
            <w:vAlign w:val="bottom"/>
            <w:gridSpan w:val="3"/>
          </w:tcPr>
          <w:p>
            <w:pPr>
              <w:jc w:val="center"/>
              <w:ind w:left="34"/>
              <w:spacing w:after="0"/>
              <w:rPr>
                <w:sz w:val="20"/>
                <w:szCs w:val="20"/>
                <w:color w:val="auto"/>
              </w:rPr>
            </w:pPr>
            <w:r>
              <w:rPr>
                <w:rFonts w:ascii="Arial" w:cs="Arial" w:eastAsia="Arial" w:hAnsi="Arial"/>
                <w:sz w:val="13"/>
                <w:szCs w:val="13"/>
                <w:b w:val="1"/>
                <w:bCs w:val="1"/>
                <w:color w:val="auto"/>
                <w:w w:val="92"/>
              </w:rPr>
              <w:t>Date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Flint Distribution Ltd.</w:t>
            </w:r>
          </w:p>
        </w:tc>
        <w:tc>
          <w:tcPr>
            <w:tcW w:w="3300" w:type="dxa"/>
            <w:vAlign w:val="bottom"/>
            <w:shd w:val="clear" w:color="auto" w:fill="CCEEFF"/>
          </w:tcPr>
          <w:p>
            <w:pPr>
              <w:jc w:val="center"/>
              <w:ind w:left="234"/>
              <w:spacing w:after="0"/>
              <w:rPr>
                <w:sz w:val="20"/>
                <w:szCs w:val="20"/>
                <w:color w:val="auto"/>
              </w:rPr>
            </w:pPr>
            <w:r>
              <w:rPr>
                <w:rFonts w:ascii="Arial" w:cs="Arial" w:eastAsia="Arial" w:hAnsi="Arial"/>
                <w:sz w:val="13"/>
                <w:szCs w:val="13"/>
                <w:color w:val="auto"/>
              </w:rPr>
              <w:t>EM</w:t>
            </w:r>
          </w:p>
        </w:tc>
        <w:tc>
          <w:tcPr>
            <w:tcW w:w="1720" w:type="dxa"/>
            <w:vAlign w:val="bottom"/>
            <w:shd w:val="clear" w:color="auto" w:fill="CCEEFF"/>
          </w:tcPr>
          <w:p>
            <w:pPr>
              <w:jc w:val="center"/>
              <w:ind w:right="74"/>
              <w:spacing w:after="0"/>
              <w:rPr>
                <w:sz w:val="20"/>
                <w:szCs w:val="20"/>
                <w:color w:val="auto"/>
              </w:rPr>
            </w:pPr>
            <w:r>
              <w:rPr>
                <w:rFonts w:ascii="Arial" w:cs="Arial" w:eastAsia="Arial" w:hAnsi="Arial"/>
                <w:sz w:val="13"/>
                <w:szCs w:val="13"/>
                <w:color w:val="auto"/>
              </w:rPr>
              <w:t>EMEA</w:t>
            </w:r>
          </w:p>
        </w:tc>
        <w:tc>
          <w:tcPr>
            <w:tcW w:w="1600" w:type="dxa"/>
            <w:vAlign w:val="bottom"/>
            <w:gridSpan w:val="3"/>
            <w:shd w:val="clear" w:color="auto" w:fill="CCEEFF"/>
          </w:tcPr>
          <w:p>
            <w:pPr>
              <w:jc w:val="center"/>
              <w:ind w:left="54"/>
              <w:spacing w:after="0"/>
              <w:rPr>
                <w:sz w:val="20"/>
                <w:szCs w:val="20"/>
                <w:color w:val="auto"/>
              </w:rPr>
            </w:pPr>
            <w:r>
              <w:rPr>
                <w:rFonts w:ascii="Arial" w:cs="Arial" w:eastAsia="Arial" w:hAnsi="Arial"/>
                <w:sz w:val="13"/>
                <w:szCs w:val="13"/>
                <w:color w:val="auto"/>
                <w:w w:val="94"/>
              </w:rPr>
              <w:t>07/05/07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Division of Magirus Group</w:t>
            </w:r>
          </w:p>
        </w:tc>
        <w:tc>
          <w:tcPr>
            <w:tcW w:w="3300" w:type="dxa"/>
            <w:vAlign w:val="bottom"/>
          </w:tcPr>
          <w:p>
            <w:pPr>
              <w:jc w:val="center"/>
              <w:ind w:left="234"/>
              <w:spacing w:after="0"/>
              <w:rPr>
                <w:sz w:val="20"/>
                <w:szCs w:val="20"/>
                <w:color w:val="auto"/>
              </w:rPr>
            </w:pPr>
            <w:r>
              <w:rPr>
                <w:rFonts w:ascii="Arial" w:cs="Arial" w:eastAsia="Arial" w:hAnsi="Arial"/>
                <w:sz w:val="13"/>
                <w:szCs w:val="13"/>
                <w:color w:val="auto"/>
                <w:w w:val="96"/>
              </w:rPr>
              <w:t>TS</w:t>
            </w:r>
          </w:p>
        </w:tc>
        <w:tc>
          <w:tcPr>
            <w:tcW w:w="1720" w:type="dxa"/>
            <w:vAlign w:val="bottom"/>
          </w:tcPr>
          <w:p>
            <w:pPr>
              <w:jc w:val="center"/>
              <w:ind w:right="74"/>
              <w:spacing w:after="0"/>
              <w:rPr>
                <w:sz w:val="20"/>
                <w:szCs w:val="20"/>
                <w:color w:val="auto"/>
              </w:rPr>
            </w:pPr>
            <w:r>
              <w:rPr>
                <w:rFonts w:ascii="Arial" w:cs="Arial" w:eastAsia="Arial" w:hAnsi="Arial"/>
                <w:sz w:val="13"/>
                <w:szCs w:val="13"/>
                <w:color w:val="auto"/>
              </w:rPr>
              <w:t>EMEA</w:t>
            </w:r>
          </w:p>
        </w:tc>
        <w:tc>
          <w:tcPr>
            <w:tcW w:w="1600" w:type="dxa"/>
            <w:vAlign w:val="bottom"/>
            <w:gridSpan w:val="3"/>
          </w:tcPr>
          <w:p>
            <w:pPr>
              <w:jc w:val="center"/>
              <w:ind w:left="54"/>
              <w:spacing w:after="0"/>
              <w:rPr>
                <w:sz w:val="20"/>
                <w:szCs w:val="20"/>
                <w:color w:val="auto"/>
              </w:rPr>
            </w:pPr>
            <w:r>
              <w:rPr>
                <w:rFonts w:ascii="Arial" w:cs="Arial" w:eastAsia="Arial" w:hAnsi="Arial"/>
                <w:sz w:val="13"/>
                <w:szCs w:val="13"/>
                <w:color w:val="auto"/>
                <w:w w:val="94"/>
              </w:rPr>
              <w:t>10/06/07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Betronik GmbH</w:t>
            </w:r>
          </w:p>
        </w:tc>
        <w:tc>
          <w:tcPr>
            <w:tcW w:w="3300" w:type="dxa"/>
            <w:vAlign w:val="bottom"/>
            <w:shd w:val="clear" w:color="auto" w:fill="CCEEFF"/>
          </w:tcPr>
          <w:p>
            <w:pPr>
              <w:jc w:val="center"/>
              <w:ind w:left="234"/>
              <w:spacing w:after="0"/>
              <w:rPr>
                <w:sz w:val="20"/>
                <w:szCs w:val="20"/>
                <w:color w:val="auto"/>
              </w:rPr>
            </w:pPr>
            <w:r>
              <w:rPr>
                <w:rFonts w:ascii="Arial" w:cs="Arial" w:eastAsia="Arial" w:hAnsi="Arial"/>
                <w:sz w:val="13"/>
                <w:szCs w:val="13"/>
                <w:color w:val="auto"/>
              </w:rPr>
              <w:t>EM</w:t>
            </w:r>
          </w:p>
        </w:tc>
        <w:tc>
          <w:tcPr>
            <w:tcW w:w="1720" w:type="dxa"/>
            <w:vAlign w:val="bottom"/>
            <w:shd w:val="clear" w:color="auto" w:fill="CCEEFF"/>
          </w:tcPr>
          <w:p>
            <w:pPr>
              <w:jc w:val="center"/>
              <w:ind w:right="74"/>
              <w:spacing w:after="0"/>
              <w:rPr>
                <w:sz w:val="20"/>
                <w:szCs w:val="20"/>
                <w:color w:val="auto"/>
              </w:rPr>
            </w:pPr>
            <w:r>
              <w:rPr>
                <w:rFonts w:ascii="Arial" w:cs="Arial" w:eastAsia="Arial" w:hAnsi="Arial"/>
                <w:sz w:val="13"/>
                <w:szCs w:val="13"/>
                <w:color w:val="auto"/>
              </w:rPr>
              <w:t>EMEA</w:t>
            </w:r>
          </w:p>
        </w:tc>
        <w:tc>
          <w:tcPr>
            <w:tcW w:w="1600" w:type="dxa"/>
            <w:vAlign w:val="bottom"/>
            <w:gridSpan w:val="3"/>
            <w:shd w:val="clear" w:color="auto" w:fill="CCEEFF"/>
          </w:tcPr>
          <w:p>
            <w:pPr>
              <w:jc w:val="center"/>
              <w:ind w:left="54"/>
              <w:spacing w:after="0"/>
              <w:rPr>
                <w:sz w:val="20"/>
                <w:szCs w:val="20"/>
                <w:color w:val="auto"/>
              </w:rPr>
            </w:pPr>
            <w:r>
              <w:rPr>
                <w:rFonts w:ascii="Arial" w:cs="Arial" w:eastAsia="Arial" w:hAnsi="Arial"/>
                <w:sz w:val="13"/>
                <w:szCs w:val="13"/>
                <w:color w:val="auto"/>
                <w:w w:val="94"/>
              </w:rPr>
              <w:t>10/31/07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ChannelWorx</w:t>
            </w:r>
          </w:p>
        </w:tc>
        <w:tc>
          <w:tcPr>
            <w:tcW w:w="3300" w:type="dxa"/>
            <w:vAlign w:val="bottom"/>
          </w:tcPr>
          <w:p>
            <w:pPr>
              <w:jc w:val="center"/>
              <w:ind w:left="234"/>
              <w:spacing w:after="0"/>
              <w:rPr>
                <w:sz w:val="20"/>
                <w:szCs w:val="20"/>
                <w:color w:val="auto"/>
              </w:rPr>
            </w:pPr>
            <w:r>
              <w:rPr>
                <w:rFonts w:ascii="Arial" w:cs="Arial" w:eastAsia="Arial" w:hAnsi="Arial"/>
                <w:sz w:val="13"/>
                <w:szCs w:val="13"/>
                <w:color w:val="auto"/>
                <w:w w:val="96"/>
              </w:rPr>
              <w:t>TS</w:t>
            </w:r>
          </w:p>
        </w:tc>
        <w:tc>
          <w:tcPr>
            <w:tcW w:w="1720" w:type="dxa"/>
            <w:vAlign w:val="bottom"/>
          </w:tcPr>
          <w:p>
            <w:pPr>
              <w:jc w:val="center"/>
              <w:ind w:right="74"/>
              <w:spacing w:after="0"/>
              <w:rPr>
                <w:sz w:val="20"/>
                <w:szCs w:val="20"/>
                <w:color w:val="auto"/>
              </w:rPr>
            </w:pPr>
            <w:r>
              <w:rPr>
                <w:rFonts w:ascii="Arial" w:cs="Arial" w:eastAsia="Arial" w:hAnsi="Arial"/>
                <w:sz w:val="13"/>
                <w:szCs w:val="13"/>
                <w:color w:val="auto"/>
                <w:w w:val="89"/>
              </w:rPr>
              <w:t>Asia/Pac</w:t>
            </w:r>
          </w:p>
        </w:tc>
        <w:tc>
          <w:tcPr>
            <w:tcW w:w="1600" w:type="dxa"/>
            <w:vAlign w:val="bottom"/>
            <w:gridSpan w:val="3"/>
          </w:tcPr>
          <w:p>
            <w:pPr>
              <w:jc w:val="center"/>
              <w:ind w:left="54"/>
              <w:spacing w:after="0"/>
              <w:rPr>
                <w:sz w:val="20"/>
                <w:szCs w:val="20"/>
                <w:color w:val="auto"/>
              </w:rPr>
            </w:pPr>
            <w:r>
              <w:rPr>
                <w:rFonts w:ascii="Arial" w:cs="Arial" w:eastAsia="Arial" w:hAnsi="Arial"/>
                <w:sz w:val="13"/>
                <w:szCs w:val="13"/>
                <w:color w:val="auto"/>
                <w:w w:val="94"/>
              </w:rPr>
              <w:t>10/31/07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Division of Acal plc Ltd.</w:t>
            </w:r>
          </w:p>
        </w:tc>
        <w:tc>
          <w:tcPr>
            <w:tcW w:w="3300" w:type="dxa"/>
            <w:vAlign w:val="bottom"/>
            <w:shd w:val="clear" w:color="auto" w:fill="CCEEFF"/>
          </w:tcPr>
          <w:p>
            <w:pPr>
              <w:jc w:val="center"/>
              <w:ind w:left="234"/>
              <w:spacing w:after="0"/>
              <w:rPr>
                <w:sz w:val="20"/>
                <w:szCs w:val="20"/>
                <w:color w:val="auto"/>
              </w:rPr>
            </w:pPr>
            <w:r>
              <w:rPr>
                <w:rFonts w:ascii="Arial" w:cs="Arial" w:eastAsia="Arial" w:hAnsi="Arial"/>
                <w:sz w:val="13"/>
                <w:szCs w:val="13"/>
                <w:color w:val="auto"/>
                <w:w w:val="96"/>
              </w:rPr>
              <w:t>TS</w:t>
            </w:r>
          </w:p>
        </w:tc>
        <w:tc>
          <w:tcPr>
            <w:tcW w:w="1720" w:type="dxa"/>
            <w:vAlign w:val="bottom"/>
            <w:shd w:val="clear" w:color="auto" w:fill="CCEEFF"/>
          </w:tcPr>
          <w:p>
            <w:pPr>
              <w:jc w:val="center"/>
              <w:ind w:right="74"/>
              <w:spacing w:after="0"/>
              <w:rPr>
                <w:sz w:val="20"/>
                <w:szCs w:val="20"/>
                <w:color w:val="auto"/>
              </w:rPr>
            </w:pPr>
            <w:r>
              <w:rPr>
                <w:rFonts w:ascii="Arial" w:cs="Arial" w:eastAsia="Arial" w:hAnsi="Arial"/>
                <w:sz w:val="13"/>
                <w:szCs w:val="13"/>
                <w:color w:val="auto"/>
              </w:rPr>
              <w:t>EMEA</w:t>
            </w:r>
          </w:p>
        </w:tc>
        <w:tc>
          <w:tcPr>
            <w:tcW w:w="1600" w:type="dxa"/>
            <w:vAlign w:val="bottom"/>
            <w:gridSpan w:val="3"/>
            <w:shd w:val="clear" w:color="auto" w:fill="CCEEFF"/>
          </w:tcPr>
          <w:p>
            <w:pPr>
              <w:jc w:val="center"/>
              <w:ind w:left="54"/>
              <w:spacing w:after="0"/>
              <w:rPr>
                <w:sz w:val="20"/>
                <w:szCs w:val="20"/>
                <w:color w:val="auto"/>
              </w:rPr>
            </w:pPr>
            <w:r>
              <w:rPr>
                <w:rFonts w:ascii="Arial" w:cs="Arial" w:eastAsia="Arial" w:hAnsi="Arial"/>
                <w:sz w:val="13"/>
                <w:szCs w:val="13"/>
                <w:color w:val="auto"/>
                <w:w w:val="94"/>
              </w:rPr>
              <w:t>12/17/07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YEL Electronics Hong Kong Ltd.</w:t>
            </w:r>
          </w:p>
        </w:tc>
        <w:tc>
          <w:tcPr>
            <w:tcW w:w="3300" w:type="dxa"/>
            <w:vAlign w:val="bottom"/>
          </w:tcPr>
          <w:p>
            <w:pPr>
              <w:jc w:val="center"/>
              <w:ind w:left="234"/>
              <w:spacing w:after="0"/>
              <w:rPr>
                <w:sz w:val="20"/>
                <w:szCs w:val="20"/>
                <w:color w:val="auto"/>
              </w:rPr>
            </w:pPr>
            <w:r>
              <w:rPr>
                <w:rFonts w:ascii="Arial" w:cs="Arial" w:eastAsia="Arial" w:hAnsi="Arial"/>
                <w:sz w:val="13"/>
                <w:szCs w:val="13"/>
                <w:color w:val="auto"/>
              </w:rPr>
              <w:t>EM</w:t>
            </w:r>
          </w:p>
        </w:tc>
        <w:tc>
          <w:tcPr>
            <w:tcW w:w="1720" w:type="dxa"/>
            <w:vAlign w:val="bottom"/>
          </w:tcPr>
          <w:p>
            <w:pPr>
              <w:jc w:val="center"/>
              <w:ind w:right="74"/>
              <w:spacing w:after="0"/>
              <w:rPr>
                <w:sz w:val="20"/>
                <w:szCs w:val="20"/>
                <w:color w:val="auto"/>
              </w:rPr>
            </w:pPr>
            <w:r>
              <w:rPr>
                <w:rFonts w:ascii="Arial" w:cs="Arial" w:eastAsia="Arial" w:hAnsi="Arial"/>
                <w:sz w:val="13"/>
                <w:szCs w:val="13"/>
                <w:color w:val="auto"/>
                <w:w w:val="89"/>
              </w:rPr>
              <w:t>Asia/Pac</w:t>
            </w:r>
          </w:p>
        </w:tc>
        <w:tc>
          <w:tcPr>
            <w:tcW w:w="1600" w:type="dxa"/>
            <w:vAlign w:val="bottom"/>
            <w:gridSpan w:val="3"/>
          </w:tcPr>
          <w:p>
            <w:pPr>
              <w:jc w:val="center"/>
              <w:ind w:left="54"/>
              <w:spacing w:after="0"/>
              <w:rPr>
                <w:sz w:val="20"/>
                <w:szCs w:val="20"/>
                <w:color w:val="auto"/>
              </w:rPr>
            </w:pPr>
            <w:r>
              <w:rPr>
                <w:rFonts w:ascii="Arial" w:cs="Arial" w:eastAsia="Arial" w:hAnsi="Arial"/>
                <w:sz w:val="13"/>
                <w:szCs w:val="13"/>
                <w:color w:val="auto"/>
                <w:w w:val="94"/>
              </w:rPr>
              <w:t>12/31/07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Azzurri Technology Ltd.</w:t>
            </w:r>
          </w:p>
        </w:tc>
        <w:tc>
          <w:tcPr>
            <w:tcW w:w="3300" w:type="dxa"/>
            <w:vAlign w:val="bottom"/>
            <w:shd w:val="clear" w:color="auto" w:fill="CCEEFF"/>
          </w:tcPr>
          <w:p>
            <w:pPr>
              <w:jc w:val="center"/>
              <w:ind w:left="234"/>
              <w:spacing w:after="0"/>
              <w:rPr>
                <w:sz w:val="20"/>
                <w:szCs w:val="20"/>
                <w:color w:val="auto"/>
              </w:rPr>
            </w:pPr>
            <w:r>
              <w:rPr>
                <w:rFonts w:ascii="Arial" w:cs="Arial" w:eastAsia="Arial" w:hAnsi="Arial"/>
                <w:sz w:val="13"/>
                <w:szCs w:val="13"/>
                <w:color w:val="auto"/>
              </w:rPr>
              <w:t>EM</w:t>
            </w:r>
          </w:p>
        </w:tc>
        <w:tc>
          <w:tcPr>
            <w:tcW w:w="1720" w:type="dxa"/>
            <w:vAlign w:val="bottom"/>
            <w:shd w:val="clear" w:color="auto" w:fill="CCEEFF"/>
          </w:tcPr>
          <w:p>
            <w:pPr>
              <w:jc w:val="center"/>
              <w:ind w:right="74"/>
              <w:spacing w:after="0"/>
              <w:rPr>
                <w:sz w:val="20"/>
                <w:szCs w:val="20"/>
                <w:color w:val="auto"/>
              </w:rPr>
            </w:pPr>
            <w:r>
              <w:rPr>
                <w:rFonts w:ascii="Arial" w:cs="Arial" w:eastAsia="Arial" w:hAnsi="Arial"/>
                <w:sz w:val="13"/>
                <w:szCs w:val="13"/>
                <w:color w:val="auto"/>
              </w:rPr>
              <w:t>EMEA</w:t>
            </w:r>
          </w:p>
        </w:tc>
        <w:tc>
          <w:tcPr>
            <w:tcW w:w="1600" w:type="dxa"/>
            <w:vAlign w:val="bottom"/>
            <w:gridSpan w:val="3"/>
            <w:shd w:val="clear" w:color="auto" w:fill="CCEEFF"/>
          </w:tcPr>
          <w:p>
            <w:pPr>
              <w:jc w:val="center"/>
              <w:ind w:left="54"/>
              <w:spacing w:after="0"/>
              <w:rPr>
                <w:sz w:val="20"/>
                <w:szCs w:val="20"/>
                <w:color w:val="auto"/>
              </w:rPr>
            </w:pPr>
            <w:r>
              <w:rPr>
                <w:rFonts w:ascii="Arial" w:cs="Arial" w:eastAsia="Arial" w:hAnsi="Arial"/>
                <w:sz w:val="13"/>
                <w:szCs w:val="13"/>
                <w:color w:val="auto"/>
                <w:w w:val="94"/>
              </w:rPr>
              <w:t>03/31/08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Horizon Technology Group plc</w:t>
            </w:r>
          </w:p>
        </w:tc>
        <w:tc>
          <w:tcPr>
            <w:tcW w:w="3300" w:type="dxa"/>
            <w:vAlign w:val="bottom"/>
          </w:tcPr>
          <w:p>
            <w:pPr>
              <w:jc w:val="center"/>
              <w:ind w:left="234"/>
              <w:spacing w:after="0"/>
              <w:rPr>
                <w:sz w:val="20"/>
                <w:szCs w:val="20"/>
                <w:color w:val="auto"/>
              </w:rPr>
            </w:pPr>
            <w:r>
              <w:rPr>
                <w:rFonts w:ascii="Arial" w:cs="Arial" w:eastAsia="Arial" w:hAnsi="Arial"/>
                <w:sz w:val="13"/>
                <w:szCs w:val="13"/>
                <w:color w:val="auto"/>
                <w:w w:val="96"/>
              </w:rPr>
              <w:t>TS</w:t>
            </w:r>
          </w:p>
        </w:tc>
        <w:tc>
          <w:tcPr>
            <w:tcW w:w="1720" w:type="dxa"/>
            <w:vAlign w:val="bottom"/>
          </w:tcPr>
          <w:p>
            <w:pPr>
              <w:jc w:val="center"/>
              <w:ind w:right="74"/>
              <w:spacing w:after="0"/>
              <w:rPr>
                <w:sz w:val="20"/>
                <w:szCs w:val="20"/>
                <w:color w:val="auto"/>
              </w:rPr>
            </w:pPr>
            <w:r>
              <w:rPr>
                <w:rFonts w:ascii="Arial" w:cs="Arial" w:eastAsia="Arial" w:hAnsi="Arial"/>
                <w:sz w:val="13"/>
                <w:szCs w:val="13"/>
                <w:color w:val="auto"/>
              </w:rPr>
              <w:t>EMEA</w:t>
            </w:r>
          </w:p>
        </w:tc>
        <w:tc>
          <w:tcPr>
            <w:tcW w:w="1600" w:type="dxa"/>
            <w:vAlign w:val="bottom"/>
            <w:gridSpan w:val="3"/>
          </w:tcPr>
          <w:p>
            <w:pPr>
              <w:jc w:val="center"/>
              <w:ind w:left="54"/>
              <w:spacing w:after="0"/>
              <w:rPr>
                <w:sz w:val="20"/>
                <w:szCs w:val="20"/>
                <w:color w:val="auto"/>
              </w:rPr>
            </w:pPr>
            <w:r>
              <w:rPr>
                <w:rFonts w:ascii="Arial" w:cs="Arial" w:eastAsia="Arial" w:hAnsi="Arial"/>
                <w:sz w:val="13"/>
                <w:szCs w:val="13"/>
                <w:color w:val="auto"/>
                <w:w w:val="94"/>
              </w:rPr>
              <w:t>06/30/08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Source Electronics Corporation</w:t>
            </w:r>
          </w:p>
        </w:tc>
        <w:tc>
          <w:tcPr>
            <w:tcW w:w="3300" w:type="dxa"/>
            <w:vAlign w:val="bottom"/>
            <w:shd w:val="clear" w:color="auto" w:fill="CCEEFF"/>
          </w:tcPr>
          <w:p>
            <w:pPr>
              <w:jc w:val="center"/>
              <w:ind w:left="234"/>
              <w:spacing w:after="0"/>
              <w:rPr>
                <w:sz w:val="20"/>
                <w:szCs w:val="20"/>
                <w:color w:val="auto"/>
              </w:rPr>
            </w:pPr>
            <w:r>
              <w:rPr>
                <w:rFonts w:ascii="Arial" w:cs="Arial" w:eastAsia="Arial" w:hAnsi="Arial"/>
                <w:sz w:val="13"/>
                <w:szCs w:val="13"/>
                <w:color w:val="auto"/>
              </w:rPr>
              <w:t>EM</w:t>
            </w:r>
          </w:p>
        </w:tc>
        <w:tc>
          <w:tcPr>
            <w:tcW w:w="1720" w:type="dxa"/>
            <w:vAlign w:val="bottom"/>
            <w:shd w:val="clear" w:color="auto" w:fill="CCEEFF"/>
          </w:tcPr>
          <w:p>
            <w:pPr>
              <w:jc w:val="center"/>
              <w:ind w:right="74"/>
              <w:spacing w:after="0"/>
              <w:rPr>
                <w:sz w:val="20"/>
                <w:szCs w:val="20"/>
                <w:color w:val="auto"/>
              </w:rPr>
            </w:pPr>
            <w:r>
              <w:rPr>
                <w:rFonts w:ascii="Arial" w:cs="Arial" w:eastAsia="Arial" w:hAnsi="Arial"/>
                <w:sz w:val="13"/>
                <w:szCs w:val="13"/>
                <w:color w:val="auto"/>
                <w:w w:val="92"/>
              </w:rPr>
              <w:t>Americas</w:t>
            </w:r>
          </w:p>
        </w:tc>
        <w:tc>
          <w:tcPr>
            <w:tcW w:w="1600" w:type="dxa"/>
            <w:vAlign w:val="bottom"/>
            <w:gridSpan w:val="3"/>
            <w:shd w:val="clear" w:color="auto" w:fill="CCEEFF"/>
          </w:tcPr>
          <w:p>
            <w:pPr>
              <w:jc w:val="center"/>
              <w:ind w:left="54"/>
              <w:spacing w:after="0"/>
              <w:rPr>
                <w:sz w:val="20"/>
                <w:szCs w:val="20"/>
                <w:color w:val="auto"/>
              </w:rPr>
            </w:pPr>
            <w:r>
              <w:rPr>
                <w:rFonts w:ascii="Arial" w:cs="Arial" w:eastAsia="Arial" w:hAnsi="Arial"/>
                <w:sz w:val="13"/>
                <w:szCs w:val="13"/>
                <w:color w:val="auto"/>
                <w:w w:val="94"/>
              </w:rPr>
              <w:t>06/30/08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Ontrack Solutions Pvt Ltd</w:t>
            </w:r>
          </w:p>
        </w:tc>
        <w:tc>
          <w:tcPr>
            <w:tcW w:w="3300" w:type="dxa"/>
            <w:vAlign w:val="bottom"/>
          </w:tcPr>
          <w:p>
            <w:pPr>
              <w:jc w:val="center"/>
              <w:ind w:left="234"/>
              <w:spacing w:after="0"/>
              <w:rPr>
                <w:sz w:val="20"/>
                <w:szCs w:val="20"/>
                <w:color w:val="auto"/>
              </w:rPr>
            </w:pPr>
            <w:r>
              <w:rPr>
                <w:rFonts w:ascii="Arial" w:cs="Arial" w:eastAsia="Arial" w:hAnsi="Arial"/>
                <w:sz w:val="13"/>
                <w:szCs w:val="13"/>
                <w:color w:val="auto"/>
                <w:w w:val="96"/>
              </w:rPr>
              <w:t>TS</w:t>
            </w:r>
          </w:p>
        </w:tc>
        <w:tc>
          <w:tcPr>
            <w:tcW w:w="1720" w:type="dxa"/>
            <w:vAlign w:val="bottom"/>
          </w:tcPr>
          <w:p>
            <w:pPr>
              <w:jc w:val="center"/>
              <w:ind w:right="74"/>
              <w:spacing w:after="0"/>
              <w:rPr>
                <w:sz w:val="20"/>
                <w:szCs w:val="20"/>
                <w:color w:val="auto"/>
              </w:rPr>
            </w:pPr>
            <w:r>
              <w:rPr>
                <w:rFonts w:ascii="Arial" w:cs="Arial" w:eastAsia="Arial" w:hAnsi="Arial"/>
                <w:sz w:val="13"/>
                <w:szCs w:val="13"/>
                <w:color w:val="auto"/>
                <w:w w:val="89"/>
              </w:rPr>
              <w:t>Asia/Pac</w:t>
            </w:r>
          </w:p>
        </w:tc>
        <w:tc>
          <w:tcPr>
            <w:tcW w:w="1600" w:type="dxa"/>
            <w:vAlign w:val="bottom"/>
            <w:gridSpan w:val="3"/>
          </w:tcPr>
          <w:p>
            <w:pPr>
              <w:jc w:val="center"/>
              <w:ind w:left="54"/>
              <w:spacing w:after="0"/>
              <w:rPr>
                <w:sz w:val="20"/>
                <w:szCs w:val="20"/>
                <w:color w:val="auto"/>
              </w:rPr>
            </w:pPr>
            <w:r>
              <w:rPr>
                <w:rFonts w:ascii="Arial" w:cs="Arial" w:eastAsia="Arial" w:hAnsi="Arial"/>
                <w:sz w:val="13"/>
                <w:szCs w:val="13"/>
                <w:color w:val="auto"/>
                <w:w w:val="94"/>
              </w:rPr>
              <w:t>07/31/08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300" w:type="dxa"/>
            <w:vAlign w:val="bottom"/>
          </w:tcPr>
          <w:p>
            <w:pPr>
              <w:jc w:val="right"/>
              <w:ind w:right="1534"/>
              <w:spacing w:after="0"/>
              <w:rPr>
                <w:sz w:val="20"/>
                <w:szCs w:val="20"/>
                <w:color w:val="auto"/>
              </w:rPr>
            </w:pPr>
            <w:r>
              <w:rPr>
                <w:rFonts w:ascii="Arial" w:cs="Arial" w:eastAsia="Arial" w:hAnsi="Arial"/>
                <w:sz w:val="13"/>
                <w:szCs w:val="13"/>
                <w:color w:val="auto"/>
              </w:rPr>
              <w:t>16</w:t>
            </w:r>
          </w:p>
        </w:tc>
        <w:tc>
          <w:tcPr>
            <w:tcW w:w="1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60" w:type="dxa"/>
            <w:vAlign w:val="bottom"/>
            <w:tcBorders>
              <w:bottom w:val="single" w:sz="8" w:color="808080"/>
            </w:tcBorders>
          </w:tcPr>
          <w:p>
            <w:pPr>
              <w:spacing w:after="0"/>
              <w:rPr>
                <w:sz w:val="14"/>
                <w:szCs w:val="14"/>
                <w:color w:val="auto"/>
              </w:rPr>
            </w:pPr>
          </w:p>
        </w:tc>
        <w:tc>
          <w:tcPr>
            <w:tcW w:w="3300" w:type="dxa"/>
            <w:vAlign w:val="bottom"/>
            <w:tcBorders>
              <w:bottom w:val="single" w:sz="8" w:color="808080"/>
            </w:tcBorders>
          </w:tcPr>
          <w:p>
            <w:pPr>
              <w:spacing w:after="0"/>
              <w:rPr>
                <w:sz w:val="14"/>
                <w:szCs w:val="14"/>
                <w:color w:val="auto"/>
              </w:rPr>
            </w:pPr>
          </w:p>
        </w:tc>
        <w:tc>
          <w:tcPr>
            <w:tcW w:w="17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-1431925</wp:posOffset>
            </wp:positionV>
            <wp:extent cx="2476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-1431925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5154930</wp:posOffset>
            </wp:positionH>
            <wp:positionV relativeFrom="paragraph">
              <wp:posOffset>-1431925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Executive Summary</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During the second quarter of fiscal 2009, the Company’s financial results were negatively impacted by the global economic slowdown as demand weakened in both operating groups, particularly in Asia during the early part of the quarter and in the Americas in the last month of the quarter, resulting in lower-than-expected revenue for the second quarter of fiscal 2009. All three regions in both operating groups contributed to the double digit year-over-year decline in sales. Sales of $4.27 billion were down 10.2% year over year and 6.4% excluding the translation impact of changes in foreign currency exchange rates. Organic sales contracted 14.9% year over year. Due to the decline in demand that occurred during the second quarter, sales for the first half of fiscal 2009 declined 1% year over year and organic sales declined 7.5% year over year.</w:t>
      </w:r>
    </w:p>
    <w:p>
      <w:pPr>
        <w:spacing w:after="0" w:line="71"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Gross profit margin for the second quarter was essentially flat with a 5 basis point year-over-year decline to 12.5%. Gross profit margin for the first half of fiscal 2009 was also flat at 12.7% as compared to the first half of the prior fiscal year. As described further below, the Company recognized non-cash goodwill and intangible asset impairment charges totaling</w:t>
      </w:r>
    </w:p>
    <w:p>
      <w:pPr>
        <w:ind w:left="680" w:right="20"/>
        <w:spacing w:after="0" w:line="284" w:lineRule="auto"/>
        <w:rPr>
          <w:sz w:val="20"/>
          <w:szCs w:val="20"/>
          <w:color w:val="auto"/>
        </w:rPr>
      </w:pPr>
      <w:r>
        <w:rPr>
          <w:rFonts w:ascii="Arial" w:cs="Arial" w:eastAsia="Arial" w:hAnsi="Arial"/>
          <w:sz w:val="12"/>
          <w:szCs w:val="12"/>
          <w:color w:val="auto"/>
        </w:rPr>
        <w:t>$1.35 billion and, as a result, the Company reported an operating loss of $1.21 billion for the second quarter of fiscal 2009. Excluding the impairment charges, the Company would have reported operating income of $140.1 million, representing a 32.6% decline as compared with the year ago quarter and operating income excluding the impairment charges for the first half of fiscal 2009 was down 21.0% year over year. The net loss for the second quarter of fiscal 2009 included a $27.3 million net tax benefit, or $0.18 per share, primarily related to the settlement of tax audits in Europe and included a tax benefit of only $34.1 million related to the impairment charges as substantially all of the impairment charges were not tax deductible.</w:t>
      </w:r>
    </w:p>
    <w:p>
      <w:pPr>
        <w:spacing w:after="0" w:line="57"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Given the year-over-year decline in sales and operating income for the second quarter of fiscal 2009 and management’s expectation of continued market weakness into the March and June quarters, the Company has announced in January 2009 that it is taking additional actions to reduce costs to better align its cost structure with current market conditions. These actions, with annualized costs savings of $50 million, are expected to be substantially complete by the end of the March quarter of fiscal 2009 with the remainder of actions to be complete by the end of the fiscal year in June. In combination with prior cost reduction actions which began in the third quarter of fiscal 2008, the Company has announced total expected cost savings of $155 million, or $145 million at current foreign currency exchange rates, which equates to approximately 10% of annualized operating expenses.</w:t>
      </w:r>
    </w:p>
    <w:p>
      <w:pPr>
        <w:spacing w:after="0" w:line="55" w:lineRule="exact"/>
        <w:rPr>
          <w:sz w:val="20"/>
          <w:szCs w:val="20"/>
          <w:color w:val="auto"/>
        </w:rPr>
      </w:pPr>
    </w:p>
    <w:p>
      <w:pPr>
        <w:ind w:left="680" w:right="160" w:firstLine="399"/>
        <w:spacing w:after="0" w:line="282" w:lineRule="auto"/>
        <w:rPr>
          <w:sz w:val="20"/>
          <w:szCs w:val="20"/>
          <w:color w:val="auto"/>
        </w:rPr>
      </w:pPr>
      <w:r>
        <w:rPr>
          <w:rFonts w:ascii="Arial" w:cs="Arial" w:eastAsia="Arial" w:hAnsi="Arial"/>
          <w:sz w:val="12"/>
          <w:szCs w:val="12"/>
          <w:color w:val="auto"/>
        </w:rPr>
        <w:t>Excluding the impairment charges in the second quarter of fiscal 2009, operating income and operating income margin were negatively impacted by the contraction in revenue. Nevertheless, the Company continues to focus on managing working capital. As a result, working capital (defined as trade receivables plus inventory less accounts payable) declined $208 million, or 7.3%, sequentially, primarily attributable to lower EM inventory levels. During the second quarter of fiscal 2009, the Company generated $320 million of cash from operating activities as compared with $84 million in the prior year second quarter. On a trailing twelve month basis through the second quarter of fiscal 2009, the Company generated cash from operating activities of $728 million. Although the current economic environment has been challenging, the Company expects to continue to make strategic investments through acquisition activity to the extent the investments strengthen Avnet’s competitive position and meet management’s return on capital thresholds.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Sales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table below presents sales for the Company and its operating groups and pro forma sales which include acquisitions as if they occurred on the first day of fiscal 2008.</w:t>
      </w:r>
    </w:p>
    <w:p>
      <w:pPr>
        <w:spacing w:after="0" w:line="114"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Pro forma</w:t>
            </w:r>
          </w:p>
        </w:tc>
      </w:tr>
      <w:tr>
        <w:trPr>
          <w:trHeight w:val="157"/>
        </w:trPr>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3"/>
                <w:szCs w:val="13"/>
                <w:b w:val="1"/>
                <w:bCs w:val="1"/>
                <w:color w:val="auto"/>
              </w:rPr>
              <w:t>Year-Year</w:t>
            </w:r>
          </w:p>
        </w:tc>
        <w:tc>
          <w:tcPr>
            <w:tcW w:w="14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4"/>
              </w:rPr>
              <w:t>Pro forma</w:t>
            </w:r>
          </w:p>
        </w:tc>
        <w:tc>
          <w:tcPr>
            <w:tcW w:w="13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Year-Year</w:t>
            </w:r>
          </w:p>
        </w:tc>
      </w:tr>
      <w:tr>
        <w:trPr>
          <w:trHeight w:val="170"/>
        </w:trPr>
        <w:tc>
          <w:tcPr>
            <w:tcW w:w="3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w w:val="99"/>
              </w:rPr>
              <w:t>Q2-Fiscal ’09</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Q2-Fiscal ’08</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 Change</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4"/>
              <w:spacing w:after="0"/>
              <w:rPr>
                <w:sz w:val="20"/>
                <w:szCs w:val="20"/>
                <w:color w:val="auto"/>
              </w:rPr>
            </w:pPr>
            <w:r>
              <w:rPr>
                <w:rFonts w:ascii="Arial" w:cs="Arial" w:eastAsia="Arial" w:hAnsi="Arial"/>
                <w:sz w:val="13"/>
                <w:szCs w:val="13"/>
                <w:b w:val="1"/>
                <w:bCs w:val="1"/>
                <w:color w:val="auto"/>
                <w:w w:val="92"/>
              </w:rPr>
              <w:t>Q2-Fiscal ’08</w:t>
            </w:r>
          </w:p>
        </w:tc>
        <w:tc>
          <w:tcPr>
            <w:tcW w:w="2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 Change</w:t>
            </w:r>
            <w:r>
              <w:rPr>
                <w:rFonts w:ascii="Arial" w:cs="Arial" w:eastAsia="Arial" w:hAnsi="Arial"/>
                <w:sz w:val="11"/>
                <w:szCs w:val="11"/>
                <w:b w:val="1"/>
                <w:bCs w:val="1"/>
                <w:color w:val="auto"/>
                <w:w w:val="94"/>
              </w:rPr>
              <w:t>(1)</w:t>
            </w:r>
          </w:p>
        </w:tc>
        <w:tc>
          <w:tcPr>
            <w:tcW w:w="160" w:type="dxa"/>
            <w:vAlign w:val="bottom"/>
          </w:tcPr>
          <w:p>
            <w:pPr>
              <w:spacing w:after="0"/>
              <w:rPr>
                <w:sz w:val="14"/>
                <w:szCs w:val="14"/>
                <w:color w:val="auto"/>
              </w:rPr>
            </w:pPr>
          </w:p>
        </w:tc>
      </w:tr>
      <w:tr>
        <w:trPr>
          <w:trHeight w:val="159"/>
        </w:trPr>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w w:val="90"/>
              </w:rPr>
              <w:t>(Dollars in thousands)</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8"/>
        </w:trPr>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57"/>
        </w:trPr>
        <w:tc>
          <w:tcPr>
            <w:tcW w:w="3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Avnet, Inc.</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4,269,178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4,753,145</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(10.2)%</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5,016,301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(14.9)%</w:t>
            </w:r>
          </w:p>
        </w:tc>
      </w:tr>
      <w:tr>
        <w:trPr>
          <w:trHeight w:val="157"/>
        </w:trPr>
        <w:tc>
          <w:tcPr>
            <w:tcW w:w="3320" w:type="dxa"/>
            <w:vAlign w:val="bottom"/>
          </w:tcPr>
          <w:p>
            <w:pPr>
              <w:ind w:left="140"/>
              <w:spacing w:after="0"/>
              <w:rPr>
                <w:sz w:val="20"/>
                <w:szCs w:val="20"/>
                <w:color w:val="auto"/>
              </w:rPr>
            </w:pPr>
            <w:r>
              <w:rPr>
                <w:rFonts w:ascii="Arial" w:cs="Arial" w:eastAsia="Arial" w:hAnsi="Arial"/>
                <w:sz w:val="13"/>
                <w:szCs w:val="13"/>
                <w:color w:val="auto"/>
              </w:rPr>
              <w:t>EM</w:t>
            </w:r>
          </w:p>
        </w:tc>
        <w:tc>
          <w:tcPr>
            <w:tcW w:w="16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2,267,318</w:t>
            </w:r>
          </w:p>
        </w:tc>
        <w:tc>
          <w:tcPr>
            <w:tcW w:w="14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2,479,117</w:t>
            </w: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(8.5)</w:t>
            </w:r>
          </w:p>
        </w:tc>
        <w:tc>
          <w:tcPr>
            <w:tcW w:w="14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2,575,232</w:t>
            </w: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(12.0)</w:t>
            </w:r>
          </w:p>
        </w:tc>
      </w:tr>
      <w:tr>
        <w:trPr>
          <w:trHeight w:val="157"/>
        </w:trPr>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TS</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2,001,860</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2,274,028</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(12.0)</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2,441,069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(18.0)</w:t>
            </w:r>
          </w:p>
        </w:tc>
      </w:tr>
      <w:tr>
        <w:trPr>
          <w:trHeight w:val="157"/>
        </w:trPr>
        <w:tc>
          <w:tcPr>
            <w:tcW w:w="3320" w:type="dxa"/>
            <w:vAlign w:val="bottom"/>
          </w:tcPr>
          <w:p>
            <w:pPr>
              <w:spacing w:after="0"/>
              <w:rPr>
                <w:sz w:val="20"/>
                <w:szCs w:val="20"/>
                <w:color w:val="auto"/>
              </w:rPr>
            </w:pPr>
            <w:r>
              <w:rPr>
                <w:rFonts w:ascii="Arial" w:cs="Arial" w:eastAsia="Arial" w:hAnsi="Arial"/>
                <w:sz w:val="13"/>
                <w:szCs w:val="13"/>
                <w:b w:val="1"/>
                <w:bCs w:val="1"/>
                <w:color w:val="auto"/>
              </w:rPr>
              <w:t>EM</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864,328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928,221</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948,396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w:t>
            </w:r>
          </w:p>
        </w:tc>
      </w:tr>
      <w:tr>
        <w:trPr>
          <w:trHeight w:val="157"/>
        </w:trPr>
        <w:tc>
          <w:tcPr>
            <w:tcW w:w="3320" w:type="dxa"/>
            <w:vAlign w:val="bottom"/>
          </w:tcPr>
          <w:p>
            <w:pPr>
              <w:ind w:left="140"/>
              <w:spacing w:after="0"/>
              <w:rPr>
                <w:sz w:val="20"/>
                <w:szCs w:val="20"/>
                <w:color w:val="auto"/>
              </w:rPr>
            </w:pPr>
            <w:r>
              <w:rPr>
                <w:rFonts w:ascii="Arial" w:cs="Arial" w:eastAsia="Arial" w:hAnsi="Arial"/>
                <w:sz w:val="13"/>
                <w:szCs w:val="13"/>
                <w:color w:val="auto"/>
              </w:rPr>
              <w:t>EMEA</w:t>
            </w:r>
          </w:p>
        </w:tc>
        <w:tc>
          <w:tcPr>
            <w:tcW w:w="16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718,562</w:t>
            </w:r>
          </w:p>
        </w:tc>
        <w:tc>
          <w:tcPr>
            <w:tcW w:w="14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825,859</w:t>
            </w: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(13.0)</w:t>
            </w:r>
          </w:p>
        </w:tc>
        <w:tc>
          <w:tcPr>
            <w:tcW w:w="14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856,903</w:t>
            </w: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(16.1)</w:t>
            </w:r>
          </w:p>
        </w:tc>
      </w:tr>
      <w:tr>
        <w:trPr>
          <w:trHeight w:val="157"/>
        </w:trPr>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684,428</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725,037</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(5.6)</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769,933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(11.1)</w:t>
            </w:r>
          </w:p>
        </w:tc>
      </w:tr>
      <w:tr>
        <w:trPr>
          <w:trHeight w:val="157"/>
        </w:trPr>
        <w:tc>
          <w:tcPr>
            <w:tcW w:w="3320" w:type="dxa"/>
            <w:vAlign w:val="bottom"/>
          </w:tcPr>
          <w:p>
            <w:pPr>
              <w:spacing w:after="0"/>
              <w:rPr>
                <w:sz w:val="20"/>
                <w:szCs w:val="20"/>
                <w:color w:val="auto"/>
              </w:rPr>
            </w:pPr>
            <w:r>
              <w:rPr>
                <w:rFonts w:ascii="Arial" w:cs="Arial" w:eastAsia="Arial" w:hAnsi="Arial"/>
                <w:sz w:val="13"/>
                <w:szCs w:val="13"/>
                <w:b w:val="1"/>
                <w:bCs w:val="1"/>
                <w:color w:val="auto"/>
              </w:rPr>
              <w:t>TS</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1,252,951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1,431,834</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(12.5)%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1,431,834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w:t>
            </w:r>
          </w:p>
        </w:tc>
      </w:tr>
      <w:tr>
        <w:trPr>
          <w:trHeight w:val="157"/>
        </w:trPr>
        <w:tc>
          <w:tcPr>
            <w:tcW w:w="3320" w:type="dxa"/>
            <w:vAlign w:val="bottom"/>
          </w:tcPr>
          <w:p>
            <w:pPr>
              <w:ind w:left="140"/>
              <w:spacing w:after="0"/>
              <w:rPr>
                <w:sz w:val="20"/>
                <w:szCs w:val="20"/>
                <w:color w:val="auto"/>
              </w:rPr>
            </w:pPr>
            <w:r>
              <w:rPr>
                <w:rFonts w:ascii="Arial" w:cs="Arial" w:eastAsia="Arial" w:hAnsi="Arial"/>
                <w:sz w:val="13"/>
                <w:szCs w:val="13"/>
                <w:color w:val="auto"/>
              </w:rPr>
              <w:t>EMEA</w:t>
            </w:r>
          </w:p>
        </w:tc>
        <w:tc>
          <w:tcPr>
            <w:tcW w:w="16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645,269</w:t>
            </w:r>
          </w:p>
        </w:tc>
        <w:tc>
          <w:tcPr>
            <w:tcW w:w="14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701,816</w:t>
            </w: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(8.1)</w:t>
            </w:r>
          </w:p>
        </w:tc>
        <w:tc>
          <w:tcPr>
            <w:tcW w:w="14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862,729</w:t>
            </w: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(25.2)</w:t>
            </w:r>
          </w:p>
        </w:tc>
      </w:tr>
      <w:tr>
        <w:trPr>
          <w:trHeight w:val="157"/>
        </w:trPr>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103,640</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140,378</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(26.2)</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146,506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(29.3)</w:t>
            </w:r>
          </w:p>
        </w:tc>
      </w:tr>
      <w:tr>
        <w:trPr>
          <w:trHeight w:val="157"/>
        </w:trPr>
        <w:tc>
          <w:tcPr>
            <w:tcW w:w="3320" w:type="dxa"/>
            <w:vAlign w:val="bottom"/>
          </w:tcPr>
          <w:p>
            <w:pPr>
              <w:spacing w:after="0"/>
              <w:rPr>
                <w:sz w:val="20"/>
                <w:szCs w:val="20"/>
                <w:color w:val="auto"/>
              </w:rPr>
            </w:pPr>
            <w:r>
              <w:rPr>
                <w:rFonts w:ascii="Arial" w:cs="Arial" w:eastAsia="Arial" w:hAnsi="Arial"/>
                <w:sz w:val="13"/>
                <w:szCs w:val="13"/>
                <w:b w:val="1"/>
                <w:bCs w:val="1"/>
                <w:color w:val="auto"/>
              </w:rPr>
              <w:t>Totals by Region</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57"/>
        </w:trPr>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Americas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2,117,279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2,360,055</w:t>
            </w:r>
          </w:p>
        </w:tc>
        <w:tc>
          <w:tcPr>
            <w:tcW w:w="13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(10.3)%</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2,380,230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(11.0)%</w:t>
            </w:r>
          </w:p>
        </w:tc>
      </w:tr>
      <w:tr>
        <w:trPr>
          <w:trHeight w:val="157"/>
        </w:trPr>
        <w:tc>
          <w:tcPr>
            <w:tcW w:w="3320" w:type="dxa"/>
            <w:vAlign w:val="bottom"/>
          </w:tcPr>
          <w:p>
            <w:pPr>
              <w:ind w:left="140"/>
              <w:spacing w:after="0"/>
              <w:rPr>
                <w:sz w:val="20"/>
                <w:szCs w:val="20"/>
                <w:color w:val="auto"/>
              </w:rPr>
            </w:pPr>
            <w:r>
              <w:rPr>
                <w:rFonts w:ascii="Arial" w:cs="Arial" w:eastAsia="Arial" w:hAnsi="Arial"/>
                <w:sz w:val="13"/>
                <w:szCs w:val="13"/>
                <w:color w:val="auto"/>
              </w:rPr>
              <w:t>EMEA</w:t>
            </w:r>
          </w:p>
        </w:tc>
        <w:tc>
          <w:tcPr>
            <w:tcW w:w="16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1,363,831</w:t>
            </w:r>
          </w:p>
        </w:tc>
        <w:tc>
          <w:tcPr>
            <w:tcW w:w="140" w:type="dxa"/>
            <w:vAlign w:val="bottom"/>
          </w:tcPr>
          <w:p>
            <w:pPr>
              <w:spacing w:after="0"/>
              <w:rPr>
                <w:sz w:val="13"/>
                <w:szCs w:val="1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3"/>
                <w:szCs w:val="13"/>
                <w:color w:val="auto"/>
              </w:rPr>
              <w:t>1,527,675</w:t>
            </w:r>
          </w:p>
        </w:tc>
        <w:tc>
          <w:tcPr>
            <w:tcW w:w="1320" w:type="dxa"/>
            <w:vAlign w:val="bottom"/>
            <w:gridSpan w:val="3"/>
          </w:tcPr>
          <w:p>
            <w:pPr>
              <w:jc w:val="right"/>
              <w:ind w:right="220"/>
              <w:spacing w:after="0"/>
              <w:rPr>
                <w:sz w:val="20"/>
                <w:szCs w:val="20"/>
                <w:color w:val="auto"/>
              </w:rPr>
            </w:pPr>
            <w:r>
              <w:rPr>
                <w:rFonts w:ascii="Arial" w:cs="Arial" w:eastAsia="Arial" w:hAnsi="Arial"/>
                <w:sz w:val="13"/>
                <w:szCs w:val="13"/>
                <w:color w:val="auto"/>
              </w:rPr>
              <w:t>(10.7)</w:t>
            </w:r>
          </w:p>
        </w:tc>
        <w:tc>
          <w:tcPr>
            <w:tcW w:w="140" w:type="dxa"/>
            <w:vAlign w:val="bottom"/>
          </w:tcPr>
          <w:p>
            <w:pPr>
              <w:spacing w:after="0"/>
              <w:rPr>
                <w:sz w:val="13"/>
                <w:szCs w:val="1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3"/>
                <w:szCs w:val="13"/>
                <w:color w:val="auto"/>
              </w:rPr>
              <w:t>1,719,632</w:t>
            </w:r>
          </w:p>
        </w:tc>
        <w:tc>
          <w:tcPr>
            <w:tcW w:w="1340" w:type="dxa"/>
            <w:vAlign w:val="bottom"/>
            <w:gridSpan w:val="2"/>
          </w:tcPr>
          <w:p>
            <w:pPr>
              <w:jc w:val="right"/>
              <w:ind w:right="100"/>
              <w:spacing w:after="0"/>
              <w:rPr>
                <w:sz w:val="20"/>
                <w:szCs w:val="20"/>
                <w:color w:val="auto"/>
              </w:rPr>
            </w:pPr>
            <w:r>
              <w:rPr>
                <w:rFonts w:ascii="Arial" w:cs="Arial" w:eastAsia="Arial" w:hAnsi="Arial"/>
                <w:sz w:val="13"/>
                <w:szCs w:val="13"/>
                <w:color w:val="auto"/>
              </w:rPr>
              <w:t>(20.7)</w:t>
            </w:r>
          </w:p>
        </w:tc>
      </w:tr>
      <w:tr>
        <w:trPr>
          <w:trHeight w:val="157"/>
        </w:trPr>
        <w:tc>
          <w:tcPr>
            <w:tcW w:w="33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Asia</w:t>
            </w:r>
          </w:p>
        </w:tc>
        <w:tc>
          <w:tcPr>
            <w:tcW w:w="16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788,068</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865,415</w:t>
            </w:r>
          </w:p>
        </w:tc>
        <w:tc>
          <w:tcPr>
            <w:tcW w:w="1320" w:type="dxa"/>
            <w:vAlign w:val="bottom"/>
            <w:gridSpan w:val="3"/>
            <w:shd w:val="clear" w:color="auto" w:fill="CCEEFF"/>
          </w:tcPr>
          <w:p>
            <w:pPr>
              <w:jc w:val="right"/>
              <w:ind w:right="220"/>
              <w:spacing w:after="0"/>
              <w:rPr>
                <w:sz w:val="20"/>
                <w:szCs w:val="20"/>
                <w:color w:val="auto"/>
              </w:rPr>
            </w:pPr>
            <w:r>
              <w:rPr>
                <w:rFonts w:ascii="Arial" w:cs="Arial" w:eastAsia="Arial" w:hAnsi="Arial"/>
                <w:sz w:val="13"/>
                <w:szCs w:val="13"/>
                <w:color w:val="auto"/>
              </w:rPr>
              <w:t>(8.9)</w:t>
            </w:r>
          </w:p>
        </w:tc>
        <w:tc>
          <w:tcPr>
            <w:tcW w:w="1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916,439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w:t>
            </w:r>
          </w:p>
        </w:tc>
      </w:tr>
    </w:tbl>
    <w:p>
      <w:pPr>
        <w:spacing w:after="0" w:line="80" w:lineRule="exact"/>
        <w:rPr>
          <w:sz w:val="20"/>
          <w:szCs w:val="20"/>
          <w:color w:val="auto"/>
        </w:rPr>
      </w:pPr>
    </w:p>
    <w:p>
      <w:pPr>
        <w:ind w:left="840" w:hanging="153"/>
        <w:spacing w:after="0"/>
        <w:tabs>
          <w:tab w:leader="none" w:pos="840" w:val="left"/>
        </w:tabs>
        <w:numPr>
          <w:ilvl w:val="0"/>
          <w:numId w:val="12"/>
        </w:numPr>
        <w:rPr>
          <w:rFonts w:ascii="Arial" w:cs="Arial" w:eastAsia="Arial" w:hAnsi="Arial"/>
          <w:sz w:val="11"/>
          <w:szCs w:val="11"/>
          <w:color w:val="auto"/>
        </w:rPr>
      </w:pPr>
      <w:r>
        <w:rPr>
          <w:rFonts w:ascii="Arial" w:cs="Arial" w:eastAsia="Arial" w:hAnsi="Arial"/>
          <w:sz w:val="13"/>
          <w:szCs w:val="13"/>
          <w:color w:val="auto"/>
        </w:rPr>
        <w:t>Year-over-year percentage change is calculated based upon Q2 Fiscal 2009 sales compared to pro forma Q2 2008 sales as presented in the following table:</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w w:val="94"/>
              </w:rPr>
              <w:t>Reported</w:t>
            </w:r>
          </w:p>
        </w:tc>
        <w:tc>
          <w:tcPr>
            <w:tcW w:w="420" w:type="dxa"/>
            <w:vAlign w:val="bottom"/>
          </w:tcPr>
          <w:p>
            <w:pPr>
              <w:spacing w:after="0"/>
              <w:rPr>
                <w:sz w:val="13"/>
                <w:szCs w:val="13"/>
                <w:color w:val="auto"/>
              </w:rPr>
            </w:pPr>
          </w:p>
        </w:tc>
        <w:tc>
          <w:tcPr>
            <w:tcW w:w="148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0"/>
              </w:rPr>
              <w:t>Acquisition</w:t>
            </w:r>
          </w:p>
        </w:tc>
        <w:tc>
          <w:tcPr>
            <w:tcW w:w="480" w:type="dxa"/>
            <w:vAlign w:val="bottom"/>
          </w:tcPr>
          <w:p>
            <w:pPr>
              <w:spacing w:after="0"/>
              <w:rPr>
                <w:sz w:val="13"/>
                <w:szCs w:val="13"/>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4"/>
              </w:rPr>
              <w:t>Pro forma</w:t>
            </w:r>
          </w:p>
        </w:tc>
        <w:tc>
          <w:tcPr>
            <w:tcW w:w="0" w:type="dxa"/>
            <w:vAlign w:val="bottom"/>
          </w:tcPr>
          <w:p>
            <w:pPr>
              <w:spacing w:after="0"/>
              <w:rPr>
                <w:sz w:val="1"/>
                <w:szCs w:val="1"/>
                <w:color w:val="auto"/>
              </w:rPr>
            </w:pPr>
          </w:p>
        </w:tc>
      </w:tr>
      <w:tr>
        <w:trPr>
          <w:trHeight w:val="141"/>
        </w:trPr>
        <w:tc>
          <w:tcPr>
            <w:tcW w:w="440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Q2 Fiscal ‘08</w:t>
            </w: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88"/>
              </w:rPr>
              <w:t>Sales</w:t>
            </w: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82"/>
              </w:rPr>
              <w:t>Sales</w:t>
            </w: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w w:val="82"/>
              </w:rPr>
              <w:t>Sales</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40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3"/>
          </w:tcPr>
          <w:p>
            <w:pPr>
              <w:jc w:val="right"/>
              <w:ind w:right="560"/>
              <w:spacing w:after="0"/>
              <w:rPr>
                <w:sz w:val="20"/>
                <w:szCs w:val="20"/>
                <w:color w:val="auto"/>
              </w:rPr>
            </w:pPr>
            <w:r>
              <w:rPr>
                <w:rFonts w:ascii="Arial" w:cs="Arial" w:eastAsia="Arial" w:hAnsi="Arial"/>
                <w:sz w:val="13"/>
                <w:szCs w:val="13"/>
                <w:b w:val="1"/>
                <w:bCs w:val="1"/>
                <w:color w:val="auto"/>
              </w:rPr>
              <w:t>(In thousands)</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4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4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Avnet, Inc.</w:t>
            </w:r>
          </w:p>
        </w:tc>
        <w:tc>
          <w:tcPr>
            <w:tcW w:w="56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4,753,145</w:t>
            </w:r>
          </w:p>
        </w:tc>
        <w:tc>
          <w:tcPr>
            <w:tcW w:w="42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263,156</w:t>
            </w:r>
          </w:p>
        </w:tc>
        <w:tc>
          <w:tcPr>
            <w:tcW w:w="480" w:type="dxa"/>
            <w:vAlign w:val="bottom"/>
            <w:shd w:val="clear" w:color="auto" w:fill="CCEEFF"/>
          </w:tcPr>
          <w:p>
            <w:pPr>
              <w:jc w:val="right"/>
              <w:ind w:right="114"/>
              <w:spacing w:after="0"/>
              <w:rPr>
                <w:sz w:val="20"/>
                <w:szCs w:val="20"/>
                <w:color w:val="auto"/>
              </w:rPr>
            </w:pPr>
            <w:r>
              <w:rPr>
                <w:rFonts w:ascii="Arial" w:cs="Arial" w:eastAsia="Arial" w:hAnsi="Arial"/>
                <w:sz w:val="13"/>
                <w:szCs w:val="13"/>
                <w:color w:val="auto"/>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5,016,301</w:t>
            </w:r>
          </w:p>
        </w:tc>
        <w:tc>
          <w:tcPr>
            <w:tcW w:w="0" w:type="dxa"/>
            <w:vAlign w:val="bottom"/>
          </w:tcPr>
          <w:p>
            <w:pPr>
              <w:spacing w:after="0"/>
              <w:rPr>
                <w:sz w:val="1"/>
                <w:szCs w:val="1"/>
                <w:color w:val="auto"/>
              </w:rPr>
            </w:pPr>
          </w:p>
        </w:tc>
      </w:tr>
      <w:tr>
        <w:trPr>
          <w:trHeight w:val="157"/>
        </w:trPr>
        <w:tc>
          <w:tcPr>
            <w:tcW w:w="4400" w:type="dxa"/>
            <w:vAlign w:val="bottom"/>
          </w:tcPr>
          <w:p>
            <w:pPr>
              <w:ind w:left="140"/>
              <w:spacing w:after="0"/>
              <w:rPr>
                <w:sz w:val="20"/>
                <w:szCs w:val="20"/>
                <w:color w:val="auto"/>
              </w:rPr>
            </w:pPr>
            <w:r>
              <w:rPr>
                <w:rFonts w:ascii="Arial" w:cs="Arial" w:eastAsia="Arial" w:hAnsi="Arial"/>
                <w:sz w:val="13"/>
                <w:szCs w:val="13"/>
                <w:color w:val="auto"/>
              </w:rPr>
              <w:t>EM</w:t>
            </w:r>
          </w:p>
        </w:tc>
        <w:tc>
          <w:tcPr>
            <w:tcW w:w="560" w:type="dxa"/>
            <w:vAlign w:val="bottom"/>
          </w:tcPr>
          <w:p>
            <w:pPr>
              <w:spacing w:after="0"/>
              <w:rPr>
                <w:sz w:val="13"/>
                <w:szCs w:val="13"/>
                <w:color w:val="auto"/>
              </w:rPr>
            </w:pPr>
          </w:p>
        </w:tc>
        <w:tc>
          <w:tcPr>
            <w:tcW w:w="1400" w:type="dxa"/>
            <w:vAlign w:val="bottom"/>
            <w:gridSpan w:val="3"/>
          </w:tcPr>
          <w:p>
            <w:pPr>
              <w:jc w:val="right"/>
              <w:ind w:right="240"/>
              <w:spacing w:after="0"/>
              <w:rPr>
                <w:sz w:val="20"/>
                <w:szCs w:val="20"/>
                <w:color w:val="auto"/>
              </w:rPr>
            </w:pPr>
            <w:r>
              <w:rPr>
                <w:rFonts w:ascii="Arial" w:cs="Arial" w:eastAsia="Arial" w:hAnsi="Arial"/>
                <w:sz w:val="13"/>
                <w:szCs w:val="13"/>
                <w:color w:val="auto"/>
              </w:rPr>
              <w:t>2,479,117</w:t>
            </w:r>
          </w:p>
        </w:tc>
        <w:tc>
          <w:tcPr>
            <w:tcW w:w="420" w:type="dxa"/>
            <w:vAlign w:val="bottom"/>
          </w:tcPr>
          <w:p>
            <w:pPr>
              <w:spacing w:after="0"/>
              <w:rPr>
                <w:sz w:val="13"/>
                <w:szCs w:val="13"/>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3"/>
                <w:szCs w:val="13"/>
                <w:color w:val="auto"/>
              </w:rPr>
              <w:t>96,115</w:t>
            </w:r>
          </w:p>
        </w:tc>
        <w:tc>
          <w:tcPr>
            <w:tcW w:w="480" w:type="dxa"/>
            <w:vAlign w:val="bottom"/>
          </w:tcPr>
          <w:p>
            <w:pPr>
              <w:spacing w:after="0"/>
              <w:rPr>
                <w:sz w:val="13"/>
                <w:szCs w:val="13"/>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3"/>
                <w:szCs w:val="13"/>
                <w:color w:val="auto"/>
              </w:rPr>
              <w:t>2,575,232</w:t>
            </w:r>
          </w:p>
        </w:tc>
        <w:tc>
          <w:tcPr>
            <w:tcW w:w="0" w:type="dxa"/>
            <w:vAlign w:val="bottom"/>
          </w:tcPr>
          <w:p>
            <w:pPr>
              <w:spacing w:after="0"/>
              <w:rPr>
                <w:sz w:val="1"/>
                <w:szCs w:val="1"/>
                <w:color w:val="auto"/>
              </w:rPr>
            </w:pPr>
          </w:p>
        </w:tc>
      </w:tr>
      <w:tr>
        <w:trPr>
          <w:trHeight w:val="157"/>
        </w:trPr>
        <w:tc>
          <w:tcPr>
            <w:tcW w:w="4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TS</w:t>
            </w:r>
          </w:p>
        </w:tc>
        <w:tc>
          <w:tcPr>
            <w:tcW w:w="560" w:type="dxa"/>
            <w:vAlign w:val="bottom"/>
            <w:shd w:val="clear" w:color="auto" w:fill="CCEEFF"/>
          </w:tcPr>
          <w:p>
            <w:pPr>
              <w:spacing w:after="0"/>
              <w:rPr>
                <w:sz w:val="13"/>
                <w:szCs w:val="13"/>
                <w:color w:val="auto"/>
              </w:rPr>
            </w:pPr>
          </w:p>
        </w:tc>
        <w:tc>
          <w:tcPr>
            <w:tcW w:w="140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2,274,028</w:t>
            </w:r>
          </w:p>
        </w:tc>
        <w:tc>
          <w:tcPr>
            <w:tcW w:w="420" w:type="dxa"/>
            <w:vAlign w:val="bottom"/>
            <w:shd w:val="clear" w:color="auto" w:fill="CCEEFF"/>
          </w:tcPr>
          <w:p>
            <w:pPr>
              <w:spacing w:after="0"/>
              <w:rPr>
                <w:sz w:val="13"/>
                <w:szCs w:val="13"/>
                <w:color w:val="auto"/>
              </w:rPr>
            </w:pP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167,041</w:t>
            </w:r>
          </w:p>
        </w:tc>
        <w:tc>
          <w:tcPr>
            <w:tcW w:w="48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2,441,069</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Consolidated sales for the second quarter of fiscal 2009 were $4.27 billion, down 10.2%, or $484.0 million, from the prior year second quarter consolidated sales of $4.75 billion. Excluding the translation impact of changes in foreign currency exchange rates, sales decreased 6.4% year over year. On a pro forma basis, consolidated sales decreased 14.9% year over year.</w:t>
      </w:r>
    </w:p>
    <w:p>
      <w:pPr>
        <w:spacing w:after="0" w:line="67"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color w:val="auto"/>
        </w:rPr>
        <w:t>EM sales of $2.27 billion in the second quarter of fiscal 2009 declined 8.5% over the prior year second quarter sales of $2.48 billion and declined 5.6% excluding the translation impact of changes in foreign currency exchange rates. All three regions were impacted by the rapid decline in demand as year-over-year sales were down 6.9%, 13.0% and 5.6% in the Americas, EMEA and Asia, respectively. The EMEA results were negatively impacted by the strengthening of the US dollar against the Euro during the second quarter of fiscal 2009 as compared with the prior year second quarter as the EMEA region sales declined 3.5% excluding the translation impact of changes in foreign currency exchange rates. Year-over-year organic sales in the Americas and Asia declined 8.9% and 11.1%, respectively. In the EMEA region, year-over-year organic sales declined 16.1% and declined 7.0% excluding the translation impact of changes in foreign exchange rates. During the month of November, the Asia region experienced a deceleration in business and the Americas had a weaker-than-expected December which resulted in EM finishing at the low end of management’s expectations.</w:t>
      </w:r>
    </w:p>
    <w:p>
      <w:pPr>
        <w:spacing w:after="0" w:line="73" w:lineRule="exact"/>
        <w:rPr>
          <w:sz w:val="20"/>
          <w:szCs w:val="20"/>
          <w:color w:val="auto"/>
        </w:rPr>
      </w:pPr>
    </w:p>
    <w:p>
      <w:pPr>
        <w:ind w:left="680" w:right="440" w:firstLine="399"/>
        <w:spacing w:after="0" w:line="264" w:lineRule="auto"/>
        <w:rPr>
          <w:sz w:val="20"/>
          <w:szCs w:val="20"/>
          <w:color w:val="auto"/>
        </w:rPr>
      </w:pPr>
      <w:r>
        <w:rPr>
          <w:rFonts w:ascii="Arial" w:cs="Arial" w:eastAsia="Arial" w:hAnsi="Arial"/>
          <w:sz w:val="13"/>
          <w:szCs w:val="13"/>
          <w:color w:val="auto"/>
        </w:rPr>
        <w:t>TS sales of $2.00 billion in the second quarter of fiscal 2009 were down 12.0% year over year and down 7.3% excluding the translation impact of changes in foreign currency exchange rates. TS sales for the second quarter of fiscal 2009 came in at the low end of management’s expectations primarily due to the Americas region which experienced a weaker-than-expected December close. At a product level, sales of servers and microprocessors were</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80"/>
        <w:spacing w:after="0" w:line="320" w:lineRule="auto"/>
        <w:rPr>
          <w:sz w:val="20"/>
          <w:szCs w:val="20"/>
          <w:color w:val="auto"/>
        </w:rPr>
      </w:pPr>
      <w:r>
        <w:rPr>
          <w:rFonts w:ascii="Arial" w:cs="Arial" w:eastAsia="Arial" w:hAnsi="Arial"/>
          <w:sz w:val="12"/>
          <w:szCs w:val="12"/>
          <w:color w:val="auto"/>
        </w:rPr>
        <w:t>down compared with the year ago quarter, while sales of networking and services were higher. Organic sales contracted 18% over prior year second quarter and 13.6% excluding the translation impact of changes in foreign currency exchange rates. All three regions experienced double digit year over year declines in organic sales.</w:t>
      </w:r>
    </w:p>
    <w:p>
      <w:pPr>
        <w:spacing w:after="0" w:line="35"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 xml:space="preserve">In response to the continued slowing in organic growth in both operating groups, management has announced additional actions to further reduce costs. See discussion under </w:t>
      </w:r>
      <w:r>
        <w:rPr>
          <w:rFonts w:ascii="Arial" w:cs="Arial" w:eastAsia="Arial" w:hAnsi="Arial"/>
          <w:sz w:val="13"/>
          <w:szCs w:val="13"/>
          <w:i w:val="1"/>
          <w:iCs w:val="1"/>
          <w:color w:val="auto"/>
        </w:rPr>
        <w:t>Selling,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General and Administrative Expenses </w:t>
      </w:r>
      <w:r>
        <w:rPr>
          <w:rFonts w:ascii="Arial" w:cs="Arial" w:eastAsia="Arial" w:hAnsi="Arial"/>
          <w:sz w:val="13"/>
          <w:szCs w:val="13"/>
          <w:color w:val="auto"/>
        </w:rPr>
        <w:t>later in this MD&amp;A.</w:t>
      </w:r>
    </w:p>
    <w:p>
      <w:pPr>
        <w:spacing w:after="0" w:line="59" w:lineRule="exact"/>
        <w:rPr>
          <w:sz w:val="20"/>
          <w:szCs w:val="20"/>
          <w:color w:val="auto"/>
        </w:rPr>
      </w:pPr>
    </w:p>
    <w:p>
      <w:pPr>
        <w:ind w:left="680" w:right="220" w:firstLine="399"/>
        <w:spacing w:after="0" w:line="289" w:lineRule="auto"/>
        <w:rPr>
          <w:sz w:val="20"/>
          <w:szCs w:val="20"/>
          <w:color w:val="auto"/>
        </w:rPr>
      </w:pPr>
      <w:r>
        <w:rPr>
          <w:rFonts w:ascii="Arial" w:cs="Arial" w:eastAsia="Arial" w:hAnsi="Arial"/>
          <w:sz w:val="12"/>
          <w:szCs w:val="12"/>
          <w:color w:val="auto"/>
        </w:rPr>
        <w:t>Consolidated sales for the first six months of fiscal 2009 were $8.76 billion, down 1.0%, over sales of $8.85 billion in the first six months of fiscal 2008. Both operating groups experienced organic sales contraction in the second quarter of fiscal 2009 as noted above which resulted in the year-over-year decline. EM sales of $4.97 billion for the first six months of fiscal 2009 were flat compared with the first six months of fiscal 2008. TS sales of $3.79 billion for the first six months of fiscal 2009 were down 2.2% over the first six months of fiscal 2008. The factors contributing to the decline in sales in both operating groups are consistent with the quarterly sales analysis discussed above.</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Gross Profit and Gross Profit Margins</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Consolidated gross profit for the second quarter of fiscal 2009 was $533.5 million, down $63.1 million, or 10.6%, over prior year second quarter primarily due to the decline in revenue. Despite the revenue decline, gross profit margin of 12.5% remained relatively flat only decreasing 5 basis points over the prior year results. For EM, gross profit margin was down 18 basis points year over year, but was up 12 basis points sequentially. TS gross profit margin was flat year over year despite the lower-than-expected revenue and was down 54 basis points sequentially. Consolidated gross profit and gross profit margins were $1.12 billion and 12.7%, respectively, for both the first half of fiscal 2009 and 2008. For the first half of fiscal 2009, EM gross profit margin decreased 14 basis points year over year and TS gross profit margin increased 27 basis points year over year.</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Selling, General and Administrative Expenses</w:t>
      </w:r>
    </w:p>
    <w:p>
      <w:pPr>
        <w:spacing w:after="0" w:line="100"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Selling, general and administrative expenses (“SG&amp;A expenses”) were $393.4 million in the second quarter of fiscal 2009, an increase of $4.6 million, or 1.2%, over the prior year quarter due primarily to the impact of acquisitions offset by the translation impact of changes in foreign currency exchange rates and cost reduction actions implemented by the Company. Included within SG&amp;A expenses are restructuring, integration and other costs which amounted to $13.1 million pre-tax, $10.0 million after tax and $0.06 per share. Metrics that management monitors with respect to its operating expenses are SG&amp;A expenses as a percentage of sales and as a percentage of gross profit. In the second quarter of fiscal 2009, SG&amp;A expenses were 9.2% of sales and 73.7% of gross profit as compared with 8.2% and 65.2%, respectively, in the second quarter of fiscal 2008.</w:t>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Beginning in the third quarter of fiscal 2008, management began taking actions to reduce costs, at TS in particular, in response to market conditions at that time. Organic sales growth</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at both EM and TS had continued to slow going into the first quarter of fiscal 2009 and, as a result, management implemented additional cost reduction actions. The combination of actions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that began in the third quarter of fiscal 2008 and actions announced in response to the first quarter of fiscal 2009 results were initially expected to provide annualized cost reductions of</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$105 million; however, due to the strengthening of the US dollar to the Euro since fiscal year end, management estimates those annualized cost reductions to be approximately $95 million</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based upon current foreign currency exchange rates. In the second quarter of fiscal 2009, the Company experienced further deceleration in business, particularly in November in the Asia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region and in December in the Americas region. As a result of the continued slow down through the second quarter of fiscal 2009, management has announced further cost reduction actions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of approximately $50 million within business units in both operating groups that are being negatively affected by the adverse market conditions in order to realign the expense structure with</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current market conditions. As of the end of the second quarter of fiscal 2009, management estimates that approximately $60 million in annualized cost savings have been achieved.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remaining cost reduction actions are anticipated to be substantially complete by the end of March 2009 and fully completed by the end of June 2009 with the full benefit of the cost savings to</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 reflected in the Company’s income statement in the first quarter of fiscal 2010.</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SG&amp;A expenses for the first six months of fiscal 2009 were $823.1 million, or 9.4% of consolidated sales, as compared with $750.1 million, or 8.5% of consolidated sales, in the first six months of the prior year. SG&amp;A expenses were 73.6% and 66.8% of gross profit in the first six months of fiscal 2009 and 2008, respectively. The increase in SG&amp;A expenses as a percentage of consolidated sales in the first half of fiscal 2009 was similarly due to the lower than expected sales.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Impairment Charges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During the second quarter of fiscal 2009, the Company recognized non-cash goodwill and intangible asset impairment charges totaling $1.35 billion pre-tax, $1.31 billion after tax and $8.72 per share.</w:t>
      </w:r>
    </w:p>
    <w:p>
      <w:pPr>
        <w:spacing w:after="0" w:line="59"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 xml:space="preserve">In accordance with SFAS 142, </w:t>
      </w:r>
      <w:r>
        <w:rPr>
          <w:rFonts w:ascii="Arial" w:cs="Arial" w:eastAsia="Arial" w:hAnsi="Arial"/>
          <w:sz w:val="13"/>
          <w:szCs w:val="13"/>
          <w:i w:val="1"/>
          <w:iCs w:val="1"/>
          <w:color w:val="auto"/>
        </w:rPr>
        <w:t>Goodwill and Other Intangible Assets</w:t>
      </w:r>
      <w:r>
        <w:rPr>
          <w:rFonts w:ascii="Arial" w:cs="Arial" w:eastAsia="Arial" w:hAnsi="Arial"/>
          <w:sz w:val="13"/>
          <w:szCs w:val="13"/>
          <w:color w:val="auto"/>
        </w:rPr>
        <w:t>, the Company performs its annual goodwill impairment test on the first day of its fiscal fourth quarter. In addition, if and when events or circumstances change that would more likely than not reduce the fair value of any of its reporting units below its carrying value, an interim test would be performed. Since the end of September 2008, the Company’s market capitalization has declined steadily, which was relatively in line with the decline in the overall market, and was significantly below book value during the second quarter due primarily to the global economic downturn’s impact on the Company’s performance and the turmoil in the equity markets. As a result of these events, the Company determined an interim impairment test was necessary and performed the interim test on all six of its reporting units as of December 27, 2008. Based on the test results, the Company determined that goodwill at four of its reporting units was impaired. Accordingly, during the second quarter of fiscal 2009, the Company recognized a non-cash goodwill impairment charge of $1.32 billion pre-tax, $1.28 billion after tax and $8.51 per share to write off all goodwill related to its EM Americas, EM Asia, TS EMEA and TS Asia reporting units. The non-cash charge has no impact on the Company’s compliance with debt covenants, its cash flows or available liquidity, but does have a material impact on its consolidated financial statements.</w:t>
      </w:r>
    </w:p>
    <w:p>
      <w:pPr>
        <w:spacing w:after="0" w:line="74"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 xml:space="preserve">In accordance with SFAS 144, </w:t>
      </w:r>
      <w:r>
        <w:rPr>
          <w:rFonts w:ascii="Arial" w:cs="Arial" w:eastAsia="Arial" w:hAnsi="Arial"/>
          <w:sz w:val="12"/>
          <w:szCs w:val="12"/>
          <w:i w:val="1"/>
          <w:iCs w:val="1"/>
          <w:color w:val="auto"/>
        </w:rPr>
        <w:t>Accounting for the Impairment or Disposal of Long-Lived Assets</w:t>
      </w:r>
      <w:r>
        <w:rPr>
          <w:rFonts w:ascii="Arial" w:cs="Arial" w:eastAsia="Arial" w:hAnsi="Arial"/>
          <w:sz w:val="12"/>
          <w:szCs w:val="12"/>
          <w:color w:val="auto"/>
        </w:rPr>
        <w:t>, the Company also evaluated the recoverability of its long-lived assets at each of the four reporting units where goodwill was deemed to be impaired. Based upon this evaluation, the Company determined that certain of its amortizable intangible assets were impaired. As a result, the Company recognized a non-cash intangible asset impairment charge of $31.4 million pre- and after tax and $0.21 per share.</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Operating Income (Loss)</w:t>
      </w:r>
    </w:p>
    <w:p>
      <w:pPr>
        <w:spacing w:after="0" w:line="100"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During the second quarter and first half of fiscal 2009, the Company recorded an operating loss of $1.21 billion and $1.05 billion, respectively, as compared with operating income of $207.9 million and $373.1 million for the second quarter and first half of fiscal 2008, respectively. As previously mentioned, the Company recognized non-cash impairment charges totaling $1.35 billion for the second quarter and first half of fiscal 2009 which significantly impacted the operating results. Excluding the impairment charges, operating income for the second quarter of fiscal 2009 was $140.1 million, or 3.28% of consolidated sales, which was a decline of 32.6% as compared with operating income of $207.9 million, or 4.37% of consolidated sales in the second quarter of fiscal 2008. EM operating income declined 21.7% to $99.1 million and operating income margin of 4.37% was down 74 basis points from the second quarter of fiscal 2008. The year-over-year operating income margin decline at EM was primarily due to the decline in sales in the profitable Americas region, which accounted for over 60% of the EM operating income decline. The EM EMEA region, which has experienced revenue contraction in local currency for the past several quarters, improved operating income margin over the prior year second quarter despite lower sales. TS operating income in the second quarter of fiscal 2009 declined 32.7% to $66.9 million, or 3.34% of sales, as compared with $99.3 million, or 4.37% of sales, in the prior year second quarter. This year-over-year decline in TS operating income and operating income margin was due primarily to contraction in organic sales. Corporate operating expenses were $12.7 million in the second quarter of fiscal 2009 as compared to $18.1 million in the second quarter of fiscal 2008. In addition, during the second quarter of fiscal 2009, restructuring, integration and other charges amounted to $13.1 million pre-tax, $10.0 million after tax and $0.06 per share.</w:t>
      </w:r>
    </w:p>
    <w:p>
      <w:pPr>
        <w:spacing w:after="0" w:line="60"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Excluding the impairment charges, operating income for the six months of fiscal 2009 was $294.6 million, or 3.36% of consolidated sales, as compared with operating income of $373.1 million, or 4.21% of consolidated sales,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in the first six months of fiscal 2008. The 85 basis point decrease in operating income margin as compared with the first half of fiscal 2008 is similarly a function of factors discussed in the quarterly analysis.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Interest Expense and Other Income, net</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Interest expense for the second quarter of fiscal 2009 was $17.4 million, down $0.2 million, or 1.1%, from interest expense of $17.6 million in the second quarter of fiscal 2008. Interest expense for the first six months of fiscal 2009 was $34.3 million, down $1.9 million, or 5.2%, as compared with interest expense of $36.2 million for the comparable six month period in the prior fiscal year. The year-over-year decrease in interest expense for the first half of fiscal 2009 was primarily the result of lower average short-term debt outstanding and lower short-term interest rates. See </w:t>
      </w:r>
      <w:r>
        <w:rPr>
          <w:rFonts w:ascii="Arial" w:cs="Arial" w:eastAsia="Arial" w:hAnsi="Arial"/>
          <w:sz w:val="13"/>
          <w:szCs w:val="13"/>
          <w:i w:val="1"/>
          <w:iCs w:val="1"/>
          <w:color w:val="auto"/>
        </w:rPr>
        <w:t>Financing Transactions</w:t>
      </w:r>
      <w:r>
        <w:rPr>
          <w:rFonts w:ascii="Arial" w:cs="Arial" w:eastAsia="Arial" w:hAnsi="Arial"/>
          <w:sz w:val="13"/>
          <w:szCs w:val="13"/>
          <w:color w:val="auto"/>
        </w:rPr>
        <w:t xml:space="preserve"> for further discussion of the Company’s outstanding debt.</w:t>
      </w:r>
    </w:p>
    <w:p>
      <w:pPr>
        <w:spacing w:after="0" w:line="7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Other income, net, was $0.8 million in the second quarter of fiscal 2009 as compared with $8.1 million in the second quarter of fiscal 2008. For the first half of fiscal 2009, other income, net, was $0.2 million as compared with $15.6 million for the first half of fiscal 2008. The year-over-year decrease for the second quarter and first half of fiscal 2009 was primarily due to foreign currency exchange losses as compared with gains in the prior year, lower interest income, and the elimination of the earnings stream from an investment in a non-consolidated business which the Company sold in April 2008.</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Gain on Sale of Assets</w:t>
      </w:r>
    </w:p>
    <w:p>
      <w:pPr>
        <w:spacing w:after="0" w:line="100" w:lineRule="exact"/>
        <w:rPr>
          <w:sz w:val="20"/>
          <w:szCs w:val="20"/>
          <w:color w:val="auto"/>
        </w:rPr>
      </w:pPr>
    </w:p>
    <w:p>
      <w:pPr>
        <w:jc w:val="both"/>
        <w:ind w:left="680" w:firstLine="399"/>
        <w:spacing w:after="0" w:line="260" w:lineRule="auto"/>
        <w:rPr>
          <w:sz w:val="20"/>
          <w:szCs w:val="20"/>
          <w:color w:val="auto"/>
        </w:rPr>
      </w:pPr>
      <w:r>
        <w:rPr>
          <w:rFonts w:ascii="Arial" w:cs="Arial" w:eastAsia="Arial" w:hAnsi="Arial"/>
          <w:sz w:val="13"/>
          <w:szCs w:val="13"/>
          <w:color w:val="auto"/>
        </w:rPr>
        <w:t>During the second quarter and first half of fiscal 2008, the Company recognized the gain on sale of assets totaling $7.5 million pre-tax, $6.3 million after-tax and $0.04 per share on a diluted basis. In October 2007, the Company sold a building in the EMEA region and recognized a gain of $4.5 million pre- and after tax and $0.03 per share on a diluted basis. Due to local tax allowances, the building sale was not taxable. The Company also recognized a gain of $3.0 million pre-tax, $1.8 million after-tax and $0.01 per share on a diluted basis for the receipt of contingent purchase price proceeds related to a prior sale of a business.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 Provision (Benefit)</w:t>
      </w:r>
    </w:p>
    <w:p>
      <w:pPr>
        <w:spacing w:after="0" w:line="10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Company recognized a tax benefit rate of 1.9% on its loss before income taxes in the second quarter of fiscal 2009 as compared with an effective tax rate of 30.9% in the second quarter of fiscal 2008. For the first half of fiscal 2009 and 2008, the Company’s effective tax rate was 2.0% and 31.2%, respectively. During the second quarter and first half of fiscal 2009, the Company recognized a net tax benefit of $27.3 million, or $0.18 per share related to the release of tax reserves due to the settlement of certain tax audits in Europe and also recognized a tax benefit of $34.1 million related to the impairment charges as substantially all of the impairment charges were not tax deductible.</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Net Income (Loss)</w:t>
      </w:r>
    </w:p>
    <w:p>
      <w:pPr>
        <w:spacing w:after="0" w:line="100" w:lineRule="exact"/>
        <w:rPr>
          <w:sz w:val="20"/>
          <w:szCs w:val="20"/>
          <w:color w:val="auto"/>
        </w:rPr>
      </w:pPr>
    </w:p>
    <w:p>
      <w:pPr>
        <w:ind w:left="680" w:right="20" w:firstLine="399"/>
        <w:spacing w:after="0" w:line="296" w:lineRule="auto"/>
        <w:rPr>
          <w:sz w:val="20"/>
          <w:szCs w:val="20"/>
          <w:color w:val="auto"/>
        </w:rPr>
      </w:pPr>
      <w:r>
        <w:rPr>
          <w:rFonts w:ascii="Arial" w:cs="Arial" w:eastAsia="Arial" w:hAnsi="Arial"/>
          <w:sz w:val="12"/>
          <w:szCs w:val="12"/>
          <w:color w:val="auto"/>
        </w:rPr>
        <w:t>As a result of the operational performance and other factors described in the preceding sections of this MD&amp;A, the Company’s consolidated net loss for the second quarter of fiscal 2009 was $1.20 billion, or $7.98 per share, as compared with net income of $142.2 million, or $0.93 per share on a diluted basis, in the prior year second quarter. Net loss for the first half of fiscal 2009 was $1.11 billion, or $7.37 per share as compared with net income of $247.7 million, or $1.62 per share on a diluted basis for the first half of fiscal 2008.</w:t>
      </w:r>
    </w:p>
    <w:p>
      <w:pPr>
        <w:spacing w:after="0" w:line="203" w:lineRule="exact"/>
        <w:rPr>
          <w:sz w:val="20"/>
          <w:szCs w:val="20"/>
          <w:color w:val="auto"/>
        </w:rPr>
      </w:pPr>
    </w:p>
    <w:p>
      <w:pPr>
        <w:ind w:left="4440"/>
        <w:spacing w:after="0"/>
        <w:rPr>
          <w:sz w:val="20"/>
          <w:szCs w:val="20"/>
          <w:color w:val="auto"/>
        </w:rPr>
      </w:pPr>
      <w:r>
        <w:rPr>
          <w:rFonts w:ascii="Arial" w:cs="Arial" w:eastAsia="Arial" w:hAnsi="Arial"/>
          <w:sz w:val="13"/>
          <w:szCs w:val="13"/>
          <w:b w:val="1"/>
          <w:bCs w:val="1"/>
          <w:color w:val="auto"/>
        </w:rPr>
        <w:t>LIQUIDITY AND CAPITAL RESOURCES</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Cash Flow</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Cash Flow from Operating Activities</w:t>
      </w:r>
    </w:p>
    <w:p>
      <w:pPr>
        <w:spacing w:after="0" w:line="96"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During the second quarter and first half of fiscal 2009, the Company generated $319.5 million and $314.2 million, respectively, of cash and cash equivalents from its operating activities as compared with $83.8 million and $40.0 million, respectively, in the second quarter and first half of fiscal 2008. These results are comprised of: (1) cash flow generated from net income excluding non-cash and other reconciling items, which</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60"/>
        <w:spacing w:after="0" w:line="260" w:lineRule="auto"/>
        <w:rPr>
          <w:sz w:val="20"/>
          <w:szCs w:val="20"/>
          <w:color w:val="auto"/>
        </w:rPr>
      </w:pPr>
      <w:r>
        <w:rPr>
          <w:rFonts w:ascii="Arial" w:cs="Arial" w:eastAsia="Arial" w:hAnsi="Arial"/>
          <w:sz w:val="13"/>
          <w:szCs w:val="13"/>
          <w:color w:val="auto"/>
        </w:rPr>
        <w:t>includes the add-back of depreciation and amortization, deferred income taxes, stock-based compensation, non-cash impairment charges, and other non-cash items (primarily the provision for doubtful accounts and periodic pension costs) and (2) cash flow used for working capital, excluding cash and cash equivalents. Cash generated from working capital during the second quarter of fiscal 2009 was from accounts payable ($31.5 million), reduction in inventory ($107.6 million) primarily related to EM, increase in receivables ($39.8 million) primarily due to EM collections more than offset by TS growth in receivables, and other items ($55.9 million).</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Comparatively, the working capital outflow in the second quarter of fiscal 2008 consisted of growth in receivables ($464.6 million) slightly offset by a decrease in inventories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($52.6 million), growth in accounts payable ($309.5 million) and cash inflow for other items ($13.9 million). The growth in receivables as well as payables was primarily attributable to TS</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where revenue growth was higher than management’s expectations beyond its typically stronger December quarter revenue performance. The growth at TS was offset somewhat by a</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decrease in EM receivables and payables. The modest reduction in inventory was primarily related to EM which exited the first quarter of fiscal 2008 with slightly higher inventory.</w:t>
      </w:r>
    </w:p>
    <w:p>
      <w:pPr>
        <w:spacing w:after="0" w:line="17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Cash Flow from Financing Activities</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The Company utilized cash of $4.6 million and $9.2 million related to net repayments of bank credit facilities during the second quarter and first half of fiscal 2009, respectively. During the second quarter and first half of fiscal 2008, the Company received net proceeds of $50.6 million and $60.2 million, respectively, primarily from bank credit facilities and from the exercise of stock options and the associated excess tax benefit. During the second quarter of fiscal 2008, the Company drew upon foreign bank facilities to partially fund an acquisition which closed the day after the December quarter end. In addition, there were $15.8 million in borrowings outstanding under the Credit Agreement (as defined below) as of the end of the second quarter of fiscal 2008 (see </w:t>
      </w:r>
      <w:r>
        <w:rPr>
          <w:rFonts w:ascii="Arial" w:cs="Arial" w:eastAsia="Arial" w:hAnsi="Arial"/>
          <w:sz w:val="13"/>
          <w:szCs w:val="13"/>
          <w:i w:val="1"/>
          <w:iCs w:val="1"/>
          <w:color w:val="auto"/>
        </w:rPr>
        <w:t>Financing Transactions</w:t>
      </w:r>
      <w:r>
        <w:rPr>
          <w:rFonts w:ascii="Arial" w:cs="Arial" w:eastAsia="Arial" w:hAnsi="Arial"/>
          <w:sz w:val="13"/>
          <w:szCs w:val="13"/>
          <w:color w:val="auto"/>
        </w:rPr>
        <w:t xml:space="preserve"> for further discussion).</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Cash Flow from Investing Activities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used $5.3 million of cash related to acquisitions during the second quarter of fiscal 2009 and used $212.7 million for acquisitions during the first half of fiscal 2009.</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During the second quarter and first half of fiscal 2009, the Company utilized $22.0 million and $49.6 million, respectively, of cash for capital expenditures related to system development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costs, computer hardware and software as well as expenditures related to warehouse construction costs. During the second quarter and first half of fiscal 2008, the Company used</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$240.5 million and $252.7 million, respectively, of cash for the acquisition of several businesses. Other investing activities included capital expenditures primarily for system development</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costs, computer hardware and software.</w:t>
      </w:r>
    </w:p>
    <w:p>
      <w:pPr>
        <w:spacing w:after="0" w:line="16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Capital Structure and 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Company’s capital structure as of the end of the second quarter of fiscal 2009 with a comparison to fiscal 2008 year-end:</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4"/>
          </w:tcPr>
          <w:p>
            <w:pPr>
              <w:jc w:val="center"/>
              <w:ind w:right="420"/>
              <w:spacing w:after="0"/>
              <w:rPr>
                <w:sz w:val="20"/>
                <w:szCs w:val="20"/>
                <w:color w:val="auto"/>
              </w:rPr>
            </w:pPr>
            <w:r>
              <w:rPr>
                <w:rFonts w:ascii="Arial" w:cs="Arial" w:eastAsia="Arial" w:hAnsi="Arial"/>
                <w:sz w:val="13"/>
                <w:szCs w:val="13"/>
                <w:b w:val="1"/>
                <w:bCs w:val="1"/>
                <w:color w:val="auto"/>
                <w:w w:val="89"/>
              </w:rPr>
              <w:t>December 27,</w:t>
            </w:r>
          </w:p>
        </w:tc>
        <w:tc>
          <w:tcPr>
            <w:tcW w:w="300" w:type="dxa"/>
            <w:vAlign w:val="bottom"/>
          </w:tcPr>
          <w:p>
            <w:pPr>
              <w:spacing w:after="0"/>
              <w:rPr>
                <w:sz w:val="13"/>
                <w:szCs w:val="13"/>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 of Total</w:t>
            </w:r>
          </w:p>
        </w:tc>
        <w:tc>
          <w:tcPr>
            <w:tcW w:w="120" w:type="dxa"/>
            <w:vAlign w:val="bottom"/>
          </w:tcPr>
          <w:p>
            <w:pPr>
              <w:spacing w:after="0"/>
              <w:rPr>
                <w:sz w:val="13"/>
                <w:szCs w:val="13"/>
                <w:color w:val="auto"/>
              </w:rPr>
            </w:pPr>
          </w:p>
        </w:tc>
        <w:tc>
          <w:tcPr>
            <w:tcW w:w="1280" w:type="dxa"/>
            <w:vAlign w:val="bottom"/>
            <w:gridSpan w:val="4"/>
          </w:tcPr>
          <w:p>
            <w:pPr>
              <w:jc w:val="center"/>
              <w:ind w:right="700"/>
              <w:spacing w:after="0"/>
              <w:rPr>
                <w:sz w:val="20"/>
                <w:szCs w:val="20"/>
                <w:color w:val="auto"/>
              </w:rPr>
            </w:pPr>
            <w:r>
              <w:rPr>
                <w:rFonts w:ascii="Arial" w:cs="Arial" w:eastAsia="Arial" w:hAnsi="Arial"/>
                <w:sz w:val="13"/>
                <w:szCs w:val="13"/>
                <w:b w:val="1"/>
                <w:bCs w:val="1"/>
                <w:color w:val="auto"/>
                <w:w w:val="88"/>
              </w:rPr>
              <w:t>June 28,</w:t>
            </w:r>
          </w:p>
        </w:tc>
        <w:tc>
          <w:tcPr>
            <w:tcW w:w="11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 of Total</w:t>
            </w:r>
          </w:p>
        </w:tc>
      </w:tr>
      <w:tr>
        <w:trPr>
          <w:trHeight w:val="141"/>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spacing w:after="0" w:line="141" w:lineRule="exact"/>
              <w:rPr>
                <w:sz w:val="20"/>
                <w:szCs w:val="20"/>
                <w:color w:val="auto"/>
              </w:rPr>
            </w:pPr>
            <w:r>
              <w:rPr>
                <w:rFonts w:ascii="Arial" w:cs="Arial" w:eastAsia="Arial" w:hAnsi="Arial"/>
                <w:sz w:val="13"/>
                <w:szCs w:val="13"/>
                <w:b w:val="1"/>
                <w:bCs w:val="1"/>
                <w:color w:val="auto"/>
              </w:rPr>
              <w:t>2008</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gridSpan w:val="3"/>
          </w:tcPr>
          <w:p>
            <w:pPr>
              <w:jc w:val="right"/>
              <w:ind w:right="600"/>
              <w:spacing w:after="0" w:line="141" w:lineRule="exact"/>
              <w:rPr>
                <w:sz w:val="20"/>
                <w:szCs w:val="20"/>
                <w:color w:val="auto"/>
              </w:rPr>
            </w:pPr>
            <w:r>
              <w:rPr>
                <w:rFonts w:ascii="Arial" w:cs="Arial" w:eastAsia="Arial" w:hAnsi="Arial"/>
                <w:sz w:val="13"/>
                <w:szCs w:val="13"/>
                <w:b w:val="1"/>
                <w:bCs w:val="1"/>
                <w:color w:val="auto"/>
              </w:rPr>
              <w:t>Capitalization</w:t>
            </w:r>
          </w:p>
        </w:tc>
        <w:tc>
          <w:tcPr>
            <w:tcW w:w="120" w:type="dxa"/>
            <w:vAlign w:val="bottom"/>
          </w:tcPr>
          <w:p>
            <w:pPr>
              <w:spacing w:after="0"/>
              <w:rPr>
                <w:sz w:val="12"/>
                <w:szCs w:val="12"/>
                <w:color w:val="auto"/>
              </w:rPr>
            </w:pPr>
          </w:p>
        </w:tc>
        <w:tc>
          <w:tcPr>
            <w:tcW w:w="680" w:type="dxa"/>
            <w:vAlign w:val="bottom"/>
            <w:gridSpan w:val="3"/>
          </w:tcPr>
          <w:p>
            <w:pPr>
              <w:jc w:val="right"/>
              <w:ind w:right="260"/>
              <w:spacing w:after="0" w:line="141" w:lineRule="exact"/>
              <w:rPr>
                <w:sz w:val="20"/>
                <w:szCs w:val="20"/>
                <w:color w:val="auto"/>
              </w:rPr>
            </w:pPr>
            <w:r>
              <w:rPr>
                <w:rFonts w:ascii="Arial" w:cs="Arial" w:eastAsia="Arial" w:hAnsi="Arial"/>
                <w:sz w:val="13"/>
                <w:szCs w:val="13"/>
                <w:b w:val="1"/>
                <w:bCs w:val="1"/>
                <w:color w:val="auto"/>
              </w:rPr>
              <w:t>2008</w:t>
            </w:r>
          </w:p>
        </w:tc>
        <w:tc>
          <w:tcPr>
            <w:tcW w:w="600" w:type="dxa"/>
            <w:vAlign w:val="bottom"/>
          </w:tcPr>
          <w:p>
            <w:pPr>
              <w:spacing w:after="0"/>
              <w:rPr>
                <w:sz w:val="12"/>
                <w:szCs w:val="12"/>
                <w:color w:val="auto"/>
              </w:rPr>
            </w:pPr>
          </w:p>
        </w:tc>
        <w:tc>
          <w:tcPr>
            <w:tcW w:w="1100" w:type="dxa"/>
            <w:vAlign w:val="bottom"/>
            <w:gridSpan w:val="2"/>
          </w:tcPr>
          <w:p>
            <w:pPr>
              <w:jc w:val="right"/>
              <w:ind w:right="320"/>
              <w:spacing w:after="0" w:line="141" w:lineRule="exact"/>
              <w:rPr>
                <w:sz w:val="20"/>
                <w:szCs w:val="20"/>
                <w:color w:val="auto"/>
              </w:rPr>
            </w:pPr>
            <w:r>
              <w:rPr>
                <w:rFonts w:ascii="Arial" w:cs="Arial" w:eastAsia="Arial" w:hAnsi="Arial"/>
                <w:sz w:val="13"/>
                <w:szCs w:val="13"/>
                <w:b w:val="1"/>
                <w:bCs w:val="1"/>
                <w:color w:val="auto"/>
                <w:w w:val="89"/>
              </w:rPr>
              <w:t>Capitalization</w:t>
            </w: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65"/>
        </w:trPr>
        <w:tc>
          <w:tcPr>
            <w:tcW w:w="4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7"/>
          </w:tcPr>
          <w:p>
            <w:pPr>
              <w:jc w:val="right"/>
              <w:ind w:right="1140"/>
              <w:spacing w:after="0"/>
              <w:rPr>
                <w:sz w:val="20"/>
                <w:szCs w:val="20"/>
                <w:color w:val="auto"/>
              </w:rPr>
            </w:pPr>
            <w:r>
              <w:rPr>
                <w:rFonts w:ascii="Arial" w:cs="Arial" w:eastAsia="Arial" w:hAnsi="Arial"/>
                <w:sz w:val="13"/>
                <w:szCs w:val="13"/>
                <w:b w:val="1"/>
                <w:bCs w:val="1"/>
                <w:i w:val="1"/>
                <w:iCs w:val="1"/>
                <w:color w:val="auto"/>
              </w:rPr>
              <w:t>(Dollars in thousands)</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
        </w:trPr>
        <w:tc>
          <w:tcPr>
            <w:tcW w:w="4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157"/>
        </w:trPr>
        <w:tc>
          <w:tcPr>
            <w:tcW w:w="4400" w:type="dxa"/>
            <w:vAlign w:val="bottom"/>
            <w:shd w:val="clear" w:color="auto" w:fill="CCEEFF"/>
          </w:tcPr>
          <w:p>
            <w:pPr>
              <w:spacing w:after="0"/>
              <w:rPr>
                <w:sz w:val="20"/>
                <w:szCs w:val="20"/>
                <w:color w:val="auto"/>
              </w:rPr>
            </w:pPr>
            <w:r>
              <w:rPr>
                <w:rFonts w:ascii="Arial" w:cs="Arial" w:eastAsia="Arial" w:hAnsi="Arial"/>
                <w:sz w:val="13"/>
                <w:szCs w:val="13"/>
                <w:color w:val="auto"/>
              </w:rPr>
              <w:t>Short-term debt</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4"/>
            <w:shd w:val="clear" w:color="auto" w:fill="CCEEFF"/>
          </w:tcPr>
          <w:p>
            <w:pPr>
              <w:jc w:val="right"/>
              <w:ind w:right="280"/>
              <w:spacing w:after="0"/>
              <w:rPr>
                <w:sz w:val="20"/>
                <w:szCs w:val="20"/>
                <w:color w:val="auto"/>
              </w:rPr>
            </w:pPr>
            <w:r>
              <w:rPr>
                <w:rFonts w:ascii="Arial" w:cs="Arial" w:eastAsia="Arial" w:hAnsi="Arial"/>
                <w:sz w:val="13"/>
                <w:szCs w:val="13"/>
                <w:color w:val="auto"/>
              </w:rPr>
              <w:t>38,320</w:t>
            </w:r>
          </w:p>
        </w:tc>
        <w:tc>
          <w:tcPr>
            <w:tcW w:w="170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4"/>
            <w:shd w:val="clear" w:color="auto" w:fill="CCEEFF"/>
          </w:tcPr>
          <w:p>
            <w:pPr>
              <w:jc w:val="right"/>
              <w:ind w:right="600"/>
              <w:spacing w:after="0"/>
              <w:rPr>
                <w:sz w:val="20"/>
                <w:szCs w:val="20"/>
                <w:color w:val="auto"/>
              </w:rPr>
            </w:pPr>
            <w:r>
              <w:rPr>
                <w:rFonts w:ascii="Arial" w:cs="Arial" w:eastAsia="Arial" w:hAnsi="Arial"/>
                <w:sz w:val="13"/>
                <w:szCs w:val="13"/>
                <w:color w:val="auto"/>
              </w:rPr>
              <w:t>43,804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0.8%</w:t>
            </w:r>
          </w:p>
        </w:tc>
      </w:tr>
      <w:tr>
        <w:trPr>
          <w:trHeight w:val="157"/>
        </w:trPr>
        <w:tc>
          <w:tcPr>
            <w:tcW w:w="4400" w:type="dxa"/>
            <w:vAlign w:val="bottom"/>
          </w:tcPr>
          <w:p>
            <w:pPr>
              <w:spacing w:after="0"/>
              <w:rPr>
                <w:sz w:val="20"/>
                <w:szCs w:val="20"/>
                <w:color w:val="auto"/>
              </w:rPr>
            </w:pPr>
            <w:r>
              <w:rPr>
                <w:rFonts w:ascii="Arial" w:cs="Arial" w:eastAsia="Arial" w:hAnsi="Arial"/>
                <w:sz w:val="13"/>
                <w:szCs w:val="13"/>
                <w:color w:val="auto"/>
              </w:rPr>
              <w:t>Long-term debt</w:t>
            </w:r>
          </w:p>
        </w:tc>
        <w:tc>
          <w:tcPr>
            <w:tcW w:w="12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1,182,982</w:t>
            </w:r>
          </w:p>
        </w:tc>
        <w:tc>
          <w:tcPr>
            <w:tcW w:w="280" w:type="dxa"/>
            <w:vAlign w:val="bottom"/>
          </w:tcPr>
          <w:p>
            <w:pPr>
              <w:spacing w:after="0"/>
              <w:rPr>
                <w:sz w:val="13"/>
                <w:szCs w:val="13"/>
                <w:color w:val="auto"/>
              </w:rPr>
            </w:pPr>
          </w:p>
        </w:tc>
        <w:tc>
          <w:tcPr>
            <w:tcW w:w="1700" w:type="dxa"/>
            <w:vAlign w:val="bottom"/>
            <w:gridSpan w:val="3"/>
          </w:tcPr>
          <w:p>
            <w:pPr>
              <w:jc w:val="right"/>
              <w:ind w:right="400"/>
              <w:spacing w:after="0"/>
              <w:rPr>
                <w:sz w:val="20"/>
                <w:szCs w:val="20"/>
                <w:color w:val="auto"/>
              </w:rPr>
            </w:pPr>
            <w:r>
              <w:rPr>
                <w:rFonts w:ascii="Arial" w:cs="Arial" w:eastAsia="Arial" w:hAnsi="Arial"/>
                <w:sz w:val="13"/>
                <w:szCs w:val="13"/>
                <w:color w:val="auto"/>
              </w:rPr>
              <w:t>29.4</w:t>
            </w:r>
          </w:p>
        </w:tc>
        <w:tc>
          <w:tcPr>
            <w:tcW w:w="120" w:type="dxa"/>
            <w:vAlign w:val="bottom"/>
          </w:tcPr>
          <w:p>
            <w:pPr>
              <w:spacing w:after="0"/>
              <w:rPr>
                <w:sz w:val="13"/>
                <w:szCs w:val="13"/>
                <w:color w:val="auto"/>
              </w:rPr>
            </w:pPr>
          </w:p>
        </w:tc>
        <w:tc>
          <w:tcPr>
            <w:tcW w:w="1280" w:type="dxa"/>
            <w:vAlign w:val="bottom"/>
            <w:gridSpan w:val="4"/>
          </w:tcPr>
          <w:p>
            <w:pPr>
              <w:jc w:val="right"/>
              <w:ind w:right="600"/>
              <w:spacing w:after="0"/>
              <w:rPr>
                <w:sz w:val="20"/>
                <w:szCs w:val="20"/>
                <w:color w:val="auto"/>
              </w:rPr>
            </w:pPr>
            <w:r>
              <w:rPr>
                <w:rFonts w:ascii="Arial" w:cs="Arial" w:eastAsia="Arial" w:hAnsi="Arial"/>
                <w:sz w:val="13"/>
                <w:szCs w:val="13"/>
                <w:color w:val="auto"/>
              </w:rPr>
              <w:t>1,181,498</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22.1</w:t>
            </w:r>
          </w:p>
        </w:tc>
      </w:tr>
      <w:tr>
        <w:trPr>
          <w:trHeight w:val="20"/>
        </w:trPr>
        <w:tc>
          <w:tcPr>
            <w:tcW w:w="4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4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debt</w:t>
            </w:r>
          </w:p>
        </w:tc>
        <w:tc>
          <w:tcPr>
            <w:tcW w:w="12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1,221,302</w:t>
            </w:r>
          </w:p>
        </w:tc>
        <w:tc>
          <w:tcPr>
            <w:tcW w:w="28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30.4</w:t>
            </w:r>
          </w:p>
        </w:tc>
        <w:tc>
          <w:tcPr>
            <w:tcW w:w="120" w:type="dxa"/>
            <w:vAlign w:val="bottom"/>
            <w:shd w:val="clear" w:color="auto" w:fill="CCEEFF"/>
          </w:tcPr>
          <w:p>
            <w:pPr>
              <w:spacing w:after="0"/>
              <w:rPr>
                <w:sz w:val="13"/>
                <w:szCs w:val="13"/>
                <w:color w:val="auto"/>
              </w:rPr>
            </w:pPr>
          </w:p>
        </w:tc>
        <w:tc>
          <w:tcPr>
            <w:tcW w:w="1280" w:type="dxa"/>
            <w:vAlign w:val="bottom"/>
            <w:gridSpan w:val="4"/>
            <w:shd w:val="clear" w:color="auto" w:fill="CCEEFF"/>
          </w:tcPr>
          <w:p>
            <w:pPr>
              <w:jc w:val="right"/>
              <w:ind w:right="600"/>
              <w:spacing w:after="0"/>
              <w:rPr>
                <w:sz w:val="20"/>
                <w:szCs w:val="20"/>
                <w:color w:val="auto"/>
              </w:rPr>
            </w:pPr>
            <w:r>
              <w:rPr>
                <w:rFonts w:ascii="Arial" w:cs="Arial" w:eastAsia="Arial" w:hAnsi="Arial"/>
                <w:sz w:val="13"/>
                <w:szCs w:val="13"/>
                <w:color w:val="auto"/>
              </w:rPr>
              <w:t>1,225,302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22.9</w:t>
            </w:r>
          </w:p>
        </w:tc>
      </w:tr>
      <w:tr>
        <w:trPr>
          <w:trHeight w:val="157"/>
        </w:trPr>
        <w:tc>
          <w:tcPr>
            <w:tcW w:w="4400" w:type="dxa"/>
            <w:vAlign w:val="bottom"/>
          </w:tcPr>
          <w:p>
            <w:pPr>
              <w:spacing w:after="0"/>
              <w:rPr>
                <w:sz w:val="20"/>
                <w:szCs w:val="20"/>
                <w:color w:val="auto"/>
              </w:rPr>
            </w:pPr>
            <w:r>
              <w:rPr>
                <w:rFonts w:ascii="Arial" w:cs="Arial" w:eastAsia="Arial" w:hAnsi="Arial"/>
                <w:sz w:val="13"/>
                <w:szCs w:val="13"/>
                <w:color w:val="auto"/>
              </w:rPr>
              <w:t>Shareholders’ equity</w:t>
            </w:r>
          </w:p>
        </w:tc>
        <w:tc>
          <w:tcPr>
            <w:tcW w:w="12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Arial" w:cs="Arial" w:eastAsia="Arial" w:hAnsi="Arial"/>
                <w:sz w:val="13"/>
                <w:szCs w:val="13"/>
                <w:color w:val="auto"/>
              </w:rPr>
              <w:t>2,796,194</w:t>
            </w:r>
          </w:p>
        </w:tc>
        <w:tc>
          <w:tcPr>
            <w:tcW w:w="280" w:type="dxa"/>
            <w:vAlign w:val="bottom"/>
          </w:tcPr>
          <w:p>
            <w:pPr>
              <w:spacing w:after="0"/>
              <w:rPr>
                <w:sz w:val="13"/>
                <w:szCs w:val="13"/>
                <w:color w:val="auto"/>
              </w:rPr>
            </w:pPr>
          </w:p>
        </w:tc>
        <w:tc>
          <w:tcPr>
            <w:tcW w:w="1700" w:type="dxa"/>
            <w:vAlign w:val="bottom"/>
            <w:gridSpan w:val="3"/>
          </w:tcPr>
          <w:p>
            <w:pPr>
              <w:jc w:val="right"/>
              <w:ind w:right="400"/>
              <w:spacing w:after="0"/>
              <w:rPr>
                <w:sz w:val="20"/>
                <w:szCs w:val="20"/>
                <w:color w:val="auto"/>
              </w:rPr>
            </w:pPr>
            <w:r>
              <w:rPr>
                <w:rFonts w:ascii="Arial" w:cs="Arial" w:eastAsia="Arial" w:hAnsi="Arial"/>
                <w:sz w:val="13"/>
                <w:szCs w:val="13"/>
                <w:color w:val="auto"/>
              </w:rPr>
              <w:t>69.6</w:t>
            </w:r>
          </w:p>
        </w:tc>
        <w:tc>
          <w:tcPr>
            <w:tcW w:w="120" w:type="dxa"/>
            <w:vAlign w:val="bottom"/>
          </w:tcPr>
          <w:p>
            <w:pPr>
              <w:spacing w:after="0"/>
              <w:rPr>
                <w:sz w:val="13"/>
                <w:szCs w:val="13"/>
                <w:color w:val="auto"/>
              </w:rPr>
            </w:pPr>
          </w:p>
        </w:tc>
        <w:tc>
          <w:tcPr>
            <w:tcW w:w="1280" w:type="dxa"/>
            <w:vAlign w:val="bottom"/>
            <w:gridSpan w:val="4"/>
          </w:tcPr>
          <w:p>
            <w:pPr>
              <w:jc w:val="right"/>
              <w:ind w:right="600"/>
              <w:spacing w:after="0"/>
              <w:rPr>
                <w:sz w:val="20"/>
                <w:szCs w:val="20"/>
                <w:color w:val="auto"/>
              </w:rPr>
            </w:pPr>
            <w:r>
              <w:rPr>
                <w:rFonts w:ascii="Arial" w:cs="Arial" w:eastAsia="Arial" w:hAnsi="Arial"/>
                <w:sz w:val="13"/>
                <w:szCs w:val="13"/>
                <w:color w:val="auto"/>
              </w:rPr>
              <w:t>4,134,691</w:t>
            </w:r>
          </w:p>
        </w:tc>
        <w:tc>
          <w:tcPr>
            <w:tcW w:w="1100" w:type="dxa"/>
            <w:vAlign w:val="bottom"/>
            <w:gridSpan w:val="2"/>
          </w:tcPr>
          <w:p>
            <w:pPr>
              <w:jc w:val="right"/>
              <w:ind w:right="120"/>
              <w:spacing w:after="0"/>
              <w:rPr>
                <w:sz w:val="20"/>
                <w:szCs w:val="20"/>
                <w:color w:val="auto"/>
              </w:rPr>
            </w:pPr>
            <w:r>
              <w:rPr>
                <w:rFonts w:ascii="Arial" w:cs="Arial" w:eastAsia="Arial" w:hAnsi="Arial"/>
                <w:sz w:val="13"/>
                <w:szCs w:val="13"/>
                <w:color w:val="auto"/>
              </w:rPr>
              <w:t>77.1</w:t>
            </w:r>
          </w:p>
        </w:tc>
      </w:tr>
      <w:tr>
        <w:trPr>
          <w:trHeight w:val="20"/>
        </w:trPr>
        <w:tc>
          <w:tcPr>
            <w:tcW w:w="4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57"/>
        </w:trPr>
        <w:tc>
          <w:tcPr>
            <w:tcW w:w="4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capitalization</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4,017,496</w:t>
            </w:r>
          </w:p>
        </w:tc>
        <w:tc>
          <w:tcPr>
            <w:tcW w:w="28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80" w:type="dxa"/>
            <w:vAlign w:val="bottom"/>
            <w:gridSpan w:val="4"/>
            <w:shd w:val="clear" w:color="auto" w:fill="CCEEFF"/>
          </w:tcPr>
          <w:p>
            <w:pPr>
              <w:jc w:val="right"/>
              <w:ind w:right="600"/>
              <w:spacing w:after="0"/>
              <w:rPr>
                <w:sz w:val="20"/>
                <w:szCs w:val="20"/>
                <w:color w:val="auto"/>
              </w:rPr>
            </w:pPr>
            <w:r>
              <w:rPr>
                <w:rFonts w:ascii="Arial" w:cs="Arial" w:eastAsia="Arial" w:hAnsi="Arial"/>
                <w:sz w:val="13"/>
                <w:szCs w:val="13"/>
                <w:color w:val="auto"/>
              </w:rPr>
              <w:t>5,359,993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100.0</w:t>
            </w:r>
          </w:p>
        </w:tc>
      </w:tr>
      <w:tr>
        <w:trPr>
          <w:trHeight w:val="29"/>
        </w:trPr>
        <w:tc>
          <w:tcPr>
            <w:tcW w:w="4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r>
    </w:tbl>
    <w:p>
      <w:pPr>
        <w:spacing w:after="0" w:line="9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 xml:space="preserve">For a description of the Company’s long-term debt and lease commitments for the next five years and thereafter, see </w:t>
      </w:r>
      <w:r>
        <w:rPr>
          <w:rFonts w:ascii="Arial" w:cs="Arial" w:eastAsia="Arial" w:hAnsi="Arial"/>
          <w:sz w:val="13"/>
          <w:szCs w:val="13"/>
          <w:i w:val="1"/>
          <w:iCs w:val="1"/>
          <w:color w:val="auto"/>
        </w:rPr>
        <w:t>Long-Term Contractual Obligations</w:t>
      </w:r>
      <w:r>
        <w:rPr>
          <w:rFonts w:ascii="Arial" w:cs="Arial" w:eastAsia="Arial" w:hAnsi="Arial"/>
          <w:sz w:val="13"/>
          <w:szCs w:val="13"/>
          <w:color w:val="auto"/>
        </w:rPr>
        <w:t xml:space="preserve"> appearing in Item 7 of the Company’s Annual Report on Form 10-K for the year ended June 28, 2008. With the exception of the Company’s debt transactions discussed herein, there are no material changes to this information outside of normal lease payments.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does not currently have any material commitments for capital expenditures.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Financing Transactions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Company has a five-year $500.0 million unsecured revolving credit facility (the “Credit Agreement”) with a syndicate of banks which expires in September 2012. Under the Credit Agreement, the Company may elect from various interest rate options, currencies and maturities. As of the end of the second quarter of fiscal 2009, there were $23.2 million in borrowings outstanding under the Credit Agreement included in “other long-term debt” in the consolidated financial statements. In addition, there were $7.4 million in letters of credit issued under the Credit Agreement which represent a utilization of the Credit Agreement capacity but are not recorded in the consolidated balance sheet as the letters of credit are not debt. As of the end of fiscal 2008, there were $19.7 million in borrowings outstanding and $24.3 million in letters of credit issued under the Credit Agreement.</w:t>
      </w:r>
    </w:p>
    <w:p>
      <w:pPr>
        <w:spacing w:after="0" w:line="55" w:lineRule="exact"/>
        <w:rPr>
          <w:sz w:val="20"/>
          <w:szCs w:val="20"/>
          <w:color w:val="auto"/>
        </w:rPr>
      </w:pPr>
    </w:p>
    <w:p>
      <w:pPr>
        <w:ind w:left="680" w:right="80" w:firstLine="399"/>
        <w:spacing w:after="0" w:line="296" w:lineRule="auto"/>
        <w:rPr>
          <w:sz w:val="20"/>
          <w:szCs w:val="20"/>
          <w:color w:val="auto"/>
        </w:rPr>
      </w:pPr>
      <w:r>
        <w:rPr>
          <w:rFonts w:ascii="Arial" w:cs="Arial" w:eastAsia="Arial" w:hAnsi="Arial"/>
          <w:sz w:val="12"/>
          <w:szCs w:val="12"/>
          <w:color w:val="auto"/>
        </w:rPr>
        <w:t>The Company has a $450 million accounts receivable securitization program (the “Securitization Program”) with a group of financial institutions that allows the Company to sell, on a revolving basis, an undivided interest in eligible receivables while retaining a subordinated interest in a portion of the receivables. The Securitization Program does not qualify for sale accounting and has a one year term that expires in August 2009. There were no borrowings outstanding under the Securitization Program at December 27, 2008.</w:t>
      </w:r>
    </w:p>
    <w:p>
      <w:pPr>
        <w:spacing w:after="0" w:line="50" w:lineRule="exact"/>
        <w:rPr>
          <w:sz w:val="20"/>
          <w:szCs w:val="20"/>
          <w:color w:val="auto"/>
        </w:rPr>
      </w:pPr>
    </w:p>
    <w:p>
      <w:pPr>
        <w:ind w:left="680" w:right="40" w:firstLine="399"/>
        <w:spacing w:after="0" w:line="278" w:lineRule="auto"/>
        <w:rPr>
          <w:sz w:val="20"/>
          <w:szCs w:val="20"/>
          <w:color w:val="auto"/>
        </w:rPr>
      </w:pPr>
      <w:r>
        <w:rPr>
          <w:rFonts w:ascii="Arial" w:cs="Arial" w:eastAsia="Arial" w:hAnsi="Arial"/>
          <w:sz w:val="12"/>
          <w:szCs w:val="12"/>
          <w:color w:val="auto"/>
        </w:rPr>
        <w:t>The Company’s $300.0 million of 2% Convertible Senior Debentures due March 15, 2034 (the “Debentures”) are convertible into Avnet common stock at a rate of 29.5516 shares of common stock per $1,000 principal amount of Debentures. The Debentures are only convertible under certain circumstances, including if: (i) the closing price of the Company’s common stock reaches $45.68 per share (subject to adjustment in certain circumstances) for a specified period of time; (ii) the average trading price of the Debentures falls below a certain percentage of the conversion value per Debenture for a specified period of time; (iii) the Company calls the Debentures for redemption; or (iv) certain corporate transactions, as defined, occur. The Company may redeem some or all of the Debentures for cash any time on or after March 20, 2009 at the Debentures’ full principal amount plus accrued and unpaid interest, if any. Holders of the Debentures may require the Company to purchase, in cash, all or a portion of the Debentures on March 15, 2009, 2014, 2019, 2024 and 2029, or upon a fundamental change, as defined, at the Debentures’ full principal amount plus accrued and unpaid interest, if any. In December 2004, the Company made an irrevocable election to satisfy the principal portion of the Debentures in cash and settle the remaining obligation with shares of common stock if and when the Debentures are converted. Based upon the current market price of the Company’s common stock, it is likely that the holders of the Debentures will exercise their right to put the Debentures back to the Company on March 15, 2009. If this occurs, the Company has the intent and ability to utilize its borrowing capacity under the Credit Agreement, which expires in 2012, to satisfy its obligation under the Debenture put option. As a result, the Debentures continue to be classified as long-term debt.</w:t>
      </w:r>
    </w:p>
    <w:p>
      <w:pPr>
        <w:spacing w:after="0" w:line="60" w:lineRule="exact"/>
        <w:rPr>
          <w:sz w:val="20"/>
          <w:szCs w:val="20"/>
          <w:color w:val="auto"/>
        </w:rPr>
      </w:pPr>
    </w:p>
    <w:p>
      <w:pPr>
        <w:ind w:left="680" w:firstLine="399"/>
        <w:spacing w:after="0" w:line="320" w:lineRule="auto"/>
        <w:rPr>
          <w:sz w:val="20"/>
          <w:szCs w:val="20"/>
          <w:color w:val="auto"/>
        </w:rPr>
      </w:pPr>
      <w:r>
        <w:rPr>
          <w:rFonts w:ascii="Arial" w:cs="Arial" w:eastAsia="Arial" w:hAnsi="Arial"/>
          <w:sz w:val="12"/>
          <w:szCs w:val="12"/>
          <w:color w:val="auto"/>
        </w:rPr>
        <w:t>In addition to its primary financing arrangements, the Company has several small lines of credit in various locations globally to fund the short-term working capital, foreign exchange, overdraft and letter of credit needs of its wholly owned subsidiaries in Europe, Asia and Canada. Avnet generally guarantees its subsidiaries’ debt under these facilities.</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Covenants and Conditions</w:t>
      </w:r>
    </w:p>
    <w:p>
      <w:pPr>
        <w:spacing w:after="0" w:line="100"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The Securitization Program discussed previously requires the Company to maintain certain minimum interest coverage and leverage ratios as defined in the Credit Agreement (see discussion below) in order to continue utilizing the Securitization Program. The Securitization Program also contains certain covenants relating to the quality of the receivables sold. If these conditions are not met, the Company may not be able to borrow any additional funds and the financial institutions may consider this an amortization event, as defined in the agreement, which would permit the financial institutions to liquidate the accounts receivables sold to cover any outstanding borrowings. Circumstances that could affect the Company’s ability to meet the required covenants and conditions of the Securitization Program include the Company’s ongoing profitability and various other economic, market and industry factors. Management does not believe that the covenants under the Securitization Program limit the Company’s ability to pursue its intended business strategy or future financing needs. The Company was in compliance with all covenants of the Securitization Program at December 27, 2008.</w:t>
      </w:r>
    </w:p>
    <w:p>
      <w:pPr>
        <w:spacing w:after="0" w:line="58"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 xml:space="preserve">The Credit Agreement discussed in </w:t>
      </w:r>
      <w:r>
        <w:rPr>
          <w:rFonts w:ascii="Arial" w:cs="Arial" w:eastAsia="Arial" w:hAnsi="Arial"/>
          <w:sz w:val="13"/>
          <w:szCs w:val="13"/>
          <w:i w:val="1"/>
          <w:iCs w:val="1"/>
          <w:color w:val="auto"/>
        </w:rPr>
        <w:t>Financing Transactions</w:t>
      </w:r>
      <w:r>
        <w:rPr>
          <w:rFonts w:ascii="Arial" w:cs="Arial" w:eastAsia="Arial" w:hAnsi="Arial"/>
          <w:sz w:val="13"/>
          <w:szCs w:val="13"/>
          <w:color w:val="auto"/>
        </w:rPr>
        <w:t xml:space="preserve"> contains certain covenants with various limitations on debt incurrence, dividends, investments and capital expenditures and also includes financial</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60"/>
        <w:spacing w:after="0" w:line="371" w:lineRule="auto"/>
        <w:rPr>
          <w:sz w:val="20"/>
          <w:szCs w:val="20"/>
          <w:color w:val="auto"/>
        </w:rPr>
      </w:pPr>
      <w:r>
        <w:rPr>
          <w:rFonts w:ascii="Arial" w:cs="Arial" w:eastAsia="Arial" w:hAnsi="Arial"/>
          <w:sz w:val="11"/>
          <w:szCs w:val="11"/>
          <w:color w:val="auto"/>
        </w:rPr>
        <w:t>covenants requiring the Company to maintain minimum interest coverage and leverage ratios, as defined. Management does not believe that the covenants in the Credit Agreement limit the Company’s ability to pursue its intended business strategy or future financing needs. The Company was in compliance with all covenants of the Credit Agreement as of December 27, 2008.</w:t>
      </w:r>
    </w:p>
    <w:p>
      <w:pPr>
        <w:spacing w:after="0" w:line="12"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During the second quarter of fiscal 2009, the Company recognized non-cash impairment charges of $1.35 billion pre-tax, $1.31 billion after tax and $8.72 per share, which have no effect on the Company’s compliance with its financial covenants under the Securitization Program or the Credit Agreement.</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w:t>
      </w:r>
      <w:r>
        <w:rPr>
          <w:rFonts w:ascii="Arial" w:cs="Arial" w:eastAsia="Arial" w:hAnsi="Arial"/>
          <w:sz w:val="13"/>
          <w:szCs w:val="13"/>
          <w:color w:val="auto"/>
        </w:rPr>
        <w:t xml:space="preserve"> below for further discussion of the Company’s availability under these various facilities.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w:t>
      </w:r>
    </w:p>
    <w:p>
      <w:pPr>
        <w:spacing w:after="0" w:line="10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Company had total borrowing capacity of $950.0 million at December 27, 2008 under the Credit Agreement and the Securitization Program. There were $23.2 million in borrowings outstanding and $7.4 million in letters of credit issued under the Credit Agreement resulting in $919.4 million of net availability at the end of the second quarter of fiscal 2009. The Company also had an additional $670.9 million of cash and cash equivalents at December 27, 2008.</w:t>
      </w:r>
    </w:p>
    <w:p>
      <w:pPr>
        <w:spacing w:after="0" w:line="67"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During the first half of fiscal 2009, the Company utilized approximately $213 million of cash and cash equivalents, net of cash acquired, for acquisitions. Subsequent to the second quarter of fiscal 2009, the Company acquired Abacus Group plc for an all cash offer of £0.55 per share which equates to a transaction value of approximately £97.9 million ($141.6 million) including the assumption of estimated net debt. Although the markets have continued to be challenging during the second quarter of fiscal 2009, the Company expects to continue to make strategic investments through acquisition activity to the extent the investments strengthen Avnet’s competitive position and meet management’s return on capital thresholds.</w:t>
      </w:r>
    </w:p>
    <w:p>
      <w:pPr>
        <w:spacing w:after="0" w:line="53"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 xml:space="preserve">The Company has no other significant financial commitments outside of normal debt and lease maturities discussed in </w:t>
      </w:r>
      <w:r>
        <w:rPr>
          <w:rFonts w:ascii="Arial" w:cs="Arial" w:eastAsia="Arial" w:hAnsi="Arial"/>
          <w:sz w:val="12"/>
          <w:szCs w:val="12"/>
          <w:i w:val="1"/>
          <w:iCs w:val="1"/>
          <w:color w:val="auto"/>
        </w:rPr>
        <w:t>Capital Structure and Contractual Obligations.</w:t>
      </w:r>
      <w:r>
        <w:rPr>
          <w:rFonts w:ascii="Arial" w:cs="Arial" w:eastAsia="Arial" w:hAnsi="Arial"/>
          <w:sz w:val="12"/>
          <w:szCs w:val="12"/>
          <w:color w:val="auto"/>
        </w:rPr>
        <w:t xml:space="preserve"> Management believes that Avnet’s borrowing capacity, its current cash availability and the Company’s expected ability to generate operating cash flows are sufficient to meet its projected financing needs. Generally, the Company is more likely to utilize operating cash flows for working capital requirements during a high growth period in the electronic component and computer products industry. During the second quarter of fiscal 2009, the Company experienced weakening demand, as previously discussed in this MD&amp;A. As a result of the Company’s continued focus on managing working capital, the Company generated $320 million of cash from operating activities during the second quarter of fiscal 2009. Management currently expects to continue to generate cash from operating activities in the near future despite management’s expectation that demand will continue to weaken over the next couple of quarters.</w:t>
      </w:r>
    </w:p>
    <w:p>
      <w:pPr>
        <w:spacing w:after="0" w:line="59" w:lineRule="exact"/>
        <w:rPr>
          <w:sz w:val="20"/>
          <w:szCs w:val="20"/>
          <w:color w:val="auto"/>
        </w:rPr>
      </w:pPr>
    </w:p>
    <w:p>
      <w:pPr>
        <w:ind w:left="680" w:right="120" w:firstLine="399"/>
        <w:spacing w:after="0" w:line="281" w:lineRule="auto"/>
        <w:rPr>
          <w:sz w:val="20"/>
          <w:szCs w:val="20"/>
          <w:color w:val="auto"/>
        </w:rPr>
      </w:pPr>
      <w:r>
        <w:rPr>
          <w:rFonts w:ascii="Arial" w:cs="Arial" w:eastAsia="Arial" w:hAnsi="Arial"/>
          <w:sz w:val="12"/>
          <w:szCs w:val="12"/>
          <w:color w:val="auto"/>
        </w:rPr>
        <w:t>The Company may redeem some or all of the 2% Convertible Senior Debentures for cash any time on or after March 20, 2009 at the Debentures’ full principal amount plus accrued and unpaid interest, if any. Holders of the Debentures may require the Company to purchase, in cash, all or a portion of the Debentures on March 15, 2009, 2014, 2019, 2024 and 2029, or upon a fundamental change, as defined, at the Debentures’ full principal amount plus accrued and unpaid interest, if any. In December 2004, the Company made an irrevocable election to satisfy the principal portion of the Debentures in cash and settle the remaining obligation with shares of common stock if and when the Debentures are converted. Based upon the current market price of the Company’s common stock, it is likely that the holders of the Debentures will exercise their right to put the Debentures back to the Company on March 15, 2009. If this occurs, the Company has the intent and ability to utilize its borrowing capacity under the Credit Agreement, which expires in 2012, to satisfy its obligation under the Debenture put option. As a result, the Debentures continue to be classified as long-term debt.</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following table highlights the Company’s liquidity and related ratios as of the end of the second quarter of fiscal 2009 with a comparison to the fiscal 2008 year-end:</w:t>
      </w:r>
    </w:p>
    <w:p>
      <w:pPr>
        <w:spacing w:after="0" w:line="261"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COMPARATIVE ANALYSIS — LIQUIDITY</w:t>
      </w:r>
    </w:p>
    <w:p>
      <w:pPr>
        <w:spacing w:after="0" w:line="19"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i w:val="1"/>
          <w:iCs w:val="1"/>
          <w:color w:val="auto"/>
        </w:rPr>
        <w:t>(Dollars in millions)</w:t>
      </w:r>
    </w:p>
    <w:p>
      <w:pPr>
        <w:spacing w:after="0" w:line="173"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0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4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w w:val="94"/>
              </w:rPr>
              <w:t>December 27,</w:t>
            </w:r>
          </w:p>
        </w:tc>
        <w:tc>
          <w:tcPr>
            <w:tcW w:w="240" w:type="dxa"/>
            <w:vAlign w:val="bottom"/>
          </w:tcPr>
          <w:p>
            <w:pPr>
              <w:spacing w:after="0"/>
              <w:rPr>
                <w:sz w:val="13"/>
                <w:szCs w:val="13"/>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w w:val="88"/>
              </w:rPr>
              <w:t>June 28,</w:t>
            </w:r>
          </w:p>
        </w:tc>
        <w:tc>
          <w:tcPr>
            <w:tcW w:w="112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Percentage</w:t>
            </w:r>
          </w:p>
        </w:tc>
      </w:tr>
      <w:tr>
        <w:trPr>
          <w:trHeight w:val="141"/>
        </w:trPr>
        <w:tc>
          <w:tcPr>
            <w:tcW w:w="40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40" w:type="dxa"/>
            <w:vAlign w:val="bottom"/>
            <w:gridSpan w:val="3"/>
          </w:tcPr>
          <w:p>
            <w:pPr>
              <w:jc w:val="right"/>
              <w:ind w:right="680"/>
              <w:spacing w:after="0" w:line="141" w:lineRule="exact"/>
              <w:rPr>
                <w:sz w:val="20"/>
                <w:szCs w:val="20"/>
                <w:color w:val="auto"/>
              </w:rPr>
            </w:pPr>
            <w:r>
              <w:rPr>
                <w:rFonts w:ascii="Arial" w:cs="Arial" w:eastAsia="Arial" w:hAnsi="Arial"/>
                <w:sz w:val="13"/>
                <w:szCs w:val="13"/>
                <w:b w:val="1"/>
                <w:bCs w:val="1"/>
                <w:color w:val="auto"/>
              </w:rPr>
              <w:t>2008</w:t>
            </w:r>
          </w:p>
        </w:tc>
        <w:tc>
          <w:tcPr>
            <w:tcW w:w="240" w:type="dxa"/>
            <w:vAlign w:val="bottom"/>
          </w:tcPr>
          <w:p>
            <w:pPr>
              <w:spacing w:after="0"/>
              <w:rPr>
                <w:sz w:val="12"/>
                <w:szCs w:val="12"/>
                <w:color w:val="auto"/>
              </w:rPr>
            </w:pPr>
          </w:p>
        </w:tc>
        <w:tc>
          <w:tcPr>
            <w:tcW w:w="940" w:type="dxa"/>
            <w:vAlign w:val="bottom"/>
            <w:gridSpan w:val="3"/>
          </w:tcPr>
          <w:p>
            <w:pPr>
              <w:jc w:val="right"/>
              <w:ind w:right="560"/>
              <w:spacing w:after="0" w:line="141" w:lineRule="exact"/>
              <w:rPr>
                <w:sz w:val="20"/>
                <w:szCs w:val="20"/>
                <w:color w:val="auto"/>
              </w:rPr>
            </w:pPr>
            <w:r>
              <w:rPr>
                <w:rFonts w:ascii="Arial" w:cs="Arial" w:eastAsia="Arial" w:hAnsi="Arial"/>
                <w:sz w:val="13"/>
                <w:szCs w:val="13"/>
                <w:b w:val="1"/>
                <w:bCs w:val="1"/>
                <w:color w:val="auto"/>
              </w:rPr>
              <w:t>2008</w:t>
            </w:r>
          </w:p>
        </w:tc>
        <w:tc>
          <w:tcPr>
            <w:tcW w:w="1120" w:type="dxa"/>
            <w:vAlign w:val="bottom"/>
            <w:gridSpan w:val="3"/>
          </w:tcPr>
          <w:p>
            <w:pPr>
              <w:jc w:val="right"/>
              <w:ind w:right="380"/>
              <w:spacing w:after="0" w:line="141" w:lineRule="exact"/>
              <w:rPr>
                <w:sz w:val="20"/>
                <w:szCs w:val="20"/>
                <w:color w:val="auto"/>
              </w:rPr>
            </w:pPr>
            <w:r>
              <w:rPr>
                <w:rFonts w:ascii="Arial" w:cs="Arial" w:eastAsia="Arial" w:hAnsi="Arial"/>
                <w:sz w:val="13"/>
                <w:szCs w:val="13"/>
                <w:b w:val="1"/>
                <w:bCs w:val="1"/>
                <w:color w:val="auto"/>
              </w:rPr>
              <w:t>Change</w:t>
            </w:r>
          </w:p>
        </w:tc>
      </w:tr>
      <w:tr>
        <w:trPr>
          <w:trHeight w:val="49"/>
        </w:trPr>
        <w:tc>
          <w:tcPr>
            <w:tcW w:w="4040" w:type="dxa"/>
            <w:vAlign w:val="bottom"/>
          </w:tcPr>
          <w:p>
            <w:pPr>
              <w:spacing w:after="0"/>
              <w:rPr>
                <w:sz w:val="4"/>
                <w:szCs w:val="4"/>
                <w:color w:val="auto"/>
              </w:rPr>
            </w:pPr>
          </w:p>
        </w:tc>
        <w:tc>
          <w:tcPr>
            <w:tcW w:w="2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r>
      <w:tr>
        <w:trPr>
          <w:trHeight w:val="157"/>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Current Assets</w:t>
            </w:r>
          </w:p>
        </w:tc>
        <w:tc>
          <w:tcPr>
            <w:tcW w:w="2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5,705.2</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5,971.1</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(4.5)%</w:t>
            </w:r>
          </w:p>
        </w:tc>
      </w:tr>
      <w:tr>
        <w:trPr>
          <w:trHeight w:val="157"/>
        </w:trPr>
        <w:tc>
          <w:tcPr>
            <w:tcW w:w="4040" w:type="dxa"/>
            <w:vAlign w:val="bottom"/>
          </w:tcPr>
          <w:p>
            <w:pPr>
              <w:spacing w:after="0"/>
              <w:rPr>
                <w:sz w:val="20"/>
                <w:szCs w:val="20"/>
                <w:color w:val="auto"/>
              </w:rPr>
            </w:pPr>
            <w:r>
              <w:rPr>
                <w:rFonts w:ascii="Arial" w:cs="Arial" w:eastAsia="Arial" w:hAnsi="Arial"/>
                <w:sz w:val="13"/>
                <w:szCs w:val="13"/>
                <w:color w:val="auto"/>
              </w:rPr>
              <w:t>Quick Assets</w:t>
            </w:r>
          </w:p>
        </w:tc>
        <w:tc>
          <w:tcPr>
            <w:tcW w:w="2400" w:type="dxa"/>
            <w:vAlign w:val="bottom"/>
          </w:tcPr>
          <w:p>
            <w:pPr>
              <w:spacing w:after="0"/>
              <w:rPr>
                <w:sz w:val="13"/>
                <w:szCs w:val="13"/>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3"/>
                <w:szCs w:val="13"/>
                <w:color w:val="auto"/>
              </w:rPr>
              <w:t>3,871.8</w:t>
            </w:r>
          </w:p>
        </w:tc>
        <w:tc>
          <w:tcPr>
            <w:tcW w:w="240" w:type="dxa"/>
            <w:vAlign w:val="bottom"/>
          </w:tcPr>
          <w:p>
            <w:pPr>
              <w:spacing w:after="0"/>
              <w:rPr>
                <w:sz w:val="13"/>
                <w:szCs w:val="13"/>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3"/>
                <w:szCs w:val="13"/>
                <w:color w:val="auto"/>
              </w:rPr>
              <w:t>4,007.9</w:t>
            </w:r>
          </w:p>
        </w:tc>
        <w:tc>
          <w:tcPr>
            <w:tcW w:w="1120" w:type="dxa"/>
            <w:vAlign w:val="bottom"/>
            <w:gridSpan w:val="3"/>
          </w:tcPr>
          <w:p>
            <w:pPr>
              <w:jc w:val="right"/>
              <w:ind w:right="100"/>
              <w:spacing w:after="0"/>
              <w:rPr>
                <w:sz w:val="20"/>
                <w:szCs w:val="20"/>
                <w:color w:val="auto"/>
              </w:rPr>
            </w:pPr>
            <w:r>
              <w:rPr>
                <w:rFonts w:ascii="Arial" w:cs="Arial" w:eastAsia="Arial" w:hAnsi="Arial"/>
                <w:sz w:val="13"/>
                <w:szCs w:val="13"/>
                <w:color w:val="auto"/>
              </w:rPr>
              <w:t>(3.4)</w:t>
            </w:r>
          </w:p>
        </w:tc>
      </w:tr>
      <w:tr>
        <w:trPr>
          <w:trHeight w:val="157"/>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240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2,647.4</w:t>
            </w:r>
          </w:p>
        </w:tc>
        <w:tc>
          <w:tcPr>
            <w:tcW w:w="24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2,779.6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(4.8)</w:t>
            </w:r>
          </w:p>
        </w:tc>
      </w:tr>
      <w:tr>
        <w:trPr>
          <w:trHeight w:val="157"/>
        </w:trPr>
        <w:tc>
          <w:tcPr>
            <w:tcW w:w="4040" w:type="dxa"/>
            <w:vAlign w:val="bottom"/>
          </w:tcPr>
          <w:p>
            <w:pPr>
              <w:spacing w:after="0"/>
              <w:rPr>
                <w:sz w:val="20"/>
                <w:szCs w:val="20"/>
                <w:color w:val="auto"/>
              </w:rPr>
            </w:pPr>
            <w:r>
              <w:rPr>
                <w:rFonts w:ascii="Arial" w:cs="Arial" w:eastAsia="Arial" w:hAnsi="Arial"/>
                <w:sz w:val="13"/>
                <w:szCs w:val="13"/>
                <w:color w:val="auto"/>
              </w:rPr>
              <w:t>Working Capital</w:t>
            </w:r>
            <w:r>
              <w:rPr>
                <w:rFonts w:ascii="Arial" w:cs="Arial" w:eastAsia="Arial" w:hAnsi="Arial"/>
                <w:sz w:val="11"/>
                <w:szCs w:val="11"/>
                <w:color w:val="auto"/>
              </w:rPr>
              <w:t>(1)</w:t>
            </w:r>
          </w:p>
        </w:tc>
        <w:tc>
          <w:tcPr>
            <w:tcW w:w="2400" w:type="dxa"/>
            <w:vAlign w:val="bottom"/>
          </w:tcPr>
          <w:p>
            <w:pPr>
              <w:spacing w:after="0"/>
              <w:rPr>
                <w:sz w:val="13"/>
                <w:szCs w:val="13"/>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3"/>
                <w:szCs w:val="13"/>
                <w:color w:val="auto"/>
              </w:rPr>
              <w:t>3,057.8</w:t>
            </w:r>
          </w:p>
        </w:tc>
        <w:tc>
          <w:tcPr>
            <w:tcW w:w="240" w:type="dxa"/>
            <w:vAlign w:val="bottom"/>
          </w:tcPr>
          <w:p>
            <w:pPr>
              <w:spacing w:after="0"/>
              <w:rPr>
                <w:sz w:val="13"/>
                <w:szCs w:val="13"/>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3"/>
                <w:szCs w:val="13"/>
                <w:color w:val="auto"/>
              </w:rPr>
              <w:t>3,191.5</w:t>
            </w:r>
          </w:p>
        </w:tc>
        <w:tc>
          <w:tcPr>
            <w:tcW w:w="1120" w:type="dxa"/>
            <w:vAlign w:val="bottom"/>
            <w:gridSpan w:val="3"/>
          </w:tcPr>
          <w:p>
            <w:pPr>
              <w:jc w:val="right"/>
              <w:ind w:right="100"/>
              <w:spacing w:after="0"/>
              <w:rPr>
                <w:sz w:val="20"/>
                <w:szCs w:val="20"/>
                <w:color w:val="auto"/>
              </w:rPr>
            </w:pPr>
            <w:r>
              <w:rPr>
                <w:rFonts w:ascii="Arial" w:cs="Arial" w:eastAsia="Arial" w:hAnsi="Arial"/>
                <w:sz w:val="13"/>
                <w:szCs w:val="13"/>
                <w:color w:val="auto"/>
              </w:rPr>
              <w:t>(4.2)</w:t>
            </w:r>
          </w:p>
        </w:tc>
      </w:tr>
      <w:tr>
        <w:trPr>
          <w:trHeight w:val="157"/>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Total Debt</w:t>
            </w:r>
          </w:p>
        </w:tc>
        <w:tc>
          <w:tcPr>
            <w:tcW w:w="240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1,221.3</w:t>
            </w:r>
          </w:p>
        </w:tc>
        <w:tc>
          <w:tcPr>
            <w:tcW w:w="24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1,225.3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(0.3)</w:t>
            </w:r>
          </w:p>
        </w:tc>
      </w:tr>
      <w:tr>
        <w:trPr>
          <w:trHeight w:val="148"/>
        </w:trPr>
        <w:tc>
          <w:tcPr>
            <w:tcW w:w="4040" w:type="dxa"/>
            <w:vAlign w:val="bottom"/>
          </w:tcPr>
          <w:p>
            <w:pPr>
              <w:spacing w:after="0" w:line="149" w:lineRule="exact"/>
              <w:rPr>
                <w:sz w:val="20"/>
                <w:szCs w:val="20"/>
                <w:color w:val="auto"/>
              </w:rPr>
            </w:pPr>
            <w:r>
              <w:rPr>
                <w:rFonts w:ascii="Arial" w:cs="Arial" w:eastAsia="Arial" w:hAnsi="Arial"/>
                <w:sz w:val="13"/>
                <w:szCs w:val="13"/>
                <w:color w:val="auto"/>
              </w:rPr>
              <w:t>Total Capital (total debt plus total</w:t>
            </w:r>
          </w:p>
        </w:tc>
        <w:tc>
          <w:tcPr>
            <w:tcW w:w="2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65"/>
        </w:trPr>
        <w:tc>
          <w:tcPr>
            <w:tcW w:w="4040" w:type="dxa"/>
            <w:vAlign w:val="bottom"/>
          </w:tcPr>
          <w:p>
            <w:pPr>
              <w:ind w:left="140"/>
              <w:spacing w:after="0"/>
              <w:rPr>
                <w:sz w:val="20"/>
                <w:szCs w:val="20"/>
                <w:color w:val="auto"/>
              </w:rPr>
            </w:pPr>
            <w:r>
              <w:rPr>
                <w:rFonts w:ascii="Arial" w:cs="Arial" w:eastAsia="Arial" w:hAnsi="Arial"/>
                <w:sz w:val="13"/>
                <w:szCs w:val="13"/>
                <w:color w:val="auto"/>
              </w:rPr>
              <w:t>shareholders’ equity)</w:t>
            </w:r>
          </w:p>
        </w:tc>
        <w:tc>
          <w:tcPr>
            <w:tcW w:w="2400" w:type="dxa"/>
            <w:vAlign w:val="bottom"/>
          </w:tcPr>
          <w:p>
            <w:pPr>
              <w:spacing w:after="0"/>
              <w:rPr>
                <w:sz w:val="14"/>
                <w:szCs w:val="14"/>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3"/>
                <w:szCs w:val="13"/>
                <w:color w:val="auto"/>
              </w:rPr>
              <w:t>4,017.5</w:t>
            </w:r>
          </w:p>
        </w:tc>
        <w:tc>
          <w:tcPr>
            <w:tcW w:w="240" w:type="dxa"/>
            <w:vAlign w:val="bottom"/>
          </w:tcPr>
          <w:p>
            <w:pPr>
              <w:spacing w:after="0"/>
              <w:rPr>
                <w:sz w:val="14"/>
                <w:szCs w:val="14"/>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3"/>
                <w:szCs w:val="13"/>
                <w:color w:val="auto"/>
              </w:rPr>
              <w:t>5,360.0</w:t>
            </w:r>
          </w:p>
        </w:tc>
        <w:tc>
          <w:tcPr>
            <w:tcW w:w="1120" w:type="dxa"/>
            <w:vAlign w:val="bottom"/>
            <w:gridSpan w:val="3"/>
          </w:tcPr>
          <w:p>
            <w:pPr>
              <w:jc w:val="right"/>
              <w:ind w:right="100"/>
              <w:spacing w:after="0"/>
              <w:rPr>
                <w:sz w:val="20"/>
                <w:szCs w:val="20"/>
                <w:color w:val="auto"/>
              </w:rPr>
            </w:pPr>
            <w:r>
              <w:rPr>
                <w:rFonts w:ascii="Arial" w:cs="Arial" w:eastAsia="Arial" w:hAnsi="Arial"/>
                <w:sz w:val="13"/>
                <w:szCs w:val="13"/>
                <w:color w:val="auto"/>
              </w:rPr>
              <w:t>(25.0)</w:t>
            </w:r>
          </w:p>
        </w:tc>
      </w:tr>
      <w:tr>
        <w:trPr>
          <w:trHeight w:val="158"/>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Quick Ratio</w:t>
            </w:r>
          </w:p>
        </w:tc>
        <w:tc>
          <w:tcPr>
            <w:tcW w:w="240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1.5:1</w:t>
            </w:r>
          </w:p>
        </w:tc>
        <w:tc>
          <w:tcPr>
            <w:tcW w:w="24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1.4:1</w:t>
            </w: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57"/>
        </w:trPr>
        <w:tc>
          <w:tcPr>
            <w:tcW w:w="4040" w:type="dxa"/>
            <w:vAlign w:val="bottom"/>
          </w:tcPr>
          <w:p>
            <w:pPr>
              <w:spacing w:after="0"/>
              <w:rPr>
                <w:sz w:val="20"/>
                <w:szCs w:val="20"/>
                <w:color w:val="auto"/>
              </w:rPr>
            </w:pPr>
            <w:r>
              <w:rPr>
                <w:rFonts w:ascii="Arial" w:cs="Arial" w:eastAsia="Arial" w:hAnsi="Arial"/>
                <w:sz w:val="13"/>
                <w:szCs w:val="13"/>
                <w:color w:val="auto"/>
              </w:rPr>
              <w:t>Working Capital Ratio</w:t>
            </w:r>
          </w:p>
        </w:tc>
        <w:tc>
          <w:tcPr>
            <w:tcW w:w="2400" w:type="dxa"/>
            <w:vAlign w:val="bottom"/>
          </w:tcPr>
          <w:p>
            <w:pPr>
              <w:spacing w:after="0"/>
              <w:rPr>
                <w:sz w:val="13"/>
                <w:szCs w:val="13"/>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3"/>
                <w:szCs w:val="13"/>
                <w:color w:val="auto"/>
              </w:rPr>
              <w:t>2.2:1</w:t>
            </w:r>
          </w:p>
        </w:tc>
        <w:tc>
          <w:tcPr>
            <w:tcW w:w="240" w:type="dxa"/>
            <w:vAlign w:val="bottom"/>
          </w:tcPr>
          <w:p>
            <w:pPr>
              <w:spacing w:after="0"/>
              <w:rPr>
                <w:sz w:val="13"/>
                <w:szCs w:val="13"/>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3"/>
                <w:szCs w:val="13"/>
                <w:color w:val="auto"/>
              </w:rPr>
              <w:t>2.1:1</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57"/>
        </w:trPr>
        <w:tc>
          <w:tcPr>
            <w:tcW w:w="4040" w:type="dxa"/>
            <w:vAlign w:val="bottom"/>
            <w:shd w:val="clear" w:color="auto" w:fill="CCEEFF"/>
          </w:tcPr>
          <w:p>
            <w:pPr>
              <w:spacing w:after="0"/>
              <w:rPr>
                <w:sz w:val="20"/>
                <w:szCs w:val="20"/>
                <w:color w:val="auto"/>
              </w:rPr>
            </w:pPr>
            <w:r>
              <w:rPr>
                <w:rFonts w:ascii="Arial" w:cs="Arial" w:eastAsia="Arial" w:hAnsi="Arial"/>
                <w:sz w:val="13"/>
                <w:szCs w:val="13"/>
                <w:color w:val="auto"/>
              </w:rPr>
              <w:t>Debt to Total Capital</w:t>
            </w:r>
          </w:p>
        </w:tc>
        <w:tc>
          <w:tcPr>
            <w:tcW w:w="2400" w:type="dxa"/>
            <w:vAlign w:val="bottom"/>
            <w:shd w:val="clear" w:color="auto" w:fill="CCEEFF"/>
          </w:tcPr>
          <w:p>
            <w:pPr>
              <w:spacing w:after="0"/>
              <w:rPr>
                <w:sz w:val="13"/>
                <w:szCs w:val="13"/>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30.4%</w:t>
            </w:r>
          </w:p>
        </w:tc>
        <w:tc>
          <w:tcPr>
            <w:tcW w:w="24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22.9%</w:t>
            </w:r>
          </w:p>
        </w:tc>
        <w:tc>
          <w:tcPr>
            <w:tcW w:w="3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62230</wp:posOffset>
            </wp:positionV>
            <wp:extent cx="107950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79500" cy="6350"/>
                    </a:xfrm>
                    <a:prstGeom prst="rect">
                      <a:avLst/>
                    </a:prstGeom>
                    <a:noFill/>
                  </pic:spPr>
                </pic:pic>
              </a:graphicData>
            </a:graphic>
          </wp:anchor>
        </w:drawing>
      </w:r>
    </w:p>
    <w:p>
      <w:pPr>
        <w:spacing w:after="0" w:line="128" w:lineRule="exact"/>
        <w:rPr>
          <w:sz w:val="20"/>
          <w:szCs w:val="20"/>
          <w:color w:val="auto"/>
        </w:rPr>
      </w:pPr>
    </w:p>
    <w:p>
      <w:pPr>
        <w:ind w:left="1000" w:hanging="313"/>
        <w:spacing w:after="0"/>
        <w:tabs>
          <w:tab w:leader="none" w:pos="1000" w:val="left"/>
        </w:tabs>
        <w:numPr>
          <w:ilvl w:val="0"/>
          <w:numId w:val="13"/>
        </w:numPr>
        <w:rPr>
          <w:rFonts w:ascii="Arial" w:cs="Arial" w:eastAsia="Arial" w:hAnsi="Arial"/>
          <w:sz w:val="11"/>
          <w:szCs w:val="11"/>
          <w:color w:val="auto"/>
        </w:rPr>
      </w:pPr>
      <w:r>
        <w:rPr>
          <w:rFonts w:ascii="Arial" w:cs="Arial" w:eastAsia="Arial" w:hAnsi="Arial"/>
          <w:sz w:val="13"/>
          <w:szCs w:val="13"/>
          <w:color w:val="auto"/>
        </w:rPr>
        <w:t>This calculation of working capital is defined as current assets less current liabilities.</w:t>
      </w:r>
    </w:p>
    <w:p>
      <w:pPr>
        <w:spacing w:after="0" w:line="96"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The Company’s quick assets (consisting of cash and cash equivalents and receivables) decreased 3.4% from June 28, 2008 to December 27, 2008 primarily due to collections of receivables. Current assets declined 4.5% due to the collection of receivables, a decline in inventory and payments of accounts payable. Current liabilities declined 4.8% primarily due to payments of accounts payable. As a result of the factors noted above, total working capital decreased by 4.2% during the second quarter of fiscal 2009. Total debt remained essentially flat since the end of fiscal 2008. Total capital decreased 25% since the end of fiscal 2008 and the debt to capital ratio increased to 30.4% as a result of the non-cash impairment charges recognized during the second quarter of fiscal 2009 as discussed previously in this MD&amp;A.</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3"/>
          <w:szCs w:val="13"/>
          <w:b w:val="1"/>
          <w:bCs w:val="1"/>
          <w:i w:val="1"/>
          <w:iCs w:val="1"/>
          <w:color w:val="auto"/>
        </w:rPr>
        <w:t>Recently Issued Accounting Pronouncements</w:t>
      </w:r>
    </w:p>
    <w:p>
      <w:pPr>
        <w:spacing w:after="0" w:line="96" w:lineRule="exact"/>
        <w:rPr>
          <w:sz w:val="20"/>
          <w:szCs w:val="20"/>
          <w:color w:val="auto"/>
        </w:rPr>
      </w:pPr>
    </w:p>
    <w:p>
      <w:pPr>
        <w:ind w:left="680" w:right="40" w:firstLine="399"/>
        <w:spacing w:after="0" w:line="280" w:lineRule="auto"/>
        <w:rPr>
          <w:sz w:val="20"/>
          <w:szCs w:val="20"/>
          <w:color w:val="auto"/>
        </w:rPr>
      </w:pPr>
      <w:r>
        <w:rPr>
          <w:rFonts w:ascii="Arial" w:cs="Arial" w:eastAsia="Arial" w:hAnsi="Arial"/>
          <w:sz w:val="12"/>
          <w:szCs w:val="12"/>
          <w:color w:val="auto"/>
        </w:rPr>
        <w:t xml:space="preserve">In May 2008, the Financial Accounting Standards Board (“FASB”) issued FSP Accounting Principles Board 14-1 </w:t>
      </w:r>
      <w:r>
        <w:rPr>
          <w:rFonts w:ascii="Arial" w:cs="Arial" w:eastAsia="Arial" w:hAnsi="Arial"/>
          <w:sz w:val="12"/>
          <w:szCs w:val="12"/>
          <w:i w:val="1"/>
          <w:iCs w:val="1"/>
          <w:color w:val="auto"/>
        </w:rPr>
        <w:t>Accounting for Convertible Debt Instruments That May Be Settled</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 Cash upon Conversion (Including Partial Cash Settlement) </w:t>
      </w:r>
      <w:r>
        <w:rPr>
          <w:rFonts w:ascii="Arial" w:cs="Arial" w:eastAsia="Arial" w:hAnsi="Arial"/>
          <w:sz w:val="12"/>
          <w:szCs w:val="12"/>
          <w:color w:val="auto"/>
        </w:rPr>
        <w:t>(“FSP APB 14-1”). FSP APB 14-1 requires the issuer of certain convertible debt instruments that may be settled in cash (or</w:t>
      </w:r>
      <w:r>
        <w:rPr>
          <w:rFonts w:ascii="Arial" w:cs="Arial" w:eastAsia="Arial" w:hAnsi="Arial"/>
          <w:sz w:val="12"/>
          <w:szCs w:val="12"/>
          <w:i w:val="1"/>
          <w:iCs w:val="1"/>
          <w:color w:val="auto"/>
        </w:rPr>
        <w:t xml:space="preserve"> </w:t>
      </w:r>
      <w:r>
        <w:rPr>
          <w:rFonts w:ascii="Arial" w:cs="Arial" w:eastAsia="Arial" w:hAnsi="Arial"/>
          <w:sz w:val="12"/>
          <w:szCs w:val="12"/>
          <w:color w:val="auto"/>
        </w:rPr>
        <w:t>other assets) on conversion to separately account for the liability (debt) and equity (conversion option) components of the instrument in a manner that reflects the issuer’s non-convertible debt borrowing rate. FSP APB 14-1 is effective for fiscal years beginning after December 15, 2008 on a retrospective basis, and as such, will be effective beginning in the Company’s fiscal year 2010. The Company is evaluating the potential impact of FSP APB 14-1 on its consolidated financial statements but does not believe the adoption of FSP APB 14-1 will have a material effect on its fiscal 2010 consolidated financial statements. Based upon the current market price of the Company’s common stock, it is likely that the holders of the Debentures will exercise their right to put the Debentures back to the Company on March 15, 2009. If this occurs, the Company has the intent and ability to utilize its borrowing capacity under the Credit Agreement, which expires in 2012, to satisfy its obligation under the Debenture put option.</w:t>
      </w:r>
    </w:p>
    <w:p>
      <w:pPr>
        <w:spacing w:after="0" w:line="59"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 xml:space="preserve">In March 2008, the FASB issued Statement of Financial Accounting Standards (“SFAS”) No. 161 </w:t>
      </w:r>
      <w:r>
        <w:rPr>
          <w:rFonts w:ascii="Arial" w:cs="Arial" w:eastAsia="Arial" w:hAnsi="Arial"/>
          <w:sz w:val="13"/>
          <w:szCs w:val="13"/>
          <w:i w:val="1"/>
          <w:iCs w:val="1"/>
          <w:color w:val="auto"/>
        </w:rPr>
        <w:t>Disclosures about Derivative Instruments and Hedging Activities — an amendment</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of FASB Statement No. 133 </w:t>
      </w:r>
      <w:r>
        <w:rPr>
          <w:rFonts w:ascii="Arial" w:cs="Arial" w:eastAsia="Arial" w:hAnsi="Arial"/>
          <w:sz w:val="13"/>
          <w:szCs w:val="13"/>
          <w:color w:val="auto"/>
        </w:rPr>
        <w:t>(“SFAS 161”). SFAS 161 requires enhanced disclosures about the objectives of derivative instruments and hedging activities, the method of accounting for such</w:t>
      </w:r>
      <w:r>
        <w:rPr>
          <w:rFonts w:ascii="Arial" w:cs="Arial" w:eastAsia="Arial" w:hAnsi="Arial"/>
          <w:sz w:val="13"/>
          <w:szCs w:val="13"/>
          <w:i w:val="1"/>
          <w:iCs w:val="1"/>
          <w:color w:val="auto"/>
        </w:rPr>
        <w:t xml:space="preserve"> </w:t>
      </w:r>
      <w:r>
        <w:rPr>
          <w:rFonts w:ascii="Arial" w:cs="Arial" w:eastAsia="Arial" w:hAnsi="Arial"/>
          <w:sz w:val="13"/>
          <w:szCs w:val="13"/>
          <w:color w:val="auto"/>
        </w:rPr>
        <w:t>instruments under SFAS 133 and its related interpretations, and a tabular disclosure of the effects of such instruments and related hedged items on an entity’s financial position, financial performance and cash flows. SFAS 161 is effective for periods beginning after November 15, 2008, and as such, will be effective beginning in the Company’s third quarter of fiscal year 2009. The Company is evaluating the disclosure</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requirements of SFAS 161; however, the adoption of SFAS 161 is not expected to have a material impact on the Company’s consolidated financial statements.</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 xml:space="preserve">In December 2007, the FASB issued SFAS No. 141 (revised 2007) </w:t>
      </w:r>
      <w:r>
        <w:rPr>
          <w:rFonts w:ascii="Arial" w:cs="Arial" w:eastAsia="Arial" w:hAnsi="Arial"/>
          <w:sz w:val="13"/>
          <w:szCs w:val="13"/>
          <w:i w:val="1"/>
          <w:iCs w:val="1"/>
          <w:color w:val="auto"/>
        </w:rPr>
        <w:t>Business Combinations</w:t>
      </w:r>
      <w:r>
        <w:rPr>
          <w:rFonts w:ascii="Arial" w:cs="Arial" w:eastAsia="Arial" w:hAnsi="Arial"/>
          <w:sz w:val="13"/>
          <w:szCs w:val="13"/>
          <w:color w:val="auto"/>
        </w:rPr>
        <w:t xml:space="preserve"> (“SFAS 141R”). SFAS 141R establishes the requirements for how an acquirer recognizes and measures the identifiable assets acquired, the liabilities assumed, any non-controlling interest in the acquiree and the goodwill acquired. SFAS 141R requires acquisition costs be expensed instead of capitalized as is required currently under SFAS 141 and also establishes disclosure requirements for business combinations. SFAS 141R applies to business combinations for which the acquisition date is on or after fiscal years beginning on or after December 15, 2008, and as such, SFAS 141R is effective beginning in the Company’s fiscal year 2010. Although the Company is still evaluating the potential impact on its consolidated financial statements upon adoption of SFAS 141R, it does expect that, based upon the Company’s level of acquisition activity, there may be an impact to its consolidated statement of operations.</w:t>
      </w:r>
    </w:p>
    <w:p>
      <w:pPr>
        <w:spacing w:after="0" w:line="72"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 xml:space="preserve">In December 2007, the FASB issued SFAS No. 160 </w:t>
      </w:r>
      <w:r>
        <w:rPr>
          <w:rFonts w:ascii="Arial" w:cs="Arial" w:eastAsia="Arial" w:hAnsi="Arial"/>
          <w:sz w:val="13"/>
          <w:szCs w:val="13"/>
          <w:i w:val="1"/>
          <w:iCs w:val="1"/>
          <w:color w:val="auto"/>
        </w:rPr>
        <w:t>Non-controlling Interests in Consolidated Financial Statements — an amendment to ARB No. 51</w:t>
      </w:r>
      <w:r>
        <w:rPr>
          <w:rFonts w:ascii="Arial" w:cs="Arial" w:eastAsia="Arial" w:hAnsi="Arial"/>
          <w:sz w:val="13"/>
          <w:szCs w:val="13"/>
          <w:color w:val="auto"/>
        </w:rPr>
        <w:t xml:space="preserve"> (“SFAS 160”). SFAS 160 will change the accounting and reporting for minority interests, which will now be termed “non-controlling interests.” SFAS 160 requires non-controlling interests to be presented as a separate component of equity and requires the amount of net income attributable to the parent and to the non-controlling interest to be separately identified on the consolidated statement of operations. SFAS 160 is effective for fiscal years beginning on or after December 15, 2008, and as such, will be effective beginning in the Company’s fiscal year 2010. The adoption of SFAS 160 is not expected to have a material impact on the Company’s consolidated financial statements.</w:t>
      </w:r>
    </w:p>
    <w:p>
      <w:pPr>
        <w:spacing w:after="0" w:line="71"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 xml:space="preserve">In September 2006, the FASB issued SFAS No.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xml:space="preserve"> (“SFAS 157”)</w:t>
      </w:r>
      <w:r>
        <w:rPr>
          <w:rFonts w:ascii="Arial" w:cs="Arial" w:eastAsia="Arial" w:hAnsi="Arial"/>
          <w:sz w:val="12"/>
          <w:szCs w:val="12"/>
          <w:i w:val="1"/>
          <w:iCs w:val="1"/>
          <w:color w:val="auto"/>
        </w:rPr>
        <w:t>,</w:t>
      </w:r>
      <w:r>
        <w:rPr>
          <w:rFonts w:ascii="Arial" w:cs="Arial" w:eastAsia="Arial" w:hAnsi="Arial"/>
          <w:sz w:val="12"/>
          <w:szCs w:val="12"/>
          <w:color w:val="auto"/>
        </w:rPr>
        <w:t xml:space="preserve"> which defines fair value, establishes a framework for measuring fair value in generally accepted accounting principles, and expands disclosures about fair value measurements. SFAS 157 does not require any new fair value measurements, but provides guidance on how to measure fair value by providing a fair value hierarchy used to classify the source of the information. In February 2008, the FASB issued FASB Staff Position 157-1, </w:t>
      </w:r>
      <w:r>
        <w:rPr>
          <w:rFonts w:ascii="Arial" w:cs="Arial" w:eastAsia="Arial" w:hAnsi="Arial"/>
          <w:sz w:val="12"/>
          <w:szCs w:val="12"/>
          <w:i w:val="1"/>
          <w:iCs w:val="1"/>
          <w:color w:val="auto"/>
        </w:rPr>
        <w:t>Application of FASB</w:t>
      </w:r>
      <w:r>
        <w:rPr>
          <w:rFonts w:ascii="Arial" w:cs="Arial" w:eastAsia="Arial" w:hAnsi="Arial"/>
          <w:sz w:val="12"/>
          <w:szCs w:val="12"/>
          <w:color w:val="auto"/>
        </w:rPr>
        <w:t xml:space="preserve"> </w:t>
      </w:r>
      <w:r>
        <w:rPr>
          <w:rFonts w:ascii="Arial" w:cs="Arial" w:eastAsia="Arial" w:hAnsi="Arial"/>
          <w:sz w:val="12"/>
          <w:szCs w:val="12"/>
          <w:i w:val="1"/>
          <w:iCs w:val="1"/>
          <w:color w:val="auto"/>
        </w:rPr>
        <w:t>Statement No. 157 to FASB Statement No. 13 and Other Accounting Pronouncements That Address Fair Value Measurements for Purposes of Lease Classification or Measurement under Statement 13</w:t>
      </w:r>
      <w:r>
        <w:rPr>
          <w:rFonts w:ascii="Arial" w:cs="Arial" w:eastAsia="Arial" w:hAnsi="Arial"/>
          <w:sz w:val="12"/>
          <w:szCs w:val="12"/>
          <w:color w:val="auto"/>
        </w:rPr>
        <w:t>. (“FSP 157-1”). FSP 157-1 amends SFAS 157 to exclude leasing transactions accounted for under SFAS 13 and related guidance from the scope of SFAS 157. In February 2008,</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the FASB issued FASB Staff Position 157-2 (“FSP 175-2”), </w:t>
      </w:r>
      <w:r>
        <w:rPr>
          <w:rFonts w:ascii="Arial" w:cs="Arial" w:eastAsia="Arial" w:hAnsi="Arial"/>
          <w:sz w:val="12"/>
          <w:szCs w:val="12"/>
          <w:i w:val="1"/>
          <w:iCs w:val="1"/>
          <w:color w:val="auto"/>
        </w:rPr>
        <w:t>Effective Date of FASB Statement 157</w:t>
      </w:r>
      <w:r>
        <w:rPr>
          <w:rFonts w:ascii="Arial" w:cs="Arial" w:eastAsia="Arial" w:hAnsi="Arial"/>
          <w:sz w:val="12"/>
          <w:szCs w:val="12"/>
          <w:color w:val="auto"/>
        </w:rPr>
        <w:t>, which delays the effective date of SFAS 157 for all non-financial assets and non-financial liabilities, except for items that are recognized or disclosed as fair value in the financial statements on a recurring basis (at least annually). SFAS 157 is effective for fiscal year 2009, however, FSP 157-2 delays the effective date for certain items to fiscal year 2010. The adoption of SFAS 157 for financial assets and liabilities did not have a material impact on the Company’s consolidated financial statements.</w:t>
      </w:r>
    </w:p>
    <w:p>
      <w:pPr>
        <w:spacing w:after="0" w:line="13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Quantitative and Qualitative Disclosures About Market Risk</w:t>
      </w:r>
    </w:p>
    <w:p>
      <w:pPr>
        <w:spacing w:after="0" w:line="100"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color w:val="auto"/>
        </w:rPr>
        <w:t>The Company seeks to reduce earnings and cash flow volatility associated with changes in interest rates and foreign currency exchange rates by entering into financial arrangements intended to hedge certain of the risks associated with such volatility. The Company continues to have exposure to such risks to the extent they are not hedged.</w:t>
      </w:r>
    </w:p>
    <w:p>
      <w:pPr>
        <w:spacing w:after="0" w:line="3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 xml:space="preserve">See Item 7A, </w:t>
      </w:r>
      <w:r>
        <w:rPr>
          <w:rFonts w:ascii="Arial" w:cs="Arial" w:eastAsia="Arial" w:hAnsi="Arial"/>
          <w:sz w:val="13"/>
          <w:szCs w:val="13"/>
          <w:i w:val="1"/>
          <w:iCs w:val="1"/>
          <w:color w:val="auto"/>
        </w:rPr>
        <w:t>Quantitative and Qualitative Disclosures About Market Risk</w:t>
      </w:r>
      <w:r>
        <w:rPr>
          <w:rFonts w:ascii="Arial" w:cs="Arial" w:eastAsia="Arial" w:hAnsi="Arial"/>
          <w:sz w:val="13"/>
          <w:szCs w:val="13"/>
          <w:color w:val="auto"/>
        </w:rPr>
        <w:t>, in the Company’s Annual Report on Form 10-K for the year ended June 28, 2008 for further discussion of market risks associated with interest rates and foreign currency exchange. Avnet’s exposure to foreign exchange risks have not changed materially since June 28, 2008 as the Company continues to hedge the majority of its foreign exchange exposures. Thus, any increase or decrease in fair value of the Company’s foreign exchange contracts is generally offset by an opposite effect on the related hedged position.</w:t>
      </w:r>
    </w:p>
    <w:p>
      <w:pPr>
        <w:spacing w:after="0" w:line="7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 xml:space="preserve">See </w:t>
      </w:r>
      <w:r>
        <w:rPr>
          <w:rFonts w:ascii="Arial" w:cs="Arial" w:eastAsia="Arial" w:hAnsi="Arial"/>
          <w:sz w:val="13"/>
          <w:szCs w:val="13"/>
          <w:i w:val="1"/>
          <w:iCs w:val="1"/>
          <w:color w:val="auto"/>
        </w:rPr>
        <w:t>Liquidity and Capital Resources — Financing Transactions</w:t>
      </w:r>
      <w:r>
        <w:rPr>
          <w:rFonts w:ascii="Arial" w:cs="Arial" w:eastAsia="Arial" w:hAnsi="Arial"/>
          <w:sz w:val="13"/>
          <w:szCs w:val="13"/>
          <w:color w:val="auto"/>
        </w:rPr>
        <w:t xml:space="preserve"> appearing in Item 2 of this Form 10-Q for further discussion of the Company’s financing facilities and capital structure. As of December 27, 2008, 95% of the Company’s debt bears interest at a fixed rate and 5% of the Company’s debt bears interest at variable rates. Therefore, a hypothetical 1.0% (100 basis point) increase in interest rates would result in a $0.2 million impact 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income before income taxes in the Company’s consolidated statement of operations for the quarter ended December 27, 2008.</w:t>
      </w:r>
    </w:p>
    <w:p>
      <w:pPr>
        <w:spacing w:after="0" w:line="171"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100" w:lineRule="exact"/>
        <w:rPr>
          <w:sz w:val="20"/>
          <w:szCs w:val="20"/>
          <w:color w:val="auto"/>
        </w:rPr>
      </w:pPr>
    </w:p>
    <w:p>
      <w:pPr>
        <w:ind w:left="680" w:firstLine="399"/>
        <w:spacing w:after="0" w:line="312" w:lineRule="auto"/>
        <w:rPr>
          <w:sz w:val="20"/>
          <w:szCs w:val="20"/>
          <w:color w:val="auto"/>
        </w:rPr>
      </w:pPr>
      <w:r>
        <w:rPr>
          <w:rFonts w:ascii="Arial" w:cs="Arial" w:eastAsia="Arial" w:hAnsi="Arial"/>
          <w:sz w:val="11"/>
          <w:szCs w:val="11"/>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45"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During the second quarter of fiscal 2009, there were no changes to the Company’s internal control over financial reporting that have materially affected, or are reasonably likely to materially affect, the Company’s internal control over financial reporting.</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PART II</w:t>
      </w:r>
    </w:p>
    <w:p>
      <w:pPr>
        <w:spacing w:after="0" w:line="57"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OTHER INFORMATION</w:t>
      </w:r>
    </w:p>
    <w:p>
      <w:pPr>
        <w:spacing w:after="0" w:line="17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cleanup at such sites are allocated among potentially responsible parties based upon each party’s relative contribution to the contamination, and other factors.</w:t>
      </w:r>
    </w:p>
    <w:p>
      <w:pPr>
        <w:spacing w:after="0" w:line="55"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Pursuant to SEC regulations, including but not limited to Item 103 of Regulation S-K, the Company regularly assesses the status of and developments in pending environmental legal proceedings to determine whether any such proceedings should be identified specifically in this discussion of legal proceedings, and has concluded that no particular pending environmental legal proceeding requires public disclosure. Based on the information known to date, management believes that the Company has appropriately accrued in its consolidated financial statements for its share of the estimated costs associated with the environmental clean up of sites in which the Company is participating.</w:t>
      </w:r>
    </w:p>
    <w:p>
      <w:pPr>
        <w:spacing w:after="0" w:line="53" w:lineRule="exact"/>
        <w:rPr>
          <w:sz w:val="20"/>
          <w:szCs w:val="20"/>
          <w:color w:val="auto"/>
        </w:rPr>
      </w:pPr>
    </w:p>
    <w:p>
      <w:pPr>
        <w:jc w:val="both"/>
        <w:ind w:left="680" w:right="360" w:firstLine="399"/>
        <w:spacing w:after="0" w:line="264" w:lineRule="auto"/>
        <w:rPr>
          <w:sz w:val="20"/>
          <w:szCs w:val="20"/>
          <w:color w:val="auto"/>
        </w:rPr>
      </w:pPr>
      <w:r>
        <w:rPr>
          <w:rFonts w:ascii="Arial" w:cs="Arial" w:eastAsia="Arial" w:hAnsi="Arial"/>
          <w:sz w:val="13"/>
          <w:szCs w:val="13"/>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 or results of operations.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 xml:space="preserve">Item 1A. </w:t>
      </w:r>
      <w:r>
        <w:rPr>
          <w:rFonts w:ascii="Arial" w:cs="Arial" w:eastAsia="Arial" w:hAnsi="Arial"/>
          <w:sz w:val="13"/>
          <w:szCs w:val="13"/>
          <w:b w:val="1"/>
          <w:bCs w:val="1"/>
          <w:i w:val="1"/>
          <w:iCs w:val="1"/>
          <w:color w:val="auto"/>
        </w:rPr>
        <w:t>Risk Factors</w:t>
      </w:r>
    </w:p>
    <w:p>
      <w:pPr>
        <w:spacing w:after="0" w:line="10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This Report contains forward-looking statements within the meaning of Section 27A of the Securities Act of 1933, as amended and Section 21E of the Securities Exchange Act of 1934, as amended, with respect to the financial condition, results of operations and business of Avnet, Inc. and its subsidiaries (“Avnet” or the “Company”). You can find many of these statements by looking for words like “believes,” “expects,” “anticipates,” “should,” “will,” “may,” “estimates” or similar expressions in this Report or in documents incorporated by reference in this Report. These forward-looking statements are subject to numerous assumptions, risks and uncertainties. Any forward-looking statement speaks only as of the date on which that statement is made. The Company assumes no obligation to update any forward-looking statement to reflect events or circumstances that occur after the date on which the statement is made.</w:t>
      </w:r>
    </w:p>
    <w:p>
      <w:pPr>
        <w:spacing w:after="0" w:line="72"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discussion of Avnet’s business and operations should be read together with the risk factors contained in Item 1A of its 2008 Annual Report on Form 10-K, filed with the Securities and Exchange Commission, which describe various risks and uncertainties to which the Company is or may become subject. These risks and uncertainties have the potential to affect Avnet’s business, financial condition, results of operations, cash flows, strategies or prospects in a material and adverse manner. As of December 27, 2008, there have been no material changes to the risk factors set forth in the Company’s 2008 Annual Report on Form 10-K, other than as presented below:</w:t>
      </w:r>
    </w:p>
    <w:p>
      <w:pPr>
        <w:spacing w:after="0" w:line="53"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b w:val="1"/>
          <w:bCs w:val="1"/>
          <w:i w:val="1"/>
          <w:iCs w:val="1"/>
          <w:color w:val="auto"/>
        </w:rPr>
        <w:t>The current global economic downturn has affected our financial results and we can offer no assurance that these conditions either will improve in the near future or will not worsen.</w:t>
      </w:r>
    </w:p>
    <w:p>
      <w:pPr>
        <w:spacing w:after="0" w:line="59"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Beginning with the second quarter of fiscal 2009, the Company’s financial results were negatively impacted by the global economic slowdown as we experienced a rapid decline in end market demand in both operating groups. Deterioration in the financial and credit markets heightens the risk of reduced corporate spending on information technology, and continued market weakness may result in a more competitive environment and lower sales. Although we continue to take corrective action to better align our cost structure with current market conditions, the</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benefits from these cost reductions may take longer to fully realize or otherwise may not fully mitigate the impact of the reduced demand in the electronics supply chain.</w:t>
      </w:r>
    </w:p>
    <w:p>
      <w:pPr>
        <w:spacing w:after="0" w:line="96" w:lineRule="exact"/>
        <w:rPr>
          <w:sz w:val="20"/>
          <w:szCs w:val="20"/>
          <w:color w:val="auto"/>
        </w:rPr>
      </w:pPr>
    </w:p>
    <w:p>
      <w:pPr>
        <w:ind w:left="680" w:right="1080" w:firstLine="399"/>
        <w:spacing w:after="0" w:line="276" w:lineRule="auto"/>
        <w:rPr>
          <w:sz w:val="20"/>
          <w:szCs w:val="20"/>
          <w:color w:val="auto"/>
        </w:rPr>
      </w:pPr>
      <w:r>
        <w:rPr>
          <w:rFonts w:ascii="Arial" w:cs="Arial" w:eastAsia="Arial" w:hAnsi="Arial"/>
          <w:sz w:val="13"/>
          <w:szCs w:val="13"/>
          <w:b w:val="1"/>
          <w:bCs w:val="1"/>
          <w:i w:val="1"/>
          <w:iCs w:val="1"/>
          <w:color w:val="auto"/>
        </w:rPr>
        <w:t>An industry down-cycle in semiconductors could significantly affect the Company’s operating results as a large portion of our revenues comes from sales of semiconductors, which has been a highly cyclical industry.</w:t>
      </w:r>
    </w:p>
    <w:p>
      <w:pPr>
        <w:spacing w:after="0" w:line="59" w:lineRule="exact"/>
        <w:rPr>
          <w:sz w:val="20"/>
          <w:szCs w:val="20"/>
          <w:color w:val="auto"/>
        </w:rPr>
      </w:pPr>
    </w:p>
    <w:p>
      <w:pPr>
        <w:ind w:left="680" w:right="880" w:firstLine="399"/>
        <w:spacing w:after="0" w:line="289" w:lineRule="auto"/>
        <w:rPr>
          <w:sz w:val="20"/>
          <w:szCs w:val="20"/>
          <w:color w:val="auto"/>
        </w:rPr>
      </w:pPr>
      <w:r>
        <w:rPr>
          <w:rFonts w:ascii="Arial" w:cs="Arial" w:eastAsia="Arial" w:hAnsi="Arial"/>
          <w:sz w:val="12"/>
          <w:szCs w:val="12"/>
          <w:color w:val="auto"/>
        </w:rPr>
        <w:t>The semiconductor industry historically has experienced periodic fluctuations in product supply and demand, often associated with changes in technology and manufacturing capacity, and is generally considered to be highly cyclical. During each of the last three fiscal years, sales of semiconductors represented over 50% of the Company’s consolidated sales, and the Company’s revenues, particularly those of EM, closely follow the strength or weakness of the semiconductor market. Future downturns in the technology industry, particularly in the semiconductor sector, could negatively affect the Company’s operating results and negatively impact the Company’s ability to maintain its current profitability levels.</w:t>
      </w:r>
    </w:p>
    <w:p>
      <w:pPr>
        <w:spacing w:after="0" w:line="128"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i w:val="1"/>
          <w:iCs w:val="1"/>
          <w:color w:val="auto"/>
        </w:rPr>
        <w:t>Unregistered Sales of Equity Securities and Use of Proceeds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includes the Company’s monthly purchases of common stock during the second quarter ended December 27, 2008:</w:t>
      </w:r>
    </w:p>
    <w:p>
      <w:pPr>
        <w:spacing w:after="0" w:line="10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Maximum Number</w:t>
            </w:r>
          </w:p>
        </w:tc>
      </w:tr>
      <w:tr>
        <w:trPr>
          <w:trHeight w:val="157"/>
        </w:trPr>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(or Approximate</w:t>
            </w:r>
          </w:p>
        </w:tc>
      </w:tr>
      <w:tr>
        <w:trPr>
          <w:trHeight w:val="157"/>
        </w:trPr>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80" w:type="dxa"/>
            <w:vAlign w:val="bottom"/>
            <w:gridSpan w:val="3"/>
          </w:tcPr>
          <w:p>
            <w:pPr>
              <w:jc w:val="center"/>
              <w:ind w:right="254"/>
              <w:spacing w:after="0"/>
              <w:rPr>
                <w:sz w:val="20"/>
                <w:szCs w:val="20"/>
                <w:color w:val="auto"/>
              </w:rPr>
            </w:pPr>
            <w:r>
              <w:rPr>
                <w:rFonts w:ascii="Arial" w:cs="Arial" w:eastAsia="Arial" w:hAnsi="Arial"/>
                <w:sz w:val="13"/>
                <w:szCs w:val="13"/>
                <w:b w:val="1"/>
                <w:bCs w:val="1"/>
                <w:color w:val="auto"/>
                <w:w w:val="94"/>
              </w:rPr>
              <w:t>Total Number of</w:t>
            </w:r>
          </w:p>
        </w:tc>
        <w:tc>
          <w:tcPr>
            <w:tcW w:w="1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Dollar Value) of</w:t>
            </w:r>
          </w:p>
        </w:tc>
      </w:tr>
      <w:tr>
        <w:trPr>
          <w:trHeight w:val="157"/>
        </w:trPr>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80" w:type="dxa"/>
            <w:vAlign w:val="bottom"/>
            <w:gridSpan w:val="3"/>
          </w:tcPr>
          <w:p>
            <w:pPr>
              <w:jc w:val="center"/>
              <w:ind w:right="254"/>
              <w:spacing w:after="0"/>
              <w:rPr>
                <w:sz w:val="20"/>
                <w:szCs w:val="20"/>
                <w:color w:val="auto"/>
              </w:rPr>
            </w:pPr>
            <w:r>
              <w:rPr>
                <w:rFonts w:ascii="Arial" w:cs="Arial" w:eastAsia="Arial" w:hAnsi="Arial"/>
                <w:sz w:val="13"/>
                <w:szCs w:val="13"/>
                <w:b w:val="1"/>
                <w:bCs w:val="1"/>
                <w:color w:val="auto"/>
                <w:w w:val="86"/>
              </w:rPr>
              <w:t>Shares Purchased</w:t>
            </w:r>
          </w:p>
        </w:tc>
        <w:tc>
          <w:tcPr>
            <w:tcW w:w="1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Shares That May</w:t>
            </w:r>
          </w:p>
        </w:tc>
      </w:tr>
      <w:tr>
        <w:trPr>
          <w:trHeight w:val="157"/>
        </w:trPr>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80" w:type="dxa"/>
            <w:vAlign w:val="bottom"/>
            <w:gridSpan w:val="3"/>
          </w:tcPr>
          <w:p>
            <w:pPr>
              <w:jc w:val="center"/>
              <w:ind w:left="994"/>
              <w:spacing w:after="0"/>
              <w:rPr>
                <w:sz w:val="20"/>
                <w:szCs w:val="20"/>
                <w:color w:val="auto"/>
              </w:rPr>
            </w:pPr>
            <w:r>
              <w:rPr>
                <w:rFonts w:ascii="Arial" w:cs="Arial" w:eastAsia="Arial" w:hAnsi="Arial"/>
                <w:sz w:val="13"/>
                <w:szCs w:val="13"/>
                <w:b w:val="1"/>
                <w:bCs w:val="1"/>
                <w:color w:val="auto"/>
                <w:w w:val="93"/>
              </w:rPr>
              <w:t>Total Number</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180" w:type="dxa"/>
            <w:vAlign w:val="bottom"/>
            <w:gridSpan w:val="3"/>
          </w:tcPr>
          <w:p>
            <w:pPr>
              <w:jc w:val="center"/>
              <w:ind w:right="254"/>
              <w:spacing w:after="0"/>
              <w:rPr>
                <w:sz w:val="20"/>
                <w:szCs w:val="20"/>
                <w:color w:val="auto"/>
              </w:rPr>
            </w:pPr>
            <w:r>
              <w:rPr>
                <w:rFonts w:ascii="Arial" w:cs="Arial" w:eastAsia="Arial" w:hAnsi="Arial"/>
                <w:sz w:val="13"/>
                <w:szCs w:val="13"/>
                <w:b w:val="1"/>
                <w:bCs w:val="1"/>
                <w:color w:val="auto"/>
                <w:w w:val="90"/>
              </w:rPr>
              <w:t>as Part of Publicly</w:t>
            </w:r>
          </w:p>
        </w:tc>
        <w:tc>
          <w:tcPr>
            <w:tcW w:w="1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Yet Be Purchased</w:t>
            </w:r>
          </w:p>
        </w:tc>
      </w:tr>
      <w:tr>
        <w:trPr>
          <w:trHeight w:val="157"/>
        </w:trPr>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7"/>
              </w:rPr>
              <w:t>of Shares</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89"/>
              </w:rPr>
              <w:t>Average Price</w:t>
            </w:r>
          </w:p>
        </w:tc>
        <w:tc>
          <w:tcPr>
            <w:tcW w:w="2180" w:type="dxa"/>
            <w:vAlign w:val="bottom"/>
            <w:gridSpan w:val="3"/>
          </w:tcPr>
          <w:p>
            <w:pPr>
              <w:jc w:val="center"/>
              <w:ind w:right="254"/>
              <w:spacing w:after="0"/>
              <w:rPr>
                <w:sz w:val="20"/>
                <w:szCs w:val="20"/>
                <w:color w:val="auto"/>
              </w:rPr>
            </w:pPr>
            <w:r>
              <w:rPr>
                <w:rFonts w:ascii="Arial" w:cs="Arial" w:eastAsia="Arial" w:hAnsi="Arial"/>
                <w:sz w:val="13"/>
                <w:szCs w:val="13"/>
                <w:b w:val="1"/>
                <w:bCs w:val="1"/>
                <w:color w:val="auto"/>
                <w:w w:val="90"/>
              </w:rPr>
              <w:t>Announced Plans or</w:t>
            </w:r>
          </w:p>
        </w:tc>
        <w:tc>
          <w:tcPr>
            <w:tcW w:w="182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Under the Plans or</w:t>
            </w:r>
          </w:p>
        </w:tc>
      </w:tr>
      <w:tr>
        <w:trPr>
          <w:trHeight w:val="141"/>
        </w:trPr>
        <w:tc>
          <w:tcPr>
            <w:tcW w:w="1440" w:type="dxa"/>
            <w:vAlign w:val="bottom"/>
            <w:gridSpan w:val="2"/>
          </w:tcPr>
          <w:p>
            <w:pPr>
              <w:ind w:left="1080"/>
              <w:spacing w:after="0" w:line="141" w:lineRule="exact"/>
              <w:rPr>
                <w:sz w:val="20"/>
                <w:szCs w:val="20"/>
                <w:color w:val="auto"/>
              </w:rPr>
            </w:pPr>
            <w:r>
              <w:rPr>
                <w:rFonts w:ascii="Arial" w:cs="Arial" w:eastAsia="Arial" w:hAnsi="Arial"/>
                <w:sz w:val="13"/>
                <w:szCs w:val="13"/>
                <w:b w:val="1"/>
                <w:bCs w:val="1"/>
                <w:color w:val="auto"/>
                <w:w w:val="83"/>
              </w:rPr>
              <w:t>Period</w:t>
            </w:r>
          </w:p>
        </w:tc>
        <w:tc>
          <w:tcPr>
            <w:tcW w:w="1580" w:type="dxa"/>
            <w:vAlign w:val="bottom"/>
          </w:tcPr>
          <w:p>
            <w:pPr>
              <w:spacing w:after="0"/>
              <w:rPr>
                <w:sz w:val="12"/>
                <w:szCs w:val="12"/>
                <w:color w:val="auto"/>
              </w:rPr>
            </w:pPr>
          </w:p>
        </w:tc>
        <w:tc>
          <w:tcPr>
            <w:tcW w:w="1100" w:type="dxa"/>
            <w:vAlign w:val="bottom"/>
            <w:gridSpan w:val="2"/>
          </w:tcPr>
          <w:p>
            <w:pPr>
              <w:jc w:val="center"/>
              <w:ind w:right="520"/>
              <w:spacing w:after="0" w:line="141" w:lineRule="exact"/>
              <w:rPr>
                <w:sz w:val="20"/>
                <w:szCs w:val="20"/>
                <w:color w:val="auto"/>
              </w:rPr>
            </w:pPr>
            <w:r>
              <w:rPr>
                <w:rFonts w:ascii="Arial" w:cs="Arial" w:eastAsia="Arial" w:hAnsi="Arial"/>
                <w:sz w:val="13"/>
                <w:szCs w:val="13"/>
                <w:b w:val="1"/>
                <w:bCs w:val="1"/>
                <w:color w:val="auto"/>
                <w:w w:val="87"/>
              </w:rPr>
              <w:t>Purchased</w:t>
            </w:r>
          </w:p>
        </w:tc>
        <w:tc>
          <w:tcPr>
            <w:tcW w:w="360" w:type="dxa"/>
            <w:vAlign w:val="bottom"/>
          </w:tcPr>
          <w:p>
            <w:pPr>
              <w:spacing w:after="0"/>
              <w:rPr>
                <w:sz w:val="12"/>
                <w:szCs w:val="12"/>
                <w:color w:val="auto"/>
              </w:rPr>
            </w:pPr>
          </w:p>
        </w:tc>
        <w:tc>
          <w:tcPr>
            <w:tcW w:w="1500" w:type="dxa"/>
            <w:vAlign w:val="bottom"/>
            <w:gridSpan w:val="3"/>
          </w:tcPr>
          <w:p>
            <w:pPr>
              <w:jc w:val="right"/>
              <w:ind w:right="580"/>
              <w:spacing w:after="0" w:line="141" w:lineRule="exact"/>
              <w:rPr>
                <w:sz w:val="20"/>
                <w:szCs w:val="20"/>
                <w:color w:val="auto"/>
              </w:rPr>
            </w:pPr>
            <w:r>
              <w:rPr>
                <w:rFonts w:ascii="Arial" w:cs="Arial" w:eastAsia="Arial" w:hAnsi="Arial"/>
                <w:sz w:val="13"/>
                <w:szCs w:val="13"/>
                <w:b w:val="1"/>
                <w:bCs w:val="1"/>
                <w:color w:val="auto"/>
                <w:w w:val="98"/>
              </w:rPr>
              <w:t>Paid per Share</w:t>
            </w:r>
          </w:p>
        </w:tc>
        <w:tc>
          <w:tcPr>
            <w:tcW w:w="660" w:type="dxa"/>
            <w:vAlign w:val="bottom"/>
          </w:tcPr>
          <w:p>
            <w:pPr>
              <w:spacing w:after="0"/>
              <w:rPr>
                <w:sz w:val="12"/>
                <w:szCs w:val="12"/>
                <w:color w:val="auto"/>
              </w:rPr>
            </w:pPr>
          </w:p>
        </w:tc>
        <w:tc>
          <w:tcPr>
            <w:tcW w:w="1520" w:type="dxa"/>
            <w:vAlign w:val="bottom"/>
            <w:gridSpan w:val="2"/>
          </w:tcPr>
          <w:p>
            <w:pPr>
              <w:jc w:val="center"/>
              <w:ind w:right="914"/>
              <w:spacing w:after="0" w:line="141" w:lineRule="exact"/>
              <w:rPr>
                <w:sz w:val="20"/>
                <w:szCs w:val="20"/>
                <w:color w:val="auto"/>
              </w:rPr>
            </w:pPr>
            <w:r>
              <w:rPr>
                <w:rFonts w:ascii="Arial" w:cs="Arial" w:eastAsia="Arial" w:hAnsi="Arial"/>
                <w:sz w:val="13"/>
                <w:szCs w:val="13"/>
                <w:b w:val="1"/>
                <w:bCs w:val="1"/>
                <w:color w:val="auto"/>
                <w:w w:val="88"/>
              </w:rPr>
              <w:t>Programs</w:t>
            </w:r>
          </w:p>
        </w:tc>
        <w:tc>
          <w:tcPr>
            <w:tcW w:w="1820" w:type="dxa"/>
            <w:vAlign w:val="bottom"/>
            <w:gridSpan w:val="3"/>
          </w:tcPr>
          <w:p>
            <w:pPr>
              <w:jc w:val="center"/>
              <w:spacing w:after="0" w:line="141" w:lineRule="exact"/>
              <w:rPr>
                <w:sz w:val="20"/>
                <w:szCs w:val="20"/>
                <w:color w:val="auto"/>
              </w:rPr>
            </w:pPr>
            <w:r>
              <w:rPr>
                <w:rFonts w:ascii="Arial" w:cs="Arial" w:eastAsia="Arial" w:hAnsi="Arial"/>
                <w:sz w:val="13"/>
                <w:szCs w:val="13"/>
                <w:b w:val="1"/>
                <w:bCs w:val="1"/>
                <w:color w:val="auto"/>
                <w:w w:val="92"/>
              </w:rPr>
              <w:t>Programs</w:t>
            </w:r>
          </w:p>
        </w:tc>
      </w:tr>
      <w:tr>
        <w:trPr>
          <w:trHeight w:val="167"/>
        </w:trPr>
        <w:tc>
          <w:tcPr>
            <w:tcW w:w="108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58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660" w:type="dxa"/>
            <w:vAlign w:val="bottom"/>
          </w:tcPr>
          <w:p>
            <w:pPr>
              <w:spacing w:after="0"/>
              <w:rPr>
                <w:sz w:val="14"/>
                <w:szCs w:val="14"/>
                <w:color w:val="auto"/>
              </w:rPr>
            </w:pPr>
          </w:p>
        </w:tc>
      </w:tr>
      <w:tr>
        <w:trPr>
          <w:trHeight w:val="157"/>
        </w:trPr>
        <w:tc>
          <w:tcPr>
            <w:tcW w:w="1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October</w:t>
            </w:r>
          </w:p>
        </w:tc>
        <w:tc>
          <w:tcPr>
            <w:tcW w:w="26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6,000</w:t>
            </w: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20.46</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r>
      <w:tr>
        <w:trPr>
          <w:trHeight w:val="274"/>
        </w:trPr>
        <w:tc>
          <w:tcPr>
            <w:tcW w:w="1440" w:type="dxa"/>
            <w:vAlign w:val="bottom"/>
            <w:gridSpan w:val="2"/>
          </w:tcPr>
          <w:p>
            <w:pPr>
              <w:spacing w:after="0"/>
              <w:rPr>
                <w:sz w:val="20"/>
                <w:szCs w:val="20"/>
                <w:color w:val="auto"/>
              </w:rPr>
            </w:pPr>
            <w:r>
              <w:rPr>
                <w:rFonts w:ascii="Arial" w:cs="Arial" w:eastAsia="Arial" w:hAnsi="Arial"/>
                <w:sz w:val="13"/>
                <w:szCs w:val="13"/>
                <w:color w:val="auto"/>
              </w:rPr>
              <w:t>November</w:t>
            </w:r>
          </w:p>
        </w:tc>
        <w:tc>
          <w:tcPr>
            <w:tcW w:w="2680" w:type="dxa"/>
            <w:vAlign w:val="bottom"/>
            <w:gridSpan w:val="3"/>
          </w:tcPr>
          <w:p>
            <w:pPr>
              <w:jc w:val="right"/>
              <w:ind w:right="200"/>
              <w:spacing w:after="0"/>
              <w:rPr>
                <w:sz w:val="20"/>
                <w:szCs w:val="20"/>
                <w:color w:val="auto"/>
              </w:rPr>
            </w:pPr>
            <w:r>
              <w:rPr>
                <w:rFonts w:ascii="Arial" w:cs="Arial" w:eastAsia="Arial" w:hAnsi="Arial"/>
                <w:sz w:val="13"/>
                <w:szCs w:val="13"/>
                <w:color w:val="auto"/>
              </w:rPr>
              <w:t>13,500</w:t>
            </w:r>
          </w:p>
        </w:tc>
        <w:tc>
          <w:tcPr>
            <w:tcW w:w="360" w:type="dxa"/>
            <w:vAlign w:val="bottom"/>
          </w:tcPr>
          <w:p>
            <w:pPr>
              <w:jc w:val="right"/>
              <w:ind w:right="14"/>
              <w:spacing w:after="0"/>
              <w:rPr>
                <w:sz w:val="20"/>
                <w:szCs w:val="20"/>
                <w:color w:val="auto"/>
              </w:rPr>
            </w:pPr>
            <w:r>
              <w:rPr>
                <w:rFonts w:ascii="Arial" w:cs="Arial" w:eastAsia="Arial" w:hAnsi="Arial"/>
                <w:sz w:val="13"/>
                <w:szCs w:val="13"/>
                <w:color w:val="auto"/>
              </w:rPr>
              <w:t>$</w:t>
            </w:r>
          </w:p>
        </w:tc>
        <w:tc>
          <w:tcPr>
            <w:tcW w:w="1500" w:type="dxa"/>
            <w:vAlign w:val="bottom"/>
            <w:gridSpan w:val="3"/>
          </w:tcPr>
          <w:p>
            <w:pPr>
              <w:jc w:val="right"/>
              <w:ind w:right="360"/>
              <w:spacing w:after="0"/>
              <w:rPr>
                <w:sz w:val="20"/>
                <w:szCs w:val="20"/>
                <w:color w:val="auto"/>
              </w:rPr>
            </w:pPr>
            <w:r>
              <w:rPr>
                <w:rFonts w:ascii="Arial" w:cs="Arial" w:eastAsia="Arial" w:hAnsi="Arial"/>
                <w:sz w:val="13"/>
                <w:szCs w:val="13"/>
                <w:color w:val="auto"/>
              </w:rPr>
              <w:t>16.25</w:t>
            </w: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80" w:type="dxa"/>
            <w:vAlign w:val="bottom"/>
          </w:tcPr>
          <w:p>
            <w:pPr>
              <w:ind w:left="500"/>
              <w:spacing w:after="0"/>
              <w:rPr>
                <w:sz w:val="20"/>
                <w:szCs w:val="20"/>
                <w:color w:val="auto"/>
              </w:rPr>
            </w:pPr>
            <w:r>
              <w:rPr>
                <w:rFonts w:ascii="Arial" w:cs="Arial" w:eastAsia="Arial" w:hAnsi="Arial"/>
                <w:sz w:val="13"/>
                <w:szCs w:val="13"/>
                <w:color w:val="auto"/>
              </w:rPr>
              <w:t>—</w:t>
            </w:r>
          </w:p>
        </w:tc>
        <w:tc>
          <w:tcPr>
            <w:tcW w:w="6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ind w:left="440"/>
              <w:spacing w:after="0"/>
              <w:rPr>
                <w:sz w:val="20"/>
                <w:szCs w:val="20"/>
                <w:color w:val="auto"/>
              </w:rPr>
            </w:pPr>
            <w:r>
              <w:rPr>
                <w:rFonts w:ascii="Arial" w:cs="Arial" w:eastAsia="Arial" w:hAnsi="Arial"/>
                <w:sz w:val="13"/>
                <w:szCs w:val="13"/>
                <w:color w:val="auto"/>
              </w:rPr>
              <w:t>—</w:t>
            </w:r>
          </w:p>
        </w:tc>
      </w:tr>
      <w:tr>
        <w:trPr>
          <w:trHeight w:val="119"/>
        </w:trPr>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57"/>
        </w:trPr>
        <w:tc>
          <w:tcPr>
            <w:tcW w:w="14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December</w:t>
            </w:r>
          </w:p>
        </w:tc>
        <w:tc>
          <w:tcPr>
            <w:tcW w:w="26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7,100</w:t>
            </w:r>
          </w:p>
        </w:tc>
        <w:tc>
          <w:tcPr>
            <w:tcW w:w="3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w:t>
            </w:r>
          </w:p>
        </w:tc>
        <w:tc>
          <w:tcPr>
            <w:tcW w:w="1500" w:type="dxa"/>
            <w:vAlign w:val="bottom"/>
            <w:gridSpan w:val="3"/>
            <w:shd w:val="clear" w:color="auto" w:fill="CCEEFF"/>
          </w:tcPr>
          <w:p>
            <w:pPr>
              <w:jc w:val="right"/>
              <w:ind w:right="360"/>
              <w:spacing w:after="0"/>
              <w:rPr>
                <w:sz w:val="20"/>
                <w:szCs w:val="20"/>
                <w:color w:val="auto"/>
              </w:rPr>
            </w:pPr>
            <w:r>
              <w:rPr>
                <w:rFonts w:ascii="Arial" w:cs="Arial" w:eastAsia="Arial" w:hAnsi="Arial"/>
                <w:sz w:val="13"/>
                <w:szCs w:val="13"/>
                <w:color w:val="auto"/>
              </w:rPr>
              <w:t>15.20</w:t>
            </w:r>
          </w:p>
        </w:tc>
        <w:tc>
          <w:tcPr>
            <w:tcW w:w="6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9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w:t>
            </w:r>
          </w:p>
        </w:tc>
      </w:tr>
    </w:tbl>
    <w:p>
      <w:pPr>
        <w:spacing w:after="0" w:line="80" w:lineRule="exact"/>
        <w:rPr>
          <w:sz w:val="20"/>
          <w:szCs w:val="20"/>
          <w:color w:val="auto"/>
        </w:rPr>
      </w:pPr>
    </w:p>
    <w:p>
      <w:pPr>
        <w:ind w:left="680" w:right="880" w:firstLine="399"/>
        <w:spacing w:after="0" w:line="276" w:lineRule="auto"/>
        <w:rPr>
          <w:sz w:val="20"/>
          <w:szCs w:val="20"/>
          <w:color w:val="auto"/>
        </w:rPr>
      </w:pPr>
      <w:r>
        <w:rPr>
          <w:rFonts w:ascii="Arial" w:cs="Arial" w:eastAsia="Arial" w:hAnsi="Arial"/>
          <w:sz w:val="13"/>
          <w:szCs w:val="13"/>
          <w:color w:val="auto"/>
        </w:rPr>
        <w:t>The purchases of Avnet common stock noted above were made on the open market to obtain shares for purchase under the Company’s Employee Stock Purchase Plan. None of these purchases were made pursuant to a publicly announced repurchase plan and the Company does not currently have a stock repurchase plan in place.</w:t>
      </w:r>
    </w:p>
    <w:p>
      <w:pPr>
        <w:spacing w:after="0" w:line="134"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color w:val="auto"/>
        </w:rPr>
        <w:t>Submission of Matters to a Vote of Security Holders</w:t>
      </w:r>
    </w:p>
    <w:p>
      <w:pPr>
        <w:spacing w:after="0" w:line="100"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The 2008 Annual Meeting of the Shareholders of the Company was held on November 6, 2008 in Chandler, Arizona. On the record date for the annual meeting, 150,643,302 shares of common stock were outstanding and eligible to vote.</w:t>
      </w:r>
    </w:p>
    <w:p>
      <w:pPr>
        <w:spacing w:after="0" w:line="59" w:lineRule="exact"/>
        <w:rPr>
          <w:sz w:val="20"/>
          <w:szCs w:val="20"/>
          <w:color w:val="auto"/>
        </w:rPr>
      </w:pPr>
    </w:p>
    <w:p>
      <w:pPr>
        <w:ind w:left="680" w:right="1280" w:firstLine="399"/>
        <w:spacing w:after="0" w:line="276" w:lineRule="auto"/>
        <w:rPr>
          <w:sz w:val="20"/>
          <w:szCs w:val="20"/>
          <w:color w:val="auto"/>
        </w:rPr>
      </w:pPr>
      <w:r>
        <w:rPr>
          <w:rFonts w:ascii="Arial" w:cs="Arial" w:eastAsia="Arial" w:hAnsi="Arial"/>
          <w:sz w:val="13"/>
          <w:szCs w:val="13"/>
          <w:color w:val="auto"/>
        </w:rPr>
        <w:t>The shareholders of the Company were asked to vote upon (i) election of directors and (ii) ratification of the appointment of KPMG LLP as the independent registered public accounting firm for the fiscal year ending June 27, 2009.</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shareholders adopted the following proposals by the following votes, tabulated by an independent inspector of election: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8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Arial" w:cs="Arial" w:eastAsia="Arial" w:hAnsi="Arial"/>
                <w:sz w:val="13"/>
                <w:szCs w:val="13"/>
                <w:b w:val="1"/>
                <w:bCs w:val="1"/>
                <w:color w:val="auto"/>
              </w:rPr>
              <w:t>Election of Directors</w:t>
            </w:r>
          </w:p>
        </w:tc>
        <w:tc>
          <w:tcPr>
            <w:tcW w:w="3840" w:type="dxa"/>
            <w:vAlign w:val="bottom"/>
          </w:tcPr>
          <w:p>
            <w:pPr>
              <w:spacing w:after="0"/>
              <w:rPr>
                <w:sz w:val="15"/>
                <w:szCs w:val="15"/>
                <w:color w:val="auto"/>
              </w:rPr>
            </w:pPr>
          </w:p>
        </w:tc>
        <w:tc>
          <w:tcPr>
            <w:tcW w:w="2300" w:type="dxa"/>
            <w:vAlign w:val="bottom"/>
            <w:gridSpan w:val="2"/>
          </w:tcPr>
          <w:p>
            <w:pPr>
              <w:ind w:left="360"/>
              <w:spacing w:after="0"/>
              <w:rPr>
                <w:sz w:val="20"/>
                <w:szCs w:val="20"/>
                <w:color w:val="auto"/>
              </w:rPr>
            </w:pPr>
            <w:r>
              <w:rPr>
                <w:rFonts w:ascii="Arial" w:cs="Arial" w:eastAsia="Arial" w:hAnsi="Arial"/>
                <w:sz w:val="13"/>
                <w:szCs w:val="13"/>
                <w:b w:val="1"/>
                <w:bCs w:val="1"/>
                <w:color w:val="auto"/>
              </w:rPr>
              <w:t>For</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Withheld</w:t>
            </w:r>
          </w:p>
        </w:tc>
        <w:tc>
          <w:tcPr>
            <w:tcW w:w="800" w:type="dxa"/>
            <w:vAlign w:val="bottom"/>
          </w:tcPr>
          <w:p>
            <w:pPr>
              <w:spacing w:after="0"/>
              <w:rPr>
                <w:sz w:val="15"/>
                <w:szCs w:val="15"/>
                <w:color w:val="auto"/>
              </w:rPr>
            </w:pPr>
          </w:p>
        </w:tc>
      </w:tr>
      <w:tr>
        <w:trPr>
          <w:trHeight w:val="30"/>
        </w:trPr>
        <w:tc>
          <w:tcPr>
            <w:tcW w:w="6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138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Eleanor Baum</w:t>
            </w:r>
          </w:p>
        </w:tc>
        <w:tc>
          <w:tcPr>
            <w:tcW w:w="6140" w:type="dxa"/>
            <w:vAlign w:val="bottom"/>
            <w:gridSpan w:val="3"/>
            <w:shd w:val="clear" w:color="auto" w:fill="CCEEFF"/>
          </w:tcPr>
          <w:p>
            <w:pPr>
              <w:jc w:val="right"/>
              <w:ind w:right="1380"/>
              <w:spacing w:after="0"/>
              <w:rPr>
                <w:sz w:val="20"/>
                <w:szCs w:val="20"/>
                <w:color w:val="auto"/>
              </w:rPr>
            </w:pPr>
            <w:r>
              <w:rPr>
                <w:rFonts w:ascii="Arial" w:cs="Arial" w:eastAsia="Arial" w:hAnsi="Arial"/>
                <w:sz w:val="13"/>
                <w:szCs w:val="13"/>
                <w:color w:val="auto"/>
              </w:rPr>
              <w:t>136,415,913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736,807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tcPr>
          <w:p>
            <w:pPr>
              <w:spacing w:after="0"/>
              <w:rPr>
                <w:sz w:val="20"/>
                <w:szCs w:val="20"/>
                <w:color w:val="auto"/>
              </w:rPr>
            </w:pPr>
            <w:r>
              <w:rPr>
                <w:rFonts w:ascii="Arial" w:cs="Arial" w:eastAsia="Arial" w:hAnsi="Arial"/>
                <w:sz w:val="13"/>
                <w:szCs w:val="13"/>
                <w:color w:val="auto"/>
              </w:rPr>
              <w:t>J. Veronica Biggins</w:t>
            </w:r>
          </w:p>
        </w:tc>
        <w:tc>
          <w:tcPr>
            <w:tcW w:w="6140" w:type="dxa"/>
            <w:vAlign w:val="bottom"/>
            <w:gridSpan w:val="3"/>
          </w:tcPr>
          <w:p>
            <w:pPr>
              <w:jc w:val="right"/>
              <w:ind w:right="1380"/>
              <w:spacing w:after="0"/>
              <w:rPr>
                <w:sz w:val="20"/>
                <w:szCs w:val="20"/>
                <w:color w:val="auto"/>
              </w:rPr>
            </w:pPr>
            <w:r>
              <w:rPr>
                <w:rFonts w:ascii="Arial" w:cs="Arial" w:eastAsia="Arial" w:hAnsi="Arial"/>
                <w:sz w:val="13"/>
                <w:szCs w:val="13"/>
                <w:color w:val="auto"/>
              </w:rPr>
              <w:t>136,552,496</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600,225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Lawrence W. Clarkson</w:t>
            </w:r>
          </w:p>
        </w:tc>
        <w:tc>
          <w:tcPr>
            <w:tcW w:w="6140" w:type="dxa"/>
            <w:vAlign w:val="bottom"/>
            <w:gridSpan w:val="3"/>
            <w:shd w:val="clear" w:color="auto" w:fill="CCEEFF"/>
          </w:tcPr>
          <w:p>
            <w:pPr>
              <w:jc w:val="right"/>
              <w:ind w:right="1380"/>
              <w:spacing w:after="0"/>
              <w:rPr>
                <w:sz w:val="20"/>
                <w:szCs w:val="20"/>
                <w:color w:val="auto"/>
              </w:rPr>
            </w:pPr>
            <w:r>
              <w:rPr>
                <w:rFonts w:ascii="Arial" w:cs="Arial" w:eastAsia="Arial" w:hAnsi="Arial"/>
                <w:sz w:val="13"/>
                <w:szCs w:val="13"/>
                <w:color w:val="auto"/>
              </w:rPr>
              <w:t>137,030,187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122,533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tcPr>
          <w:p>
            <w:pPr>
              <w:spacing w:after="0"/>
              <w:rPr>
                <w:sz w:val="20"/>
                <w:szCs w:val="20"/>
                <w:color w:val="auto"/>
              </w:rPr>
            </w:pPr>
            <w:r>
              <w:rPr>
                <w:rFonts w:ascii="Arial" w:cs="Arial" w:eastAsia="Arial" w:hAnsi="Arial"/>
                <w:sz w:val="13"/>
                <w:szCs w:val="13"/>
                <w:color w:val="auto"/>
              </w:rPr>
              <w:t>Ehud Houminer</w:t>
            </w:r>
          </w:p>
        </w:tc>
        <w:tc>
          <w:tcPr>
            <w:tcW w:w="6140" w:type="dxa"/>
            <w:vAlign w:val="bottom"/>
            <w:gridSpan w:val="3"/>
          </w:tcPr>
          <w:p>
            <w:pPr>
              <w:jc w:val="right"/>
              <w:ind w:right="1380"/>
              <w:spacing w:after="0"/>
              <w:rPr>
                <w:sz w:val="20"/>
                <w:szCs w:val="20"/>
                <w:color w:val="auto"/>
              </w:rPr>
            </w:pPr>
            <w:r>
              <w:rPr>
                <w:rFonts w:ascii="Arial" w:cs="Arial" w:eastAsia="Arial" w:hAnsi="Arial"/>
                <w:sz w:val="13"/>
                <w:szCs w:val="13"/>
                <w:color w:val="auto"/>
              </w:rPr>
              <w:t>136,410,671</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742,049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Frank R. Noonan</w:t>
            </w:r>
          </w:p>
        </w:tc>
        <w:tc>
          <w:tcPr>
            <w:tcW w:w="6140" w:type="dxa"/>
            <w:vAlign w:val="bottom"/>
            <w:gridSpan w:val="3"/>
            <w:shd w:val="clear" w:color="auto" w:fill="CCEEFF"/>
          </w:tcPr>
          <w:p>
            <w:pPr>
              <w:jc w:val="right"/>
              <w:ind w:right="1380"/>
              <w:spacing w:after="0"/>
              <w:rPr>
                <w:sz w:val="20"/>
                <w:szCs w:val="20"/>
                <w:color w:val="auto"/>
              </w:rPr>
            </w:pPr>
            <w:r>
              <w:rPr>
                <w:rFonts w:ascii="Arial" w:cs="Arial" w:eastAsia="Arial" w:hAnsi="Arial"/>
                <w:sz w:val="13"/>
                <w:szCs w:val="13"/>
                <w:color w:val="auto"/>
              </w:rPr>
              <w:t>136,885,622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267,098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tcPr>
          <w:p>
            <w:pPr>
              <w:spacing w:after="0"/>
              <w:rPr>
                <w:sz w:val="20"/>
                <w:szCs w:val="20"/>
                <w:color w:val="auto"/>
              </w:rPr>
            </w:pPr>
            <w:r>
              <w:rPr>
                <w:rFonts w:ascii="Arial" w:cs="Arial" w:eastAsia="Arial" w:hAnsi="Arial"/>
                <w:sz w:val="13"/>
                <w:szCs w:val="13"/>
                <w:color w:val="auto"/>
              </w:rPr>
              <w:t>Ray M. Robinson</w:t>
            </w:r>
          </w:p>
        </w:tc>
        <w:tc>
          <w:tcPr>
            <w:tcW w:w="6140" w:type="dxa"/>
            <w:vAlign w:val="bottom"/>
            <w:gridSpan w:val="3"/>
          </w:tcPr>
          <w:p>
            <w:pPr>
              <w:jc w:val="right"/>
              <w:ind w:right="1380"/>
              <w:spacing w:after="0"/>
              <w:rPr>
                <w:sz w:val="20"/>
                <w:szCs w:val="20"/>
                <w:color w:val="auto"/>
              </w:rPr>
            </w:pPr>
            <w:r>
              <w:rPr>
                <w:rFonts w:ascii="Arial" w:cs="Arial" w:eastAsia="Arial" w:hAnsi="Arial"/>
                <w:sz w:val="13"/>
                <w:szCs w:val="13"/>
                <w:color w:val="auto"/>
              </w:rPr>
              <w:t>133,252,856</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3,899,864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William P. Sullivan</w:t>
            </w:r>
          </w:p>
        </w:tc>
        <w:tc>
          <w:tcPr>
            <w:tcW w:w="6140" w:type="dxa"/>
            <w:vAlign w:val="bottom"/>
            <w:gridSpan w:val="3"/>
            <w:shd w:val="clear" w:color="auto" w:fill="CCEEFF"/>
          </w:tcPr>
          <w:p>
            <w:pPr>
              <w:jc w:val="right"/>
              <w:ind w:right="1380"/>
              <w:spacing w:after="0"/>
              <w:rPr>
                <w:sz w:val="20"/>
                <w:szCs w:val="20"/>
                <w:color w:val="auto"/>
              </w:rPr>
            </w:pPr>
            <w:r>
              <w:rPr>
                <w:rFonts w:ascii="Arial" w:cs="Arial" w:eastAsia="Arial" w:hAnsi="Arial"/>
                <w:sz w:val="13"/>
                <w:szCs w:val="13"/>
                <w:color w:val="auto"/>
              </w:rPr>
              <w:t>136,150,213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1,002,507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tcPr>
          <w:p>
            <w:pPr>
              <w:spacing w:after="0"/>
              <w:rPr>
                <w:sz w:val="20"/>
                <w:szCs w:val="20"/>
                <w:color w:val="auto"/>
              </w:rPr>
            </w:pPr>
            <w:r>
              <w:rPr>
                <w:rFonts w:ascii="Arial" w:cs="Arial" w:eastAsia="Arial" w:hAnsi="Arial"/>
                <w:sz w:val="13"/>
                <w:szCs w:val="13"/>
                <w:color w:val="auto"/>
              </w:rPr>
              <w:t>Gary L. Tooker</w:t>
            </w:r>
          </w:p>
        </w:tc>
        <w:tc>
          <w:tcPr>
            <w:tcW w:w="6140" w:type="dxa"/>
            <w:vAlign w:val="bottom"/>
            <w:gridSpan w:val="3"/>
          </w:tcPr>
          <w:p>
            <w:pPr>
              <w:jc w:val="right"/>
              <w:ind w:right="1380"/>
              <w:spacing w:after="0"/>
              <w:rPr>
                <w:sz w:val="20"/>
                <w:szCs w:val="20"/>
                <w:color w:val="auto"/>
              </w:rPr>
            </w:pPr>
            <w:r>
              <w:rPr>
                <w:rFonts w:ascii="Arial" w:cs="Arial" w:eastAsia="Arial" w:hAnsi="Arial"/>
                <w:sz w:val="13"/>
                <w:szCs w:val="13"/>
                <w:color w:val="auto"/>
              </w:rPr>
              <w:t>136,895,643</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257,077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Roy Vallee</w:t>
            </w:r>
          </w:p>
        </w:tc>
        <w:tc>
          <w:tcPr>
            <w:tcW w:w="6140" w:type="dxa"/>
            <w:vAlign w:val="bottom"/>
            <w:gridSpan w:val="3"/>
            <w:shd w:val="clear" w:color="auto" w:fill="CCEEFF"/>
          </w:tcPr>
          <w:p>
            <w:pPr>
              <w:jc w:val="right"/>
              <w:ind w:right="1380"/>
              <w:spacing w:after="0"/>
              <w:rPr>
                <w:sz w:val="20"/>
                <w:szCs w:val="20"/>
                <w:color w:val="auto"/>
              </w:rPr>
            </w:pPr>
            <w:r>
              <w:rPr>
                <w:rFonts w:ascii="Arial" w:cs="Arial" w:eastAsia="Arial" w:hAnsi="Arial"/>
                <w:sz w:val="13"/>
                <w:szCs w:val="13"/>
                <w:color w:val="auto"/>
              </w:rPr>
              <w:t>135,721,484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1,431,236</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840" w:type="dxa"/>
            <w:vAlign w:val="bottom"/>
          </w:tcPr>
          <w:p>
            <w:pPr>
              <w:jc w:val="right"/>
              <w:ind w:right="1774"/>
              <w:spacing w:after="0"/>
              <w:rPr>
                <w:sz w:val="20"/>
                <w:szCs w:val="20"/>
                <w:color w:val="auto"/>
              </w:rPr>
            </w:pPr>
            <w:r>
              <w:rPr>
                <w:rFonts w:ascii="Arial" w:cs="Arial" w:eastAsia="Arial" w:hAnsi="Arial"/>
                <w:sz w:val="13"/>
                <w:szCs w:val="13"/>
                <w:color w:val="auto"/>
              </w:rPr>
              <w:t>29</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980" w:type="dxa"/>
            <w:vAlign w:val="bottom"/>
            <w:tcBorders>
              <w:bottom w:val="single" w:sz="8" w:color="808080"/>
            </w:tcBorders>
          </w:tcPr>
          <w:p>
            <w:pPr>
              <w:spacing w:after="0"/>
              <w:rPr>
                <w:sz w:val="14"/>
                <w:szCs w:val="14"/>
                <w:color w:val="auto"/>
              </w:rPr>
            </w:pPr>
          </w:p>
        </w:tc>
        <w:tc>
          <w:tcPr>
            <w:tcW w:w="384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138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3">
              <w:r>
                <w:rPr>
                  <w:rFonts w:ascii="Arial" w:cs="Arial" w:eastAsia="Arial" w:hAnsi="Arial"/>
                  <w:sz w:val="13"/>
                  <w:szCs w:val="13"/>
                  <w:b w:val="1"/>
                  <w:bCs w:val="1"/>
                  <w:color w:val="0000EE"/>
                  <w:w w:val="87"/>
                </w:rPr>
                <w:t>Table of Contents</w:t>
              </w:r>
            </w:hyperlink>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0"/>
        </w:trPr>
        <w:tc>
          <w:tcPr>
            <w:tcW w:w="680" w:type="dxa"/>
            <w:vAlign w:val="bottom"/>
          </w:tcPr>
          <w:p>
            <w:pPr>
              <w:spacing w:after="0"/>
              <w:rPr>
                <w:sz w:val="24"/>
                <w:szCs w:val="24"/>
                <w:color w:val="auto"/>
              </w:rPr>
            </w:pPr>
          </w:p>
        </w:tc>
        <w:tc>
          <w:tcPr>
            <w:tcW w:w="7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Matter</w:t>
            </w:r>
          </w:p>
        </w:tc>
        <w:tc>
          <w:tcPr>
            <w:tcW w:w="1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Broker</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3"/>
          </w:tcPr>
          <w:p>
            <w:pPr>
              <w:ind w:left="160"/>
              <w:spacing w:after="0"/>
              <w:rPr>
                <w:sz w:val="20"/>
                <w:szCs w:val="20"/>
                <w:color w:val="auto"/>
              </w:rPr>
            </w:pPr>
            <w:r>
              <w:rPr>
                <w:rFonts w:ascii="Arial" w:cs="Arial" w:eastAsia="Arial" w:hAnsi="Arial"/>
                <w:sz w:val="13"/>
                <w:szCs w:val="13"/>
                <w:b w:val="1"/>
                <w:bCs w:val="1"/>
                <w:color w:val="auto"/>
              </w:rPr>
              <w:t>For</w:t>
            </w:r>
          </w:p>
        </w:tc>
        <w:tc>
          <w:tcPr>
            <w:tcW w:w="940" w:type="dxa"/>
            <w:vAlign w:val="bottom"/>
            <w:gridSpan w:val="2"/>
          </w:tcPr>
          <w:p>
            <w:pPr>
              <w:ind w:left="40"/>
              <w:spacing w:after="0"/>
              <w:rPr>
                <w:sz w:val="20"/>
                <w:szCs w:val="20"/>
                <w:color w:val="auto"/>
              </w:rPr>
            </w:pPr>
            <w:r>
              <w:rPr>
                <w:rFonts w:ascii="Arial" w:cs="Arial" w:eastAsia="Arial" w:hAnsi="Arial"/>
                <w:sz w:val="13"/>
                <w:szCs w:val="13"/>
                <w:b w:val="1"/>
                <w:bCs w:val="1"/>
                <w:color w:val="auto"/>
              </w:rPr>
              <w:t>Against</w:t>
            </w:r>
          </w:p>
        </w:tc>
        <w:tc>
          <w:tcPr>
            <w:tcW w:w="980" w:type="dxa"/>
            <w:vAlign w:val="bottom"/>
            <w:gridSpan w:val="2"/>
          </w:tcPr>
          <w:p>
            <w:pPr>
              <w:ind w:left="80"/>
              <w:spacing w:after="0"/>
              <w:rPr>
                <w:sz w:val="20"/>
                <w:szCs w:val="20"/>
                <w:color w:val="auto"/>
              </w:rPr>
            </w:pPr>
            <w:r>
              <w:rPr>
                <w:rFonts w:ascii="Arial" w:cs="Arial" w:eastAsia="Arial" w:hAnsi="Arial"/>
                <w:sz w:val="13"/>
                <w:szCs w:val="13"/>
                <w:b w:val="1"/>
                <w:bCs w:val="1"/>
                <w:color w:val="auto"/>
              </w:rPr>
              <w:t>Abstain</w:t>
            </w:r>
          </w:p>
        </w:tc>
        <w:tc>
          <w:tcPr>
            <w:tcW w:w="9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Non-Votes</w:t>
            </w:r>
          </w:p>
        </w:tc>
        <w:tc>
          <w:tcPr>
            <w:tcW w:w="0" w:type="dxa"/>
            <w:vAlign w:val="bottom"/>
          </w:tcPr>
          <w:p>
            <w:pPr>
              <w:spacing w:after="0"/>
              <w:rPr>
                <w:sz w:val="1"/>
                <w:szCs w:val="1"/>
                <w:color w:val="auto"/>
              </w:rPr>
            </w:pPr>
          </w:p>
        </w:tc>
      </w:tr>
      <w:tr>
        <w:trPr>
          <w:trHeight w:val="30"/>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80" w:type="dxa"/>
            <w:vAlign w:val="bottom"/>
          </w:tcPr>
          <w:p>
            <w:pPr>
              <w:spacing w:after="0"/>
              <w:rPr>
                <w:sz w:val="12"/>
                <w:szCs w:val="12"/>
                <w:color w:val="auto"/>
              </w:rPr>
            </w:pPr>
          </w:p>
        </w:tc>
        <w:tc>
          <w:tcPr>
            <w:tcW w:w="5960" w:type="dxa"/>
            <w:vAlign w:val="bottom"/>
            <w:gridSpan w:val="7"/>
            <w:shd w:val="clear" w:color="auto" w:fill="CCEEFF"/>
          </w:tcPr>
          <w:p>
            <w:pPr>
              <w:spacing w:after="0" w:line="149" w:lineRule="exact"/>
              <w:rPr>
                <w:sz w:val="20"/>
                <w:szCs w:val="20"/>
                <w:color w:val="auto"/>
              </w:rPr>
            </w:pPr>
            <w:r>
              <w:rPr>
                <w:rFonts w:ascii="Arial" w:cs="Arial" w:eastAsia="Arial" w:hAnsi="Arial"/>
                <w:sz w:val="13"/>
                <w:szCs w:val="13"/>
                <w:color w:val="auto"/>
              </w:rPr>
              <w:t>Ratification of the appointment of KPMG LLP as independent public accounting firm for the fiscal year</w:t>
            </w: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5960" w:type="dxa"/>
            <w:vAlign w:val="bottom"/>
            <w:gridSpan w:val="7"/>
            <w:shd w:val="clear" w:color="auto" w:fill="CCEEFF"/>
          </w:tcPr>
          <w:p>
            <w:pPr>
              <w:ind w:left="140"/>
              <w:spacing w:after="0"/>
              <w:rPr>
                <w:sz w:val="20"/>
                <w:szCs w:val="20"/>
                <w:color w:val="auto"/>
              </w:rPr>
            </w:pPr>
            <w:r>
              <w:rPr>
                <w:rFonts w:ascii="Arial" w:cs="Arial" w:eastAsia="Arial" w:hAnsi="Arial"/>
                <w:sz w:val="13"/>
                <w:szCs w:val="13"/>
                <w:color w:val="auto"/>
              </w:rPr>
              <w:t>ending June 27, 2009.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136,246,018</w:t>
            </w:r>
          </w:p>
        </w:tc>
        <w:tc>
          <w:tcPr>
            <w:tcW w:w="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894,477</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12,225</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62"/>
        </w:trPr>
        <w:tc>
          <w:tcPr>
            <w:tcW w:w="68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Item 6.</w:t>
            </w:r>
          </w:p>
        </w:tc>
        <w:tc>
          <w:tcPr>
            <w:tcW w:w="5220" w:type="dxa"/>
            <w:vAlign w:val="bottom"/>
            <w:gridSpan w:val="5"/>
          </w:tcPr>
          <w:p>
            <w:pPr>
              <w:ind w:left="80"/>
              <w:spacing w:after="0"/>
              <w:rPr>
                <w:sz w:val="20"/>
                <w:szCs w:val="20"/>
                <w:color w:val="auto"/>
              </w:rPr>
            </w:pPr>
            <w:r>
              <w:rPr>
                <w:rFonts w:ascii="Arial" w:cs="Arial" w:eastAsia="Arial" w:hAnsi="Arial"/>
                <w:sz w:val="13"/>
                <w:szCs w:val="13"/>
                <w:b w:val="1"/>
                <w:bCs w:val="1"/>
                <w:i w:val="1"/>
                <w:iCs w:val="1"/>
                <w:color w:val="auto"/>
              </w:rPr>
              <w:t>Exhibits</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80" w:type="dxa"/>
            <w:vAlign w:val="bottom"/>
          </w:tcPr>
          <w:p>
            <w:pPr>
              <w:spacing w:after="0"/>
              <w:rPr>
                <w:sz w:val="21"/>
                <w:szCs w:val="21"/>
                <w:color w:val="auto"/>
              </w:rPr>
            </w:pPr>
          </w:p>
        </w:tc>
        <w:tc>
          <w:tcPr>
            <w:tcW w:w="740" w:type="dxa"/>
            <w:vAlign w:val="bottom"/>
            <w:gridSpan w:val="2"/>
          </w:tcPr>
          <w:p>
            <w:pPr>
              <w:ind w:left="160"/>
              <w:spacing w:after="0"/>
              <w:rPr>
                <w:sz w:val="20"/>
                <w:szCs w:val="20"/>
                <w:color w:val="auto"/>
              </w:rPr>
            </w:pPr>
            <w:r>
              <w:rPr>
                <w:rFonts w:ascii="Arial" w:cs="Arial" w:eastAsia="Arial" w:hAnsi="Arial"/>
                <w:sz w:val="13"/>
                <w:szCs w:val="13"/>
                <w:b w:val="1"/>
                <w:bCs w:val="1"/>
                <w:color w:val="auto"/>
              </w:rPr>
              <w:t>Exhibit</w:t>
            </w:r>
          </w:p>
        </w:tc>
        <w:tc>
          <w:tcPr>
            <w:tcW w:w="18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b w:val="1"/>
                <w:bCs w:val="1"/>
                <w:color w:val="auto"/>
              </w:rPr>
              <w:t>Number</w:t>
            </w:r>
          </w:p>
        </w:tc>
        <w:tc>
          <w:tcPr>
            <w:tcW w:w="4540" w:type="dxa"/>
            <w:vAlign w:val="bottom"/>
          </w:tcPr>
          <w:p>
            <w:pPr>
              <w:spacing w:after="0"/>
              <w:rPr>
                <w:sz w:val="15"/>
                <w:szCs w:val="15"/>
                <w:color w:val="auto"/>
              </w:rPr>
            </w:pPr>
          </w:p>
        </w:tc>
        <w:tc>
          <w:tcPr>
            <w:tcW w:w="500" w:type="dxa"/>
            <w:vAlign w:val="bottom"/>
            <w:gridSpan w:val="3"/>
          </w:tcPr>
          <w:p>
            <w:pPr>
              <w:spacing w:after="0"/>
              <w:rPr>
                <w:sz w:val="20"/>
                <w:szCs w:val="20"/>
                <w:color w:val="auto"/>
              </w:rPr>
            </w:pPr>
            <w:r>
              <w:rPr>
                <w:rFonts w:ascii="Arial" w:cs="Arial" w:eastAsia="Arial" w:hAnsi="Arial"/>
                <w:sz w:val="13"/>
                <w:szCs w:val="13"/>
                <w:b w:val="1"/>
                <w:bCs w:val="1"/>
                <w:color w:val="auto"/>
              </w:rPr>
              <w:t>Exhibit</w:t>
            </w: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20" w:type="dxa"/>
            <w:vAlign w:val="bottom"/>
            <w:gridSpan w:val="3"/>
          </w:tcPr>
          <w:p>
            <w:pPr>
              <w:ind w:left="980"/>
              <w:spacing w:after="0"/>
              <w:rPr>
                <w:sz w:val="20"/>
                <w:szCs w:val="20"/>
                <w:color w:val="auto"/>
              </w:rPr>
            </w:pPr>
            <w:r>
              <w:rPr>
                <w:rFonts w:ascii="Arial" w:cs="Arial" w:eastAsia="Arial" w:hAnsi="Arial"/>
                <w:sz w:val="13"/>
                <w:szCs w:val="13"/>
                <w:color w:val="auto"/>
              </w:rPr>
              <w:t>31.1*</w:t>
            </w:r>
          </w:p>
        </w:tc>
        <w:tc>
          <w:tcPr>
            <w:tcW w:w="180" w:type="dxa"/>
            <w:vAlign w:val="bottom"/>
          </w:tcPr>
          <w:p>
            <w:pPr>
              <w:spacing w:after="0"/>
              <w:rPr>
                <w:sz w:val="15"/>
                <w:szCs w:val="15"/>
                <w:color w:val="auto"/>
              </w:rPr>
            </w:pPr>
          </w:p>
        </w:tc>
        <w:tc>
          <w:tcPr>
            <w:tcW w:w="6240" w:type="dxa"/>
            <w:vAlign w:val="bottom"/>
            <w:gridSpan w:val="7"/>
          </w:tcPr>
          <w:p>
            <w:pPr>
              <w:ind w:left="100"/>
              <w:spacing w:after="0"/>
              <w:rPr>
                <w:sz w:val="20"/>
                <w:szCs w:val="20"/>
                <w:color w:val="auto"/>
              </w:rPr>
            </w:pPr>
            <w:r>
              <w:rPr>
                <w:rFonts w:ascii="Arial" w:cs="Arial" w:eastAsia="Arial" w:hAnsi="Arial"/>
                <w:sz w:val="13"/>
                <w:szCs w:val="13"/>
                <w:color w:val="auto"/>
              </w:rPr>
              <w:t>Certification by Roy Vallee, Chief Executive Officer, under Section 302 of the Sarbanes-Oxley Act of 2002.</w:t>
            </w: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420" w:type="dxa"/>
            <w:vAlign w:val="bottom"/>
            <w:gridSpan w:val="3"/>
          </w:tcPr>
          <w:p>
            <w:pPr>
              <w:ind w:left="980"/>
              <w:spacing w:after="0"/>
              <w:rPr>
                <w:sz w:val="20"/>
                <w:szCs w:val="20"/>
                <w:color w:val="auto"/>
              </w:rPr>
            </w:pPr>
            <w:r>
              <w:rPr>
                <w:rFonts w:ascii="Arial" w:cs="Arial" w:eastAsia="Arial" w:hAnsi="Arial"/>
                <w:sz w:val="13"/>
                <w:szCs w:val="13"/>
                <w:color w:val="auto"/>
              </w:rPr>
              <w:t>31.2*</w:t>
            </w:r>
          </w:p>
        </w:tc>
        <w:tc>
          <w:tcPr>
            <w:tcW w:w="180" w:type="dxa"/>
            <w:vAlign w:val="bottom"/>
          </w:tcPr>
          <w:p>
            <w:pPr>
              <w:spacing w:after="0"/>
              <w:rPr>
                <w:sz w:val="13"/>
                <w:szCs w:val="13"/>
                <w:color w:val="auto"/>
              </w:rPr>
            </w:pPr>
          </w:p>
        </w:tc>
        <w:tc>
          <w:tcPr>
            <w:tcW w:w="6240" w:type="dxa"/>
            <w:vAlign w:val="bottom"/>
            <w:gridSpan w:val="7"/>
          </w:tcPr>
          <w:p>
            <w:pPr>
              <w:ind w:left="100"/>
              <w:spacing w:after="0"/>
              <w:rPr>
                <w:sz w:val="20"/>
                <w:szCs w:val="20"/>
                <w:color w:val="auto"/>
              </w:rPr>
            </w:pPr>
            <w:r>
              <w:rPr>
                <w:rFonts w:ascii="Arial" w:cs="Arial" w:eastAsia="Arial" w:hAnsi="Arial"/>
                <w:sz w:val="13"/>
                <w:szCs w:val="13"/>
                <w:color w:val="auto"/>
                <w:w w:val="92"/>
              </w:rPr>
              <w:t>Certification by Raymond Sadowski, Chief Financial Officer, under Section 302 of the Sarbanes-Oxley Act of 2002.</w:t>
            </w: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420" w:type="dxa"/>
            <w:vAlign w:val="bottom"/>
            <w:gridSpan w:val="3"/>
          </w:tcPr>
          <w:p>
            <w:pPr>
              <w:ind w:left="980"/>
              <w:spacing w:after="0"/>
              <w:rPr>
                <w:sz w:val="20"/>
                <w:szCs w:val="20"/>
                <w:color w:val="auto"/>
              </w:rPr>
            </w:pPr>
            <w:r>
              <w:rPr>
                <w:rFonts w:ascii="Arial" w:cs="Arial" w:eastAsia="Arial" w:hAnsi="Arial"/>
                <w:sz w:val="13"/>
                <w:szCs w:val="13"/>
                <w:color w:val="auto"/>
              </w:rPr>
              <w:t>32.1**</w:t>
            </w:r>
          </w:p>
        </w:tc>
        <w:tc>
          <w:tcPr>
            <w:tcW w:w="180" w:type="dxa"/>
            <w:vAlign w:val="bottom"/>
          </w:tcPr>
          <w:p>
            <w:pPr>
              <w:spacing w:after="0"/>
              <w:rPr>
                <w:sz w:val="13"/>
                <w:szCs w:val="13"/>
                <w:color w:val="auto"/>
              </w:rPr>
            </w:pPr>
          </w:p>
        </w:tc>
        <w:tc>
          <w:tcPr>
            <w:tcW w:w="6240" w:type="dxa"/>
            <w:vAlign w:val="bottom"/>
            <w:gridSpan w:val="7"/>
          </w:tcPr>
          <w:p>
            <w:pPr>
              <w:ind w:left="100"/>
              <w:spacing w:after="0"/>
              <w:rPr>
                <w:sz w:val="20"/>
                <w:szCs w:val="20"/>
                <w:color w:val="auto"/>
              </w:rPr>
            </w:pPr>
            <w:r>
              <w:rPr>
                <w:rFonts w:ascii="Arial" w:cs="Arial" w:eastAsia="Arial" w:hAnsi="Arial"/>
                <w:sz w:val="13"/>
                <w:szCs w:val="13"/>
                <w:color w:val="auto"/>
              </w:rPr>
              <w:t>Certification by Roy Vallee, Chief Executive Officer, under Section 906 of the Sarbanes-Oxley Act of 2002.</w:t>
            </w: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420" w:type="dxa"/>
            <w:vAlign w:val="bottom"/>
            <w:gridSpan w:val="3"/>
          </w:tcPr>
          <w:p>
            <w:pPr>
              <w:ind w:left="980"/>
              <w:spacing w:after="0"/>
              <w:rPr>
                <w:sz w:val="20"/>
                <w:szCs w:val="20"/>
                <w:color w:val="auto"/>
              </w:rPr>
            </w:pPr>
            <w:r>
              <w:rPr>
                <w:rFonts w:ascii="Arial" w:cs="Arial" w:eastAsia="Arial" w:hAnsi="Arial"/>
                <w:sz w:val="13"/>
                <w:szCs w:val="13"/>
                <w:color w:val="auto"/>
              </w:rPr>
              <w:t>32.2**</w:t>
            </w:r>
          </w:p>
        </w:tc>
        <w:tc>
          <w:tcPr>
            <w:tcW w:w="180" w:type="dxa"/>
            <w:vAlign w:val="bottom"/>
          </w:tcPr>
          <w:p>
            <w:pPr>
              <w:spacing w:after="0"/>
              <w:rPr>
                <w:sz w:val="14"/>
                <w:szCs w:val="14"/>
                <w:color w:val="auto"/>
              </w:rPr>
            </w:pPr>
          </w:p>
        </w:tc>
        <w:tc>
          <w:tcPr>
            <w:tcW w:w="6240" w:type="dxa"/>
            <w:vAlign w:val="bottom"/>
            <w:gridSpan w:val="7"/>
          </w:tcPr>
          <w:p>
            <w:pPr>
              <w:ind w:left="100"/>
              <w:spacing w:after="0"/>
              <w:rPr>
                <w:sz w:val="20"/>
                <w:szCs w:val="20"/>
                <w:color w:val="auto"/>
              </w:rPr>
            </w:pPr>
            <w:r>
              <w:rPr>
                <w:rFonts w:ascii="Arial" w:cs="Arial" w:eastAsia="Arial" w:hAnsi="Arial"/>
                <w:sz w:val="13"/>
                <w:szCs w:val="13"/>
                <w:color w:val="auto"/>
                <w:w w:val="92"/>
              </w:rPr>
              <w:t>Certification by Raymond Sadowski, Chief Financial Officer, under Section 906 of the Sarbanes-Oxley Act of 2002.</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-1159510</wp:posOffset>
            </wp:positionV>
            <wp:extent cx="3746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7465" cy="6350"/>
                    </a:xfrm>
                    <a:prstGeom prst="rect">
                      <a:avLst/>
                    </a:prstGeom>
                    <a:noFill/>
                  </pic:spPr>
                </pic:pic>
              </a:graphicData>
            </a:graphic>
          </wp:anchor>
        </w:drawing>
        <w:drawing>
          <wp:anchor simplePos="0" relativeHeight="251657728" behindDoc="1" locked="0" layoutInCell="0" allowOverlap="1">
            <wp:simplePos x="0" y="0"/>
            <wp:positionH relativeFrom="column">
              <wp:posOffset>661035</wp:posOffset>
            </wp:positionH>
            <wp:positionV relativeFrom="paragraph">
              <wp:posOffset>-429260</wp:posOffset>
            </wp:positionV>
            <wp:extent cx="635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30" w:lineRule="exact"/>
        <w:rPr>
          <w:sz w:val="20"/>
          <w:szCs w:val="20"/>
          <w:color w:val="auto"/>
        </w:rPr>
      </w:pPr>
    </w:p>
    <w:p>
      <w:pPr>
        <w:ind w:left="1000" w:hanging="313"/>
        <w:spacing w:after="0"/>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sz w:val="20"/>
          <w:szCs w:val="20"/>
          <w:color w:val="auto"/>
        </w:rPr>
      </w:pPr>
    </w:p>
    <w:p>
      <w:pPr>
        <w:ind w:left="1000" w:hanging="313"/>
        <w:spacing w:after="0"/>
        <w:tabs>
          <w:tab w:leader="none" w:pos="10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SIGNATURE</w:t>
      </w:r>
    </w:p>
    <w:p>
      <w:pPr>
        <w:spacing w:after="0" w:line="100" w:lineRule="exact"/>
        <w:rPr>
          <w:sz w:val="20"/>
          <w:szCs w:val="20"/>
          <w:color w:val="auto"/>
        </w:rPr>
      </w:pPr>
    </w:p>
    <w:p>
      <w:pPr>
        <w:ind w:left="680" w:right="179"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AVNET, INC.</w:t>
      </w:r>
    </w:p>
    <w:p>
      <w:pPr>
        <w:spacing w:after="0" w:line="1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(Registrant)</w:t>
      </w:r>
    </w:p>
    <w:p>
      <w:pPr>
        <w:spacing w:after="0" w:line="325" w:lineRule="exact"/>
        <w:rPr>
          <w:sz w:val="20"/>
          <w:szCs w:val="20"/>
          <w:color w:val="auto"/>
        </w:rPr>
      </w:pPr>
    </w:p>
    <w:p>
      <w:pPr>
        <w:ind w:left="5580"/>
        <w:spacing w:after="0"/>
        <w:tabs>
          <w:tab w:leader="none" w:pos="75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jc w:val="center"/>
        <w:ind w:left="5180"/>
        <w:spacing w:after="0"/>
        <w:rPr>
          <w:sz w:val="20"/>
          <w:szCs w:val="20"/>
          <w:color w:val="auto"/>
        </w:rPr>
      </w:pPr>
      <w:r>
        <w:rPr>
          <w:rFonts w:ascii="Arial" w:cs="Arial" w:eastAsia="Arial" w:hAnsi="Arial"/>
          <w:sz w:val="13"/>
          <w:szCs w:val="13"/>
          <w:color w:val="auto"/>
        </w:rPr>
        <w:t>S</w:t>
      </w:r>
      <w:r>
        <w:rPr>
          <w:rFonts w:ascii="Arial" w:cs="Arial" w:eastAsia="Arial" w:hAnsi="Arial"/>
          <w:sz w:val="13"/>
          <w:szCs w:val="13"/>
          <w:i w:val="1"/>
          <w:iCs w:val="1"/>
          <w:color w:val="auto"/>
        </w:rPr>
        <w:t>enior Vice President and</w:t>
      </w:r>
    </w:p>
    <w:p>
      <w:pPr>
        <w:spacing w:after="0" w:line="8" w:lineRule="exact"/>
        <w:rPr>
          <w:sz w:val="20"/>
          <w:szCs w:val="20"/>
          <w:color w:val="auto"/>
        </w:rPr>
      </w:pPr>
    </w:p>
    <w:p>
      <w:pPr>
        <w:jc w:val="center"/>
        <w:ind w:left="5180"/>
        <w:spacing w:after="0"/>
        <w:rPr>
          <w:sz w:val="20"/>
          <w:szCs w:val="20"/>
          <w:color w:val="auto"/>
        </w:rPr>
      </w:pPr>
      <w:r>
        <w:rPr>
          <w:rFonts w:ascii="Arial" w:cs="Arial" w:eastAsia="Arial" w:hAnsi="Arial"/>
          <w:sz w:val="13"/>
          <w:szCs w:val="13"/>
          <w:i w:val="1"/>
          <w:iCs w:val="1"/>
          <w:color w:val="auto"/>
        </w:rPr>
        <w:t>Chief Financial Officer</w:t>
      </w:r>
    </w:p>
    <w:p>
      <w:pPr>
        <w:spacing w:after="0" w:line="200" w:lineRule="exact"/>
        <w:rPr>
          <w:sz w:val="20"/>
          <w:szCs w:val="20"/>
          <w:color w:val="auto"/>
        </w:rPr>
      </w:pPr>
    </w:p>
    <w:p>
      <w:pPr>
        <w:spacing w:after="0" w:line="28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Date: February 10, 2009</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3"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49"/>
        </w:trPr>
        <w:tc>
          <w:tcPr>
            <w:tcW w:w="1620" w:type="dxa"/>
            <w:vAlign w:val="bottom"/>
            <w:gridSpan w:val="2"/>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6200" w:type="dxa"/>
            <w:vAlign w:val="bottom"/>
          </w:tcPr>
          <w:p>
            <w:pPr>
              <w:spacing w:after="0"/>
              <w:rPr>
                <w:sz w:val="13"/>
                <w:szCs w:val="13"/>
                <w:color w:val="auto"/>
              </w:rPr>
            </w:pPr>
          </w:p>
        </w:tc>
      </w:tr>
      <w:tr>
        <w:trPr>
          <w:trHeight w:val="382"/>
        </w:trPr>
        <w:tc>
          <w:tcPr>
            <w:tcW w:w="98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6200" w:type="dxa"/>
            <w:vAlign w:val="bottom"/>
          </w:tcPr>
          <w:p>
            <w:pPr>
              <w:ind w:left="3680"/>
              <w:spacing w:after="0"/>
              <w:rPr>
                <w:sz w:val="20"/>
                <w:szCs w:val="20"/>
                <w:color w:val="auto"/>
              </w:rPr>
            </w:pPr>
            <w:r>
              <w:rPr>
                <w:rFonts w:ascii="Arial" w:cs="Arial" w:eastAsia="Arial" w:hAnsi="Arial"/>
                <w:sz w:val="13"/>
                <w:szCs w:val="13"/>
                <w:b w:val="1"/>
                <w:bCs w:val="1"/>
                <w:color w:val="auto"/>
              </w:rPr>
              <w:t>Exhibit Index</w:t>
            </w:r>
          </w:p>
        </w:tc>
      </w:tr>
      <w:tr>
        <w:trPr>
          <w:trHeight w:val="323"/>
        </w:trPr>
        <w:tc>
          <w:tcPr>
            <w:tcW w:w="1620" w:type="dxa"/>
            <w:vAlign w:val="bottom"/>
            <w:gridSpan w:val="2"/>
          </w:tcPr>
          <w:p>
            <w:pPr>
              <w:ind w:left="840"/>
              <w:spacing w:after="0"/>
              <w:rPr>
                <w:sz w:val="20"/>
                <w:szCs w:val="20"/>
                <w:color w:val="auto"/>
              </w:rPr>
            </w:pPr>
            <w:r>
              <w:rPr>
                <w:rFonts w:ascii="Arial" w:cs="Arial" w:eastAsia="Arial" w:hAnsi="Arial"/>
                <w:sz w:val="13"/>
                <w:szCs w:val="13"/>
                <w:b w:val="1"/>
                <w:bCs w:val="1"/>
                <w:color w:val="auto"/>
              </w:rPr>
              <w:t>Exhibit</w:t>
            </w:r>
          </w:p>
        </w:tc>
        <w:tc>
          <w:tcPr>
            <w:tcW w:w="6200" w:type="dxa"/>
            <w:vAlign w:val="bottom"/>
          </w:tcPr>
          <w:p>
            <w:pPr>
              <w:spacing w:after="0"/>
              <w:rPr>
                <w:sz w:val="24"/>
                <w:szCs w:val="24"/>
                <w:color w:val="auto"/>
              </w:rPr>
            </w:pPr>
          </w:p>
        </w:tc>
      </w:tr>
      <w:tr>
        <w:trPr>
          <w:trHeight w:val="169"/>
        </w:trPr>
        <w:tc>
          <w:tcPr>
            <w:tcW w:w="98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3"/>
                <w:szCs w:val="13"/>
                <w:b w:val="1"/>
                <w:bCs w:val="1"/>
                <w:color w:val="auto"/>
              </w:rPr>
              <w:t>Number</w:t>
            </w:r>
          </w:p>
        </w:tc>
        <w:tc>
          <w:tcPr>
            <w:tcW w:w="6200" w:type="dxa"/>
            <w:vAlign w:val="bottom"/>
          </w:tcPr>
          <w:p>
            <w:pPr>
              <w:spacing w:after="0"/>
              <w:rPr>
                <w:sz w:val="14"/>
                <w:szCs w:val="14"/>
                <w:color w:val="auto"/>
              </w:rPr>
            </w:pPr>
          </w:p>
        </w:tc>
      </w:tr>
      <w:tr>
        <w:trPr>
          <w:trHeight w:val="376"/>
        </w:trPr>
        <w:tc>
          <w:tcPr>
            <w:tcW w:w="1620" w:type="dxa"/>
            <w:vAlign w:val="bottom"/>
            <w:gridSpan w:val="2"/>
          </w:tcPr>
          <w:p>
            <w:pPr>
              <w:ind w:left="980"/>
              <w:spacing w:after="0"/>
              <w:rPr>
                <w:sz w:val="20"/>
                <w:szCs w:val="20"/>
                <w:color w:val="auto"/>
              </w:rPr>
            </w:pPr>
            <w:r>
              <w:rPr>
                <w:rFonts w:ascii="Arial" w:cs="Arial" w:eastAsia="Arial" w:hAnsi="Arial"/>
                <w:sz w:val="13"/>
                <w:szCs w:val="13"/>
                <w:color w:val="auto"/>
              </w:rPr>
              <w:t>31.1*</w:t>
            </w:r>
          </w:p>
        </w:tc>
        <w:tc>
          <w:tcPr>
            <w:tcW w:w="6200" w:type="dxa"/>
            <w:vAlign w:val="bottom"/>
          </w:tcPr>
          <w:p>
            <w:pPr>
              <w:ind w:left="100"/>
              <w:spacing w:after="0"/>
              <w:rPr>
                <w:sz w:val="20"/>
                <w:szCs w:val="20"/>
                <w:color w:val="auto"/>
              </w:rPr>
            </w:pPr>
            <w:r>
              <w:rPr>
                <w:rFonts w:ascii="Arial" w:cs="Arial" w:eastAsia="Arial" w:hAnsi="Arial"/>
                <w:sz w:val="13"/>
                <w:szCs w:val="13"/>
                <w:color w:val="auto"/>
                <w:w w:val="99"/>
              </w:rPr>
              <w:t>Certification by Roy Vallee, Chief Executive Officer, under Section 302 of the Sarbanes-Oxley Act of 2002.</w:t>
            </w:r>
          </w:p>
        </w:tc>
      </w:tr>
      <w:tr>
        <w:trPr>
          <w:trHeight w:val="157"/>
        </w:trPr>
        <w:tc>
          <w:tcPr>
            <w:tcW w:w="1620" w:type="dxa"/>
            <w:vAlign w:val="bottom"/>
            <w:gridSpan w:val="2"/>
          </w:tcPr>
          <w:p>
            <w:pPr>
              <w:ind w:left="980"/>
              <w:spacing w:after="0"/>
              <w:rPr>
                <w:sz w:val="20"/>
                <w:szCs w:val="20"/>
                <w:color w:val="auto"/>
              </w:rPr>
            </w:pPr>
            <w:r>
              <w:rPr>
                <w:rFonts w:ascii="Arial" w:cs="Arial" w:eastAsia="Arial" w:hAnsi="Arial"/>
                <w:sz w:val="13"/>
                <w:szCs w:val="13"/>
                <w:color w:val="auto"/>
              </w:rPr>
              <w:t>31.2*</w:t>
            </w:r>
          </w:p>
        </w:tc>
        <w:tc>
          <w:tcPr>
            <w:tcW w:w="6200" w:type="dxa"/>
            <w:vAlign w:val="bottom"/>
          </w:tcPr>
          <w:p>
            <w:pPr>
              <w:ind w:left="100"/>
              <w:spacing w:after="0"/>
              <w:rPr>
                <w:sz w:val="20"/>
                <w:szCs w:val="20"/>
                <w:color w:val="auto"/>
              </w:rPr>
            </w:pPr>
            <w:r>
              <w:rPr>
                <w:rFonts w:ascii="Arial" w:cs="Arial" w:eastAsia="Arial" w:hAnsi="Arial"/>
                <w:sz w:val="13"/>
                <w:szCs w:val="13"/>
                <w:color w:val="auto"/>
                <w:w w:val="92"/>
              </w:rPr>
              <w:t>Certification by Raymond Sadowski, Chief Financial Officer, under Section 302 of the Sarbanes-Oxley Act of 2002.</w:t>
            </w:r>
          </w:p>
        </w:tc>
      </w:tr>
      <w:tr>
        <w:trPr>
          <w:trHeight w:val="157"/>
        </w:trPr>
        <w:tc>
          <w:tcPr>
            <w:tcW w:w="1620" w:type="dxa"/>
            <w:vAlign w:val="bottom"/>
            <w:gridSpan w:val="2"/>
          </w:tcPr>
          <w:p>
            <w:pPr>
              <w:ind w:left="980"/>
              <w:spacing w:after="0"/>
              <w:rPr>
                <w:sz w:val="20"/>
                <w:szCs w:val="20"/>
                <w:color w:val="auto"/>
              </w:rPr>
            </w:pPr>
            <w:r>
              <w:rPr>
                <w:rFonts w:ascii="Arial" w:cs="Arial" w:eastAsia="Arial" w:hAnsi="Arial"/>
                <w:sz w:val="13"/>
                <w:szCs w:val="13"/>
                <w:color w:val="auto"/>
              </w:rPr>
              <w:t>32.1**</w:t>
            </w:r>
          </w:p>
        </w:tc>
        <w:tc>
          <w:tcPr>
            <w:tcW w:w="6200" w:type="dxa"/>
            <w:vAlign w:val="bottom"/>
          </w:tcPr>
          <w:p>
            <w:pPr>
              <w:ind w:left="100"/>
              <w:spacing w:after="0"/>
              <w:rPr>
                <w:sz w:val="20"/>
                <w:szCs w:val="20"/>
                <w:color w:val="auto"/>
              </w:rPr>
            </w:pPr>
            <w:r>
              <w:rPr>
                <w:rFonts w:ascii="Arial" w:cs="Arial" w:eastAsia="Arial" w:hAnsi="Arial"/>
                <w:sz w:val="13"/>
                <w:szCs w:val="13"/>
                <w:color w:val="auto"/>
                <w:w w:val="99"/>
              </w:rPr>
              <w:t>Certification by Roy Vallee, Chief Executive Officer, under Section 906 of the Sarbanes-Oxley Act of 2002.</w:t>
            </w:r>
          </w:p>
        </w:tc>
      </w:tr>
      <w:tr>
        <w:trPr>
          <w:trHeight w:val="165"/>
        </w:trPr>
        <w:tc>
          <w:tcPr>
            <w:tcW w:w="1620" w:type="dxa"/>
            <w:vAlign w:val="bottom"/>
            <w:gridSpan w:val="2"/>
          </w:tcPr>
          <w:p>
            <w:pPr>
              <w:ind w:left="980"/>
              <w:spacing w:after="0"/>
              <w:rPr>
                <w:sz w:val="20"/>
                <w:szCs w:val="20"/>
                <w:color w:val="auto"/>
              </w:rPr>
            </w:pPr>
            <w:r>
              <w:rPr>
                <w:rFonts w:ascii="Arial" w:cs="Arial" w:eastAsia="Arial" w:hAnsi="Arial"/>
                <w:sz w:val="13"/>
                <w:szCs w:val="13"/>
                <w:color w:val="auto"/>
              </w:rPr>
              <w:t>32.2**</w:t>
            </w:r>
          </w:p>
        </w:tc>
        <w:tc>
          <w:tcPr>
            <w:tcW w:w="6200" w:type="dxa"/>
            <w:vAlign w:val="bottom"/>
          </w:tcPr>
          <w:p>
            <w:pPr>
              <w:ind w:left="100"/>
              <w:spacing w:after="0"/>
              <w:rPr>
                <w:sz w:val="20"/>
                <w:szCs w:val="20"/>
                <w:color w:val="auto"/>
              </w:rPr>
            </w:pPr>
            <w:r>
              <w:rPr>
                <w:rFonts w:ascii="Arial" w:cs="Arial" w:eastAsia="Arial" w:hAnsi="Arial"/>
                <w:sz w:val="13"/>
                <w:szCs w:val="13"/>
                <w:color w:val="auto"/>
                <w:w w:val="92"/>
              </w:rPr>
              <w:t>Certification by Raymond Sadowski, Chief Financial Officer, under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-535305</wp:posOffset>
            </wp:positionV>
            <wp:extent cx="6350" cy="6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63500</wp:posOffset>
            </wp:positionV>
            <wp:extent cx="63690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6905" cy="6350"/>
                    </a:xfrm>
                    <a:prstGeom prst="rect">
                      <a:avLst/>
                    </a:prstGeom>
                    <a:noFill/>
                  </pic:spPr>
                </pic:pic>
              </a:graphicData>
            </a:graphic>
          </wp:anchor>
        </w:drawing>
      </w:r>
    </w:p>
    <w:p>
      <w:pPr>
        <w:spacing w:after="0" w:line="130" w:lineRule="exact"/>
        <w:rPr>
          <w:sz w:val="20"/>
          <w:szCs w:val="20"/>
          <w:color w:val="auto"/>
        </w:rPr>
      </w:pPr>
    </w:p>
    <w:p>
      <w:pPr>
        <w:ind w:left="1000" w:hanging="313"/>
        <w:spacing w:after="0"/>
        <w:tabs>
          <w:tab w:leader="none" w:pos="10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7" w:lineRule="exact"/>
        <w:rPr>
          <w:sz w:val="20"/>
          <w:szCs w:val="20"/>
          <w:color w:val="auto"/>
        </w:rPr>
      </w:pPr>
    </w:p>
    <w:p>
      <w:pPr>
        <w:ind w:left="1000" w:hanging="313"/>
        <w:spacing w:after="0"/>
        <w:tabs>
          <w:tab w:leader="none" w:pos="10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29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0239"/>
          </w:cols>
          <w:pgMar w:left="220" w:top="334"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Roy Vallee, certify that:</w:t>
      </w:r>
    </w:p>
    <w:p>
      <w:pPr>
        <w:spacing w:after="0" w:line="86" w:lineRule="exact"/>
        <w:rPr>
          <w:sz w:val="20"/>
          <w:szCs w:val="20"/>
          <w:color w:val="auto"/>
        </w:rPr>
      </w:pPr>
    </w:p>
    <w:p>
      <w:pPr>
        <w:ind w:left="680" w:hanging="455"/>
        <w:spacing w:after="0"/>
        <w:tabs>
          <w:tab w:leader="none" w:pos="6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Avnet,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40" w:right="440" w:hanging="453"/>
        <w:spacing w:after="0" w:line="320" w:lineRule="auto"/>
        <w:tabs>
          <w:tab w:leader="none" w:pos="114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100" w:hanging="453"/>
        <w:spacing w:after="0" w:line="320" w:lineRule="auto"/>
        <w:tabs>
          <w:tab w:leader="none" w:pos="1140" w:val="left"/>
        </w:tabs>
        <w:numPr>
          <w:ilvl w:val="1"/>
          <w:numId w:val="1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60" w:hanging="453"/>
        <w:spacing w:after="0" w:line="276" w:lineRule="auto"/>
        <w:tabs>
          <w:tab w:leader="none" w:pos="11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right="140" w:hanging="453"/>
        <w:spacing w:after="0" w:line="276" w:lineRule="auto"/>
        <w:tabs>
          <w:tab w:leader="none" w:pos="11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240" w:hanging="455"/>
        <w:spacing w:after="0" w:line="276" w:lineRule="auto"/>
        <w:tabs>
          <w:tab w:leader="none" w:pos="6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49" w:lineRule="exact"/>
        <w:rPr>
          <w:rFonts w:ascii="Arial" w:cs="Arial" w:eastAsia="Arial" w:hAnsi="Arial"/>
          <w:sz w:val="13"/>
          <w:szCs w:val="13"/>
          <w:color w:val="auto"/>
        </w:rPr>
      </w:pPr>
    </w:p>
    <w:p>
      <w:pPr>
        <w:ind w:left="1140" w:right="220" w:hanging="453"/>
        <w:spacing w:after="0" w:line="276" w:lineRule="auto"/>
        <w:tabs>
          <w:tab w:leader="none" w:pos="11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18"/>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10, 2008</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Roy Vallee</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460"/>
          </w:cols>
          <w:pgMar w:left="220" w:top="127" w:right="219" w:bottom="1440" w:gutter="0" w:footer="0" w:header="0"/>
        </w:sectPr>
      </w:pPr>
    </w:p>
    <w:bookmarkStart w:id="35" w:name="page36"/>
    <w:bookmarkEnd w:id="35"/>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 Raymond Sadowski, certify that:</w:t>
      </w:r>
    </w:p>
    <w:p>
      <w:pPr>
        <w:spacing w:after="0" w:line="86" w:lineRule="exact"/>
        <w:rPr>
          <w:sz w:val="20"/>
          <w:szCs w:val="20"/>
          <w:color w:val="auto"/>
        </w:rPr>
      </w:pPr>
    </w:p>
    <w:p>
      <w:pPr>
        <w:ind w:left="680" w:hanging="455"/>
        <w:spacing w:after="0"/>
        <w:tabs>
          <w:tab w:leader="none" w:pos="6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 have reviewed this quarterly report on Form 10-Q of Avnet,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40" w:right="440" w:hanging="453"/>
        <w:spacing w:after="0" w:line="320" w:lineRule="auto"/>
        <w:tabs>
          <w:tab w:leader="none" w:pos="1140"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100" w:hanging="453"/>
        <w:spacing w:after="0" w:line="320" w:lineRule="auto"/>
        <w:tabs>
          <w:tab w:leader="none" w:pos="1140"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60" w:hanging="453"/>
        <w:spacing w:after="0" w:line="276" w:lineRule="auto"/>
        <w:tabs>
          <w:tab w:leader="none" w:pos="11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right="140" w:hanging="453"/>
        <w:spacing w:after="0" w:line="276" w:lineRule="auto"/>
        <w:tabs>
          <w:tab w:leader="none" w:pos="11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240" w:hanging="455"/>
        <w:spacing w:after="0" w:line="276" w:lineRule="auto"/>
        <w:tabs>
          <w:tab w:leader="none" w:pos="6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49" w:lineRule="exact"/>
        <w:rPr>
          <w:rFonts w:ascii="Arial" w:cs="Arial" w:eastAsia="Arial" w:hAnsi="Arial"/>
          <w:sz w:val="13"/>
          <w:szCs w:val="13"/>
          <w:color w:val="auto"/>
        </w:rPr>
      </w:pPr>
    </w:p>
    <w:p>
      <w:pPr>
        <w:ind w:left="1140" w:right="220" w:hanging="453"/>
        <w:spacing w:after="0" w:line="276" w:lineRule="auto"/>
        <w:tabs>
          <w:tab w:leader="none" w:pos="11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10, 2008</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0"/>
          </w:cols>
          <w:pgMar w:left="220" w:top="441" w:right="219" w:bottom="1440" w:gutter="0" w:footer="0" w:header="0"/>
        </w:sectPr>
      </w:pPr>
    </w:p>
    <w:bookmarkStart w:id="36" w:name="page37"/>
    <w:bookmarkEnd w:id="36"/>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ERTIFICATION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URSUANT TO</w:t>
      </w:r>
      <w:r>
        <w:rPr>
          <w:rFonts w:ascii="Arial" w:cs="Arial" w:eastAsia="Arial" w:hAnsi="Arial"/>
          <w:sz w:val="13"/>
          <w:szCs w:val="13"/>
          <w:b w:val="1"/>
          <w:bCs w:val="1"/>
          <w:color w:val="auto"/>
        </w:rPr>
        <w:t xml:space="preserve"> 18 U.S.C.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AS ADOPTED PURSUANT TO</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906 </w:t>
      </w:r>
      <w:r>
        <w:rPr>
          <w:rFonts w:ascii="Arial" w:cs="Arial" w:eastAsia="Arial" w:hAnsi="Arial"/>
          <w:sz w:val="8"/>
          <w:szCs w:val="8"/>
          <w:b w:val="1"/>
          <w:bCs w:val="1"/>
          <w:color w:val="auto"/>
        </w:rPr>
        <w:t>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ARBANES</w:t>
      </w:r>
      <w:r>
        <w:rPr>
          <w:rFonts w:ascii="Arial" w:cs="Arial" w:eastAsia="Arial" w:hAnsi="Arial"/>
          <w:sz w:val="13"/>
          <w:szCs w:val="13"/>
          <w:b w:val="1"/>
          <w:bCs w:val="1"/>
          <w:color w:val="auto"/>
        </w:rPr>
        <w:t>-O</w:t>
      </w:r>
      <w:r>
        <w:rPr>
          <w:rFonts w:ascii="Arial" w:cs="Arial" w:eastAsia="Arial" w:hAnsi="Arial"/>
          <w:sz w:val="8"/>
          <w:szCs w:val="8"/>
          <w:b w:val="1"/>
          <w:bCs w:val="1"/>
          <w:color w:val="auto"/>
        </w:rPr>
        <w:t>XLEY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CT OF</w:t>
      </w:r>
      <w:r>
        <w:rPr>
          <w:rFonts w:ascii="Arial" w:cs="Arial" w:eastAsia="Arial" w:hAnsi="Arial"/>
          <w:sz w:val="13"/>
          <w:szCs w:val="13"/>
          <w:b w:val="1"/>
          <w:bCs w:val="1"/>
          <w:color w:val="auto"/>
        </w:rPr>
        <w:t xml:space="preserve"> 2002)</w:t>
      </w:r>
    </w:p>
    <w:p>
      <w:pPr>
        <w:spacing w:after="0" w:line="79" w:lineRule="exact"/>
        <w:rPr>
          <w:sz w:val="20"/>
          <w:szCs w:val="20"/>
          <w:color w:val="auto"/>
        </w:rPr>
      </w:pPr>
    </w:p>
    <w:p>
      <w:pPr>
        <w:spacing w:after="0"/>
        <w:rPr>
          <w:sz w:val="20"/>
          <w:szCs w:val="20"/>
          <w:color w:val="auto"/>
        </w:rPr>
      </w:pPr>
      <w:r>
        <w:rPr>
          <w:rFonts w:ascii="Arial" w:cs="Arial" w:eastAsia="Arial" w:hAnsi="Arial"/>
          <w:sz w:val="13"/>
          <w:szCs w:val="13"/>
          <w:color w:val="auto"/>
        </w:rPr>
        <w:t>In connection with the Quarterly Report on Form 10-Q for the period ended December 27, 2008 (the “Report”), I, Roy Vallee, Chief Executive Officer of Avnet, Inc., (the “Company”) hereby certify that:</w:t>
      </w:r>
    </w:p>
    <w:p>
      <w:pPr>
        <w:spacing w:after="0" w:line="86" w:lineRule="exact"/>
        <w:rPr>
          <w:sz w:val="20"/>
          <w:szCs w:val="20"/>
          <w:color w:val="auto"/>
        </w:rPr>
      </w:pPr>
    </w:p>
    <w:p>
      <w:pPr>
        <w:ind w:left="680" w:hanging="455"/>
        <w:spacing w:after="0"/>
        <w:tabs>
          <w:tab w:leader="none" w:pos="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10, 2008</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ROY VALLEE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Roy Vallee</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Executive Officer</w:t>
      </w:r>
    </w:p>
    <w:p>
      <w:pPr>
        <w:spacing w:after="0" w:line="236"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p>
      <w:pPr>
        <w:sectPr>
          <w:pgSz w:w="11900" w:h="16838" w:orient="portrait"/>
          <w:cols w:equalWidth="0" w:num="1">
            <w:col w:w="11460"/>
          </w:cols>
          <w:pgMar w:left="220" w:top="441" w:right="219" w:bottom="1440" w:gutter="0" w:footer="0" w:header="0"/>
        </w:sectPr>
      </w:pPr>
    </w:p>
    <w:bookmarkStart w:id="37" w:name="page38"/>
    <w:bookmarkEnd w:id="37"/>
    <w:p>
      <w:pPr>
        <w:jc w:val="right"/>
        <w:spacing w:after="0"/>
        <w:rPr>
          <w:sz w:val="20"/>
          <w:szCs w:val="20"/>
          <w:color w:val="auto"/>
        </w:rPr>
      </w:pPr>
      <w:r>
        <w:rPr>
          <w:rFonts w:ascii="Arial" w:cs="Arial" w:eastAsia="Arial" w:hAnsi="Arial"/>
          <w:sz w:val="13"/>
          <w:szCs w:val="13"/>
          <w:b w:val="1"/>
          <w:bCs w:val="1"/>
          <w:color w:val="auto"/>
        </w:rPr>
        <w:t>Exhibit 32.2</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w:t>
      </w:r>
      <w:r>
        <w:rPr>
          <w:rFonts w:ascii="Arial" w:cs="Arial" w:eastAsia="Arial" w:hAnsi="Arial"/>
          <w:sz w:val="8"/>
          <w:szCs w:val="8"/>
          <w:b w:val="1"/>
          <w:bCs w:val="1"/>
          <w:color w:val="auto"/>
        </w:rPr>
        <w:t>ERTIFICATION</w:t>
      </w:r>
      <w:r>
        <w:rPr>
          <w:rFonts w:ascii="Arial" w:cs="Arial" w:eastAsia="Arial" w:hAnsi="Arial"/>
          <w:sz w:val="13"/>
          <w:szCs w:val="13"/>
          <w:b w:val="1"/>
          <w:bCs w:val="1"/>
          <w:color w:val="auto"/>
        </w:rPr>
        <w:t xml:space="preserve"> P</w:t>
      </w:r>
      <w:r>
        <w:rPr>
          <w:rFonts w:ascii="Arial" w:cs="Arial" w:eastAsia="Arial" w:hAnsi="Arial"/>
          <w:sz w:val="8"/>
          <w:szCs w:val="8"/>
          <w:b w:val="1"/>
          <w:bCs w:val="1"/>
          <w:color w:val="auto"/>
        </w:rPr>
        <w:t>URSUANT TO</w:t>
      </w:r>
      <w:r>
        <w:rPr>
          <w:rFonts w:ascii="Arial" w:cs="Arial" w:eastAsia="Arial" w:hAnsi="Arial"/>
          <w:sz w:val="13"/>
          <w:szCs w:val="13"/>
          <w:b w:val="1"/>
          <w:bCs w:val="1"/>
          <w:color w:val="auto"/>
        </w:rPr>
        <w:t xml:space="preserve"> 18 U.S.C.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AS ADOPTED PURSUANT TO</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ECTION</w:t>
      </w:r>
      <w:r>
        <w:rPr>
          <w:rFonts w:ascii="Arial" w:cs="Arial" w:eastAsia="Arial" w:hAnsi="Arial"/>
          <w:sz w:val="13"/>
          <w:szCs w:val="13"/>
          <w:b w:val="1"/>
          <w:bCs w:val="1"/>
          <w:color w:val="auto"/>
        </w:rPr>
        <w:t xml:space="preserve"> 906 </w:t>
      </w:r>
      <w:r>
        <w:rPr>
          <w:rFonts w:ascii="Arial" w:cs="Arial" w:eastAsia="Arial" w:hAnsi="Arial"/>
          <w:sz w:val="8"/>
          <w:szCs w:val="8"/>
          <w:b w:val="1"/>
          <w:bCs w:val="1"/>
          <w:color w:val="auto"/>
        </w:rPr>
        <w:t>OF THE</w:t>
      </w:r>
      <w:r>
        <w:rPr>
          <w:rFonts w:ascii="Arial" w:cs="Arial" w:eastAsia="Arial" w:hAnsi="Arial"/>
          <w:sz w:val="13"/>
          <w:szCs w:val="13"/>
          <w:b w:val="1"/>
          <w:bCs w:val="1"/>
          <w:color w:val="auto"/>
        </w:rPr>
        <w:t xml:space="preserve"> S</w:t>
      </w:r>
      <w:r>
        <w:rPr>
          <w:rFonts w:ascii="Arial" w:cs="Arial" w:eastAsia="Arial" w:hAnsi="Arial"/>
          <w:sz w:val="8"/>
          <w:szCs w:val="8"/>
          <w:b w:val="1"/>
          <w:bCs w:val="1"/>
          <w:color w:val="auto"/>
        </w:rPr>
        <w:t>ARBANES</w:t>
      </w:r>
      <w:r>
        <w:rPr>
          <w:rFonts w:ascii="Arial" w:cs="Arial" w:eastAsia="Arial" w:hAnsi="Arial"/>
          <w:sz w:val="13"/>
          <w:szCs w:val="13"/>
          <w:b w:val="1"/>
          <w:bCs w:val="1"/>
          <w:color w:val="auto"/>
        </w:rPr>
        <w:t>-O</w:t>
      </w:r>
      <w:r>
        <w:rPr>
          <w:rFonts w:ascii="Arial" w:cs="Arial" w:eastAsia="Arial" w:hAnsi="Arial"/>
          <w:sz w:val="8"/>
          <w:szCs w:val="8"/>
          <w:b w:val="1"/>
          <w:bCs w:val="1"/>
          <w:color w:val="auto"/>
        </w:rPr>
        <w:t>XLEY</w:t>
      </w:r>
      <w:r>
        <w:rPr>
          <w:rFonts w:ascii="Arial" w:cs="Arial" w:eastAsia="Arial" w:hAnsi="Arial"/>
          <w:sz w:val="13"/>
          <w:szCs w:val="13"/>
          <w:b w:val="1"/>
          <w:bCs w:val="1"/>
          <w:color w:val="auto"/>
        </w:rPr>
        <w:t xml:space="preserve"> A</w:t>
      </w:r>
      <w:r>
        <w:rPr>
          <w:rFonts w:ascii="Arial" w:cs="Arial" w:eastAsia="Arial" w:hAnsi="Arial"/>
          <w:sz w:val="8"/>
          <w:szCs w:val="8"/>
          <w:b w:val="1"/>
          <w:bCs w:val="1"/>
          <w:color w:val="auto"/>
        </w:rPr>
        <w:t>CT OF</w:t>
      </w:r>
      <w:r>
        <w:rPr>
          <w:rFonts w:ascii="Arial" w:cs="Arial" w:eastAsia="Arial" w:hAnsi="Arial"/>
          <w:sz w:val="13"/>
          <w:szCs w:val="13"/>
          <w:b w:val="1"/>
          <w:bCs w:val="1"/>
          <w:color w:val="auto"/>
        </w:rPr>
        <w:t xml:space="preserve"> 2002)</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Quarterly Report on Form 10-Q for the period ended December 27, 2008 (the “Report”), I, Raymond Sadowski, Chief Financial Officer of Avnet, Inc., (the “Company”) hereby certify that:</w:t>
      </w:r>
    </w:p>
    <w:p>
      <w:pPr>
        <w:spacing w:after="0" w:line="98" w:lineRule="exact"/>
        <w:rPr>
          <w:sz w:val="20"/>
          <w:szCs w:val="20"/>
          <w:color w:val="auto"/>
        </w:rPr>
      </w:pPr>
    </w:p>
    <w:p>
      <w:pPr>
        <w:ind w:left="680" w:hanging="455"/>
        <w:spacing w:after="0"/>
        <w:tabs>
          <w:tab w:leader="none" w:pos="6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as applicable, of the Securities Exchange Act of 1934; and</w:t>
      </w:r>
    </w:p>
    <w:p>
      <w:pPr>
        <w:spacing w:after="0" w:line="96" w:lineRule="exact"/>
        <w:rPr>
          <w:rFonts w:ascii="Arial" w:cs="Arial" w:eastAsia="Arial" w:hAnsi="Arial"/>
          <w:sz w:val="13"/>
          <w:szCs w:val="13"/>
          <w:color w:val="auto"/>
        </w:rPr>
      </w:pPr>
    </w:p>
    <w:p>
      <w:pPr>
        <w:ind w:left="680" w:hanging="455"/>
        <w:spacing w:after="0"/>
        <w:tabs>
          <w:tab w:leader="none" w:pos="6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February 10, 2008</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Raymond Sadowski</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pacing w:after="0" w:line="236" w:lineRule="exact"/>
        <w:rPr>
          <w:sz w:val="20"/>
          <w:szCs w:val="20"/>
          <w:color w:val="auto"/>
        </w:rPr>
      </w:pPr>
    </w:p>
    <w:p>
      <w:pPr>
        <w:ind w:right="20"/>
        <w:spacing w:after="0" w:line="296" w:lineRule="auto"/>
        <w:rPr>
          <w:sz w:val="20"/>
          <w:szCs w:val="20"/>
          <w:color w:val="auto"/>
        </w:rPr>
      </w:pPr>
      <w:r>
        <w:rPr>
          <w:rFonts w:ascii="Arial" w:cs="Arial" w:eastAsia="Arial" w:hAnsi="Arial"/>
          <w:sz w:val="12"/>
          <w:szCs w:val="12"/>
          <w:color w:val="auto"/>
        </w:rPr>
        <w:t>A signed original of this written statement required by Section 906 of the Sarbanes-Oxley Act of 2002 has been provided to the Company and will be retained by the Company and furnished to the Securities and Exchange Commission or its staff upon request. This certification will not be deemed “filed” for purposes of Section 18 of the Exchange Act, or otherwise subject to the liability of that section. Nor will this certification be deemed to be incorporated by reference into any filing under the Securities Act or the Exchange Act, except to the extent that the registrant specifically incorporates it by reference.</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2"/>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1."/>
      <w:numFmt w:val="decimal"/>
      <w:start w:val="4"/>
    </w:lvl>
  </w:abstractNum>
  <w:abstractNum w:abstractNumId="4">
    <w:nsid w:val="3352255A"/>
    <w:multiLevelType w:val="hybridMultilevel"/>
    <w:lvl w:ilvl="0">
      <w:lvlJc w:val="left"/>
      <w:lvlText w:val="%1."/>
      <w:numFmt w:val="decimal"/>
      <w:start w:val="6"/>
    </w:lvl>
  </w:abstractNum>
  <w:abstractNum w:abstractNumId="5">
    <w:nsid w:val="109CF92E"/>
    <w:multiLevelType w:val="hybridMultilevel"/>
    <w:lvl w:ilvl="0">
      <w:lvlJc w:val="left"/>
      <w:lvlText w:val="%1."/>
      <w:numFmt w:val="decimal"/>
      <w:start w:val="7"/>
    </w:lvl>
  </w:abstractNum>
  <w:abstractNum w:abstractNumId="6">
    <w:nsid w:val="DED7263"/>
    <w:multiLevelType w:val="hybridMultilevel"/>
    <w:lvl w:ilvl="0">
      <w:lvlJc w:val="left"/>
      <w:lvlText w:val="%1."/>
      <w:numFmt w:val="decimal"/>
      <w:start w:val="10"/>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lvl w:ilvl="1">
      <w:lvlJc w:val="left"/>
      <w:lvlText w:val="(%2)"/>
      <w:numFmt w:val="decimal"/>
      <w:start w:val="4"/>
    </w:lvl>
  </w:abstractNum>
  <w:abstractNum w:abstractNumId="9">
    <w:nsid w:val="41A7C4C9"/>
    <w:multiLevelType w:val="hybridMultilevel"/>
    <w:lvl w:ilvl="0">
      <w:lvlJc w:val="left"/>
      <w:lvlText w:val="%1."/>
      <w:numFmt w:val="decimal"/>
      <w:start w:val="12"/>
    </w:lvl>
    <w:lvl w:ilvl="1">
      <w:lvlJc w:val="left"/>
      <w:lvlText w:val="%2"/>
      <w:numFmt w:val="decimal"/>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2019-12-09T22:11:20Z</dcterms:created>
  <dcterms:modified xsi:type="dcterms:W3CDTF">2019-12-09T22:11:20Z</dcterms:modified>
</cp:coreProperties>
</file>