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2011</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5"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IRS Employer Identification No. 11-1890605</w:t>
      </w:r>
    </w:p>
    <w:p>
      <w:pPr>
        <w:spacing w:after="0" w:line="12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2211 South 47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Phoenix, Arizona 85034</w:t>
      </w:r>
    </w:p>
    <w:p>
      <w:pPr>
        <w:jc w:val="center"/>
        <w:spacing w:after="0"/>
        <w:rPr>
          <w:sz w:val="20"/>
          <w:szCs w:val="20"/>
          <w:color w:val="auto"/>
        </w:rPr>
      </w:pPr>
      <w:r>
        <w:rPr>
          <w:rFonts w:ascii="Arial" w:cs="Arial" w:eastAsia="Arial" w:hAnsi="Arial"/>
          <w:sz w:val="18"/>
          <w:szCs w:val="18"/>
          <w:color w:val="auto"/>
        </w:rPr>
        <w:t>(480) 643-2000</w:t>
      </w:r>
    </w:p>
    <w:p>
      <w:pPr>
        <w:spacing w:after="0" w:line="169"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7" w:lineRule="exact"/>
        <w:rPr>
          <w:sz w:val="24"/>
          <w:szCs w:val="24"/>
          <w:color w:val="auto"/>
        </w:rPr>
      </w:pPr>
    </w:p>
    <w:p>
      <w:pPr>
        <w:ind w:left="2960" w:right="380" w:hanging="4620"/>
        <w:spacing w:after="0" w:line="251" w:lineRule="exact"/>
        <w:tabs>
          <w:tab w:leader="none" w:pos="29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189"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o No </w:t>
      </w:r>
      <w:r>
        <w:rPr>
          <w:rFonts w:ascii="MS PGothic" w:cs="MS PGothic" w:eastAsia="MS PGothic" w:hAnsi="MS PGothic"/>
          <w:sz w:val="18"/>
          <w:szCs w:val="18"/>
          <w:color w:val="auto"/>
        </w:rPr>
        <w:t>☑</w:t>
      </w:r>
    </w:p>
    <w:p>
      <w:pPr>
        <w:spacing w:after="0" w:line="21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As of January 20, 2012, the total number of shares outstanding of the registrant’s Common Stock was 145,050,427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20" w:type="dxa"/>
            <w:vAlign w:val="bottom"/>
            <w:gridSpan w:val="4"/>
          </w:tcPr>
          <w:p>
            <w:pPr>
              <w:ind w:left="16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20" w:type="dxa"/>
            <w:vAlign w:val="bottom"/>
            <w:gridSpan w:val="9"/>
            <w:vMerge w:val="restart"/>
          </w:tcPr>
          <w:p>
            <w:pPr>
              <w:jc w:val="center"/>
              <w:ind w:right="316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20" w:type="dxa"/>
            <w:vAlign w:val="bottom"/>
            <w:gridSpan w:val="9"/>
            <w:vMerge w:val="continue"/>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206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2080" w:type="dxa"/>
            <w:vAlign w:val="bottom"/>
            <w:gridSpan w:val="4"/>
          </w:tcPr>
          <w:p>
            <w:pPr>
              <w:spacing w:after="0"/>
              <w:rPr>
                <w:sz w:val="24"/>
                <w:szCs w:val="24"/>
                <w:color w:val="auto"/>
              </w:rPr>
            </w:pPr>
          </w:p>
        </w:tc>
        <w:tc>
          <w:tcPr>
            <w:tcW w:w="3060" w:type="dxa"/>
            <w:vAlign w:val="bottom"/>
            <w:tcBorders>
              <w:top w:val="single" w:sz="8" w:color="0000FF"/>
            </w:tcBorders>
            <w:gridSpan w:val="8"/>
          </w:tcPr>
          <w:p>
            <w:pPr>
              <w:spacing w:after="0"/>
              <w:rPr>
                <w:sz w:val="24"/>
                <w:szCs w:val="24"/>
                <w:color w:val="auto"/>
              </w:rPr>
            </w:pPr>
          </w:p>
        </w:tc>
        <w:tc>
          <w:tcPr>
            <w:tcW w:w="3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496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 at December 31, 2011 and July 2, 2011</w:t>
              </w:r>
            </w:hyperlink>
          </w:p>
        </w:tc>
        <w:tc>
          <w:tcPr>
            <w:tcW w:w="5060" w:type="dxa"/>
            <w:vAlign w:val="bottom"/>
            <w:gridSpan w:val="6"/>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612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Statements of Operations for the second quarters and six months ended</w:t>
              </w:r>
            </w:hyperlink>
          </w:p>
        </w:tc>
        <w:tc>
          <w:tcPr>
            <w:tcW w:w="390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December 31, 2011 and January 1, 2011</w:t>
              </w:r>
            </w:hyperlink>
          </w:p>
        </w:tc>
        <w:tc>
          <w:tcPr>
            <w:tcW w:w="1020" w:type="dxa"/>
            <w:vAlign w:val="bottom"/>
            <w:gridSpan w:val="4"/>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61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Cash Flows for the second quarters and six months ended</w:t>
              </w:r>
            </w:hyperlink>
          </w:p>
        </w:tc>
        <w:tc>
          <w:tcPr>
            <w:tcW w:w="384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December 31, 2011 and January 1, 2011</w:t>
              </w:r>
            </w:hyperlink>
          </w:p>
        </w:tc>
        <w:tc>
          <w:tcPr>
            <w:tcW w:w="1020" w:type="dxa"/>
            <w:vAlign w:val="bottom"/>
            <w:gridSpan w:val="4"/>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316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Consolidated Financial Statements</w:t>
              </w:r>
            </w:hyperlink>
          </w:p>
        </w:tc>
        <w:tc>
          <w:tcPr>
            <w:tcW w:w="6860" w:type="dxa"/>
            <w:vAlign w:val="bottom"/>
            <w:gridSpan w:val="10"/>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Item 2.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14">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108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2"/>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Item 3. Quantitative and Qualitative Disclosures About Market Risk</w:t>
              </w:r>
            </w:hyperlink>
          </w:p>
        </w:tc>
        <w:tc>
          <w:tcPr>
            <w:tcW w:w="2100" w:type="dxa"/>
            <w:vAlign w:val="bottom"/>
            <w:gridSpan w:val="4"/>
          </w:tcPr>
          <w:p>
            <w:pPr>
              <w:spacing w:after="0"/>
              <w:rPr>
                <w:sz w:val="24"/>
                <w:szCs w:val="24"/>
                <w:color w:val="auto"/>
              </w:rPr>
            </w:pPr>
          </w:p>
        </w:tc>
        <w:tc>
          <w:tcPr>
            <w:tcW w:w="3360" w:type="dxa"/>
            <w:vAlign w:val="bottom"/>
            <w:gridSpan w:val="3"/>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gridSpan w:val="5"/>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Item 4.</w:t>
              </w:r>
            </w:hyperlink>
          </w:p>
        </w:tc>
        <w:tc>
          <w:tcPr>
            <w:tcW w:w="4380" w:type="dxa"/>
            <w:vAlign w:val="bottom"/>
            <w:gridSpan w:val="10"/>
          </w:tcPr>
          <w:p>
            <w:pPr>
              <w:ind w:left="40"/>
              <w:spacing w:after="0"/>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546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520"/>
        </w:trPr>
        <w:tc>
          <w:tcPr>
            <w:tcW w:w="3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FF"/>
            </w:tcBorders>
            <w:gridSpan w:val="6"/>
          </w:tcPr>
          <w:p>
            <w:pPr>
              <w:jc w:val="cente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PART II. OTHER INFORMATION</w:t>
              </w:r>
            </w:hyperlink>
          </w:p>
        </w:tc>
        <w:tc>
          <w:tcPr>
            <w:tcW w:w="330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Item 1.</w:t>
              </w:r>
            </w:hyperlink>
          </w:p>
        </w:tc>
        <w:tc>
          <w:tcPr>
            <w:tcW w:w="9840" w:type="dxa"/>
            <w:vAlign w:val="bottom"/>
            <w:gridSpan w:val="17"/>
          </w:tcPr>
          <w:p>
            <w:pPr>
              <w:ind w:left="40"/>
              <w:spacing w:after="0"/>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108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80" w:type="dxa"/>
            <w:vAlign w:val="bottom"/>
            <w:gridSpan w:val="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1A. Risk Factors</w:t>
              </w:r>
            </w:hyperlink>
          </w:p>
        </w:tc>
        <w:tc>
          <w:tcPr>
            <w:tcW w:w="8480" w:type="dxa"/>
            <w:vAlign w:val="bottom"/>
            <w:gridSpan w:val="14"/>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2.</w:t>
              </w:r>
            </w:hyperlink>
          </w:p>
        </w:tc>
        <w:tc>
          <w:tcPr>
            <w:tcW w:w="4380" w:type="dxa"/>
            <w:vAlign w:val="bottom"/>
            <w:gridSpan w:val="10"/>
          </w:tcPr>
          <w:p>
            <w:pPr>
              <w:ind w:left="40"/>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Unregistered Sales of Equity Securities and Use of Proceeds</w:t>
              </w:r>
            </w:hyperlink>
          </w:p>
        </w:tc>
        <w:tc>
          <w:tcPr>
            <w:tcW w:w="546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20" w:type="dxa"/>
            <w:vAlign w:val="bottom"/>
            <w:tcBorders>
              <w:left w:val="single" w:sz="8" w:color="0000FF"/>
            </w:tcBorders>
            <w:gridSpan w:val="9"/>
            <w:shd w:val="clear" w:color="auto" w:fill="0000FF"/>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6.</w:t>
              </w:r>
            </w:hyperlink>
          </w:p>
        </w:tc>
        <w:tc>
          <w:tcPr>
            <w:tcW w:w="4380" w:type="dxa"/>
            <w:vAlign w:val="bottom"/>
            <w:gridSpan w:val="10"/>
          </w:tcPr>
          <w:p>
            <w:pPr>
              <w:ind w:left="40"/>
              <w:spacing w:after="0"/>
              <w:rPr>
                <w:rFonts w:ascii="Arial" w:cs="Arial" w:eastAsia="Arial" w:hAnsi="Arial"/>
                <w:sz w:val="18"/>
                <w:szCs w:val="18"/>
                <w:color w:val="0000FF"/>
              </w:rPr>
            </w:pPr>
            <w:hyperlink w:anchor="page27">
              <w:r>
                <w:rPr>
                  <w:rFonts w:ascii="Arial" w:cs="Arial" w:eastAsia="Arial" w:hAnsi="Arial"/>
                  <w:sz w:val="18"/>
                  <w:szCs w:val="18"/>
                  <w:color w:val="0000FF"/>
                </w:rPr>
                <w:t>Exhibits</w:t>
              </w:r>
            </w:hyperlink>
          </w:p>
        </w:tc>
        <w:tc>
          <w:tcPr>
            <w:tcW w:w="546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0"/>
        </w:trPr>
        <w:tc>
          <w:tcPr>
            <w:tcW w:w="1080" w:type="dxa"/>
            <w:vAlign w:val="bottom"/>
            <w:gridSpan w:val="3"/>
            <w:shd w:val="clear" w:color="auto" w:fill="0000FF"/>
          </w:tcPr>
          <w:p>
            <w:pPr>
              <w:spacing w:after="0" w:line="20" w:lineRule="exact"/>
              <w:rPr>
                <w:sz w:val="1"/>
                <w:szCs w:val="1"/>
                <w:color w:val="auto"/>
              </w:rPr>
            </w:pPr>
          </w:p>
        </w:tc>
        <w:tc>
          <w:tcPr>
            <w:tcW w:w="9280" w:type="dxa"/>
            <w:vAlign w:val="bottom"/>
            <w:tcBorders>
              <w:left w:val="single" w:sz="8" w:color="0000FF"/>
            </w:tcBorders>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80" w:type="dxa"/>
            <w:vAlign w:val="bottom"/>
            <w:gridSpan w:val="3"/>
          </w:tcPr>
          <w:p>
            <w:pPr>
              <w:spacing w:after="0"/>
              <w:rPr>
                <w:rFonts w:ascii="Arial" w:cs="Arial" w:eastAsia="Arial" w:hAnsi="Arial"/>
                <w:sz w:val="18"/>
                <w:szCs w:val="18"/>
                <w:color w:val="0000FF"/>
                <w:w w:val="83"/>
              </w:rPr>
            </w:pPr>
            <w:hyperlink w:anchor="page28">
              <w:r>
                <w:rPr>
                  <w:rFonts w:ascii="Arial" w:cs="Arial" w:eastAsia="Arial" w:hAnsi="Arial"/>
                  <w:sz w:val="18"/>
                  <w:szCs w:val="18"/>
                  <w:color w:val="0000FF"/>
                  <w:w w:val="83"/>
                </w:rPr>
                <w:t>Signature Page</w:t>
              </w:r>
            </w:hyperlink>
          </w:p>
        </w:tc>
        <w:tc>
          <w:tcPr>
            <w:tcW w:w="9280" w:type="dxa"/>
            <w:vAlign w:val="bottom"/>
            <w:gridSpan w:val="16"/>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31.1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31.2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32.1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32.2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29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40" w:type="dxa"/>
            <w:vAlign w:val="bottom"/>
            <w:gridSpan w:val="3"/>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9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4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PART I</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120" w:type="dxa"/>
            <w:vAlign w:val="bottom"/>
          </w:tcPr>
          <w:p>
            <w:pPr>
              <w:spacing w:after="0"/>
              <w:rPr>
                <w:sz w:val="24"/>
                <w:szCs w:val="24"/>
                <w:color w:val="auto"/>
              </w:rPr>
            </w:pPr>
          </w:p>
        </w:tc>
        <w:tc>
          <w:tcPr>
            <w:tcW w:w="7240" w:type="dxa"/>
            <w:vAlign w:val="bottom"/>
          </w:tcPr>
          <w:p>
            <w:pPr>
              <w:jc w:val="center"/>
              <w:ind w:left="189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80" w:type="dxa"/>
            <w:vAlign w:val="bottom"/>
            <w:vMerge w:val="continue"/>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4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AVNET, INC. AND SUBSIDIARIES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4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40" w:type="dxa"/>
            <w:vAlign w:val="bottom"/>
          </w:tcPr>
          <w:p>
            <w:pPr>
              <w:jc w:val="center"/>
              <w:ind w:left="189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July 2,</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(Thousands, except share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shd w:val="clear" w:color="auto" w:fill="CCEEFF"/>
          </w:tcPr>
          <w:p>
            <w:pPr>
              <w:jc w:val="center"/>
              <w:ind w:right="101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gridSpan w:val="2"/>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675,334</w:t>
            </w:r>
          </w:p>
        </w:tc>
        <w:tc>
          <w:tcPr>
            <w:tcW w:w="0" w:type="dxa"/>
            <w:vAlign w:val="bottom"/>
          </w:tcPr>
          <w:p>
            <w:pPr>
              <w:spacing w:after="0"/>
              <w:rPr>
                <w:sz w:val="1"/>
                <w:szCs w:val="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Receivables, less allowances of $111,362 and $107,739, respectively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4,755,630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4,764,293</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2,513,922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2,596,470</w:t>
            </w:r>
          </w:p>
        </w:tc>
        <w:tc>
          <w:tcPr>
            <w:tcW w:w="0" w:type="dxa"/>
            <w:vAlign w:val="bottom"/>
          </w:tcPr>
          <w:p>
            <w:pPr>
              <w:spacing w:after="0"/>
              <w:rPr>
                <w:sz w:val="1"/>
                <w:szCs w:val="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217,099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191,110</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gridSpan w:val="2"/>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8,455,171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8,227,207</w:t>
            </w:r>
          </w:p>
        </w:tc>
        <w:tc>
          <w:tcPr>
            <w:tcW w:w="0" w:type="dxa"/>
            <w:vAlign w:val="bottom"/>
          </w:tcPr>
          <w:p>
            <w:pPr>
              <w:spacing w:after="0"/>
              <w:rPr>
                <w:sz w:val="1"/>
                <w:szCs w:val="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440,445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419,173</w:t>
            </w:r>
          </w:p>
        </w:tc>
        <w:tc>
          <w:tcPr>
            <w:tcW w:w="0" w:type="dxa"/>
            <w:vAlign w:val="bottom"/>
          </w:tcPr>
          <w:p>
            <w:pPr>
              <w:spacing w:after="0"/>
              <w:rPr>
                <w:sz w:val="1"/>
                <w:szCs w:val="1"/>
                <w:color w:val="auto"/>
              </w:rPr>
            </w:pPr>
          </w:p>
        </w:tc>
      </w:tr>
      <w:tr>
        <w:trPr>
          <w:trHeight w:val="27"/>
        </w:trPr>
        <w:tc>
          <w:tcPr>
            <w:tcW w:w="1100" w:type="dxa"/>
            <w:vAlign w:val="bottom"/>
            <w:gridSpan w:val="2"/>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Goodwill (Notes 2 and 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945,220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885,072</w:t>
            </w:r>
          </w:p>
        </w:tc>
        <w:tc>
          <w:tcPr>
            <w:tcW w:w="0" w:type="dxa"/>
            <w:vAlign w:val="bottom"/>
          </w:tcPr>
          <w:p>
            <w:pPr>
              <w:spacing w:after="0"/>
              <w:rPr>
                <w:sz w:val="1"/>
                <w:szCs w:val="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331,966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374,117</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gridSpan w:val="2"/>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10,172,802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9,905,569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40" w:type="dxa"/>
            <w:vAlign w:val="bottom"/>
            <w:vMerge w:val="restart"/>
          </w:tcPr>
          <w:p>
            <w:pPr>
              <w:jc w:val="center"/>
              <w:ind w:right="101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00" w:type="dxa"/>
            <w:vAlign w:val="bottom"/>
            <w:gridSpan w:val="2"/>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Borrowings due within one year (Note 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800,563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243,079</w:t>
            </w:r>
          </w:p>
        </w:tc>
        <w:tc>
          <w:tcPr>
            <w:tcW w:w="0" w:type="dxa"/>
            <w:vAlign w:val="bottom"/>
          </w:tcPr>
          <w:p>
            <w:pPr>
              <w:spacing w:after="0"/>
              <w:rPr>
                <w:sz w:val="1"/>
                <w:szCs w:val="1"/>
                <w:color w:val="auto"/>
              </w:rPr>
            </w:pPr>
          </w:p>
        </w:tc>
      </w:tr>
      <w:tr>
        <w:trPr>
          <w:trHeight w:val="27"/>
        </w:trPr>
        <w:tc>
          <w:tcPr>
            <w:tcW w:w="1100" w:type="dxa"/>
            <w:vAlign w:val="bottom"/>
            <w:gridSpan w:val="2"/>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3,561,633</w:t>
            </w:r>
          </w:p>
        </w:tc>
        <w:tc>
          <w:tcPr>
            <w:tcW w:w="0" w:type="dxa"/>
            <w:vAlign w:val="bottom"/>
          </w:tcPr>
          <w:p>
            <w:pPr>
              <w:spacing w:after="0"/>
              <w:rPr>
                <w:sz w:val="1"/>
                <w:szCs w:val="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654,593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673,016</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gridSpan w:val="2"/>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5,022,918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4,477,728</w:t>
            </w:r>
          </w:p>
        </w:tc>
        <w:tc>
          <w:tcPr>
            <w:tcW w:w="0" w:type="dxa"/>
            <w:vAlign w:val="bottom"/>
          </w:tcPr>
          <w:p>
            <w:pPr>
              <w:spacing w:after="0"/>
              <w:rPr>
                <w:sz w:val="1"/>
                <w:szCs w:val="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Long-term debt (Note 4)</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1,184,688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1,273,509</w:t>
            </w:r>
          </w:p>
        </w:tc>
        <w:tc>
          <w:tcPr>
            <w:tcW w:w="0" w:type="dxa"/>
            <w:vAlign w:val="bottom"/>
          </w:tcPr>
          <w:p>
            <w:pPr>
              <w:spacing w:after="0"/>
              <w:rPr>
                <w:sz w:val="1"/>
                <w:szCs w:val="1"/>
                <w:color w:val="auto"/>
              </w:rPr>
            </w:pPr>
          </w:p>
        </w:tc>
      </w:tr>
      <w:tr>
        <w:trPr>
          <w:trHeight w:val="27"/>
        </w:trPr>
        <w:tc>
          <w:tcPr>
            <w:tcW w:w="1100" w:type="dxa"/>
            <w:vAlign w:val="bottom"/>
            <w:gridSpan w:val="2"/>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98,262</w:t>
            </w:r>
          </w:p>
        </w:tc>
        <w:tc>
          <w:tcPr>
            <w:tcW w:w="0" w:type="dxa"/>
            <w:vAlign w:val="bottom"/>
          </w:tcPr>
          <w:p>
            <w:pPr>
              <w:spacing w:after="0"/>
              <w:rPr>
                <w:sz w:val="1"/>
                <w:szCs w:val="1"/>
                <w:color w:val="auto"/>
              </w:rPr>
            </w:pPr>
          </w:p>
        </w:tc>
      </w:tr>
      <w:tr>
        <w:trPr>
          <w:trHeight w:val="237"/>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6,317,720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5,849,499</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gridSpan w:val="2"/>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Shareholders’ equity (Notes 9 and 10):</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gridSpan w:val="2"/>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Common stock $1.00 par; authorized 300,000,000 shares; issued 144,978,000 shares and 152,835,000 shares,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144,978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152,835</w:t>
            </w:r>
          </w:p>
        </w:tc>
        <w:tc>
          <w:tcPr>
            <w:tcW w:w="0" w:type="dxa"/>
            <w:vAlign w:val="bottom"/>
          </w:tcPr>
          <w:p>
            <w:pPr>
              <w:spacing w:after="0"/>
              <w:rPr>
                <w:sz w:val="1"/>
                <w:szCs w:val="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1,254,373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1,233,209</w:t>
            </w:r>
          </w:p>
        </w:tc>
        <w:tc>
          <w:tcPr>
            <w:tcW w:w="0" w:type="dxa"/>
            <w:vAlign w:val="bottom"/>
          </w:tcPr>
          <w:p>
            <w:pPr>
              <w:spacing w:after="0"/>
              <w:rPr>
                <w:sz w:val="1"/>
                <w:szCs w:val="1"/>
                <w:color w:val="auto"/>
              </w:rPr>
            </w:pPr>
          </w:p>
        </w:tc>
      </w:tr>
      <w:tr>
        <w:trPr>
          <w:trHeight w:val="27"/>
        </w:trPr>
        <w:tc>
          <w:tcPr>
            <w:tcW w:w="1100" w:type="dxa"/>
            <w:vAlign w:val="bottom"/>
            <w:gridSpan w:val="2"/>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2,361,685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2,293,510</w:t>
            </w:r>
          </w:p>
        </w:tc>
        <w:tc>
          <w:tcPr>
            <w:tcW w:w="0" w:type="dxa"/>
            <w:vAlign w:val="bottom"/>
          </w:tcPr>
          <w:p>
            <w:pPr>
              <w:spacing w:after="0"/>
              <w:rPr>
                <w:sz w:val="1"/>
                <w:szCs w:val="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income (Note 9)</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94,742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377,211</w:t>
            </w:r>
          </w:p>
        </w:tc>
        <w:tc>
          <w:tcPr>
            <w:tcW w:w="0" w:type="dxa"/>
            <w:vAlign w:val="bottom"/>
          </w:tcPr>
          <w:p>
            <w:pPr>
              <w:spacing w:after="0"/>
              <w:rPr>
                <w:sz w:val="1"/>
                <w:szCs w:val="1"/>
                <w:color w:val="auto"/>
              </w:rPr>
            </w:pPr>
          </w:p>
        </w:tc>
      </w:tr>
      <w:tr>
        <w:trPr>
          <w:trHeight w:val="27"/>
        </w:trPr>
        <w:tc>
          <w:tcPr>
            <w:tcW w:w="1100" w:type="dxa"/>
            <w:vAlign w:val="bottom"/>
            <w:gridSpan w:val="2"/>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Treasury stock at cost, 37,835 shares and 37,802 shares, respectively</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7"/>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3,855,082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4,056,070</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gridSpan w:val="2"/>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10,172,802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9,905,569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January 1,</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(Thousands, except per share data)</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6,693,573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6,767,495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13,119,579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12,949,883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5,909,439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5,994,301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11,581,848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11,453,544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1,496,339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518,740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516,480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1,049,273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1,017,096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integration and other charges (Note 13)</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57,179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230,889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227,602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453,953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422,064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(46,273)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bargain purchase and other (Note 2)</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29,023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208,038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202,994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403,855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407,793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128,585</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147,023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141,034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286,053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279,208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(Note 10):</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Shares used to compute earnings per share (Note 10):</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147,188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152,137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149,729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152,071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149,666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154,259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152,086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153,952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448"/>
        </w:trPr>
        <w:tc>
          <w:tcPr>
            <w:tcW w:w="1100" w:type="dxa"/>
            <w:vAlign w:val="bottom"/>
            <w:tcBorders>
              <w:top w:val="single" w:sz="8" w:color="0000FF"/>
            </w:tcBorders>
          </w:tcPr>
          <w:p>
            <w:pPr>
              <w:spacing w:after="0"/>
              <w:rPr>
                <w:sz w:val="24"/>
                <w:szCs w:val="24"/>
                <w:color w:val="auto"/>
              </w:rPr>
            </w:pPr>
          </w:p>
        </w:tc>
        <w:tc>
          <w:tcPr>
            <w:tcW w:w="724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AVNET, INC. AND SUBSIDIARIES</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724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7240" w:type="dxa"/>
            <w:vAlign w:val="bottom"/>
          </w:tcPr>
          <w:p>
            <w:pPr>
              <w:jc w:val="center"/>
              <w:ind w:left="1890"/>
              <w:spacing w:after="0"/>
              <w:rPr>
                <w:sz w:val="20"/>
                <w:szCs w:val="20"/>
                <w:color w:val="auto"/>
              </w:rPr>
            </w:pPr>
            <w:r>
              <w:rPr>
                <w:rFonts w:ascii="Arial" w:cs="Arial" w:eastAsia="Arial" w:hAnsi="Arial"/>
                <w:sz w:val="18"/>
                <w:szCs w:val="18"/>
                <w:b w:val="1"/>
                <w:bCs w:val="1"/>
                <w:color w:val="auto"/>
                <w:w w:val="93"/>
              </w:rPr>
              <w:t>(Unaudited)</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1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December 31, 2011</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January 1, 2011</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286,053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279,208</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and other reconciling items: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39,490</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20,769</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on bargain purchase and other (Note 2)</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(29,023)</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34,081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31,017</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Changes in (net of effects from businesses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Receivables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(545,192)</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(341,101)</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295,374</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 and other, net</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79,682</w:t>
            </w:r>
          </w:p>
        </w:tc>
      </w:tr>
      <w:tr>
        <w:trPr>
          <w:trHeight w:val="237"/>
        </w:trPr>
        <w:tc>
          <w:tcPr>
            <w:tcW w:w="8340" w:type="dxa"/>
            <w:vAlign w:val="bottom"/>
            <w:gridSpan w:val="2"/>
          </w:tcPr>
          <w:p>
            <w:pPr>
              <w:ind w:left="600"/>
              <w:spacing w:after="0"/>
              <w:rPr>
                <w:sz w:val="20"/>
                <w:szCs w:val="20"/>
                <w:color w:val="auto"/>
              </w:rPr>
            </w:pPr>
            <w:r>
              <w:rPr>
                <w:rFonts w:ascii="Arial" w:cs="Arial" w:eastAsia="Arial" w:hAnsi="Arial"/>
                <w:sz w:val="18"/>
                <w:szCs w:val="18"/>
                <w:color w:val="auto"/>
              </w:rPr>
              <w:t>Net cash flows provided by (used for) operating activities</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245,815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(191,472)</w:t>
            </w:r>
          </w:p>
        </w:tc>
      </w:tr>
      <w:tr>
        <w:trPr>
          <w:trHeight w:val="27"/>
        </w:trPr>
        <w:tc>
          <w:tcPr>
            <w:tcW w:w="110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0"/>
        </w:trPr>
        <w:tc>
          <w:tcPr>
            <w:tcW w:w="11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Borrowings under accounts receivable securitization program (Note 4)</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450,000</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Repayments of notes (Note 4)</w:t>
            </w:r>
          </w:p>
        </w:tc>
        <w:tc>
          <w:tcPr>
            <w:tcW w:w="4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(5,205)</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bank debt, net (Note 4)</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62,520</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(Repayments of) proceeds from other debt, net (Note 4)</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13,570</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common stock (Note 9)</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1,219</w:t>
            </w:r>
          </w:p>
        </w:tc>
      </w:tr>
      <w:tr>
        <w:trPr>
          <w:trHeight w:val="27"/>
        </w:trPr>
        <w:tc>
          <w:tcPr>
            <w:tcW w:w="110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provided by financing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247,350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522,104</w:t>
            </w:r>
          </w:p>
        </w:tc>
      </w:tr>
      <w:tr>
        <w:trPr>
          <w:trHeight w:val="210"/>
        </w:trPr>
        <w:tc>
          <w:tcPr>
            <w:tcW w:w="11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(70,205)</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proceeds from sales of 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Acquisitions of operations, net of cash acquired (Note 2)</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(626,871)</w:t>
            </w:r>
          </w:p>
        </w:tc>
      </w:tr>
      <w:tr>
        <w:trPr>
          <w:trHeight w:val="27"/>
        </w:trPr>
        <w:tc>
          <w:tcPr>
            <w:tcW w:w="110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(695,349)</w:t>
            </w:r>
          </w:p>
        </w:tc>
      </w:tr>
      <w:tr>
        <w:trPr>
          <w:trHeight w:val="210"/>
        </w:trPr>
        <w:tc>
          <w:tcPr>
            <w:tcW w:w="11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29,546</w:t>
            </w:r>
          </w:p>
        </w:tc>
      </w:tr>
      <w:tr>
        <w:trPr>
          <w:trHeight w:val="210"/>
        </w:trPr>
        <w:tc>
          <w:tcPr>
            <w:tcW w:w="11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 increase (decrease)</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293,186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(335,171)</w:t>
            </w: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 at beginning of period</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675,334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1,092,102</w:t>
            </w:r>
          </w:p>
        </w:tc>
      </w:tr>
      <w:tr>
        <w:trPr>
          <w:trHeight w:val="297"/>
        </w:trPr>
        <w:tc>
          <w:tcPr>
            <w:tcW w:w="8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 at end of period</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968,520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756,931</w:t>
            </w:r>
          </w:p>
        </w:tc>
      </w:tr>
      <w:tr>
        <w:trPr>
          <w:trHeight w:val="203"/>
        </w:trPr>
        <w:tc>
          <w:tcPr>
            <w:tcW w:w="110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cash flow information (Note 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the opinion of management, the accompanying unaudited interim consolidated financial statements contain all adjustments necessary to present fairly the Company’s financial position, results of operations and cash flows. All such adjustments are of a normal recurring nature, except for (i) the gain on bargain purchase and other discussed in Note 2 and (ii) the restructuring, integration and other charges discussed in Note 13.</w:t>
      </w:r>
    </w:p>
    <w:p>
      <w:pPr>
        <w:spacing w:after="0" w:line="1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July 2, 2011.</w:t>
      </w:r>
    </w:p>
    <w:p>
      <w:pPr>
        <w:spacing w:after="0" w:line="137" w:lineRule="exact"/>
        <w:rPr>
          <w:sz w:val="20"/>
          <w:szCs w:val="20"/>
          <w:color w:val="auto"/>
        </w:rPr>
      </w:pPr>
    </w:p>
    <w:p>
      <w:pPr>
        <w:ind w:left="440" w:right="9020" w:hanging="432"/>
        <w:spacing w:after="0" w:line="547" w:lineRule="auto"/>
        <w:tabs>
          <w:tab w:leader="none" w:pos="188"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divestitures </w:t>
      </w:r>
      <w:r>
        <w:rPr>
          <w:rFonts w:ascii="Arial" w:cs="Arial" w:eastAsia="Arial" w:hAnsi="Arial"/>
          <w:sz w:val="15"/>
          <w:szCs w:val="15"/>
          <w:i w:val="1"/>
          <w:iCs w:val="1"/>
          <w:color w:val="auto"/>
        </w:rPr>
        <w:t>Acquisition activity</w:t>
      </w:r>
    </w:p>
    <w:p>
      <w:pPr>
        <w:spacing w:after="0" w:line="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half of fiscal 2012, the Company acquired four businesses with annualized revenues of approximately $335 million for an aggregate purchase price of $118,507,000, net of cash acquired. Two of the businesses acquired are reported as part of the EM Asia region, one is reported as part of the EM EMEA region, and one is reported as part of the TS EMEA region.</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Gain on bargain purchase and other</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and first half of fiscal 2012, the Company recognized a loss of $1.4 million pre-tax, $0.9 million after tax and $0.01 per diluted share related to a write-down of an investment in a small technology company and the write off of certain deferred financing costs associated with the early termination of a credit facility (see Note 4 for further discussion of the credit facility).</w:t>
      </w:r>
    </w:p>
    <w:p>
      <w:pPr>
        <w:spacing w:after="0" w:line="14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fiscal 2011, the Company acquired Unidux, Inc., (“Unidux”) an electronics component distributor in Japan with annualized revenues of approximately $370 million, which is reported as part of the EM Asia region. Unidux was a publicly traded company which shares were trading below its book value for a period of time. In a tender offer, Avnet offered a purchase price per share for Unidux that was above the prevailing trading price thereby representing a premium to the then recent trading levels. Even though the purchase price was below book value, the Unidux shareholders tendered their shares. As a result, the Company recognized a gain on bargain purchase of $30,990,000 pre- and after tax and $0.20 per share on a diluted basis. Other charges recorded during the first half of fiscal 2011 related primarily to the impairment of a building in EMEA.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carrying amount of goodwill, by reportable segment, for the six months ended December 31, 2011: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Electronics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Technology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Marketing</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Solutions</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July 2, 2011</w:t>
            </w:r>
          </w:p>
        </w:tc>
        <w:tc>
          <w:tcPr>
            <w:tcW w:w="2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352,870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885,072</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56,393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34,607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(30,852)</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Carrying value at December 31, 2011</w:t>
            </w: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424,368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520,852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945,220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goodwill additions are a result of businesses acquired during the first six months fiscal 2012 (see Note 2) and purchase accounting adjustments during the purchase price allocation period. The adjustment to goodwill is a result of the transfer of the Latin America computing components business from TS Americas to EM Americas in the first quarter of fiscal 2012. The transferred business had been acquired as part of the Bell Microproducts, Inc. acquisition.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gross amount of goodwill and accumulated impairment since fiscal 2009 as of July 2, 2011 and December 31,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the accumulated impairment was recognized in fiscal 2009.</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Electronics</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Technology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Marketing</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Solutions</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(Thousands)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goodwill at July 2,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1,397,980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866,826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2,264,806</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Accumulated impairment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(1,045,110)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July 2, 2011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352,870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532,202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885,072</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goodwill at December 31,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1,469,478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855,476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2,324,954</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Accumulated impairment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(1,045,110)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December 31, 2011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424,368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520,852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945,220</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first six months of fiscal 2012, the Company recognized approximately $19,679,000 for customer relationship and trade name intangible assets acquired as result of an acquisition completed in the first quarter of fiscal 2012. As of December 31, 2011, “Other assets” included intangible assets with a carrying value of $127,076,000 consisting of $189,197,000 in original cost value and $62,121,000 of accumulated amortization and foreign currency translation. These assets are being amortized over a weighted average life of 8 years. Intangible asset amortization expense was $6,127,000 and $4,761,000 for the second quarter of fiscal 2012 and 2011, respectively, and $12,290,000 and $9,770,000 for the first six months of fiscal 2012 and 2011, respectively. Amortization expense for the next 5 years is expected to be approximately $23,000,000 each year for fiscal 2013 through 2015, $16,000,000 for fiscal 2016 and $14,000,000 for fiscal 2017.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External financing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Short-term debt consists of the following:</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76"/>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460" w:type="dxa"/>
            <w:vAlign w:val="bottom"/>
          </w:tcPr>
          <w:p>
            <w:pPr>
              <w:spacing w:after="0"/>
              <w:rPr>
                <w:sz w:val="24"/>
                <w:szCs w:val="24"/>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July 2,</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2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credit 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Borrowings under the accounts receivable securitization program</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610,000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160,000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due within one year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800,563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243,079</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consist of various committed and uncommitted lines of credit with financial institutions utilized primarily to support the working capital requirements of foreign operations. The weighted average interest rate on the bank credit facilities was 6.9% and 7.8% at December 31, 2011 and July 2, 2011, respectively.</w:t>
      </w:r>
    </w:p>
    <w:p>
      <w:pPr>
        <w:spacing w:after="0" w:line="14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August 2011, the Company amended its accounts receivable securitization program (the “Program”) with a group of financial institutions to allow the Company to sell, on a revolving basis, an undivided interest of up to $750,000,000 ($600,000,000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December 31, 2011. The Program has a one year term that expires in August 2012. Interest on borrowings is calculated using a base rate or a commercial paper rate plus a spread of 0.35%. The facility fee is 0.35%.</w:t>
      </w:r>
    </w:p>
    <w:p>
      <w:pPr>
        <w:sectPr>
          <w:pgSz w:w="11900" w:h="16838" w:orient="portrait"/>
          <w:cols w:equalWidth="0" w:num="1">
            <w:col w:w="11420"/>
          </w:cols>
          <w:pgMar w:left="240" w:top="126"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6" w:right="23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Long-term debt consists of the following:</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6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460" w:type="dxa"/>
            <w:vAlign w:val="bottom"/>
          </w:tcPr>
          <w:p>
            <w:pPr>
              <w:spacing w:after="0"/>
              <w:rPr>
                <w:sz w:val="24"/>
                <w:szCs w:val="24"/>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July 2,</w:t>
            </w:r>
          </w:p>
        </w:tc>
      </w:tr>
      <w:tr>
        <w:trPr>
          <w:trHeight w:val="234"/>
        </w:trPr>
        <w:tc>
          <w:tcPr>
            <w:tcW w:w="64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20" w:type="dxa"/>
            <w:vAlign w:val="bottom"/>
          </w:tcPr>
          <w:p>
            <w:pPr>
              <w:spacing w:after="0"/>
              <w:rPr>
                <w:sz w:val="20"/>
                <w:szCs w:val="20"/>
                <w:color w:val="auto"/>
              </w:rPr>
            </w:pPr>
          </w:p>
        </w:tc>
      </w:tr>
      <w:tr>
        <w:trPr>
          <w:trHeight w:val="27"/>
        </w:trPr>
        <w:tc>
          <w:tcPr>
            <w:tcW w:w="6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5.875%</w:t>
            </w:r>
          </w:p>
        </w:tc>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due March 15,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6.00% Notes due September 1, 2015</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6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6.625%</w:t>
            </w:r>
          </w:p>
        </w:tc>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due September 15, 2016</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w w:val="94"/>
              </w:rPr>
              <w:t>5.875%</w:t>
            </w:r>
          </w:p>
        </w:tc>
        <w:tc>
          <w:tcPr>
            <w:tcW w:w="7700" w:type="dxa"/>
            <w:vAlign w:val="bottom"/>
          </w:tcPr>
          <w:p>
            <w:pPr>
              <w:spacing w:after="0"/>
              <w:rPr>
                <w:sz w:val="20"/>
                <w:szCs w:val="20"/>
                <w:color w:val="auto"/>
              </w:rPr>
            </w:pPr>
            <w:r>
              <w:rPr>
                <w:rFonts w:ascii="Arial" w:cs="Arial" w:eastAsia="Arial" w:hAnsi="Arial"/>
                <w:sz w:val="18"/>
                <w:szCs w:val="18"/>
                <w:color w:val="auto"/>
              </w:rPr>
              <w:t>Notes due June 15, 2020</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126,512</w:t>
            </w:r>
          </w:p>
        </w:tc>
      </w:tr>
      <w:tr>
        <w:trPr>
          <w:trHeight w:val="237"/>
        </w:trPr>
        <w:tc>
          <w:tcPr>
            <w:tcW w:w="640" w:type="dxa"/>
            <w:vAlign w:val="bottom"/>
          </w:tcPr>
          <w:p>
            <w:pPr>
              <w:ind w:left="40"/>
              <w:spacing w:after="0"/>
              <w:rPr>
                <w:sz w:val="20"/>
                <w:szCs w:val="20"/>
                <w:color w:val="auto"/>
              </w:rPr>
            </w:pPr>
            <w:r>
              <w:rPr>
                <w:rFonts w:ascii="Arial" w:cs="Arial" w:eastAsia="Arial" w:hAnsi="Arial"/>
                <w:sz w:val="18"/>
                <w:szCs w:val="18"/>
                <w:color w:val="auto"/>
                <w:w w:val="87"/>
              </w:rPr>
              <w:t>Subtotal</w:t>
            </w:r>
          </w:p>
        </w:tc>
        <w:tc>
          <w:tcPr>
            <w:tcW w:w="7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1,187,425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1,276,512</w:t>
            </w: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on notes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r>
      <w:tr>
        <w:trPr>
          <w:trHeight w:val="257"/>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1,184,688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1,273,509</w:t>
            </w:r>
          </w:p>
        </w:tc>
      </w:tr>
      <w:tr>
        <w:trPr>
          <w:trHeight w:val="20"/>
        </w:trPr>
        <w:tc>
          <w:tcPr>
            <w:tcW w:w="6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During the second quarter of fiscal 2012, the Company entered into a five-year $1,000,000,000 senior unsecured revolving credit facility (the "2012 Credit Facility") with a syndicate of banks which expires in November 2016. In connection with the 2012 Credit Facility, the Company terminated its existing unsecured $500,000,000 credit facility (the "2008 Credit Facility") which was to expire in September 2012. Under the 2012 Credit Facility, the Company may select from various interest rate options, currencies and maturities. The 2012 Credit Facility contains certain covenants, all of which the Company was in compliance with as of December 31, 2011. At December 31, 2011, there were $23,181,000 of borrowings under the 2012 Credit Facility included in “other long-term debt” in the preceding table. In addition, there were $17,102,000 letters of credit issued under the 2012 Credit Facility which represents a utilization of the 2012 Credit Agreement capacity but are not recorded in the consolidated balance sheet as the letters of credit are not debt. At July 2, 2011, there were $122,093,000 of borrowings outstanding under the 2008 Credit Facility included in “other long-term debt” in the preceding table and $16,602,000 in letters of credit issued.</w:t>
      </w:r>
    </w:p>
    <w:p>
      <w:pPr>
        <w:spacing w:after="0" w:line="15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At December 31, 2011, the carrying value and fair value of the Company’s debt was $1,985,251,000 and $2,100,577,000, respectively. Fair value was estimated primarily based upon quoted market prices.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Many of the Company’s subsidiaries, on occasion,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exchange contracts with maturities of less than sixty days. The Company continues to have exposure to foreign currency risks to the extent they are not hedged. The Company adjusts all foreign denominated balances and any outstanding foreign exchange contracts to fair market value through the consolidated statements of operations. Therefore, the market risk related to the foreign exchange contracts is offset by the changes in valuation of the underlying items being hedged. The asset or liability representing the fair value of foreign exchange contracts, based upon level 2 criteria under the fair value measurements standard, is classified in the captions “other current assets” or “accrued expenses and other,” as applicable, in the accompanying consolidated balance sheets and were not material. In addition, the Company did not have material gains or losses related to the forward contracts which are recorded in “other (expense) income, net” in the accompanying consolidated statements of operations.</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generally does not hedge its investment in its foreign operations. The Company does not enter into derivative financial instruments for trading or speculative purposes and monitors the financial stability and credit standing of its counterparties.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440" w:right="8740" w:hanging="432"/>
        <w:spacing w:after="0" w:line="456" w:lineRule="auto"/>
        <w:tabs>
          <w:tab w:leader="none" w:pos="18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Bell</w:t>
      </w:r>
    </w:p>
    <w:p>
      <w:pPr>
        <w:spacing w:after="0" w:line="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fiscal 2011, the Company recognized a contingent liability for potential unpaid import duties associated with the acquisition of Bell Microproducts Inc. (“Bell”). Prior to the acquisition of Bell by Avnet, Customs and Border Protection (“CBP”) initiated a review of the importing process at one of Bell’s subsidiaries and identified compliance deficiencies. Subsequent to the acquisition of Bell by Avnet, CBP began a compliance audit. The Company evaluated projected duties, interest and penalties that potentially may be imposed as a result of the audit and recognized a contingent liability of $10,000,000 which was recorded to goodwill in fiscal 2011. Depending on the ultimate resolution of the matter with CBP, the Company estimates that the range of the potential exposure associated with the liability may be up to $73,000,000; however, the Company believes the contingent liability recorded is a reasonable estimate of the liability based upon the facts available at this time.</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From time to time, the Company may become a party to, or otherwise involved in other pending and threatened litigation, tax, environmental and other matters arising in the ordinary course of conducting its business. Management does not anticipate that any contingent matters will have a material adverse effect on the Company’s financial condition, liquidity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8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effective tax rate on its income before income taxes was 29.3% in the second quarter of fiscal 2012 as compared with 30.5% in the second quarter of fiscal 2011. For the first six months of fiscal 2012 and 2011, the Company's effective tax rate was 29.2% and 31.5%, respectively. During the first six months of fiscal 2011, the Company recognized an income tax adjustment of $16,900,000 primarily related to the non-cash write-off of a deferred tax asset associated with the integration of acquired legal entities, which was partially offset by the non-taxable gain on bargain purchase (see Note 2).</w:t>
      </w:r>
    </w:p>
    <w:p>
      <w:pPr>
        <w:spacing w:after="0" w:line="1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tax rate is impacted primarily by the statutory tax rates of the countries in which the Company operates and the related levels of income in those jurisdictions as well as assessment of tax risks that are common to multinational enterprises and assessments of the realizability of deferred tax assets and the associated establishment or release of tax valuation allowances.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noncontributory defined benefit pension plan (the “Plan”) covers substantially all domestic employees. Components of net periodic pension costs during the quarters and six months ended December 31, 2011 and January 1, 2011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January 1,</w:t>
            </w:r>
          </w:p>
        </w:tc>
      </w:t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82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14,550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7,200</w:t>
            </w: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4,650</w:t>
            </w: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57"/>
        </w:trPr>
        <w:tc>
          <w:tcPr>
            <w:tcW w:w="5140" w:type="dxa"/>
            <w:vAlign w:val="bottom"/>
          </w:tcPr>
          <w:p>
            <w:pPr>
              <w:ind w:left="180"/>
              <w:spacing w:after="0"/>
              <w:rPr>
                <w:sz w:val="20"/>
                <w:szCs w:val="20"/>
                <w:color w:val="auto"/>
              </w:rPr>
            </w:pPr>
            <w:r>
              <w:rPr>
                <w:rFonts w:ascii="Arial" w:cs="Arial" w:eastAsia="Arial" w:hAnsi="Arial"/>
                <w:sz w:val="18"/>
                <w:szCs w:val="18"/>
                <w:color w:val="auto"/>
              </w:rPr>
              <w:t>Net periodic pension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11,500</w:t>
            </w: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contributions made to the Plan during the first six months of fiscal 2012.</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Comprehensive income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594"/>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4"/>
                <w:szCs w:val="24"/>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January 1,</w:t>
            </w:r>
          </w:p>
        </w:tc>
      </w:t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82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279,208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133,553</w:t>
            </w:r>
          </w:p>
        </w:tc>
      </w:tr>
      <w:tr>
        <w:trPr>
          <w:trHeight w:val="27"/>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50,812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98,935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412,761</w:t>
            </w: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2011, the Company’s Board of Directors authorized the repurchase of up to $500,000,000 of common stock in the open market or through privately negotiated transactions. The timing and actual number of shares purchased will depend on a variety of factors such as price, corporate and regulatory requirements, and prevailing market conditions. From August 15, 2011, when the program was made effective, through the end of the second quarter of fiscal 2012, the Company repurchased 8,060,000 shares under this program with an average market price of $28.01 per share for a total cost of $225,937,000. This amount differs from the cash used for repurchases of common stock on the consolidated statement of cash flows to the extent repurchases were not settled at the end of the quarter. Repurchased shares were retired.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gridSpan w:val="5"/>
          </w:tcPr>
          <w:p>
            <w:pPr>
              <w:ind w:left="26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31, 2011</w:t>
            </w:r>
          </w:p>
        </w:tc>
        <w:tc>
          <w:tcPr>
            <w:tcW w:w="12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January 1, 2011</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January 1, 2011</w:t>
            </w:r>
          </w:p>
        </w:tc>
      </w:tr>
      <w:tr>
        <w:trPr>
          <w:trHeight w:val="27"/>
        </w:trPr>
        <w:tc>
          <w:tcPr>
            <w:tcW w:w="5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5"/>
          </w:tcPr>
          <w:p>
            <w:pPr>
              <w:ind w:left="60"/>
              <w:spacing w:after="0"/>
              <w:rPr>
                <w:sz w:val="20"/>
                <w:szCs w:val="20"/>
                <w:color w:val="auto"/>
              </w:rPr>
            </w:pPr>
            <w:r>
              <w:rPr>
                <w:rFonts w:ascii="Arial" w:cs="Arial" w:eastAsia="Arial" w:hAnsi="Arial"/>
                <w:sz w:val="18"/>
                <w:szCs w:val="18"/>
                <w:b w:val="1"/>
                <w:bCs w:val="1"/>
                <w:color w:val="auto"/>
                <w:w w:val="97"/>
              </w:rPr>
              <w:t>(Thousands, except per share data)</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304"/>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147,023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141,034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286,053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279,208</w:t>
            </w: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w w:val="97"/>
              </w:rPr>
              <w:t>Weighted average common shares for basic earnings per share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147,188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152,137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149,729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152,071</w:t>
            </w: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Net effect of dilutive stock options and performance share awards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1,881</w:t>
            </w:r>
          </w:p>
        </w:tc>
      </w:tr>
      <w:tr>
        <w:trPr>
          <w:trHeight w:val="297"/>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5"/>
              </w:rPr>
              <w:t>Weighted average common shares for diluted earnings per share</w:t>
            </w:r>
          </w:p>
        </w:tc>
        <w:tc>
          <w:tcPr>
            <w:tcW w:w="3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149,666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154,259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152,086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153,952</w:t>
            </w:r>
          </w:p>
        </w:tc>
      </w:tr>
      <w:tr>
        <w:trPr>
          <w:trHeight w:val="5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r>
      <w:tr>
        <w:trPr>
          <w:trHeight w:val="20"/>
        </w:trPr>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1"/>
        </w:trPr>
        <w:tc>
          <w:tcPr>
            <w:tcW w:w="51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r>
      <w:tr>
        <w:trPr>
          <w:trHeight w:val="20"/>
        </w:trPr>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Options to purchase 238,000 and 252,000 shares of the Company’s stock were excluded from the calculations of diluted earnings per share for the quarters ended December 31, 2011 and January 1, 2011, respectively, and 585,000 and 610,000 shares were excluded for the six months ended December 31, 2011 and January 1, 2011, respectively, because the exercise price for those options was above the average market price of the Company’s stock for those periods and inclusion of these options in the diluted earnings per share calculation would have had an anti-dilutive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income taxes paid in the six months ended December 31, 2011 and January 1, 2011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1,</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(Thousands)</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5"/>
        </w:trPr>
        <w:tc>
          <w:tcPr>
            <w:tcW w:w="5140" w:type="dxa"/>
            <w:vAlign w:val="bottom"/>
          </w:tcPr>
          <w:p>
            <w:pPr>
              <w:spacing w:after="0"/>
              <w:rPr>
                <w:sz w:val="20"/>
                <w:szCs w:val="20"/>
                <w:color w:val="auto"/>
              </w:rPr>
            </w:pPr>
            <w:r>
              <w:rPr>
                <w:rFonts w:ascii="Arial" w:cs="Arial" w:eastAsia="Arial" w:hAnsi="Arial"/>
                <w:sz w:val="18"/>
                <w:szCs w:val="18"/>
                <w:b w:val="1"/>
                <w:bCs w:val="1"/>
                <w:color w:val="auto"/>
              </w:rPr>
              <w:t>12. Segment information</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4"/>
                <w:szCs w:val="24"/>
                <w:color w:val="auto"/>
              </w:rPr>
            </w:pPr>
          </w:p>
        </w:tc>
        <w:tc>
          <w:tcPr>
            <w:tcW w:w="29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1,</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82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3,595,607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3,558,614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7,411,872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7,179,218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Solutions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3,097,966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3,208,881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5,707,707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5,770,665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6,693,573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6,767,495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13,119,579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12,949,883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174,902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183,448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366,059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375,532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183,942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161,857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(31,902)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479,243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Restructuring, integration and other charges (Note 13)</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(57,179)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230,889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227,602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453,953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422,064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Sales, by geographic area: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3,050,001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3,043,652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5,821,606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5,764,866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1,949,508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2,124,597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3,851,784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4,012,101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Asia/Pacific </w:t>
            </w:r>
            <w:r>
              <w:rPr>
                <w:rFonts w:ascii="Arial" w:cs="Arial" w:eastAsia="Arial" w:hAnsi="Arial"/>
                <w:sz w:val="25"/>
                <w:szCs w:val="25"/>
                <w:color w:val="auto"/>
                <w:vertAlign w:val="superscript"/>
              </w:rPr>
              <w:t>(3)</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1,694,064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1,599,246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3,446,189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3,172,916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6,693,573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6,767,495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13,119,579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12,949,883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1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in the United States of $2.63 billion in each of the second quarters ended December 31, 2011 and January 1, 2011, respectively. Includes sales in the United States of $5.03 billion and $5.04 billion for the first half of fiscal 2012 and 2011, respectively.</w:t>
      </w:r>
    </w:p>
    <w:p>
      <w:pPr>
        <w:spacing w:after="0" w:line="68" w:lineRule="exact"/>
        <w:rPr>
          <w:rFonts w:ascii="Arial" w:cs="Arial" w:eastAsia="Arial" w:hAnsi="Arial"/>
          <w:sz w:val="25"/>
          <w:szCs w:val="25"/>
          <w:color w:val="auto"/>
          <w:vertAlign w:val="superscript"/>
        </w:rPr>
      </w:pPr>
    </w:p>
    <w:p>
      <w:pPr>
        <w:jc w:val="both"/>
        <w:ind w:left="660" w:hanging="652"/>
        <w:spacing w:after="0" w:line="232"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in Germany and United Kingdom of $632.7 million and $382.0 million, respectively, for the second quarter ended December 31, 2011, and $1.36 billion and $740.2 million, respectively, for the first half of fiscal 2012. Includes sales in Germany and the United Kingdom of $779.6 million and $445.4 million, respectively, for the second quarter ended January 1, 2011, and $1.48 billion and $871.3 million, respectively, for the first half of fiscal 2011.</w:t>
      </w:r>
    </w:p>
    <w:p>
      <w:pPr>
        <w:spacing w:after="0" w:line="67" w:lineRule="exact"/>
        <w:rPr>
          <w:rFonts w:ascii="Arial" w:cs="Arial" w:eastAsia="Arial" w:hAnsi="Arial"/>
          <w:sz w:val="25"/>
          <w:szCs w:val="25"/>
          <w:color w:val="auto"/>
          <w:vertAlign w:val="superscript"/>
        </w:rPr>
      </w:pPr>
    </w:p>
    <w:p>
      <w:pPr>
        <w:jc w:val="both"/>
        <w:ind w:left="660" w:hanging="652"/>
        <w:spacing w:after="0" w:line="245"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Includes sales in Taiwan, China (including Hong Kong) and Singapore of $471.2 million, $581.5 million and $288.1 million, respectively, for the second quarter ended December 31, 2011, and $982.3 million, $1.16 billion and $593.9 million, respectively, for the first half of fiscal 2012. Includes sales in Taiwan, China (including Hong Kong) and Singapore of $422.6 million, $578.6 million and $294.3 million, respectively, for the second quarter ended January 1, 2011, and $865.6 million, $1.17 billion and $581.9 million, respectively, for the first half of fiscal 2011.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July 2,</w:t>
            </w:r>
          </w:p>
        </w:tc>
        <w:tc>
          <w:tcPr>
            <w:tcW w:w="0" w:type="dxa"/>
            <w:vAlign w:val="bottom"/>
          </w:tcPr>
          <w:p>
            <w:pPr>
              <w:spacing w:after="0"/>
              <w:rPr>
                <w:sz w:val="1"/>
                <w:szCs w:val="1"/>
                <w:color w:val="auto"/>
              </w:rPr>
            </w:pPr>
          </w:p>
        </w:tc>
      </w:tr>
      <w:tr>
        <w:trPr>
          <w:trHeight w:val="234"/>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5,863,267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5,890,871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3,935,604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3,765,157</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373,931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249,541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10,172,802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9,905,569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Property, plant, and equipment, net, by geographic area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264,096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242,450</w:t>
            </w: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(5)</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148,497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150,601</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Asia/Pacific</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27,852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26,122</w:t>
            </w: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440,445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419,173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90" w:lineRule="exact"/>
        <w:rPr>
          <w:sz w:val="20"/>
          <w:szCs w:val="20"/>
          <w:color w:val="auto"/>
        </w:rPr>
      </w:pPr>
    </w:p>
    <w:p>
      <w:pPr>
        <w:ind w:left="66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$252.9 million and $231.3 million as of December 31, 2011 and July 2, 2011, respectively, in the United States.</w:t>
      </w:r>
    </w:p>
    <w:p>
      <w:pPr>
        <w:spacing w:after="0" w:line="68" w:lineRule="exact"/>
        <w:rPr>
          <w:rFonts w:ascii="Arial" w:cs="Arial" w:eastAsia="Arial" w:hAnsi="Arial"/>
          <w:sz w:val="25"/>
          <w:szCs w:val="25"/>
          <w:color w:val="auto"/>
          <w:vertAlign w:val="superscript"/>
        </w:rPr>
      </w:pPr>
    </w:p>
    <w:p>
      <w:pPr>
        <w:ind w:left="66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$92.1 million, $24.0 million and $16.4 million in Germany, Belgium and the United Kingdom, respectively, as of December 31, 2011 and $92.8 million, $23.4 million and $16.4 million, respectively, as of July 2, 2011.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integration and other 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2012</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of fiscal 2012, the Company initiated actions to reduce costs in both operating groups in response to current market conditions and incurred acquisition and integration costs associated with recently acquired businesses. As a result, the Company incurred restructuring, integration and other charges as presented in the following table.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4"/>
          </w:tcPr>
          <w:p>
            <w:pPr>
              <w:jc w:val="center"/>
              <w:ind w:right="350"/>
              <w:spacing w:after="0"/>
              <w:rPr>
                <w:sz w:val="20"/>
                <w:szCs w:val="20"/>
                <w:color w:val="auto"/>
              </w:rPr>
            </w:pPr>
            <w:r>
              <w:rPr>
                <w:rFonts w:ascii="Arial" w:cs="Arial" w:eastAsia="Arial" w:hAnsi="Arial"/>
                <w:sz w:val="18"/>
                <w:szCs w:val="18"/>
                <w:b w:val="1"/>
                <w:bCs w:val="1"/>
                <w:color w:val="auto"/>
                <w:w w:val="94"/>
              </w:rPr>
              <w:t>Quarter Ended</w:t>
            </w: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88"/>
              </w:rPr>
              <w:t>(Thousands)</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Integration costs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3,449</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transaction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Reversal of excess prior year restructuring reserves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restructuring, integration and other charges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34,505</w:t>
            </w: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After tax restructuring, integration and other charges</w:t>
            </w:r>
          </w:p>
        </w:tc>
        <w:tc>
          <w:tcPr>
            <w:tcW w:w="24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23,563</w:t>
            </w:r>
          </w:p>
        </w:tc>
      </w:tr>
      <w:tr>
        <w:trPr>
          <w:trHeight w:val="251"/>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Restructuring, integration and other charges per share on a diluted basis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20"/>
        </w:trPr>
        <w:tc>
          <w:tcPr>
            <w:tcW w:w="666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19"/>
        </w:trPr>
        <w:tc>
          <w:tcPr>
            <w:tcW w:w="10280" w:type="dxa"/>
            <w:vAlign w:val="bottom"/>
            <w:gridSpan w:val="13"/>
          </w:tcPr>
          <w:p>
            <w:pPr>
              <w:ind w:left="440"/>
              <w:spacing w:after="0"/>
              <w:rPr>
                <w:sz w:val="20"/>
                <w:szCs w:val="20"/>
                <w:color w:val="auto"/>
              </w:rPr>
            </w:pPr>
            <w:r>
              <w:rPr>
                <w:rFonts w:ascii="Arial" w:cs="Arial" w:eastAsia="Arial" w:hAnsi="Arial"/>
                <w:sz w:val="18"/>
                <w:szCs w:val="18"/>
                <w:color w:val="auto"/>
                <w:w w:val="94"/>
              </w:rPr>
              <w:t>The activity related to the restructuring charges incurred during the second quarter of fiscal 2012 is presented in the following table:</w:t>
            </w:r>
          </w:p>
        </w:tc>
        <w:tc>
          <w:tcPr>
            <w:tcW w:w="1140" w:type="dxa"/>
            <w:vAlign w:val="bottom"/>
          </w:tcPr>
          <w:p>
            <w:pPr>
              <w:spacing w:after="0"/>
              <w:rPr>
                <w:sz w:val="24"/>
                <w:szCs w:val="24"/>
                <w:color w:val="auto"/>
              </w:rPr>
            </w:pPr>
          </w:p>
        </w:tc>
      </w:tr>
      <w:tr>
        <w:trPr>
          <w:trHeight w:val="360"/>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Reserves</w:t>
            </w: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Exit Costs</w:t>
            </w:r>
          </w:p>
        </w:tc>
        <w:tc>
          <w:tcPr>
            <w:tcW w:w="460" w:type="dxa"/>
            <w:vAlign w:val="bottom"/>
          </w:tcPr>
          <w:p>
            <w:pPr>
              <w:spacing w:after="0"/>
              <w:rPr>
                <w:sz w:val="20"/>
                <w:szCs w:val="20"/>
                <w:color w:val="auto"/>
              </w:rPr>
            </w:pPr>
          </w:p>
        </w:tc>
        <w:tc>
          <w:tcPr>
            <w:tcW w:w="9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Other</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2012 pre-tax charges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write downs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12,274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19,161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6" w:right="2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Severance charges recorded in the second quarter of fiscal 2012 related to personnel reductions of approximately 350 employees in sales, administrative and finance functions in connection with the cost reduction actions taken in all three regions in both operating groups with employee reductions of approximately 250 in EM and 100 in TS. Facility exit costs for vacated facilities related to 14 vacated facilities: nine in the Americas, three in EMEA and two in the Asia/Pac region and consisted of reserves for remaining lease liabilities and the write-down of leasehold improvements and other fixed assets. Other restructuring charges related primarily to other onerous lease obligations that have no on-going benefit to the Company. Of the $28,938,000 pre-tax restructuring charges recorded during the second quarter of fiscal 2012, $19,494,000 related to EM and $9,444,000 related to TS. As of December 31, 2011, management expects the majority of the remaining severance and other reserves to be utilized by the end of fiscal 2013 and the remaining facility exit cost reserves to be utilized by the end of fiscal 2018.</w:t>
      </w:r>
    </w:p>
    <w:p>
      <w:pPr>
        <w:spacing w:after="0" w:line="17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Integration costs incurred related to the integration of acquired businesses and incremental costs incurred as part of the consolidation and closure of certain office and warehouse locations. Integration costs included IT consulting costs for system integration assistance, facility moving costs, legal fees, travel, meeting, marketing and communication costs that were incrementally incurred as a result of the integration activity. Also included in integration costs are incremental salary costs associated with the consolidation and closure activities as well as costs associated with acquisition activity, primarily related to the acquired businesses' personnel who were retained by Avnet for extended periods following the close of the acquisitions solely to assist in the integration of the acquired businesses' IT systems and administrative and logistics operations into those of Avnet. These identified personnel have no other meaningful day-to-day operational responsibilities outside of the integration effort.</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Acquisition transaction costs incurred during the second quarter ended December 31, 2011 related primarily to professional fees for advisory and broker services and legal and accounting due diligence procedures and other legal costs associated with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2011</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2011, the Company incurred restructuring, integration and other charges related to acquisition and integration activities associated with acquired businesses. The following table presents the activity during the first six months of fiscal 2012 related to the remaining restructuring reserves established during fiscal 2011.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Reserves</w:t>
            </w: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Exit Costs</w:t>
            </w:r>
          </w:p>
        </w:tc>
        <w:tc>
          <w:tcPr>
            <w:tcW w:w="46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2, 2011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6,037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9,740</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2011, management expects the majority of the remaining severance and other reserves to be utilized by the end of fiscal 2013 and the remaining facility exit cost reserves to be utilized by the end of fiscal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2010 and prior restructuring reserves</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fiscal 2010 and prior, the Company incurred restructuring, integration and other charges of which four restructuring plans are remaining. The following table presents the activity during the first six months of fiscal 2012 related to the remaining restructuring reserves that were established during and prior to fiscal 2010.</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Reserves</w:t>
            </w: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Exit Costs</w:t>
            </w:r>
          </w:p>
        </w:tc>
        <w:tc>
          <w:tcPr>
            <w:tcW w:w="46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2, 2011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2011, management expects the majority of the remaining severance and other reserves to be utilized by the end of fiscal 2012 and the remaining facility exit cost reserves to be utilized by the end of fiscal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December 31, 2011,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(“MD&amp;A”) should be read in conjunction with the consolidated financial statements, including the related notes, appearing in Item 1 of this Report, as well as the Company’s Annual Report on Form 10-K for the year ended July 2, 2011.</w:t>
      </w:r>
    </w:p>
    <w:p>
      <w:pPr>
        <w:spacing w:after="0" w:line="14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Results for the second quarter of fiscal 2012 were not significantly impacted by the movement of foreign currency exchange rates in comparison to the second quarter of fiscal 2011. For example, the U.S. Dollar has strengthened against the Euro by less than 1% when comparing the second quarter of fiscal 2012 with the second quarter of fiscal 2011. However, when comparing the first half of fiscal 2012 to the same period in fiscal 2011, exchange rates had a more pronounced impact as, for example, the U.S. Dollar weakened against the Euro by approximately 4%; therefore, part of the fluctuation between the first six months of fiscal 2012 results of operations and the same period in the prior year are a result of changes in foreign currency exchange rates. When the weaker U.S. Dollar exchange rates of the current year are used to translate the results of operations of Avnet’s subsidiaries denominated in foreign currencies, the resulting impact is an increase in U.S. Dollars of reported results. In the discussion that follows, this is referred to as the “translation impact of changes in foreign currency exchange rates” and is also referred to as “constant currency.”</w:t>
      </w:r>
    </w:p>
    <w:p>
      <w:pPr>
        <w:spacing w:after="0" w:line="14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addition to disclosing financial results that are determined in accordance with U.S.generally accepted accounting principles (“GAAP”), the Company also discloses certain non-GAAP financial information, including:</w:t>
      </w:r>
    </w:p>
    <w:p>
      <w:pPr>
        <w:spacing w:after="0" w:line="3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Income or expense items as adjusted for the translation impact of changes in foreign currency exchange rates, as discussed above.</w:t>
      </w:r>
    </w:p>
    <w:p>
      <w:pPr>
        <w:spacing w:after="0" w:line="101" w:lineRule="exact"/>
        <w:rPr>
          <w:rFonts w:ascii="Arial" w:cs="Arial" w:eastAsia="Arial" w:hAnsi="Arial"/>
          <w:sz w:val="17"/>
          <w:szCs w:val="17"/>
          <w:color w:val="auto"/>
        </w:rPr>
      </w:pPr>
    </w:p>
    <w:p>
      <w:pPr>
        <w:jc w:val="both"/>
        <w:ind w:left="980" w:hanging="324"/>
        <w:spacing w:after="0" w:line="273"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Sales adjusted for certain items that impact the year-over-year analysis, which included: (i) the impact of acquisitions by adjusting Avnet’s prior periods to include the sales of businesses acquired as if the acquisitions had occurred at the beginning of the period presented; (ii) the impact of a divestiture by adjusting Avnet’s prior periods to exclude the sales of the business divested as if the divestiture had occurred at the beginning of the period presented; and (iii) the impact of the transfer at the beginning of fiscal 2012 of the Latin America computing components business from TS Americas to EM Americas, which is being managed as part of the EM embedded business. Sales taking into account the combination of these adjustments are referred to as “pro forma sales” or “organic sales.”</w:t>
      </w:r>
    </w:p>
    <w:p>
      <w:pPr>
        <w:spacing w:after="0" w:line="43" w:lineRule="exact"/>
        <w:rPr>
          <w:rFonts w:ascii="Arial" w:cs="Arial" w:eastAsia="Arial" w:hAnsi="Arial"/>
          <w:sz w:val="17"/>
          <w:szCs w:val="17"/>
          <w:color w:val="auto"/>
        </w:rPr>
      </w:pPr>
    </w:p>
    <w:p>
      <w:pPr>
        <w:ind w:left="980" w:right="6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Operating income excluding restructuring, integration and other charges incurred in the second quarter of fiscal 2011 (see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Integration and Other Charges </w:t>
      </w:r>
      <w:r>
        <w:rPr>
          <w:rFonts w:ascii="Arial" w:cs="Arial" w:eastAsia="Arial" w:hAnsi="Arial"/>
          <w:sz w:val="18"/>
          <w:szCs w:val="18"/>
          <w:color w:val="auto"/>
        </w:rPr>
        <w:t>in this MD&amp;A). The reconciliation to GAAP is presented in the following table.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Second Quarter</w:t>
            </w: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Second Quarter</w:t>
            </w:r>
          </w:p>
        </w:tc>
        <w:tc>
          <w:tcPr>
            <w:tcW w:w="42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First Half</w:t>
            </w:r>
          </w:p>
        </w:tc>
        <w:tc>
          <w:tcPr>
            <w:tcW w:w="28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First Half</w:t>
            </w:r>
          </w:p>
        </w:tc>
      </w:tr>
      <w:tr>
        <w:trPr>
          <w:trHeight w:val="234"/>
        </w:trPr>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Fiscal 2012</w:t>
            </w: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Fiscal 2011</w:t>
            </w:r>
          </w:p>
        </w:tc>
        <w:tc>
          <w:tcPr>
            <w:tcW w:w="420" w:type="dxa"/>
            <w:vAlign w:val="bottom"/>
          </w:tcPr>
          <w:p>
            <w:pPr>
              <w:spacing w:after="0"/>
              <w:rPr>
                <w:sz w:val="20"/>
                <w:szCs w:val="20"/>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Fiscal 2012</w:t>
            </w:r>
          </w:p>
        </w:tc>
        <w:tc>
          <w:tcPr>
            <w:tcW w:w="280" w:type="dxa"/>
            <w:vAlign w:val="bottom"/>
          </w:tcPr>
          <w:p>
            <w:pPr>
              <w:spacing w:after="0"/>
              <w:rPr>
                <w:sz w:val="20"/>
                <w:szCs w:val="20"/>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Fiscal 2011</w:t>
            </w:r>
          </w:p>
        </w:tc>
      </w:tr>
      <w:tr>
        <w:trPr>
          <w:trHeight w:val="27"/>
        </w:trPr>
        <w:tc>
          <w:tcPr>
            <w:tcW w:w="4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GAAP 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230,889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227,602</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453,953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422,064</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integration and other charges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57,179</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265,394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256,714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488,458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479,243</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data presented in accordance with GAAP.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more than 300 of the world’s leading electronic component and computer product manufacturers and software developers with a global customer base of more than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services that can be customized to meet the requirements of both customers and suppliers.</w:t>
      </w:r>
    </w:p>
    <w:p>
      <w:pPr>
        <w:spacing w:after="0" w:line="1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46" w:lineRule="exact"/>
        <w:rPr>
          <w:sz w:val="20"/>
          <w:szCs w:val="20"/>
          <w:color w:val="auto"/>
        </w:rPr>
      </w:pPr>
    </w:p>
    <w:p>
      <w:pPr>
        <w:jc w:val="both"/>
        <w:ind w:left="820" w:hanging="326"/>
        <w:spacing w:after="0" w:line="255"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 markets and sells semiconductors and interconnect, passive and electromechanical devices (“IP&amp;E”) and embedded products for more than 300 of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from the design phase throughout new product introduction and through the product lifecycle, customers and suppliers can accelerate their time to market and realize cost efficiencies in both the design and manufacturing process.</w:t>
      </w:r>
    </w:p>
    <w:p>
      <w:pPr>
        <w:spacing w:after="0" w:line="54" w:lineRule="exact"/>
        <w:rPr>
          <w:rFonts w:ascii="Arial" w:cs="Arial" w:eastAsia="Arial" w:hAnsi="Arial"/>
          <w:sz w:val="18"/>
          <w:szCs w:val="18"/>
          <w:color w:val="auto"/>
        </w:rPr>
      </w:pPr>
    </w:p>
    <w:p>
      <w:pPr>
        <w:jc w:val="both"/>
        <w:ind w:left="820" w:hanging="326"/>
        <w:spacing w:after="0" w:line="255"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global IT solutions distributor, TS collaborates with its customers and suppliers to create and deliver services, software and hardware solutions that address the business needs of end-user customers locally and around the world. TS focuses on the global value-added distribution of enterprise computing servers and systems, software, storage, services and complex solutions from the world’s foremost technology manufacturers, marketing and selling them to and through the VAR channel. TS also serves the worldwide OEM market for computing technology, system integrators and non-PC OEMs that require embedded systems and solutions including engineering, product prototyping, integration and other value-added services. The operating group has sales and marketing divisions dedicated to these customer segments as well as independent software vendors.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Revenue for the second quarter of fiscal 2012 was $6.69 billion, a decrease of 1.1% from the second quarter of fiscal 2011 revenue of $6.77 billion while revenue on an organic basis was down 0.8% year over year. Although the current macro economic environment impacted revenue growth, the Company's continuing focus on profitability helped improve gross profit margin and operating income margin from the prior year second quarter. The improved profitability at TS, which had operating income margin within management's target range for the first time in eight quarters, combined with the improvement in EM Americas due primarily to higher prices for hard disk drives, resulted in higher than expected diluted earnings per share for the quarter.</w:t>
      </w:r>
    </w:p>
    <w:p>
      <w:pPr>
        <w:spacing w:after="0" w:line="11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EM organic revenue growth, which decreased 3.5% over the prior year second quarter, was impacted by the supply chain inventory correction and resulted in the second consecutive quarter of negative year-over-year organic growth. However, EM operating income margin was better than expected due primarily to the benefit from a temporary lift in margins in hard disk drives as a result of supply constraints coupled with expense reduction actions implemented in light of business conditions. TS revenue declined 3.5% over the prior year second quarter, while organic revenue grew 2.5% year over year. Although sales declined year over year, TS significantly improved gross profit margin and operating income margin driven by profitable revenue growth and restructuring initiatives.</w:t>
      </w:r>
    </w:p>
    <w:p>
      <w:pPr>
        <w:spacing w:after="0" w:line="15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Gross profit margin of 11.7% increased 28 basis points over prior year second quarter. EM gross profit margin was down 7 basis points year over year as margin expansion in the Americas and EMEA regions were offset by a decline in Asia. TS gross profit margin increased 60 basis points year over year with all three regions contributing to the improvement, most notably EMEA which increased more than 100 basis points.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Consolidated operating income margin was 3.5% as compared with 3.4% in the prior year second quarter, which included restructuring, integration and other charges in both periods. Excluding these charges, operating income margin was 4.0% compared with 3.8% in the prior year second quarter driven by the significant improvement at TS, partially offset by a decline at EM. TS operating income margin increased 56 basis points year over year to 3.8% with all three regions contributing to the improvement. This was the first time in eight quarters that TS operating income margin was within management's target range of 3.4% to 3.9%. EM operating income margin declined 30 basis points year over year to 4.9% but, as mentioned previously, was better than expected.</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w:t>
      </w:r>
    </w:p>
    <w:p>
      <w:pPr>
        <w:spacing w:after="0" w:line="18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table below provides the comparison of second quarter fiscal 2012 and 2011 sales for the Company and its operating groups. In addition, there were several items that impacted the comparison of second quarter sales to sales in the prior year second quarter; therefore, the table below also provides pro forma (or organic) sales which represents sales adjusted for (i) the impact of acquisitions by adjusting Avnet’s prior periods to include the sales of businesses acquired as if the acquisitions had occurred at the beginning of the period presented; (ii) the impact of a divestiture by adjusting Avnet’s prior periods to exclude the sales of the business divested as if the divestiture had occurred at the beginning of the period presented; and (iii) the impact of the transfer at the beginning of fiscal 2012 of the Latin America computing components business from TS Americas to EM Americas which is being managed as part of the EM embedded business. Sales taking into account the combination of these adjustments are referred to as “pro forma sales” or “organic sales.”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Pro forma</w:t>
            </w:r>
          </w:p>
        </w:tc>
        <w:tc>
          <w:tcPr>
            <w:tcW w:w="200" w:type="dxa"/>
            <w:vAlign w:val="bottom"/>
          </w:tcPr>
          <w:p>
            <w:pPr>
              <w:spacing w:after="0"/>
              <w:rPr>
                <w:sz w:val="18"/>
                <w:szCs w:val="18"/>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Pro forma</w:t>
            </w:r>
          </w:p>
        </w:tc>
        <w:tc>
          <w:tcPr>
            <w:tcW w:w="1320" w:type="dxa"/>
            <w:vAlign w:val="bottom"/>
          </w:tcPr>
          <w:p>
            <w:pPr>
              <w:ind w:left="240"/>
              <w:spacing w:after="0"/>
              <w:rPr>
                <w:sz w:val="20"/>
                <w:szCs w:val="20"/>
                <w:color w:val="auto"/>
              </w:rPr>
            </w:pPr>
            <w:r>
              <w:rPr>
                <w:rFonts w:ascii="Arial" w:cs="Arial" w:eastAsia="Arial" w:hAnsi="Arial"/>
                <w:sz w:val="18"/>
                <w:szCs w:val="18"/>
                <w:b w:val="1"/>
                <w:bCs w:val="1"/>
                <w:color w:val="auto"/>
              </w:rPr>
              <w:t>Pro forma</w:t>
            </w:r>
          </w:p>
        </w:tc>
      </w:tr>
      <w:tr>
        <w:trPr>
          <w:trHeight w:val="216"/>
        </w:trPr>
        <w:tc>
          <w:tcPr>
            <w:tcW w:w="3200" w:type="dxa"/>
            <w:vAlign w:val="bottom"/>
          </w:tcPr>
          <w:p>
            <w:pPr>
              <w:spacing w:after="0"/>
              <w:rPr>
                <w:sz w:val="18"/>
                <w:szCs w:val="18"/>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Q2-Fiscal FY</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Q2-Fiscal FY</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Year-Year</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Q2-Fiscal FY</w:t>
            </w:r>
          </w:p>
        </w:tc>
        <w:tc>
          <w:tcPr>
            <w:tcW w:w="200" w:type="dxa"/>
            <w:vAlign w:val="bottom"/>
          </w:tcPr>
          <w:p>
            <w:pPr>
              <w:spacing w:after="0"/>
              <w:rPr>
                <w:sz w:val="18"/>
                <w:szCs w:val="18"/>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Q2-Fiscal FY</w:t>
            </w:r>
          </w:p>
        </w:tc>
        <w:tc>
          <w:tcPr>
            <w:tcW w:w="1320" w:type="dxa"/>
            <w:vAlign w:val="bottom"/>
          </w:tcPr>
          <w:p>
            <w:pPr>
              <w:ind w:left="260"/>
              <w:spacing w:after="0"/>
              <w:rPr>
                <w:sz w:val="20"/>
                <w:szCs w:val="20"/>
                <w:color w:val="auto"/>
              </w:rPr>
            </w:pPr>
            <w:r>
              <w:rPr>
                <w:rFonts w:ascii="Arial" w:cs="Arial" w:eastAsia="Arial" w:hAnsi="Arial"/>
                <w:sz w:val="18"/>
                <w:szCs w:val="18"/>
                <w:b w:val="1"/>
                <w:bCs w:val="1"/>
                <w:color w:val="auto"/>
              </w:rPr>
              <w:t>Year-Year</w:t>
            </w:r>
          </w:p>
        </w:tc>
      </w:tr>
      <w:tr>
        <w:trPr>
          <w:trHeight w:val="234"/>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20"/>
                <w:szCs w:val="20"/>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’11</w:t>
            </w: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’12</w:t>
            </w:r>
          </w:p>
        </w:tc>
        <w:tc>
          <w:tcPr>
            <w:tcW w:w="200" w:type="dxa"/>
            <w:vAlign w:val="bottom"/>
          </w:tcPr>
          <w:p>
            <w:pPr>
              <w:spacing w:after="0"/>
              <w:rPr>
                <w:sz w:val="20"/>
                <w:szCs w:val="20"/>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’11</w:t>
            </w:r>
          </w:p>
        </w:tc>
        <w:tc>
          <w:tcPr>
            <w:tcW w:w="1320" w:type="dxa"/>
            <w:vAlign w:val="bottom"/>
          </w:tcPr>
          <w:p>
            <w:pPr>
              <w:ind w:left="24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Avnet,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6,693,573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6,767,495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6,694,193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6,746,982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EM</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3,595,607</w:t>
            </w:r>
          </w:p>
        </w:tc>
        <w:tc>
          <w:tcPr>
            <w:tcW w:w="3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3,558,614</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3,596,227</w:t>
            </w:r>
          </w:p>
        </w:tc>
        <w:tc>
          <w:tcPr>
            <w:tcW w:w="20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3,725,802</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(3.5)</w:t>
            </w: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3,097,966</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3,208,881</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3,021,180</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EM</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1,401,751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1,219,879</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14.9 %</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1,331,236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943,335</w:t>
            </w:r>
          </w:p>
        </w:tc>
        <w:tc>
          <w:tcPr>
            <w:tcW w:w="3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1,079,121</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943,955</w:t>
            </w:r>
          </w:p>
        </w:tc>
        <w:tc>
          <w:tcPr>
            <w:tcW w:w="20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1,081,937</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(12.8)</w:t>
            </w: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1,250,521</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1,259,614</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1,312,629</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1,648,250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1,823,773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1,561,966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1,006,173</w:t>
            </w:r>
          </w:p>
        </w:tc>
        <w:tc>
          <w:tcPr>
            <w:tcW w:w="3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1,045,476</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1,071,519</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(6.1)</w:t>
            </w: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443,543</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339,632</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387,695</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14.4</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Totals by Region</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3,050,001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3,043,652</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0.2 %</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2,893,202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1,949,508</w:t>
            </w:r>
          </w:p>
        </w:tc>
        <w:tc>
          <w:tcPr>
            <w:tcW w:w="3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2,124,597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1,950,128</w:t>
            </w:r>
          </w:p>
        </w:tc>
        <w:tc>
          <w:tcPr>
            <w:tcW w:w="20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2,153,456</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(9.4)</w:t>
            </w: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1,694,064</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1,599,246</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1,700,324</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7"/>
        </w:trPr>
        <w:tc>
          <w:tcPr>
            <w:tcW w:w="3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reconciliation of the reported sales to pro forma sales for the second quarters of fiscal 2012 and 2011.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jc w:val="right"/>
              <w:ind w:right="970"/>
              <w:spacing w:after="0"/>
              <w:rPr>
                <w:sz w:val="20"/>
                <w:szCs w:val="20"/>
                <w:color w:val="auto"/>
              </w:rPr>
            </w:pPr>
            <w:r>
              <w:rPr>
                <w:rFonts w:ascii="Arial" w:cs="Arial" w:eastAsia="Arial" w:hAnsi="Arial"/>
                <w:sz w:val="18"/>
                <w:szCs w:val="18"/>
                <w:b w:val="1"/>
                <w:bCs w:val="1"/>
                <w:color w:val="auto"/>
              </w:rPr>
              <w:t>As</w:t>
            </w:r>
          </w:p>
        </w:tc>
        <w:tc>
          <w:tcPr>
            <w:tcW w:w="480" w:type="dxa"/>
            <w:vAlign w:val="bottom"/>
          </w:tcPr>
          <w:p>
            <w:pPr>
              <w:spacing w:after="0"/>
              <w:rPr>
                <w:sz w:val="18"/>
                <w:szCs w:val="18"/>
                <w:color w:val="auto"/>
              </w:rPr>
            </w:pPr>
          </w:p>
        </w:tc>
        <w:tc>
          <w:tcPr>
            <w:tcW w:w="19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Acquisition</w:t>
            </w:r>
          </w:p>
        </w:tc>
        <w:tc>
          <w:tcPr>
            <w:tcW w:w="520" w:type="dxa"/>
            <w:vAlign w:val="bottom"/>
          </w:tcPr>
          <w:p>
            <w:pPr>
              <w:spacing w:after="0"/>
              <w:rPr>
                <w:sz w:val="18"/>
                <w:szCs w:val="18"/>
                <w:color w:val="auto"/>
              </w:rPr>
            </w:pPr>
          </w:p>
        </w:tc>
        <w:tc>
          <w:tcPr>
            <w:tcW w:w="1860" w:type="dxa"/>
            <w:vAlign w:val="bottom"/>
          </w:tcPr>
          <w:p>
            <w:pPr>
              <w:jc w:val="right"/>
              <w:ind w:right="650"/>
              <w:spacing w:after="0"/>
              <w:rPr>
                <w:sz w:val="20"/>
                <w:szCs w:val="20"/>
                <w:color w:val="auto"/>
              </w:rPr>
            </w:pPr>
            <w:r>
              <w:rPr>
                <w:rFonts w:ascii="Arial" w:cs="Arial" w:eastAsia="Arial" w:hAnsi="Arial"/>
                <w:sz w:val="18"/>
                <w:szCs w:val="18"/>
                <w:b w:val="1"/>
                <w:bCs w:val="1"/>
                <w:color w:val="auto"/>
              </w:rPr>
              <w:t>Pro forma</w:t>
            </w:r>
          </w:p>
        </w:tc>
      </w:tr>
      <w:tr>
        <w:trPr>
          <w:trHeight w:val="261"/>
        </w:trPr>
        <w:tc>
          <w:tcPr>
            <w:tcW w:w="4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Q2 Fiscal 2012</w:t>
            </w:r>
          </w:p>
        </w:tc>
        <w:tc>
          <w:tcPr>
            <w:tcW w:w="440" w:type="dxa"/>
            <w:vAlign w:val="bottom"/>
          </w:tcPr>
          <w:p>
            <w:pPr>
              <w:spacing w:after="0"/>
              <w:rPr>
                <w:sz w:val="22"/>
                <w:szCs w:val="22"/>
                <w:color w:val="auto"/>
              </w:rPr>
            </w:pPr>
          </w:p>
        </w:tc>
        <w:tc>
          <w:tcPr>
            <w:tcW w:w="1860" w:type="dxa"/>
            <w:vAlign w:val="bottom"/>
          </w:tcPr>
          <w:p>
            <w:pPr>
              <w:jc w:val="right"/>
              <w:ind w:right="710"/>
              <w:spacing w:after="0"/>
              <w:rPr>
                <w:sz w:val="20"/>
                <w:szCs w:val="20"/>
                <w:color w:val="auto"/>
              </w:rPr>
            </w:pPr>
            <w:r>
              <w:rPr>
                <w:rFonts w:ascii="Arial" w:cs="Arial" w:eastAsia="Arial" w:hAnsi="Arial"/>
                <w:sz w:val="18"/>
                <w:szCs w:val="18"/>
                <w:b w:val="1"/>
                <w:bCs w:val="1"/>
                <w:color w:val="auto"/>
              </w:rPr>
              <w:t>Reported</w:t>
            </w:r>
          </w:p>
        </w:tc>
        <w:tc>
          <w:tcPr>
            <w:tcW w:w="480" w:type="dxa"/>
            <w:vAlign w:val="bottom"/>
          </w:tcPr>
          <w:p>
            <w:pPr>
              <w:spacing w:after="0"/>
              <w:rPr>
                <w:sz w:val="22"/>
                <w:szCs w:val="22"/>
                <w:color w:val="auto"/>
              </w:rPr>
            </w:pPr>
          </w:p>
        </w:tc>
        <w:tc>
          <w:tcPr>
            <w:tcW w:w="1900" w:type="dxa"/>
            <w:vAlign w:val="bottom"/>
          </w:tcPr>
          <w:p>
            <w:pPr>
              <w:jc w:val="center"/>
              <w:ind w:right="310"/>
              <w:spacing w:after="0" w:line="262" w:lineRule="exact"/>
              <w:rPr>
                <w:sz w:val="20"/>
                <w:szCs w:val="20"/>
                <w:color w:val="auto"/>
              </w:rPr>
            </w:pPr>
            <w:r>
              <w:rPr>
                <w:rFonts w:ascii="Arial" w:cs="Arial" w:eastAsia="Arial" w:hAnsi="Arial"/>
                <w:sz w:val="18"/>
                <w:szCs w:val="18"/>
                <w:b w:val="1"/>
                <w:bCs w:val="1"/>
                <w:color w:val="auto"/>
                <w:w w:val="80"/>
              </w:rPr>
              <w:t>Sales</w:t>
            </w:r>
            <w:r>
              <w:rPr>
                <w:rFonts w:ascii="Arial" w:cs="Arial" w:eastAsia="Arial" w:hAnsi="Arial"/>
                <w:sz w:val="25"/>
                <w:szCs w:val="25"/>
                <w:b w:val="1"/>
                <w:bCs w:val="1"/>
                <w:color w:val="auto"/>
                <w:w w:val="80"/>
                <w:vertAlign w:val="superscript"/>
              </w:rPr>
              <w:t>(1)</w:t>
            </w:r>
          </w:p>
        </w:tc>
        <w:tc>
          <w:tcPr>
            <w:tcW w:w="520" w:type="dxa"/>
            <w:vAlign w:val="bottom"/>
          </w:tcPr>
          <w:p>
            <w:pPr>
              <w:spacing w:after="0"/>
              <w:rPr>
                <w:sz w:val="22"/>
                <w:szCs w:val="22"/>
                <w:color w:val="auto"/>
              </w:rPr>
            </w:pPr>
          </w:p>
        </w:tc>
        <w:tc>
          <w:tcPr>
            <w:tcW w:w="1860" w:type="dxa"/>
            <w:vAlign w:val="bottom"/>
          </w:tcPr>
          <w:p>
            <w:pPr>
              <w:jc w:val="right"/>
              <w:ind w:right="850"/>
              <w:spacing w:after="0"/>
              <w:rPr>
                <w:sz w:val="20"/>
                <w:szCs w:val="20"/>
                <w:color w:val="auto"/>
              </w:rPr>
            </w:pPr>
            <w:r>
              <w:rPr>
                <w:rFonts w:ascii="Arial" w:cs="Arial" w:eastAsia="Arial" w:hAnsi="Arial"/>
                <w:sz w:val="18"/>
                <w:szCs w:val="18"/>
                <w:b w:val="1"/>
                <w:bCs w:val="1"/>
                <w:color w:val="auto"/>
              </w:rPr>
              <w:t>Sales</w:t>
            </w:r>
          </w:p>
        </w:tc>
      </w:tr>
      <w:tr>
        <w:trPr>
          <w:trHeight w:val="237"/>
        </w:trPr>
        <w:tc>
          <w:tcPr>
            <w:tcW w:w="20" w:type="dxa"/>
            <w:vAlign w:val="bottom"/>
          </w:tcPr>
          <w:p>
            <w:pPr>
              <w:spacing w:after="0"/>
              <w:rPr>
                <w:sz w:val="20"/>
                <w:szCs w:val="20"/>
                <w:color w:val="auto"/>
              </w:rPr>
            </w:pPr>
          </w:p>
        </w:tc>
        <w:tc>
          <w:tcPr>
            <w:tcW w:w="4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8"/>
              </w:rPr>
              <w:t>(Thousands)</w:t>
            </w:r>
          </w:p>
        </w:tc>
        <w:tc>
          <w:tcPr>
            <w:tcW w:w="5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Avnet, Inc.</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6,693,573</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6,694,193</w:t>
            </w:r>
          </w:p>
        </w:tc>
      </w:tr>
      <w:tr>
        <w:trPr>
          <w:trHeight w:val="243"/>
        </w:trPr>
        <w:tc>
          <w:tcPr>
            <w:tcW w:w="20" w:type="dxa"/>
            <w:vAlign w:val="bottom"/>
          </w:tcPr>
          <w:p>
            <w:pPr>
              <w:spacing w:after="0"/>
              <w:rPr>
                <w:sz w:val="21"/>
                <w:szCs w:val="21"/>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EM</w:t>
            </w:r>
          </w:p>
        </w:tc>
        <w:tc>
          <w:tcPr>
            <w:tcW w:w="44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3,595,607</w:t>
            </w:r>
          </w:p>
        </w:tc>
        <w:tc>
          <w:tcPr>
            <w:tcW w:w="4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620</w:t>
            </w:r>
          </w:p>
        </w:tc>
        <w:tc>
          <w:tcPr>
            <w:tcW w:w="5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3,596,227</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EM EMEA</w:t>
            </w:r>
          </w:p>
        </w:tc>
        <w:tc>
          <w:tcPr>
            <w:tcW w:w="4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943,335</w:t>
            </w:r>
          </w:p>
        </w:tc>
        <w:tc>
          <w:tcPr>
            <w:tcW w:w="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5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943,955</w:t>
            </w: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52" w:lineRule="exact"/>
        <w:rPr>
          <w:sz w:val="20"/>
          <w:szCs w:val="20"/>
          <w:color w:val="auto"/>
        </w:rPr>
      </w:pPr>
    </w:p>
    <w:p>
      <w:pPr>
        <w:ind w:left="5620" w:right="4800" w:hanging="5612"/>
        <w:spacing w:after="0" w:line="810" w:lineRule="auto"/>
        <w:tabs>
          <w:tab w:leader="none" w:pos="652"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Includes the business acquired in November 2011 in EM EMEA (see table below). 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Transfer of</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As</w:t>
            </w:r>
          </w:p>
        </w:tc>
        <w:tc>
          <w:tcPr>
            <w:tcW w:w="26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Acquisition/</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TS Business</w:t>
            </w:r>
          </w:p>
        </w:tc>
        <w:tc>
          <w:tcPr>
            <w:tcW w:w="26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Pro forma</w:t>
            </w:r>
          </w:p>
        </w:tc>
      </w:tr>
      <w:tr>
        <w:trPr>
          <w:trHeight w:val="261"/>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Q2 Fiscal 2011</w:t>
            </w:r>
          </w:p>
        </w:tc>
        <w:tc>
          <w:tcPr>
            <w:tcW w:w="2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Reported</w:t>
            </w:r>
          </w:p>
        </w:tc>
        <w:tc>
          <w:tcPr>
            <w:tcW w:w="1500" w:type="dxa"/>
            <w:vAlign w:val="bottom"/>
            <w:gridSpan w:val="2"/>
          </w:tcPr>
          <w:p>
            <w:pPr>
              <w:jc w:val="right"/>
              <w:ind w:right="10"/>
              <w:spacing w:after="0" w:line="262" w:lineRule="exact"/>
              <w:rPr>
                <w:sz w:val="20"/>
                <w:szCs w:val="20"/>
                <w:color w:val="auto"/>
              </w:rPr>
            </w:pPr>
            <w:r>
              <w:rPr>
                <w:rFonts w:ascii="Arial" w:cs="Arial" w:eastAsia="Arial" w:hAnsi="Arial"/>
                <w:sz w:val="18"/>
                <w:szCs w:val="18"/>
                <w:b w:val="1"/>
                <w:bCs w:val="1"/>
                <w:color w:val="auto"/>
                <w:w w:val="93"/>
              </w:rPr>
              <w:t>Divested Sales</w:t>
            </w:r>
            <w:r>
              <w:rPr>
                <w:rFonts w:ascii="Arial" w:cs="Arial" w:eastAsia="Arial" w:hAnsi="Arial"/>
                <w:sz w:val="25"/>
                <w:szCs w:val="25"/>
                <w:b w:val="1"/>
                <w:bCs w:val="1"/>
                <w:color w:val="auto"/>
                <w:w w:val="93"/>
                <w:vertAlign w:val="superscript"/>
              </w:rPr>
              <w:t>(1)</w:t>
            </w:r>
          </w:p>
        </w:tc>
        <w:tc>
          <w:tcPr>
            <w:tcW w:w="240" w:type="dxa"/>
            <w:vAlign w:val="bottom"/>
          </w:tcPr>
          <w:p>
            <w:pPr>
              <w:spacing w:after="0"/>
              <w:rPr>
                <w:sz w:val="22"/>
                <w:szCs w:val="22"/>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to EM</w:t>
            </w:r>
          </w:p>
        </w:tc>
        <w:tc>
          <w:tcPr>
            <w:tcW w:w="260" w:type="dxa"/>
            <w:vAlign w:val="bottom"/>
          </w:tcPr>
          <w:p>
            <w:pPr>
              <w:spacing w:after="0"/>
              <w:rPr>
                <w:sz w:val="22"/>
                <w:szCs w:val="22"/>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Sales</w:t>
            </w:r>
          </w:p>
        </w:tc>
      </w:tr>
      <w:tr>
        <w:trPr>
          <w:trHeight w:val="237"/>
        </w:trPr>
        <w:tc>
          <w:tcPr>
            <w:tcW w:w="5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(Thousands)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Avnet,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6,767,495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(20,513)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6,746,982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3,558,614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56,121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111,067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3,725,802</w:t>
            </w: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TS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3,208,881</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(76,634)</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(111,067)</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3,021,180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EM</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1,219,879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111,067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1,331,237</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1,079,121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1,081,937</w:t>
            </w: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Asia/Pacific</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1,259,614</w:t>
            </w:r>
          </w:p>
        </w:tc>
        <w:tc>
          <w:tcPr>
            <w:tcW w:w="2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53,014</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1,312,628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1,823,773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(150,740)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(111,067)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1,561,966</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1,045,476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26,043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1,071,519</w:t>
            </w: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Asia/Pacific</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339,632</w:t>
            </w:r>
          </w:p>
        </w:tc>
        <w:tc>
          <w:tcPr>
            <w:tcW w:w="2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48,063</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387,695</w:t>
            </w: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67" w:lineRule="exact"/>
        <w:rPr>
          <w:sz w:val="20"/>
          <w:szCs w:val="20"/>
          <w:color w:val="auto"/>
        </w:rPr>
      </w:pPr>
    </w:p>
    <w:p>
      <w:pPr>
        <w:ind w:left="660" w:right="3660" w:hanging="652"/>
        <w:spacing w:after="0" w:line="278"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Includes the following acquisitions which impacted the second quarter year-over-year comparison: Center Cell acquired November 2010 in the EM Americas region</w:t>
      </w:r>
    </w:p>
    <w:p>
      <w:pPr>
        <w:spacing w:after="0" w:line="21" w:lineRule="exact"/>
        <w:rPr>
          <w:rFonts w:ascii="Arial" w:cs="Arial" w:eastAsia="Arial" w:hAnsi="Arial"/>
          <w:sz w:val="25"/>
          <w:szCs w:val="25"/>
          <w:color w:val="auto"/>
          <w:vertAlign w:val="superscript"/>
        </w:rPr>
      </w:pPr>
    </w:p>
    <w:p>
      <w:pPr>
        <w:ind w:left="660" w:right="6280"/>
        <w:spacing w:after="0" w:line="387" w:lineRule="auto"/>
        <w:rPr>
          <w:rFonts w:ascii="Arial" w:cs="Arial" w:eastAsia="Arial" w:hAnsi="Arial"/>
          <w:sz w:val="25"/>
          <w:szCs w:val="25"/>
          <w:color w:val="auto"/>
          <w:vertAlign w:val="superscript"/>
        </w:rPr>
      </w:pPr>
      <w:r>
        <w:rPr>
          <w:rFonts w:ascii="Arial" w:cs="Arial" w:eastAsia="Arial" w:hAnsi="Arial"/>
          <w:sz w:val="16"/>
          <w:szCs w:val="16"/>
          <w:color w:val="auto"/>
        </w:rPr>
        <w:t>itX Technologies acquired January 2011 in the TS Asia region Amosdec acquired in July 2011 in the TS EMEA region</w:t>
      </w: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Prospect Technology acquired in August 2011 in the EM Asia region</w:t>
      </w:r>
    </w:p>
    <w:p>
      <w:pPr>
        <w:spacing w:after="0" w:line="90" w:lineRule="exact"/>
        <w:rPr>
          <w:rFonts w:ascii="Arial" w:cs="Arial" w:eastAsia="Arial" w:hAnsi="Arial"/>
          <w:sz w:val="25"/>
          <w:szCs w:val="25"/>
          <w:color w:val="auto"/>
          <w:vertAlign w:val="superscript"/>
        </w:rPr>
      </w:pPr>
    </w:p>
    <w:p>
      <w:pPr>
        <w:ind w:left="660" w:right="4540"/>
        <w:spacing w:after="0" w:line="344" w:lineRule="auto"/>
        <w:rPr>
          <w:rFonts w:ascii="Arial" w:cs="Arial" w:eastAsia="Arial" w:hAnsi="Arial"/>
          <w:sz w:val="25"/>
          <w:szCs w:val="25"/>
          <w:color w:val="auto"/>
          <w:vertAlign w:val="superscript"/>
        </w:rPr>
      </w:pPr>
      <w:r>
        <w:rPr>
          <w:rFonts w:ascii="Arial" w:cs="Arial" w:eastAsia="Arial" w:hAnsi="Arial"/>
          <w:sz w:val="18"/>
          <w:szCs w:val="18"/>
          <w:color w:val="auto"/>
        </w:rPr>
        <w:t>JC Tally Trading Co and its subsidiary acquired in August 2011 in the EM Asia region DE2 acquired in November 2011 in the EM EMEA region</w:t>
      </w: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Also reflects the divestiture of New Prosys in January 2011</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Consolidated sales for the second quarter of fiscal 2012 were $6.69 billion, a decrease of 1.1%, or $73.9 million, from the prior year second quarter consolidated sales of $6.77 billion. Organic sales (as defined earlier in this MD&amp;A) were essentially flat with a decrease of 0.8%. On a sequential basis, sales increased 4.2% and 5.9% excluding the translation impact of changes in foreign currency exchange rates. This was below the normal seasonal revenue growth of 8% to 12%. Although EM experienced lower than normal seasonal revenue growth and TS revenue growth was towards the low end of normal seasonality, it was expected considering the current market and economic environment.</w:t>
      </w:r>
    </w:p>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EM sales of $3.60 billion in the second quarter of fiscal 2012 increased 1.0% over the prior year second quarter sales of $3.56 billion. The comparison to prior year was impacted by the transfer of the Latin America computing components business from TS Americas to EM Americas as well as by acquisitions, primarily in Asia. Excluding the impact of these items, organic revenue was down 3.5% year over year, which was the second consecutive quarter of revenue contraction as the supply chain inventory correction continued during the December quarter. On a regional basis, declines in EMEA and Asia of 12.8% and 4.7%, respectively, offset organic revenue growth of 5.3% in the Americas, which benefited from the increased demand for hard disk drives as a result of supply constraints and the associated temporary lift in pricing on those components.</w:t>
      </w:r>
    </w:p>
    <w:p>
      <w:pPr>
        <w:spacing w:after="0" w:line="13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TS sales of $3.10 billion in the second quarter of fiscal 2012 decreased 3.5% over the prior year second quarter sales of $3.21 billion. The year-over-year revenue decrease was due primarily to the Americas and EMEA regions which were down 9.6% and 3.8%, respectively, partially offset by growth of 31% in Asia. The comparison with prior year was impacted by the transfer of the Latin America computing components business from TS Americas to EM Americas as well as by acquisitions. Organic revenue increased 2.5% year over year driven by 5.5% growth in the Americas and 14.4% growth in Asia, which was partially offset by a decline in EMEA of 6.1%. On a product level, industry standard servers and software revenue increased more than 35% year over year while storage device revenue increased more than 20%.</w:t>
      </w:r>
    </w:p>
    <w:p>
      <w:pPr>
        <w:spacing w:after="0" w:line="15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Consolidated sales for the first half of fiscal 2012 were $13.12 billion, up 1.3%, over sales of $12.95 billion for the first half of fiscal 2011. On an organic basis excluding the impact of changes in foreign currency exchange rates, sales for the first half of fiscal 2012 were essentially flat as compared with the same period in the prior year. EM sales of $7.41 billion for the first half of fiscal 2012 were up 3.2% as compared with the first half of the prior year. This increase was primarily driven by growth in the Americas region which offset a decline in the EMEA region. Organic revenue was down 1.8% year over year with growth in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Americas offset by declines in EMEA and Asia. TS sales of $5.71 billion for the first half of fiscal 2012 were down 1.1% as compared with the first half of fiscal 2011 and organic revenue was up 5.7% year over year, primarily driven by sales growth in the Americas and Asia regions, partially offset by a decline in the EMEA region.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1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Consolidated gross profit for the second quarter of fiscal 2012 was $784.1 million, an increase of $10.9 million, or 1.4%, from the prior year second quarter and increased 1.2% on a pro forma basis in constant currency. Gross profit margin of 11.7% improved 28 basis points over the prior year second quarter and was essentially flat sequentially. EM gross profit margin was down 7 basis points year over year. The year-over-year decline in EM gross profit margin was primarily the result of the higher margin EMEA region representing a lower percentage of total EM sales as EMEA sales were 26% of EM sales in the current year second quarter as compared with 30% in the prior year second quarter. This impact was somewhat offset by the Americas region which benefited from the temporary lift in margins in hard disk drives as a result of supply constraints. TS gross profit margin improved 60 basis points year over year and 13 basis points sequentially. All three regions contributed to the year-over-year improvement highlighted by the EMEA region which improved its gross profit margin over 100 basis points.</w:t>
      </w:r>
    </w:p>
    <w:p>
      <w:pPr>
        <w:spacing w:after="0" w:line="1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Consolidated gross profit and gross profit margins were $1.54 billion and 11.7%, respectively, for the first half of fiscal 2012 as compared with $1.50 billion and 11.6%, respectively, for the first half of fiscal 2011. For the first half of fiscal 2012, EM gross profit margin decreased 18 basis points year over year and TS gross profit margin improved 50 basis points year over year driven largely by the same factors as discussed in the quarterly gross profit margin analysis.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Selling, general and administrative expenses (“SG&amp;A expenses”) were $518.7 million in the second quarter of fiscal 2012, an increase of $2.3 million, or 0.4%, from the prior year second quarter. Of the $2.3 million increase, approximately $7 million related to additional expenses from businesses acquired, which was offset by a decrease in expenses for the existing business due primarily to the cost reduction actions taken. Metrics that management monitors with respect to its operating expenses are SG&amp;A expenses as a percentage of sales and as a percentage of gross profit. In the second quarter of fiscal 2012, SG&amp;A expenses as a percentage of sales were 7.7% and were 66.2% as a percentage of gross profit as compared with 7.6% and 66.8%, respectively, in the second quarter of fiscal 2011. SG&amp;A expenses as a percentage of gross profit at TS decreased over 300 basis points year over year and was at its lowest level in eight quarters. SG&amp;A expenses for the first half of fiscal 2012 were $1.05 billion, or 8.0% of consolidated sales, as compared with $1.02 billion, or 7.9% of consolidated sales, in the first half of fiscal 2011. SG&amp;A expenses were 68.2% of gross profit in the first half of fiscal 2012 as compared with 68.0% in the first half of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Charges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second quarter of fiscal 2012, the Company initiated certain actions to reduce costs in both operating groups in response to current market conditions and incurred acquisition and integration costs associated with recently acquired businesses. As a result, the Company recorded restructuring, integration and other charges of $34.5 million pre-tax, $23.6 million after tax and $0.16 per share on a diluted basis for the second quarter and first half of fiscal 2012. Restructuring charges of $28.9 million pre-tax consisted of $19.8 million for severance, $7.4 million for facility exit costs and $1.7 million for other restructuring charges, primarily other onerous lease liabilities. Integration costs and transactions costs were $3.4 million pre-tax and $3.1 million pre-tax, respectively. In addition, the Company recorded the reversal of $0.9 million pre-tax to adjust reserves related to prior year restructuring activity that were no longer required.</w:t>
      </w:r>
    </w:p>
    <w:p>
      <w:pPr>
        <w:spacing w:after="0" w:line="14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Severance charges recorded in the second quarter of fiscal 2012 related to over 350 employees in sales, administrative and finance functions in connection with the cost reduction actions taken in all three regions in both operating groups with employee reductions of approximately 250 in EM and 100 in TS. Facility exit costs for vacated facilities related to nine facilities in the Americas, three in EMEA and two in Asia and consisted of reserves for remaining lease liabilities and the write-down of leasehold improvements and other fixed assets. The Company expects to generate approximately $25 million to $30 million in annualized savings by the end of fiscal 2012 as a result of the restructuring initiatives.</w:t>
      </w:r>
    </w:p>
    <w:p>
      <w:pPr>
        <w:spacing w:after="0" w:line="13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Integration costs incurred related to the integration of acquired businesses and incremental costs incurred as part of the consolidation and closure of certain office and warehouse locations. Integration costs included IT consulting costs for system integration assistance, facility moving costs, legal fees, travel, meeting, marketing and communication costs that were incrementally incurred as a result of the integration activity. Also included in integration costs are incremental salary costs associated with the consolidation and closure activities as well as costs associated with acquisition activity, primarily related to the acquired businesses' personnel who were retained by Avnet for extended periods following the close of the acquisitions solely to assist in the integration of the acquired businesses' IT systems and administrative and logistics operations into those of Avnet. These identified personnel have no other meaningful day-to-day operational responsibilities outside of the integration effort. Transaction costs consisted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primarily of professional fees for brokering the acquisitions, due diligence work and other legal costs.</w:t>
      </w:r>
    </w:p>
    <w:p>
      <w:pPr>
        <w:spacing w:after="0" w:line="18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Comparatively, in the second quarter of fiscal 2011, restructuring, integration and other charges amounted to $29.1 million pre-tax, $20.8 million after tax and $0.14 per share on a diluted basis and were due primarily to the integration of the acquired Bell business into the existing EM Americas, TS Americas and TS EMEA regions and, to a lesser extent, other cost reduction actions. These pre-tax charges included the following: $10.7 million of severance, $11.4 million pre-tax of facility exit costs, $8.8 million of integration costs, $1.3 million of transaction costs, $0.4 million of other charges, and a reversal of $3.5 million to adjust reserves related to prior year restructuring activity which were no longer required. During the first half of fiscal 2011, restructuring, integration and other charges amounted to $57.2 million pre-tax, $41.0 million after tax and $0.27 per share on a diluted basis and consisted of $18.9 million pre-tax for severance, $13.9 million pre-tax for facility exit costs for lease liabilities, fixed asset write-downs and other related charges associated with vacated facilities, $16.1 million pre-tax for integration costs, $12.1 million pre-tax for transactions costs associated with acquisitions and $0.4 million for other charges. The Company also recorded a reversal of $4.2 million to adjust reserves related to prior year restructuring activity.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During the second quarter of fiscal 2012, the Company generated operating income of $230.9 million, up 1.4%, as compared with $227.6 million in the prior year second quarter. Consolidated operating income margin increased to 3.5% as compared with 3.4% in the prior year second quarter. Both periods included restructuring, integration and other charges as described in </w:t>
      </w:r>
      <w:r>
        <w:rPr>
          <w:rFonts w:ascii="Arial" w:cs="Arial" w:eastAsia="Arial" w:hAnsi="Arial"/>
          <w:sz w:val="17"/>
          <w:szCs w:val="17"/>
          <w:i w:val="1"/>
          <w:iCs w:val="1"/>
          <w:color w:val="auto"/>
        </w:rPr>
        <w:t>Restructuring, Integration and Other Charges</w:t>
      </w:r>
      <w:r>
        <w:rPr>
          <w:rFonts w:ascii="Arial" w:cs="Arial" w:eastAsia="Arial" w:hAnsi="Arial"/>
          <w:sz w:val="17"/>
          <w:szCs w:val="17"/>
          <w:color w:val="auto"/>
        </w:rPr>
        <w:t xml:space="preserve"> above. Excluding these charges from both periods, operating income was $265.4 million, or 4.0% of sales, in the second quarter of fiscal 2012 as compared with $256.7 million, or 3.8% of sales, in the prior year second quarter. EM operating income of $174.9 million was down 4.7% year over year and operating income margin declined 30 basis points year over year to 4.9% which dropped just below management's target range of 5.0% to 5.5%. TS operating income of $118.9 million increased 13.1% year over year and operating income margin increased 56 basis points to 3.8% with all three regions contributing to the improvement, which was driven by the combination of profitable revenue growth and restructuring initiatives. This was the first time in eight quarters that TS operating income margin was within management's target range of 3.4% to 3.9%. Corporate operating expenses were $28.4 million in the second quarter of fiscal 2012 as compared with $31.9 million in the second quarter of fiscal 2011, which was a decrease of $3.5 million, due primarily to higher equity compensation costs incurred in the prior year second quarter.</w:t>
      </w:r>
    </w:p>
    <w:p>
      <w:pPr>
        <w:spacing w:after="0" w:line="14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Operating income for the first half of 2012 was $454.0 million, or 3.5% of consolidated sales, as compared with $422.1 million, or 3.3% of consolidated sales for the first half of fiscal 2011. The 20 basis point increase in operating income margin as compared with the first half of fiscal 2011 was similarly a function of the factors discussed in the quarterly analysis. In addition, during the first half of fiscal 2012, restructuring, integration and other charges amounted to $34.5 million pre-tax, $23.6 million after tax and $0.16 per share on a diluted basis as compared with $57.2 million pre-tax, $41.0 million after tax and $0.27 per share for the first half of the prior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Interest expense for the second quarter of fiscal 2012 was $22.2 million, down $2.1 million or 8.5%, from interest expense of $24.2 million in the second quarter of fiscal 2011. Interest for the first half of fiscal 2012 was $44.1 million, down $2.2 million or 4.8%, as compared with interest expense of $46.3 million for the first half of fiscal 2011. The decrease in interest expense was primarily due to (i) lower interest expense incurred under foreign bank credit facilities as compared with the same periods in the prior year and (ii) the repayment in March 2011 of $104.4 million of the 3.75% convertible debt that was assumed in the acquisition of Bell Microproducts, Inc. See </w:t>
      </w:r>
      <w:r>
        <w:rPr>
          <w:rFonts w:ascii="Arial" w:cs="Arial" w:eastAsia="Arial" w:hAnsi="Arial"/>
          <w:sz w:val="17"/>
          <w:szCs w:val="17"/>
          <w:i w:val="1"/>
          <w:iCs w:val="1"/>
          <w:color w:val="auto"/>
        </w:rPr>
        <w:t>Financing Transactions</w:t>
      </w:r>
      <w:r>
        <w:rPr>
          <w:rFonts w:ascii="Arial" w:cs="Arial" w:eastAsia="Arial" w:hAnsi="Arial"/>
          <w:sz w:val="17"/>
          <w:szCs w:val="17"/>
          <w:color w:val="auto"/>
        </w:rPr>
        <w:t xml:space="preserve"> for further discussion of the Company’s outstanding debt.</w:t>
      </w:r>
    </w:p>
    <w:p>
      <w:pPr>
        <w:spacing w:after="0" w:line="13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second quarter of fiscal 2012, the Company recognized $0.7 million of other income, primarily due to interest income which was partially offset by foreign exchange losses, as compared with other expense of $0.4 million in the prior year. During the first half of fiscal 2012, the Company incurred $4.6 million in other expense as compared with other income of $3.0 million in the first half of fiscal 2011. The year-over-year increase in other expense was due primarily to foreign exchange losses as compared with interest income partially offset by foreign currency exchange losses in the prior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Bargain Purchase and Other</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During the second quarter and first half of fiscal 2012, the Company recognized other charges of $1.4 million pre-tax, $0.9 million after tax and $0.01 per share on a diluted basis related to the write-down of an investment in a small technology company and the write-off of certain deferred financing costs associated with the early termination of a credit facility (see </w:t>
      </w:r>
      <w:r>
        <w:rPr>
          <w:rFonts w:ascii="Arial" w:cs="Arial" w:eastAsia="Arial" w:hAnsi="Arial"/>
          <w:sz w:val="18"/>
          <w:szCs w:val="18"/>
          <w:i w:val="1"/>
          <w:iCs w:val="1"/>
          <w:color w:val="auto"/>
        </w:rPr>
        <w:t>Financing Transactions</w:t>
      </w:r>
      <w:r>
        <w:rPr>
          <w:rFonts w:ascii="Arial" w:cs="Arial" w:eastAsia="Arial" w:hAnsi="Arial"/>
          <w:sz w:val="18"/>
          <w:szCs w:val="18"/>
          <w:color w:val="auto"/>
        </w:rPr>
        <w:t xml:space="preserve"> for further discussion).</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first half of fiscal 2011, the Company acquired Unidux, a Japanese publicly traded company, through a tender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offer. After reassessing all assets acquired and liabilities assumed, the consideration paid was below the fair value of the acquired net assets and, as a result, the Company recognized a gain on bargain purchase of $31.0 million pre- and after tax and $0.20 per share on a diluted basis. In addition, the Company recognized other charges of $2.0 million pre-tax primarily related to an impairment of buildings in EMEA.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8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effective tax rate on its income before income taxes was 29.3% in the second quarter of fiscal 2012 as compared with 30.5% in the second quarter of fiscal 2011. For the first half of 2012 and 2011, the Company's effective tax rate was 29.2% and 31.5%, respectively. During the first half of fiscal 2011, the Company recognized an income tax adjustment of $16.9 million primarily related to the non-cash write-off of a deferred tax asset associated with the integration of acquired legal entities which was partially offset by the non-taxable gain on a bargain purchase as mentioned above.</w:t>
      </w:r>
    </w:p>
    <w:p>
      <w:pPr>
        <w:spacing w:after="0" w:line="1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tax rate is impacted primarily by the statutory tax rates of the countries in which the Company operates and the related levels of income in those jurisdictions as well as assessment of tax risks that are common to multinational enterprises and assessments of realizability of deferred tax assets and the associated establishment or release of tax valuation allowances.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a result of the factors described in the preceding sections of this MD&amp;A, the Company’s consolidated net income for the second quarter of fiscal 2012 was $147.0 million, or $0.98 per share on a diluted basis, as compared with $141.0 million, or $0.91 per share on a diluted basis, in the prior year second quarter. Net income for the first half of fiscal 2012 was $286.1 million, or $1.88 per share on a diluted basis, as compared with $279.2 million, or $1.81 per share on a diluted basis for the first half of fiscal 2011.</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During the second quarter and first half of fiscal 2012, the Company generated $450.0 million and $245.8 million, respectively, of cash from its operating activities as compared with cash usage of $79.2 million and $191.5 million in the second quarter and first half of fiscal 2011, respectively. These results are comprised of: (i) cash flow generated from net income excluding non-cash and other reconciling items, which includes the add-back of depreciation and amortization, deferred income taxes, stock-based compensation and other non-cash items (primarily the provision for doubtful accounts and periodic pension costs) and (ii) cash flow used for working capital, excluding cash and cash equivalents. Cash generated by working capital during the second quarter of fiscal 2012 included an increase in payables of $420.4 million, driven primarily by TS due to the December quarter being its seasonally strongest due to the calendar-year-end-based budgeting cycles of many of its customers. In addition, inventory decreased $91.7 million, primarily attributable to EM. These cash inflows were partially offset by an increase in accounts receivable of $224.7 million, primarily related to TS and its double-digit sequential revenue growth in the December quarter. Net days outstanding decreased almost three days during the second quarter as receivable days continue to be at or near pre-recession levels as there have not been any significant change in terms provided to customers and the Company has not experienced an overall deterioration in timely customer payments. Comparatively, cash used for working capital during the second quarter of fiscal 2011 consisted of accounts receivable growth of $434.3 million, inventory growth of $71.3 million, partially offset by growth in payables of $164.7 million.</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During the second quarter and first half of fiscal 2012, the Company received net proceeds of $78.5 million and $467.5 million, respectively, primarily from borrowings under the accounts receivable securitization program and bank credit facilities. In addition, during the second quarter and first half of fiscal 2012, the Company used $139.0 million and $221.0 million, respectively, of cash to repurchase common stock under the $500 million share repurchase program authorized by the Board in August 2011 (see </w:t>
      </w:r>
      <w:r>
        <w:rPr>
          <w:rFonts w:ascii="Arial" w:cs="Arial" w:eastAsia="Arial" w:hAnsi="Arial"/>
          <w:sz w:val="17"/>
          <w:szCs w:val="17"/>
          <w:i w:val="1"/>
          <w:iCs w:val="1"/>
          <w:color w:val="auto"/>
        </w:rPr>
        <w:t>Item 2</w:t>
      </w:r>
      <w:r>
        <w:rPr>
          <w:rFonts w:ascii="Arial" w:cs="Arial" w:eastAsia="Arial" w:hAnsi="Arial"/>
          <w:sz w:val="17"/>
          <w:szCs w:val="17"/>
          <w:color w:val="auto"/>
        </w:rPr>
        <w:t xml:space="preserve">. </w:t>
      </w:r>
      <w:r>
        <w:rPr>
          <w:rFonts w:ascii="Arial" w:cs="Arial" w:eastAsia="Arial" w:hAnsi="Arial"/>
          <w:sz w:val="17"/>
          <w:szCs w:val="17"/>
          <w:i w:val="1"/>
          <w:iCs w:val="1"/>
          <w:color w:val="auto"/>
        </w:rPr>
        <w:t>Unregistered Sales of Equity Securities and Use of Proceeds</w:t>
      </w:r>
      <w:r>
        <w:rPr>
          <w:rFonts w:ascii="Arial" w:cs="Arial" w:eastAsia="Arial" w:hAnsi="Arial"/>
          <w:sz w:val="17"/>
          <w:szCs w:val="17"/>
          <w:color w:val="auto"/>
        </w:rPr>
        <w:t xml:space="preserve"> in this Form 10-Q). During the second quarter and first half of fiscal 2011, the Company received net proceeds of $259.4 million and $520.9 million, respectively, primarily from borrowings under the accounts receivable securitization program and bank credit facilities which, along with available cash, were used primarily to fund acquisitions and the working capital needs of the business to support the growth in revenue in prior fiscal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second quarter and first half of fiscal 2012, the Company used $4.3 million and $107.6 million, respectively, of cash for acquisitions, net of cash acquired, and $31.2 million and $70.9 million, respectively, for capital expenditures primarily related to system development costs and computer hardware and software. During the second quarter and first half of fiscal 2011, the Company used $52.1 million and $626.9 million, respectively, of cash for acquisitions, net of cash acquired, and $38.3 million and $70.2 million, respectively, for capital expenditures related to building and leasehold improvements, system development costs and computer hardware and software.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Contractual Obligations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capital structure as of the end of the second quarter of fiscal 2012 with a comparison to fiscal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2011 year-end: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5"/>
              </w:rPr>
              <w:t>% of Total</w:t>
            </w:r>
          </w:p>
        </w:tc>
        <w:tc>
          <w:tcPr>
            <w:tcW w:w="28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July 2,</w:t>
            </w:r>
          </w:p>
        </w:tc>
        <w:tc>
          <w:tcPr>
            <w:tcW w:w="180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 of Total</w:t>
            </w:r>
          </w:p>
        </w:tc>
      </w:tr>
      <w:tr>
        <w:trPr>
          <w:trHeight w:val="234"/>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Capitalization</w:t>
            </w:r>
          </w:p>
        </w:tc>
        <w:tc>
          <w:tcPr>
            <w:tcW w:w="28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80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Capitalization</w:t>
            </w:r>
          </w:p>
        </w:tc>
      </w:tr>
      <w:tr>
        <w:trPr>
          <w:trHeight w:val="27"/>
        </w:trPr>
        <w:tc>
          <w:tcPr>
            <w:tcW w:w="4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(Dollars in thousands)</w:t>
            </w:r>
          </w:p>
        </w:tc>
        <w:tc>
          <w:tcPr>
            <w:tcW w:w="180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800,563</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243,079</w:t>
            </w:r>
          </w:p>
        </w:tc>
        <w:tc>
          <w:tcPr>
            <w:tcW w:w="18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4.4%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1,184,688</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20.3</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1,273,509</w:t>
            </w:r>
          </w:p>
        </w:tc>
        <w:tc>
          <w:tcPr>
            <w:tcW w:w="1800" w:type="dxa"/>
            <w:vAlign w:val="bottom"/>
          </w:tcPr>
          <w:p>
            <w:pPr>
              <w:jc w:val="center"/>
              <w:ind w:left="10"/>
              <w:spacing w:after="0"/>
              <w:rPr>
                <w:sz w:val="20"/>
                <w:szCs w:val="20"/>
                <w:color w:val="auto"/>
              </w:rPr>
            </w:pPr>
            <w:r>
              <w:rPr>
                <w:rFonts w:ascii="Arial" w:cs="Arial" w:eastAsia="Arial" w:hAnsi="Arial"/>
                <w:sz w:val="18"/>
                <w:szCs w:val="18"/>
                <w:color w:val="auto"/>
                <w:w w:val="85"/>
              </w:rPr>
              <w:t>22.8</w:t>
            </w:r>
          </w:p>
        </w:tc>
      </w:tr>
      <w:tr>
        <w:trPr>
          <w:trHeight w:val="27"/>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1,985,251</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34.0</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1,516,588</w:t>
            </w:r>
          </w:p>
        </w:tc>
        <w:tc>
          <w:tcPr>
            <w:tcW w:w="18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5"/>
              </w:rPr>
              <w:t>27.2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3,855,082</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66.0</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4,056,070</w:t>
            </w:r>
          </w:p>
        </w:tc>
        <w:tc>
          <w:tcPr>
            <w:tcW w:w="1800" w:type="dxa"/>
            <w:vAlign w:val="bottom"/>
          </w:tcPr>
          <w:p>
            <w:pPr>
              <w:jc w:val="center"/>
              <w:ind w:left="10"/>
              <w:spacing w:after="0"/>
              <w:rPr>
                <w:sz w:val="20"/>
                <w:szCs w:val="20"/>
                <w:color w:val="auto"/>
              </w:rPr>
            </w:pPr>
            <w:r>
              <w:rPr>
                <w:rFonts w:ascii="Arial" w:cs="Arial" w:eastAsia="Arial" w:hAnsi="Arial"/>
                <w:sz w:val="18"/>
                <w:szCs w:val="18"/>
                <w:color w:val="auto"/>
                <w:w w:val="85"/>
              </w:rPr>
              <w:t>72.8</w:t>
            </w:r>
          </w:p>
        </w:tc>
      </w:tr>
      <w:tr>
        <w:trPr>
          <w:trHeight w:val="27"/>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5,840,333</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5,572,658</w:t>
            </w:r>
          </w:p>
        </w:tc>
        <w:tc>
          <w:tcPr>
            <w:tcW w:w="18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100.0</w:t>
            </w: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For a description of the Company’s long-term debt and lease commitments for the next five years and thereafter, see </w:t>
      </w:r>
      <w:r>
        <w:rPr>
          <w:rFonts w:ascii="Arial" w:cs="Arial" w:eastAsia="Arial" w:hAnsi="Arial"/>
          <w:sz w:val="18"/>
          <w:szCs w:val="18"/>
          <w:i w:val="1"/>
          <w:iCs w:val="1"/>
          <w:color w:val="auto"/>
        </w:rPr>
        <w:t>Long-Term 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Obligations </w:t>
      </w:r>
      <w:r>
        <w:rPr>
          <w:rFonts w:ascii="Arial" w:cs="Arial" w:eastAsia="Arial" w:hAnsi="Arial"/>
          <w:sz w:val="18"/>
          <w:szCs w:val="18"/>
          <w:color w:val="auto"/>
        </w:rPr>
        <w:t>appearing in Item 7 of the Company’s Annual Report on Form 10-K for the year ended July 2, 2011. With the exception of the Company’s debt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discussed herein, there are no material changes to this information outside of normal lease payments.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18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During the second quarter of fiscal 2012, the Company entered into a five-year $1.0 billion senior unsecured revolving credit facility (the "2012 Credit Facility") with a syndicate of banks which expires November 2016. In connection with the 2012 Credit Facility, the Company terminated its existing unsecured $500.0 million credit facility (the "2008 Credit Facility") which was to expire in September 2012. Under the 2012 Credit Facility, the Company may elect from various interest rate options, currencies and maturities. As of the end of the second quarter of fiscal 2012, there were $23.2 million in borrowings outstanding under the 2012 Credit Facility included in “long-term debt” in the consolidated financial statements. In addition, there were $17.1 million in letters of credit issued under the 2012 Credit Facility which represent a utilization of the 2012 Credit Facility capacity but are not recorded in the consolidated balance sheet as the letters of credit are not debt. As of July 2, 2011, there were $122.1 million in borrowings outstanding included in “long-term debt” in the consolidated financial statements and $16.6 million in letters of credit issued under the 2008 Credit Facility.</w:t>
      </w:r>
    </w:p>
    <w:p>
      <w:pPr>
        <w:spacing w:after="0" w:line="1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August 2011, the Company amended its accounts receivable securitization program (the "Securitization Program" or “Program”) with a group of financial institutions to allow the Company to sell, on a revolving basis, an undivided interest of up to $750.0 million ($600.0 million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December 31, 2011. The Program has a one year term that expires in August 2012. There were $610.0 million in borrowings outstanding under the Program at December 31, 2011 and $160.0 million outstanding at July 2, 2011.</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outstanding at December 31, 2011 consisted of:</w:t>
      </w:r>
    </w:p>
    <w:p>
      <w:pPr>
        <w:spacing w:after="0" w:line="9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$300.0 million of 5.875% Notes due March 15, 2014</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$250.0 million of 6.00% Notes due September 1, 2015</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$300.0 million of 6.625% Notes due September 15, 2016</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$300.0 million of 5.875% Notes due June 15, 2020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obligations under these facilities.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and Conditions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2012 Credit Facility contains certain covenants with various limitations on debt incurrence, dividends, investments and capital expenditures and also includes financial covenants requiring the Company to maintain minimum interest coverage and leverage ratios. Management does not believe that the covenants in the 2012 Credit Facility limit the Company’s ability to pursue its intended business strategy or future financing needs. The Company was in compliance with all covenants of the 2012 Credit Facility as of December 31, 2011.</w:t>
      </w:r>
    </w:p>
    <w:p>
      <w:pPr>
        <w:spacing w:after="0" w:line="1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Securitization Program requires the Company to maintain certain minimum interest coverage and leverage ratios in order to continue utilizing the Program. The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Program include the Company’s ongoing profitability and various other economic, market and industry factors. Management does not believe that the covenants under the Program limit the Company’s ability to pursue its intended business strategy or future financing needs. The Company was in compliance with all covenants of the Program as of December 31, 2011.</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mentioned previously, the Company amended its accounts receivable securitization program in August 2011 to increase the borrowing capacity from $600.0 million to $750.0 million. In addition, during the second quarter of fiscal 2012, the Company entered into a five-year $1.0 billion senior unsecured revolving credit facility and terminated its existing $500 million facility. The Company had total borrowing capacity of $1.75 billion at December 31, 2011 under the 2012 Credit Facility and the Program. There were $23.2 million in borrowings outstanding and $17.1 million in letters of credit issued under the 2012 Credit Facility and $610.0 million outstanding under the Program, resulting in $1.10 billion of net availability at the end of the second quarter. During the second quarter of fiscal 2012, the Company had an average daily balance outstanding under the 2012 Credit Facility of approximately $60 million and approximately $640 million under the Program. During the second quarter of fiscal 2011, the Company had an average daily balance outstanding under the 2008 Credit Facility of approximately $100 million and approximately $230 million under the Program.</w:t>
      </w:r>
    </w:p>
    <w:p>
      <w:pPr>
        <w:spacing w:after="0" w:line="13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had cash and cash equivalents of $968.5 million as of December 31, 2011, of which $843.5 million was held outside the U.S. As of July 2, 2011, the Company had cash and cash equivalents of $675.3 million, of which $613.2 million was held outside of the U.S. 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U.S. If these funds were needed for general corporate use in the U.S., the Company would incur significant income taxes to repatriate cash held in foreign locations but only to the extent the repatriated cash is in excess of outstanding intercompany loans due to Avnet, Inc. from the foreign subsidiaries.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half of fiscal 2012, the Company utilized $107.6 million of cash, net of cash acquired, for acquisitions. The Company has been making and expects to continue to make strategic investments through acquisition activity to the extent the investments strengthen Avnet’s competitive position and meet management’s return on capital thresholds.</w:t>
      </w:r>
    </w:p>
    <w:p>
      <w:pPr>
        <w:spacing w:after="0" w:line="14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addition to continuing to make investments in acquisitions, the Company may repurchase up to an aggregate of $500 million of shares of the Company’s common stock through a share repurchase program approved by the Board of Directors in August 2011. The Company plans to repurchase stock from time to time at the discretion of management, subject to strategic considerations, market conditions and other factors. The Company may terminate or limit the stock repurchase program at any time without prior notice. The timing and actual number of shares purchased will depend on a variety of factors such as price, corporate and regulatory requirements, and prevailing market conditions. Since inception of the program in August through the end of the second quarter of fiscal 2012, the Company repurchased 8.1 million shares at average market price of $28.01 per share for total cost of $225.9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million. This amount differs from the cash used for repurchases of common stock on the consolidated statement of cash flows to the extent repurchases were not settled at the end of the quarter. Shares repurchased were retired.</w:t>
      </w:r>
    </w:p>
    <w:p>
      <w:pPr>
        <w:spacing w:after="0" w:line="1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periods of weakening demand in the electronic component and enterprise computer solutions industry, the Company typically generates cash from operating activities. Conversely, the Company is also more likely to use operating cash flows for working capital requirements during periods of higher growth. During the second quarter and first half of fiscal 2012, the Company generated $450.0 million and $245.8 million, respectively, of cash from operations and has generated $715.4 million of cash from operations over the trailing twelve month period. Management believes that Avnet’s borrowing capacity, its current cash availability and the Company’s expected ability to generate operating cash flows in the future are sufficient to meet its projected financing needs.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ANALYSIS — LIQUIDITY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highlights the Company’s liquidity and related ratios as of the end of the second quarter of fiscal 2012 with a comparison to the fiscal 2011 year-end: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2,</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34"/>
        </w:trPr>
        <w:tc>
          <w:tcPr>
            <w:tcW w:w="6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Change</w:t>
            </w:r>
          </w:p>
        </w:tc>
      </w:tr>
      <w:tr>
        <w:trPr>
          <w:trHeight w:val="27"/>
        </w:trPr>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8,455.2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8,227.2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Quick Assets</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5,724.1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5,439.6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5.2</w:t>
            </w: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5,022.9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4,477.7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Working Capital (1)</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3,432.2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3,749.5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(8.5)</w:t>
            </w: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30.9</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Total Capital (total debt plus total shareholders’ equity)</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5,840.3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5,572.7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4.8</w:t>
            </w: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Quick Ratio</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Working Capital Ratio</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to Total Capital</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
        </w:trPr>
        <w:tc>
          <w:tcPr>
            <w:tcW w:w="6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calculation of working capital is defined as current assets less current liabilities.</w:t>
      </w:r>
    </w:p>
    <w:p>
      <w:pPr>
        <w:spacing w:after="0" w:line="1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Company’s quick assets (consisting of cash and cash equivalents and receivables) increased 5.2% and current assets increased 2.8% from July 2, 2011 to December 31, 2011 due primarily to the increase in cash and cash equivalents since the prior fiscal year end which was partially offset by the impact of the change in foreign currency exchange spot rates at December 31, 2011 as compared with July 2, 2011. Current liabilities increased 12.2% primarily due to an increase in short-term borrowings partially offset by the impact of the change in foreign currency exchange spot rates. As a result of the factors noted above, total working capital decreased by 8.5% during the first six months of fiscal 2012. Total debt increased by 30.9% primarily due to the increase in short-term borrowings, total capital increased 4.8% and the debt to capital ratio increased as compared with July 2, 2011 to 34.0%.</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2011, the Financial Accounting Standards Board issued authoritative guidance that requires an entity to disclose information about offsetting and related arrangements to enable users of its financial statements to understand the effect of those arrangements on its financial position. This guidance is effective for annual reporting periods beginning on or after January 1, 2013 and interim periods within those annual periods. The adoption of this guidance may expand existing disclosure requirements, which the Company is currently evaluating.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 hedge against all or a portion of the risks associated with such volatility. The Company continues to have exposure to such risks to the extent they are not hedged.</w:t>
      </w:r>
    </w:p>
    <w:p>
      <w:pPr>
        <w:spacing w:after="0" w:line="1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year ended July 2, 2011 for further discussion of market risks associated with interest rates and foreign currency exchange. Avnet’s exposure to foreign exchange risks have not changed materially since July 2, 2011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1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Liquidity and Capital Resources — Financing Transactions</w:t>
      </w:r>
      <w:r>
        <w:rPr>
          <w:rFonts w:ascii="Arial" w:cs="Arial" w:eastAsia="Arial" w:hAnsi="Arial"/>
          <w:sz w:val="17"/>
          <w:szCs w:val="17"/>
          <w:color w:val="auto"/>
        </w:rPr>
        <w:t xml:space="preserve"> appearing in Item 2 of this Form 10-Q for further discussion of the Company’s financing facilities and capital structure. As of December 31, 2011, 58.0% of the Company’s debt bears interest at a fixed rate and 42.0% of the Company’s debt bears interest at variable rates. Therefore, a hypothetical 1.0% (100 basis points) increase in interest rates would result in a $2.1 million impact on income before income taxes in the Company’s consolidated statement of operations for the quarter ended December 31, 2011.</w:t>
      </w:r>
    </w:p>
    <w:p>
      <w:pPr>
        <w:spacing w:after="0" w:line="3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second quarter of fiscal 2012,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3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Report or in documents incorporated by reference in this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July 2, 2011, could affect the Company’s future results, and could cause those results or other outcomes to differ materially from those expressed or implied in the forward-looking statements:</w:t>
      </w:r>
    </w:p>
    <w:p>
      <w:pPr>
        <w:spacing w:after="0" w:line="43"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global economic conditions, including the current global economic uncertainty;</w:t>
      </w:r>
    </w:p>
    <w:p>
      <w:pPr>
        <w:spacing w:after="0" w:line="9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w:t>
      </w:r>
    </w:p>
    <w:p>
      <w:pPr>
        <w:spacing w:after="0" w:line="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 resulting in increased competition for existing customers or otherwise;</w:t>
      </w:r>
    </w:p>
    <w:p>
      <w:pPr>
        <w:spacing w:after="0" w:line="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our supply chain, shipping costs, customers and suppliers, including as a result of issues caused by natural and weather-related disasters;</w:t>
      </w:r>
    </w:p>
    <w:p>
      <w:pPr>
        <w:spacing w:after="0" w:line="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relating to our international sales and operations, including risks relating to the ability to repatriate funds, foreign currency fluctuations, duties and taxes, and compliance with international and U.S. laws that apply to our international operations;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cyclicality in the technology industry, particularly in the semiconductor sector;</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allocation of products by suppliers; and</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18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2011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December 31, 2011, there have been no material changes to the risk factors set forth in the Company’s 2011 Annual Report on Form 10-K.</w:t>
      </w: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8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August 2011, the Company’s Board of Directors approved the repurchase of up to $500 million of the Company’s common stock through a share repurchase program. The following table includes the Company’s monthly purchases of Avnet's common stock during the second quarter ended December 31, 2011 under the share repurchase program, which is part of a publicly announced plan, and purchases made on the open market to obtain shares for the Company’s Employee Stock Purchase Plan (“ESPP”), which is not part of a publicly announced plan: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Part of Publicly</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of Shares</w:t>
            </w:r>
          </w:p>
        </w:tc>
        <w:tc>
          <w:tcPr>
            <w:tcW w:w="24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Average Price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Announced Plans or</w:t>
            </w:r>
          </w:p>
        </w:tc>
        <w:tc>
          <w:tcPr>
            <w:tcW w:w="120" w:type="dxa"/>
            <w:vAlign w:val="bottom"/>
          </w:tcPr>
          <w:p>
            <w:pPr>
              <w:spacing w:after="0"/>
              <w:rPr>
                <w:sz w:val="20"/>
                <w:szCs w:val="20"/>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Under the Plans or</w:t>
            </w:r>
          </w:p>
        </w:tc>
      </w:tr>
      <w:tr>
        <w:trPr>
          <w:trHeight w:val="270"/>
        </w:trPr>
        <w:tc>
          <w:tcPr>
            <w:tcW w:w="2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 xml:space="preserve">Purchased </w:t>
            </w:r>
            <w:r>
              <w:rPr>
                <w:rFonts w:ascii="Arial" w:cs="Arial" w:eastAsia="Arial" w:hAnsi="Arial"/>
                <w:sz w:val="14"/>
                <w:szCs w:val="14"/>
                <w:b w:val="1"/>
                <w:bCs w:val="1"/>
                <w:color w:val="auto"/>
                <w:w w:val="89"/>
              </w:rPr>
              <w:t>(1)</w:t>
            </w:r>
          </w:p>
        </w:tc>
        <w:tc>
          <w:tcPr>
            <w:tcW w:w="240" w:type="dxa"/>
            <w:vAlign w:val="bottom"/>
          </w:tcPr>
          <w:p>
            <w:pPr>
              <w:spacing w:after="0"/>
              <w:rPr>
                <w:sz w:val="23"/>
                <w:szCs w:val="23"/>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per Share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120" w:type="dxa"/>
            <w:vAlign w:val="bottom"/>
          </w:tcPr>
          <w:p>
            <w:pPr>
              <w:spacing w:after="0"/>
              <w:rPr>
                <w:sz w:val="23"/>
                <w:szCs w:val="23"/>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Programs</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358,566,438</w:t>
            </w:r>
          </w:p>
        </w:tc>
      </w:tr>
      <w:tr>
        <w:trPr>
          <w:trHeight w:val="243"/>
        </w:trPr>
        <w:tc>
          <w:tcPr>
            <w:tcW w:w="20" w:type="dxa"/>
            <w:vAlign w:val="bottom"/>
          </w:tcPr>
          <w:p>
            <w:pPr>
              <w:spacing w:after="0"/>
              <w:rPr>
                <w:sz w:val="21"/>
                <w:szCs w:val="21"/>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November</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1,515,500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1,510,000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314,227,389</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1,334,900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274,062,598</w:t>
            </w: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52" w:lineRule="exact"/>
        <w:rPr>
          <w:sz w:val="20"/>
          <w:szCs w:val="20"/>
          <w:color w:val="auto"/>
        </w:rPr>
      </w:pPr>
    </w:p>
    <w:p>
      <w:pPr>
        <w:ind w:left="660" w:hanging="652"/>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Includes purchases of Avnet’s common stock associated with the Company’s ESPP as follows: 7,500 shares in October, 5,500 shares in November and 4,900 shares in December.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tcPr>
          <w:p>
            <w:pPr>
              <w:spacing w:after="0"/>
              <w:rPr>
                <w:sz w:val="20"/>
                <w:szCs w:val="20"/>
                <w:color w:val="auto"/>
              </w:rPr>
            </w:pPr>
          </w:p>
        </w:tc>
      </w:tr>
      <w:tr>
        <w:trPr>
          <w:trHeight w:val="270"/>
        </w:trPr>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492"/>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Credit Agreement dated as of November 18, 2011 (incorporated herein by reference to the Company's Current Report on Form 8-K</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dated November 22, 2011, Exhibit 10.1)</w:t>
            </w:r>
          </w:p>
        </w:tc>
      </w:tr>
      <w:tr>
        <w:trPr>
          <w:trHeight w:val="54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1" w:lineRule="exact"/>
        <w:rPr>
          <w:sz w:val="20"/>
          <w:szCs w:val="20"/>
          <w:color w:val="auto"/>
        </w:rPr>
      </w:pPr>
    </w:p>
    <w:p>
      <w:pPr>
        <w:ind w:left="620" w:hanging="585"/>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both"/>
        <w:ind w:left="620" w:right="40" w:hanging="585"/>
        <w:spacing w:after="0" w:line="264"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8"/>
          <w:szCs w:val="18"/>
          <w:color w:val="auto"/>
        </w:rPr>
        <w:t>By:</w:t>
        <w:tab/>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Raymond Sadowski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Senior Vice President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2012</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Raymond Sadowski, certify that:</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2012</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Raymond Sadowski</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December 31, 2011 (the “Report”), I, Richard Hamada, Chief Executive Officer of Avnet, Inc., (the “Company”) hereby certify that:</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2012</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December 31, 2011 (the “Report”), I, Raymond Sadowski, Chief Financial Officer of Avnet, Inc., (the “Company”) hereby certify that:</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2012</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Raymond Sadowski</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2"/>
    </w:lvl>
  </w:abstractNum>
  <w:abstractNum w:abstractNumId="1">
    <w:nsid w:val="4DB127F8"/>
    <w:multiLevelType w:val="hybridMultilevel"/>
    <w:lvl w:ilvl="0">
      <w:lvlJc w:val="left"/>
      <w:lvlText w:val="%1."/>
      <w:numFmt w:val="decimal"/>
      <w:start w:val="6"/>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2019-12-09T05:30:20Z</dcterms:created>
  <dcterms:modified xsi:type="dcterms:W3CDTF">2019-12-09T05:30:20Z</dcterms:modified>
</cp:coreProperties>
</file>