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368935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411480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106045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ind w:left="500" w:hanging="405"/>
        <w:spacing w:after="0" w:line="194" w:lineRule="auto"/>
        <w:tabs>
          <w:tab w:leader="none" w:pos="50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 June 28, 2025</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4" w:lineRule="exact"/>
        <w:rPr>
          <w:sz w:val="24"/>
          <w:szCs w:val="24"/>
          <w:color w:val="auto"/>
        </w:rPr>
      </w:pPr>
    </w:p>
    <w:p>
      <w:pPr>
        <w:ind w:left="500" w:hanging="398"/>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22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720" w:type="dxa"/>
            <w:vAlign w:val="bottom"/>
            <w:tcBorders>
              <w:bottom w:val="single" w:sz="8" w:color="auto"/>
            </w:tcBorders>
          </w:tcPr>
          <w:p>
            <w:pPr>
              <w:spacing w:after="0"/>
              <w:rPr>
                <w:sz w:val="13"/>
                <w:szCs w:val="13"/>
                <w:color w:val="auto"/>
              </w:rPr>
            </w:pPr>
          </w:p>
        </w:tc>
        <w:tc>
          <w:tcPr>
            <w:tcW w:w="3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40" w:type="dxa"/>
            <w:vAlign w:val="bottom"/>
            <w:gridSpan w:val="7"/>
          </w:tcPr>
          <w:p>
            <w:pPr>
              <w:jc w:val="center"/>
              <w:ind w:right="3688"/>
              <w:spacing w:after="0"/>
              <w:rPr>
                <w:sz w:val="20"/>
                <w:szCs w:val="20"/>
                <w:color w:val="auto"/>
              </w:rPr>
            </w:pPr>
            <w:r>
              <w:rPr>
                <w:rFonts w:ascii="Times New Roman" w:cs="Times New Roman" w:eastAsia="Times New Roman" w:hAnsi="Times New Roman"/>
                <w:sz w:val="14"/>
                <w:szCs w:val="14"/>
                <w:b w:val="1"/>
                <w:bCs w:val="1"/>
                <w:color w:val="auto"/>
              </w:rPr>
              <w:t>Commission file number 1-4224</w:t>
            </w:r>
          </w:p>
        </w:tc>
        <w:tc>
          <w:tcPr>
            <w:tcW w:w="0" w:type="dxa"/>
            <w:vAlign w:val="bottom"/>
          </w:tcPr>
          <w:p>
            <w:pPr>
              <w:spacing w:after="0"/>
              <w:rPr>
                <w:sz w:val="1"/>
                <w:szCs w:val="1"/>
                <w:color w:val="auto"/>
              </w:rPr>
            </w:pPr>
          </w:p>
        </w:tc>
      </w:tr>
      <w:tr>
        <w:trPr>
          <w:trHeight w:val="299"/>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2"/>
          </w:tcPr>
          <w:p>
            <w:pPr>
              <w:jc w:val="center"/>
              <w:ind w:left="595"/>
              <w:spacing w:after="0"/>
              <w:rPr>
                <w:sz w:val="20"/>
                <w:szCs w:val="20"/>
                <w:color w:val="auto"/>
              </w:rPr>
            </w:pPr>
            <w:r>
              <w:rPr>
                <w:rFonts w:ascii="Times New Roman" w:cs="Times New Roman" w:eastAsia="Times New Roman" w:hAnsi="Times New Roman"/>
                <w:sz w:val="25"/>
                <w:szCs w:val="25"/>
                <w:b w:val="1"/>
                <w:bCs w:val="1"/>
                <w:color w:val="auto"/>
                <w:w w:val="98"/>
              </w:rPr>
              <w:t>Avnet, Inc.</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20" w:type="dxa"/>
            <w:vAlign w:val="bottom"/>
            <w:gridSpan w:val="8"/>
          </w:tcPr>
          <w:p>
            <w:pPr>
              <w:jc w:val="center"/>
              <w:ind w:right="3508"/>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0" w:type="dxa"/>
            <w:vAlign w:val="bottom"/>
          </w:tcPr>
          <w:p>
            <w:pPr>
              <w:spacing w:after="0"/>
              <w:rPr>
                <w:sz w:val="1"/>
                <w:szCs w:val="1"/>
                <w:color w:val="auto"/>
              </w:rPr>
            </w:pPr>
          </w:p>
        </w:tc>
      </w:tr>
      <w:tr>
        <w:trPr>
          <w:trHeight w:val="188"/>
        </w:trPr>
        <w:tc>
          <w:tcPr>
            <w:tcW w:w="3040" w:type="dxa"/>
            <w:vAlign w:val="bottom"/>
          </w:tcPr>
          <w:p>
            <w:pPr>
              <w:jc w:val="center"/>
              <w:ind w:left="1868"/>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40" w:type="dxa"/>
            <w:vAlign w:val="bottom"/>
            <w:gridSpan w:val="5"/>
          </w:tcPr>
          <w:p>
            <w:pPr>
              <w:jc w:val="right"/>
              <w:ind w:right="2048"/>
              <w:spacing w:after="0"/>
              <w:rPr>
                <w:sz w:val="20"/>
                <w:szCs w:val="20"/>
                <w:color w:val="auto"/>
              </w:rPr>
            </w:pPr>
            <w:r>
              <w:rPr>
                <w:rFonts w:ascii="Times New Roman" w:cs="Times New Roman" w:eastAsia="Times New Roman" w:hAnsi="Times New Roman"/>
                <w:sz w:val="14"/>
                <w:szCs w:val="14"/>
                <w:b w:val="1"/>
                <w:bCs w:val="1"/>
                <w:color w:val="auto"/>
              </w:rPr>
              <w:t>11-1890605</w:t>
            </w:r>
          </w:p>
        </w:tc>
        <w:tc>
          <w:tcPr>
            <w:tcW w:w="0" w:type="dxa"/>
            <w:vAlign w:val="bottom"/>
          </w:tcPr>
          <w:p>
            <w:pPr>
              <w:spacing w:after="0"/>
              <w:rPr>
                <w:sz w:val="1"/>
                <w:szCs w:val="1"/>
                <w:color w:val="auto"/>
              </w:rPr>
            </w:pPr>
          </w:p>
        </w:tc>
      </w:tr>
      <w:tr>
        <w:trPr>
          <w:trHeight w:val="190"/>
        </w:trPr>
        <w:tc>
          <w:tcPr>
            <w:tcW w:w="5780" w:type="dxa"/>
            <w:vAlign w:val="bottom"/>
            <w:gridSpan w:val="5"/>
          </w:tcPr>
          <w:p>
            <w:pPr>
              <w:jc w:val="center"/>
              <w:ind w:right="80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gridSpan w:val="2"/>
          </w:tcPr>
          <w:p>
            <w:pPr>
              <w:ind w:left="540"/>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c>
          <w:tcPr>
            <w:tcW w:w="0" w:type="dxa"/>
            <w:vAlign w:val="bottom"/>
          </w:tcPr>
          <w:p>
            <w:pPr>
              <w:spacing w:after="0"/>
              <w:rPr>
                <w:sz w:val="1"/>
                <w:szCs w:val="1"/>
                <w:color w:val="auto"/>
              </w:rPr>
            </w:pPr>
          </w:p>
        </w:tc>
      </w:tr>
      <w:tr>
        <w:trPr>
          <w:trHeight w:val="242"/>
        </w:trPr>
        <w:tc>
          <w:tcPr>
            <w:tcW w:w="5780" w:type="dxa"/>
            <w:vAlign w:val="bottom"/>
            <w:gridSpan w:val="5"/>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2211 South 47th Street,</w:t>
            </w:r>
          </w:p>
        </w:tc>
        <w:tc>
          <w:tcPr>
            <w:tcW w:w="4440" w:type="dxa"/>
            <w:vAlign w:val="bottom"/>
            <w:gridSpan w:val="5"/>
            <w:vMerge w:val="restart"/>
          </w:tcPr>
          <w:p>
            <w:pPr>
              <w:jc w:val="right"/>
              <w:ind w:right="2208"/>
              <w:spacing w:after="0"/>
              <w:rPr>
                <w:sz w:val="20"/>
                <w:szCs w:val="20"/>
                <w:color w:val="auto"/>
              </w:rPr>
            </w:pPr>
            <w:r>
              <w:rPr>
                <w:rFonts w:ascii="Times New Roman" w:cs="Times New Roman" w:eastAsia="Times New Roman" w:hAnsi="Times New Roman"/>
                <w:sz w:val="14"/>
                <w:szCs w:val="14"/>
                <w:b w:val="1"/>
                <w:bCs w:val="1"/>
                <w:color w:val="auto"/>
              </w:rPr>
              <w:t>85034</w:t>
            </w:r>
          </w:p>
        </w:tc>
        <w:tc>
          <w:tcPr>
            <w:tcW w:w="0" w:type="dxa"/>
            <w:vAlign w:val="bottom"/>
          </w:tcPr>
          <w:p>
            <w:pPr>
              <w:spacing w:after="0"/>
              <w:rPr>
                <w:sz w:val="1"/>
                <w:szCs w:val="1"/>
                <w:color w:val="auto"/>
              </w:rPr>
            </w:pPr>
          </w:p>
        </w:tc>
      </w:tr>
      <w:tr>
        <w:trPr>
          <w:trHeight w:val="148"/>
        </w:trPr>
        <w:tc>
          <w:tcPr>
            <w:tcW w:w="3040" w:type="dxa"/>
            <w:vAlign w:val="bottom"/>
          </w:tcPr>
          <w:p>
            <w:pPr>
              <w:jc w:val="center"/>
              <w:ind w:left="1868"/>
              <w:spacing w:after="0" w:line="149" w:lineRule="exact"/>
              <w:rPr>
                <w:sz w:val="20"/>
                <w:szCs w:val="20"/>
                <w:color w:val="auto"/>
              </w:rPr>
            </w:pPr>
            <w:r>
              <w:rPr>
                <w:rFonts w:ascii="Times New Roman" w:cs="Times New Roman" w:eastAsia="Times New Roman" w:hAnsi="Times New Roman"/>
                <w:sz w:val="14"/>
                <w:szCs w:val="14"/>
                <w:b w:val="1"/>
                <w:bCs w:val="1"/>
                <w:color w:val="auto"/>
              </w:rPr>
              <w:t>Phoenix, Arizona</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80" w:type="dxa"/>
            <w:vAlign w:val="bottom"/>
            <w:gridSpan w:val="5"/>
          </w:tcPr>
          <w:p>
            <w:pPr>
              <w:jc w:val="center"/>
              <w:ind w:right="82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340" w:type="dxa"/>
            <w:vAlign w:val="bottom"/>
          </w:tcPr>
          <w:p>
            <w:pPr>
              <w:ind w:left="560"/>
              <w:spacing w:after="0"/>
              <w:rPr>
                <w:sz w:val="20"/>
                <w:szCs w:val="20"/>
                <w:color w:val="auto"/>
              </w:rPr>
            </w:pPr>
            <w:r>
              <w:rPr>
                <w:rFonts w:ascii="Times New Roman" w:cs="Times New Roman" w:eastAsia="Times New Roman" w:hAnsi="Times New Roman"/>
                <w:sz w:val="14"/>
                <w:szCs w:val="14"/>
                <w:i w:val="1"/>
                <w:iCs w:val="1"/>
                <w:color w:val="auto"/>
              </w:rPr>
              <w:t>(Zip Code)</w:t>
            </w: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2"/>
                <w:szCs w:val="22"/>
                <w:color w:val="auto"/>
              </w:rPr>
            </w:pPr>
          </w:p>
        </w:tc>
        <w:tc>
          <w:tcPr>
            <w:tcW w:w="7180" w:type="dxa"/>
            <w:vAlign w:val="bottom"/>
            <w:gridSpan w:val="9"/>
          </w:tcPr>
          <w:p>
            <w:pPr>
              <w:jc w:val="center"/>
              <w:ind w:right="294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(480) 643-2000</w:t>
            </w:r>
          </w:p>
        </w:tc>
        <w:tc>
          <w:tcPr>
            <w:tcW w:w="0" w:type="dxa"/>
            <w:vAlign w:val="bottom"/>
          </w:tcPr>
          <w:p>
            <w:pPr>
              <w:spacing w:after="0"/>
              <w:rPr>
                <w:sz w:val="1"/>
                <w:szCs w:val="1"/>
                <w:color w:val="auto"/>
              </w:rPr>
            </w:pPr>
          </w:p>
        </w:tc>
      </w:tr>
      <w:tr>
        <w:trPr>
          <w:trHeight w:val="297"/>
        </w:trPr>
        <w:tc>
          <w:tcPr>
            <w:tcW w:w="3040" w:type="dxa"/>
            <w:vAlign w:val="bottom"/>
          </w:tcPr>
          <w:p>
            <w:pPr>
              <w:spacing w:after="0"/>
              <w:rPr>
                <w:sz w:val="24"/>
                <w:szCs w:val="24"/>
                <w:color w:val="auto"/>
              </w:rPr>
            </w:pPr>
          </w:p>
        </w:tc>
        <w:tc>
          <w:tcPr>
            <w:tcW w:w="7180" w:type="dxa"/>
            <w:vAlign w:val="bottom"/>
            <w:gridSpan w:val="9"/>
          </w:tcPr>
          <w:p>
            <w:pPr>
              <w:jc w:val="center"/>
              <w:ind w:right="294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39"/>
        </w:trPr>
        <w:tc>
          <w:tcPr>
            <w:tcW w:w="3040" w:type="dxa"/>
            <w:vAlign w:val="bottom"/>
            <w:tcBorders>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304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Common stock, par value $1.00 per share</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AVT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340" w:type="dxa"/>
            <w:vAlign w:val="bottom"/>
          </w:tcPr>
          <w:p>
            <w:pPr>
              <w:jc w:val="center"/>
              <w:ind w:right="728"/>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2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51" w:lineRule="exact"/>
        <w:rPr>
          <w:sz w:val="24"/>
          <w:szCs w:val="24"/>
          <w:color w:val="auto"/>
        </w:rPr>
      </w:pPr>
    </w:p>
    <w:p>
      <w:pPr>
        <w:ind w:left="4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ind w:left="4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jc w:val="both"/>
        <w:ind w:left="20" w:right="20" w:firstLine="432"/>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180" w:hanging="170"/>
        <w:spacing w:after="0" w:line="161" w:lineRule="exact"/>
        <w:tabs>
          <w:tab w:leader="none" w:pos="1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85" w:lineRule="exact"/>
        <w:rPr>
          <w:sz w:val="24"/>
          <w:szCs w:val="24"/>
          <w:color w:val="auto"/>
        </w:rPr>
      </w:pPr>
    </w:p>
    <w:p>
      <w:pPr>
        <w:jc w:val="both"/>
        <w:ind w:left="20" w:right="20" w:firstLine="432"/>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ind w:left="20" w:firstLine="432"/>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p>
      <w:pPr>
        <w:ind w:left="20"/>
        <w:spacing w:after="0" w:line="150" w:lineRule="exact"/>
        <w:tabs>
          <w:tab w:leader="none" w:pos="1840" w:val="left"/>
          <w:tab w:leader="none" w:pos="3740" w:val="left"/>
          <w:tab w:leader="none" w:pos="5840" w:val="left"/>
          <w:tab w:leader="none" w:pos="8220"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04" w:lineRule="exact"/>
        <w:rPr>
          <w:sz w:val="24"/>
          <w:szCs w:val="24"/>
          <w:color w:val="auto"/>
        </w:rPr>
      </w:pPr>
    </w:p>
    <w:p>
      <w:pPr>
        <w:jc w:val="both"/>
        <w:ind w:left="20" w:firstLine="427"/>
        <w:spacing w:after="0" w:line="19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69" w:lineRule="exact"/>
        <w:rPr>
          <w:sz w:val="24"/>
          <w:szCs w:val="24"/>
          <w:color w:val="auto"/>
        </w:rPr>
      </w:pPr>
    </w:p>
    <w:p>
      <w:pPr>
        <w:jc w:val="both"/>
        <w:ind w:left="20" w:firstLine="427"/>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45" w:lineRule="exact"/>
        <w:rPr>
          <w:sz w:val="24"/>
          <w:szCs w:val="24"/>
          <w:color w:val="auto"/>
        </w:rPr>
      </w:pPr>
    </w:p>
    <w:p>
      <w:pPr>
        <w:jc w:val="both"/>
        <w:ind w:left="20" w:firstLine="427"/>
        <w:spacing w:after="0" w:line="20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1" w:lineRule="exact"/>
        <w:rPr>
          <w:sz w:val="24"/>
          <w:szCs w:val="24"/>
          <w:color w:val="auto"/>
        </w:rPr>
      </w:pPr>
    </w:p>
    <w:p>
      <w:pPr>
        <w:jc w:val="both"/>
        <w:ind w:left="20" w:firstLine="427"/>
        <w:spacing w:after="0" w:line="196"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 a recovery analysis of incentive-based compensation received by any of the registrant’s executive officers during the relevant recovery period pursuant to Section 240.10D-1(b)</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 xml:space="preserve"> </w:t>
      </w:r>
      <w:r>
        <w:rPr>
          <w:rFonts w:ascii="MS PGothic" w:cs="MS PGothic" w:eastAsia="MS PGothic" w:hAnsi="MS PGothic"/>
          <w:sz w:val="12"/>
          <w:szCs w:val="12"/>
          <w:color w:val="auto"/>
        </w:rPr>
        <w:t>☐</w:t>
      </w:r>
    </w:p>
    <w:p>
      <w:pPr>
        <w:spacing w:after="0" w:line="37" w:lineRule="exact"/>
        <w:rPr>
          <w:sz w:val="24"/>
          <w:szCs w:val="24"/>
          <w:color w:val="auto"/>
        </w:rPr>
      </w:pPr>
    </w:p>
    <w:p>
      <w:pPr>
        <w:ind w:left="4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jc w:val="both"/>
        <w:ind w:left="20" w:firstLine="427"/>
        <w:spacing w:after="0" w:line="241" w:lineRule="auto"/>
        <w:rPr>
          <w:sz w:val="20"/>
          <w:szCs w:val="20"/>
          <w:color w:val="auto"/>
        </w:rPr>
      </w:pPr>
      <w:r>
        <w:rPr>
          <w:rFonts w:ascii="Times New Roman" w:cs="Times New Roman" w:eastAsia="Times New Roman" w:hAnsi="Times New Roman"/>
          <w:sz w:val="14"/>
          <w:szCs w:val="14"/>
          <w:color w:val="auto"/>
        </w:rPr>
        <w:t>The aggregate market value (approximate) of the registrant’s common equity held by non-affiliates based on the closing price of a share of the registrant’s common stock for Nasdaq Global Select Market composite transactions on December 27, 2024 (the last business day of the registrant’s most recently completed second fiscal quarter) was $4,521,795,970.</w:t>
      </w:r>
    </w:p>
    <w:p>
      <w:pPr>
        <w:spacing w:after="0" w:line="28"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4"/>
          <w:szCs w:val="14"/>
          <w:color w:val="auto"/>
        </w:rPr>
        <w:t>As of August 7, 2025, the total number of shares outstanding of the registrant’s Common Stock was 83,462,743 shares, net of treasury shares.</w:t>
      </w:r>
    </w:p>
    <w:p>
      <w:pPr>
        <w:spacing w:after="0" w:line="94"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50800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7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color w:val="auto"/>
        </w:rPr>
        <w:t>Portions of the registrant’s definitive proxy statement (to be filed pursuant to Reg. 14A) relating to the Annual Meeting of Shareholders anticipated to be held on November 21,</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2025, are incorporated herein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656590</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142240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125095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180" w:type="dxa"/>
            <w:vAlign w:val="bottom"/>
            <w:gridSpan w:val="18"/>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12"/>
            <w:vMerge w:val="restart"/>
          </w:tcPr>
          <w:p>
            <w:pPr>
              <w:jc w:val="center"/>
              <w:ind w:right="3800"/>
              <w:spacing w:after="0"/>
              <w:rPr>
                <w:sz w:val="20"/>
                <w:szCs w:val="20"/>
                <w:color w:val="auto"/>
              </w:rPr>
            </w:pPr>
            <w:r>
              <w:rPr>
                <w:rFonts w:ascii="Times New Roman" w:cs="Times New Roman" w:eastAsia="Times New Roman" w:hAnsi="Times New Roman"/>
                <w:sz w:val="17"/>
                <w:szCs w:val="17"/>
                <w:b w:val="1"/>
                <w:bCs w:val="1"/>
                <w:color w:val="0000EE"/>
                <w:w w:val="97"/>
              </w:rPr>
              <w:t>PART I</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Page</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60" w:type="dxa"/>
            <w:vAlign w:val="bottom"/>
            <w:gridSpan w:val="12"/>
            <w:vMerge w:val="continue"/>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11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9"/>
              </w:rPr>
              <w:t>Item 1. Business</w:t>
            </w:r>
          </w:p>
        </w:tc>
        <w:tc>
          <w:tcPr>
            <w:tcW w:w="3020" w:type="dxa"/>
            <w:vAlign w:val="bottom"/>
            <w:gridSpan w:val="18"/>
          </w:tcPr>
          <w:p>
            <w:pPr>
              <w:spacing w:after="0"/>
              <w:rPr>
                <w:sz w:val="24"/>
                <w:szCs w:val="24"/>
                <w:color w:val="auto"/>
              </w:rPr>
            </w:pPr>
          </w:p>
        </w:tc>
        <w:tc>
          <w:tcPr>
            <w:tcW w:w="560" w:type="dxa"/>
            <w:vAlign w:val="bottom"/>
            <w:tcBorders>
              <w:top w:val="single" w:sz="8" w:color="0000EE"/>
            </w:tcBorders>
            <w:gridSpan w:val="2"/>
          </w:tcPr>
          <w:p>
            <w:pPr>
              <w:spacing w:after="0"/>
              <w:rPr>
                <w:sz w:val="24"/>
                <w:szCs w:val="24"/>
                <w:color w:val="auto"/>
              </w:rPr>
            </w:pPr>
          </w:p>
        </w:tc>
        <w:tc>
          <w:tcPr>
            <w:tcW w:w="380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331"/>
        </w:trPr>
        <w:tc>
          <w:tcPr>
            <w:tcW w:w="852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Item 1A. Risk Factors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5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w w:val="99"/>
              </w:rPr>
              <w:t>Item 1B. Unresolved Staff Comments</w:t>
            </w:r>
          </w:p>
        </w:tc>
        <w:tc>
          <w:tcPr>
            <w:tcW w:w="594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331"/>
        </w:trPr>
        <w:tc>
          <w:tcPr>
            <w:tcW w:w="16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w w:val="99"/>
              </w:rPr>
              <w:t>Item 1C. Cybersecurity</w:t>
            </w:r>
          </w:p>
        </w:tc>
        <w:tc>
          <w:tcPr>
            <w:tcW w:w="6920" w:type="dxa"/>
            <w:vAlign w:val="bottom"/>
            <w:gridSpan w:val="26"/>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331"/>
        </w:trPr>
        <w:tc>
          <w:tcPr>
            <w:tcW w:w="12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8"/>
              </w:rPr>
              <w:t>Item 2. Properties</w:t>
            </w:r>
          </w:p>
        </w:tc>
        <w:tc>
          <w:tcPr>
            <w:tcW w:w="7300" w:type="dxa"/>
            <w:vAlign w:val="bottom"/>
            <w:gridSpan w:val="29"/>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331"/>
        </w:trPr>
        <w:tc>
          <w:tcPr>
            <w:tcW w:w="852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Item 3. Legal Proceedings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52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Item 4. Mine Safety Disclosures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331"/>
        </w:trPr>
        <w:tc>
          <w:tcPr>
            <w:tcW w:w="10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0000EE"/>
                <w:w w:val="97"/>
              </w:rPr>
              <w:t>PART II</w:t>
            </w:r>
          </w:p>
        </w:tc>
        <w:tc>
          <w:tcPr>
            <w:tcW w:w="3760" w:type="dxa"/>
            <w:vAlign w:val="bottom"/>
            <w:gridSpan w:val="9"/>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52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Item 5. Market for Registrant’s Common Equity, Related Stockholder Matters and Issuer Purchases of Equity Securities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331"/>
        </w:trPr>
        <w:tc>
          <w:tcPr>
            <w:tcW w:w="12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w w:val="99"/>
              </w:rPr>
              <w:t>Item 6. [Reserved]</w:t>
            </w:r>
          </w:p>
        </w:tc>
        <w:tc>
          <w:tcPr>
            <w:tcW w:w="6900" w:type="dxa"/>
            <w:vAlign w:val="bottom"/>
            <w:tcBorders>
              <w:top w:val="single" w:sz="8" w:color="0000EE"/>
            </w:tcBorders>
            <w:gridSpan w:val="27"/>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331"/>
        </w:trPr>
        <w:tc>
          <w:tcPr>
            <w:tcW w:w="666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7"/>
                <w:szCs w:val="17"/>
                <w:color w:val="0000EE"/>
              </w:rPr>
              <w:t>Item 7. Management’s Discussion and Analysis of Financial Condition and Results of Operations</w:t>
            </w:r>
          </w:p>
        </w:tc>
        <w:tc>
          <w:tcPr>
            <w:tcW w:w="186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331"/>
        </w:trPr>
        <w:tc>
          <w:tcPr>
            <w:tcW w:w="852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Item 7A. Quantitative and Qualitative Disclosures About Market Risk</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331"/>
        </w:trPr>
        <w:tc>
          <w:tcPr>
            <w:tcW w:w="4780" w:type="dxa"/>
            <w:vAlign w:val="bottom"/>
            <w:tcBorders>
              <w:top w:val="single" w:sz="8" w:color="0000EE"/>
            </w:tcBorders>
            <w:gridSpan w:val="24"/>
          </w:tcPr>
          <w:p>
            <w:pPr>
              <w:spacing w:after="0"/>
              <w:rPr>
                <w:sz w:val="20"/>
                <w:szCs w:val="20"/>
                <w:color w:val="auto"/>
              </w:rPr>
            </w:pPr>
            <w:r>
              <w:rPr>
                <w:rFonts w:ascii="Times New Roman" w:cs="Times New Roman" w:eastAsia="Times New Roman" w:hAnsi="Times New Roman"/>
                <w:sz w:val="17"/>
                <w:szCs w:val="17"/>
                <w:color w:val="0000EE"/>
              </w:rPr>
              <w:t>Item 8. Financial Statements and Supplementary Data</w:t>
            </w:r>
          </w:p>
        </w:tc>
        <w:tc>
          <w:tcPr>
            <w:tcW w:w="374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68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7"/>
                <w:szCs w:val="17"/>
                <w:color w:val="0000EE"/>
              </w:rPr>
              <w:t>Item 9. Changes in and Disagreements with Accountants on Accounting and Financial Disclosure</w:t>
            </w:r>
          </w:p>
        </w:tc>
        <w:tc>
          <w:tcPr>
            <w:tcW w:w="184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331"/>
        </w:trPr>
        <w:tc>
          <w:tcPr>
            <w:tcW w:w="23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0000EE"/>
              </w:rPr>
              <w:t>Item 9A. Controls and Procedures</w:t>
            </w:r>
          </w:p>
        </w:tc>
        <w:tc>
          <w:tcPr>
            <w:tcW w:w="6180" w:type="dxa"/>
            <w:vAlign w:val="bottom"/>
            <w:gridSpan w:val="20"/>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331"/>
        </w:trPr>
        <w:tc>
          <w:tcPr>
            <w:tcW w:w="852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Item 9B. Other Information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52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Item 9C. Disclosure Regarding Foreign Jurisdictions that Prevent Inspections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331"/>
        </w:trPr>
        <w:tc>
          <w:tcPr>
            <w:tcW w:w="10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00" w:type="dxa"/>
            <w:vAlign w:val="bottom"/>
            <w:tcBorders>
              <w:top w:val="single" w:sz="8" w:color="0000EE"/>
              <w:bottom w:val="single" w:sz="8" w:color="0000EE"/>
            </w:tcBorders>
            <w:gridSpan w:val="8"/>
          </w:tcPr>
          <w:p>
            <w:pPr>
              <w:jc w:val="center"/>
              <w:ind w:right="20"/>
              <w:spacing w:after="0"/>
              <w:rPr>
                <w:sz w:val="20"/>
                <w:szCs w:val="20"/>
                <w:color w:val="auto"/>
              </w:rPr>
            </w:pPr>
            <w:r>
              <w:rPr>
                <w:rFonts w:ascii="Times New Roman" w:cs="Times New Roman" w:eastAsia="Times New Roman" w:hAnsi="Times New Roman"/>
                <w:sz w:val="17"/>
                <w:szCs w:val="17"/>
                <w:b w:val="1"/>
                <w:bCs w:val="1"/>
                <w:color w:val="0000EE"/>
                <w:w w:val="96"/>
              </w:rPr>
              <w:t>PART III</w:t>
            </w:r>
          </w:p>
        </w:tc>
        <w:tc>
          <w:tcPr>
            <w:tcW w:w="480" w:type="dxa"/>
            <w:vAlign w:val="bottom"/>
            <w:tcBorders>
              <w:top w:val="single" w:sz="8" w:color="0000EE"/>
            </w:tcBorders>
          </w:tcPr>
          <w:p>
            <w:pPr>
              <w:spacing w:after="0"/>
              <w:rPr>
                <w:sz w:val="24"/>
                <w:szCs w:val="24"/>
                <w:color w:val="auto"/>
              </w:rPr>
            </w:pPr>
          </w:p>
        </w:tc>
        <w:tc>
          <w:tcPr>
            <w:tcW w:w="324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5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7"/>
                <w:szCs w:val="17"/>
                <w:color w:val="0000EE"/>
                <w:w w:val="99"/>
              </w:rPr>
              <w:t>Item 10. Directors, Executive Officers and Corporate Governance</w:t>
            </w:r>
          </w:p>
        </w:tc>
        <w:tc>
          <w:tcPr>
            <w:tcW w:w="402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331"/>
        </w:trPr>
        <w:tc>
          <w:tcPr>
            <w:tcW w:w="23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7"/>
                <w:szCs w:val="17"/>
                <w:color w:val="0000EE"/>
                <w:w w:val="99"/>
              </w:rPr>
              <w:t>Item 11. Executive Compensation</w:t>
            </w:r>
          </w:p>
        </w:tc>
        <w:tc>
          <w:tcPr>
            <w:tcW w:w="6200" w:type="dxa"/>
            <w:vAlign w:val="bottom"/>
            <w:gridSpan w:val="21"/>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331"/>
        </w:trPr>
        <w:tc>
          <w:tcPr>
            <w:tcW w:w="754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7"/>
                <w:szCs w:val="17"/>
                <w:color w:val="0000EE"/>
              </w:rPr>
              <w:t>Item 12. Security Ownership of Certain Beneficial Owners and Management and Related Stockholder Matters</w:t>
            </w:r>
          </w:p>
        </w:tc>
        <w:tc>
          <w:tcPr>
            <w:tcW w:w="98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331"/>
        </w:trPr>
        <w:tc>
          <w:tcPr>
            <w:tcW w:w="852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Item 13. Certain Relationships and Related Transactions, and Director Independence</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331"/>
        </w:trPr>
        <w:tc>
          <w:tcPr>
            <w:tcW w:w="5780" w:type="dxa"/>
            <w:vAlign w:val="bottom"/>
            <w:tcBorders>
              <w:top w:val="single" w:sz="8" w:color="0000EE"/>
            </w:tcBorders>
            <w:gridSpan w:val="27"/>
          </w:tcPr>
          <w:p>
            <w:pPr>
              <w:spacing w:after="0"/>
              <w:rPr>
                <w:sz w:val="20"/>
                <w:szCs w:val="20"/>
                <w:color w:val="auto"/>
              </w:rPr>
            </w:pPr>
            <w:r>
              <w:rPr>
                <w:rFonts w:ascii="Times New Roman" w:cs="Times New Roman" w:eastAsia="Times New Roman" w:hAnsi="Times New Roman"/>
                <w:sz w:val="17"/>
                <w:szCs w:val="17"/>
                <w:color w:val="0000EE"/>
              </w:rPr>
              <w:t>Item 14. Principal Accounting Fees and Services</w:t>
            </w:r>
          </w:p>
        </w:tc>
        <w:tc>
          <w:tcPr>
            <w:tcW w:w="274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331"/>
        </w:trPr>
        <w:tc>
          <w:tcPr>
            <w:tcW w:w="10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14"/>
          </w:tcPr>
          <w:p>
            <w:pPr>
              <w:jc w:val="center"/>
              <w:ind w:right="3740"/>
              <w:spacing w:after="0"/>
              <w:rPr>
                <w:sz w:val="20"/>
                <w:szCs w:val="20"/>
                <w:color w:val="auto"/>
              </w:rPr>
            </w:pPr>
            <w:r>
              <w:rPr>
                <w:rFonts w:ascii="Times New Roman" w:cs="Times New Roman" w:eastAsia="Times New Roman" w:hAnsi="Times New Roman"/>
                <w:sz w:val="17"/>
                <w:szCs w:val="17"/>
                <w:b w:val="1"/>
                <w:bCs w:val="1"/>
                <w:color w:val="0000EE"/>
                <w:w w:val="95"/>
              </w:rPr>
              <w:t>PART IV</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12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Item 15. Exhibits and Financial Statement Schedules</w:t>
            </w:r>
          </w:p>
        </w:tc>
        <w:tc>
          <w:tcPr>
            <w:tcW w:w="660" w:type="dxa"/>
            <w:vAlign w:val="bottom"/>
            <w:tcBorders>
              <w:top w:val="single" w:sz="8" w:color="0000EE"/>
            </w:tcBorders>
            <w:gridSpan w:val="6"/>
          </w:tcPr>
          <w:p>
            <w:pPr>
              <w:spacing w:after="0"/>
              <w:rPr>
                <w:sz w:val="24"/>
                <w:szCs w:val="24"/>
                <w:color w:val="auto"/>
              </w:rPr>
            </w:pPr>
          </w:p>
        </w:tc>
        <w:tc>
          <w:tcPr>
            <w:tcW w:w="374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331"/>
        </w:trPr>
        <w:tc>
          <w:tcPr>
            <w:tcW w:w="208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w w:val="99"/>
              </w:rPr>
              <w:t>Item 16. Form 10-K Summary</w:t>
            </w:r>
          </w:p>
        </w:tc>
        <w:tc>
          <w:tcPr>
            <w:tcW w:w="1520" w:type="dxa"/>
            <w:vAlign w:val="bottom"/>
            <w:tcBorders>
              <w:top w:val="single" w:sz="8" w:color="0000EE"/>
            </w:tcBorders>
            <w:gridSpan w:val="6"/>
          </w:tcPr>
          <w:p>
            <w:pPr>
              <w:spacing w:after="0"/>
              <w:rPr>
                <w:sz w:val="24"/>
                <w:szCs w:val="24"/>
                <w:color w:val="auto"/>
              </w:rPr>
            </w:pPr>
          </w:p>
        </w:tc>
        <w:tc>
          <w:tcPr>
            <w:tcW w:w="492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331"/>
        </w:trPr>
        <w:tc>
          <w:tcPr>
            <w:tcW w:w="852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Signature Page</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ind w:left="60" w:right="179" w:firstLine="432"/>
        <w:spacing w:after="0" w:line="307" w:lineRule="auto"/>
        <w:rPr>
          <w:sz w:val="20"/>
          <w:szCs w:val="20"/>
          <w:color w:val="auto"/>
        </w:rPr>
      </w:pPr>
      <w:r>
        <w:rPr>
          <w:rFonts w:ascii="Times New Roman" w:cs="Times New Roman" w:eastAsia="Times New Roman" w:hAnsi="Times New Roman"/>
          <w:sz w:val="18"/>
          <w:szCs w:val="18"/>
          <w:color w:val="auto"/>
        </w:rPr>
        <w:t>Avnet, Inc. and its consolidated subsidiaries (collectively, the “Company” or “Avnet”), is a leading global electronic component technology distributor and solutions provider that has served customers’ evolving needs for more than a century. Founded in 1921, the Company works with electronic component manufacturers (suppliers) in every major electronic component segment to serve customers in more than 140 countries.</w:t>
      </w:r>
    </w:p>
    <w:p>
      <w:pPr>
        <w:spacing w:after="0" w:line="156" w:lineRule="exact"/>
        <w:rPr>
          <w:sz w:val="20"/>
          <w:szCs w:val="20"/>
          <w:color w:val="auto"/>
        </w:rPr>
      </w:pPr>
    </w:p>
    <w:p>
      <w:pPr>
        <w:ind w:left="60" w:right="819" w:firstLine="432"/>
        <w:spacing w:after="0" w:line="313" w:lineRule="auto"/>
        <w:rPr>
          <w:sz w:val="20"/>
          <w:szCs w:val="20"/>
          <w:color w:val="auto"/>
        </w:rPr>
      </w:pPr>
      <w:r>
        <w:rPr>
          <w:rFonts w:ascii="Times New Roman" w:cs="Times New Roman" w:eastAsia="Times New Roman" w:hAnsi="Times New Roman"/>
          <w:sz w:val="18"/>
          <w:szCs w:val="18"/>
          <w:color w:val="auto"/>
        </w:rPr>
        <w:t>Avnet serves a wide range of customers: from startups and mid-sized businesses to enterprise-level original equipment manufacturers (“OEMs”), electronic manufacturing services (“EMS”) providers, and original design manufacturers (“ODMs”).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43" w:lineRule="exact"/>
        <w:rPr>
          <w:sz w:val="20"/>
          <w:szCs w:val="20"/>
          <w:color w:val="auto"/>
        </w:rPr>
      </w:pPr>
    </w:p>
    <w:p>
      <w:pPr>
        <w:ind w:left="60" w:right="59" w:firstLine="427"/>
        <w:spacing w:after="0" w:line="301" w:lineRule="auto"/>
        <w:rPr>
          <w:sz w:val="20"/>
          <w:szCs w:val="20"/>
          <w:color w:val="auto"/>
        </w:rPr>
      </w:pPr>
      <w:r>
        <w:rPr>
          <w:rFonts w:ascii="Times New Roman" w:cs="Times New Roman" w:eastAsia="Times New Roman" w:hAnsi="Times New Roman"/>
          <w:sz w:val="18"/>
          <w:szCs w:val="18"/>
          <w:color w:val="auto"/>
        </w:rPr>
        <w:t>Avnet has two primary operating groups — Electronic Components (“EC”) and Farnell (“Farnell”). Both operating groups have operations in each of the three major economic regions of the world: (i) the Americas, (ii) Europe, Middle East, and Africa (“EMEA”) and (iii) Asia/Pacific (“Asia”). Each operating group has its own management team, who manage various functions within each operating group. Each operating group also has distinct financial reporting to the executive level, which informs operating decisions, strategic planning, and resource allocation for the Company as a whole. Regional divisions (“business units”) within each operating group serve primarily as sales and marketing units to streamline sales efforts and enhance each operating group’s ability to work with its customers and suppliers, generally along more specific geographies or product lines. However, each business unit relies heavily on support services from the operating groups, as well as centralized support at the corporate level.</w:t>
      </w:r>
    </w:p>
    <w:p>
      <w:pPr>
        <w:spacing w:after="0" w:line="148" w:lineRule="exact"/>
        <w:rPr>
          <w:sz w:val="20"/>
          <w:szCs w:val="20"/>
          <w:color w:val="auto"/>
        </w:rPr>
      </w:pPr>
    </w:p>
    <w:p>
      <w:pPr>
        <w:ind w:left="60" w:right="379" w:firstLine="427"/>
        <w:spacing w:after="0" w:line="313" w:lineRule="auto"/>
        <w:rPr>
          <w:sz w:val="20"/>
          <w:szCs w:val="20"/>
          <w:color w:val="auto"/>
        </w:rPr>
      </w:pPr>
      <w:r>
        <w:rPr>
          <w:rFonts w:ascii="Times New Roman" w:cs="Times New Roman" w:eastAsia="Times New Roman" w:hAnsi="Times New Roman"/>
          <w:sz w:val="18"/>
          <w:szCs w:val="18"/>
          <w:color w:val="auto"/>
        </w:rPr>
        <w:t>A description of each operating group is presented below. Further financial information by operating group is provided in Note 16 “Segment information” to the consolidated financial statements appearing in Item 8 of this Annual Report on Form 10-K.</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Electronic Components</w:t>
      </w:r>
    </w:p>
    <w:p>
      <w:pPr>
        <w:spacing w:after="0" w:line="229" w:lineRule="exact"/>
        <w:rPr>
          <w:sz w:val="20"/>
          <w:szCs w:val="20"/>
          <w:color w:val="auto"/>
        </w:rPr>
      </w:pPr>
    </w:p>
    <w:p>
      <w:pPr>
        <w:ind w:left="60" w:right="119" w:firstLine="432"/>
        <w:spacing w:after="0" w:line="307" w:lineRule="auto"/>
        <w:rPr>
          <w:sz w:val="20"/>
          <w:szCs w:val="20"/>
          <w:color w:val="auto"/>
        </w:rPr>
      </w:pPr>
      <w:r>
        <w:rPr>
          <w:rFonts w:ascii="Times New Roman" w:cs="Times New Roman" w:eastAsia="Times New Roman" w:hAnsi="Times New Roman"/>
          <w:sz w:val="18"/>
          <w:szCs w:val="18"/>
          <w:color w:val="auto"/>
        </w:rPr>
        <w:t>Avnet’s EC operating group primarily supports high and medium-volume customers. It markets, sells, and distributes electronic components from many of the world’s leading electronic component manufacturers, including semiconductors, IP&amp;E components (interconnect, passive and electromechanical components), and other integrated and embedded components.</w:t>
      </w:r>
    </w:p>
    <w:p>
      <w:pPr>
        <w:spacing w:after="0" w:line="156" w:lineRule="exact"/>
        <w:rPr>
          <w:sz w:val="20"/>
          <w:szCs w:val="20"/>
          <w:color w:val="auto"/>
        </w:rPr>
      </w:pPr>
    </w:p>
    <w:p>
      <w:pPr>
        <w:ind w:left="60" w:right="259" w:firstLine="432"/>
        <w:spacing w:after="0" w:line="313" w:lineRule="auto"/>
        <w:rPr>
          <w:sz w:val="20"/>
          <w:szCs w:val="20"/>
          <w:color w:val="auto"/>
        </w:rPr>
      </w:pPr>
      <w:r>
        <w:rPr>
          <w:rFonts w:ascii="Times New Roman" w:cs="Times New Roman" w:eastAsia="Times New Roman" w:hAnsi="Times New Roman"/>
          <w:sz w:val="18"/>
          <w:szCs w:val="18"/>
          <w:color w:val="auto"/>
        </w:rPr>
        <w:t>EC serves a variety of markets ranging from industrial to automotive to defense and aerospace. It offers an array of customer support options throughout the entire product lifecycle, including both turnkey and customized design, supply chain, programming, logistics, and post-sales services.</w:t>
      </w:r>
    </w:p>
    <w:p>
      <w:pPr>
        <w:spacing w:after="0" w:line="135" w:lineRule="exact"/>
        <w:rPr>
          <w:sz w:val="20"/>
          <w:szCs w:val="20"/>
          <w:color w:val="auto"/>
        </w:rPr>
      </w:pPr>
    </w:p>
    <w:p>
      <w:pPr>
        <w:ind w:left="60" w:right="179" w:firstLine="427"/>
        <w:spacing w:after="0" w:line="313" w:lineRule="auto"/>
        <w:rPr>
          <w:sz w:val="20"/>
          <w:szCs w:val="20"/>
          <w:color w:val="auto"/>
        </w:rPr>
      </w:pPr>
      <w:r>
        <w:rPr>
          <w:rFonts w:ascii="Times New Roman" w:cs="Times New Roman" w:eastAsia="Times New Roman" w:hAnsi="Times New Roman"/>
          <w:sz w:val="18"/>
          <w:szCs w:val="18"/>
          <w:color w:val="auto"/>
        </w:rPr>
        <w:t>Within the EC operating group for 2025, net sales of approximately 82% consist of semiconductor products, approximately 16% consist of interconnect, passive, and electromechanical components, and approximately 2% consist of computers.</w:t>
      </w:r>
    </w:p>
    <w:p>
      <w:pPr>
        <w:spacing w:after="0" w:line="1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Avnet Design Solutions</w:t>
      </w:r>
    </w:p>
    <w:p>
      <w:pPr>
        <w:spacing w:after="0" w:line="227" w:lineRule="exact"/>
        <w:rPr>
          <w:sz w:val="20"/>
          <w:szCs w:val="20"/>
          <w:color w:val="auto"/>
        </w:rPr>
      </w:pPr>
    </w:p>
    <w:p>
      <w:pPr>
        <w:ind w:left="60" w:right="159" w:firstLine="432"/>
        <w:spacing w:after="0" w:line="313" w:lineRule="auto"/>
        <w:rPr>
          <w:sz w:val="20"/>
          <w:szCs w:val="20"/>
          <w:color w:val="auto"/>
        </w:rPr>
      </w:pPr>
      <w:r>
        <w:rPr>
          <w:rFonts w:ascii="Times New Roman" w:cs="Times New Roman" w:eastAsia="Times New Roman" w:hAnsi="Times New Roman"/>
          <w:sz w:val="18"/>
          <w:szCs w:val="18"/>
          <w:color w:val="auto"/>
        </w:rPr>
        <w:t>EC offers design support that provides engineers with a host of technical design solutions, which helps EC support a broad range of customers seeking complex products and technologies. With access to a suite of design tools and engineering support, customers can get product specifications along with evaluation kits and reference designs that</w:t>
      </w:r>
    </w:p>
    <w:p>
      <w:pPr>
        <w:sectPr>
          <w:pgSz w:w="11900" w:h="16838" w:orient="portrait"/>
          <w:cols w:equalWidth="0" w:num="1">
            <w:col w:w="9019"/>
          </w:cols>
          <w:pgMar w:left="1440" w:top="513"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19"/>
        <w:spacing w:after="0" w:line="309" w:lineRule="auto"/>
        <w:rPr>
          <w:sz w:val="20"/>
          <w:szCs w:val="20"/>
          <w:color w:val="auto"/>
        </w:rPr>
      </w:pPr>
      <w:r>
        <w:rPr>
          <w:rFonts w:ascii="Times New Roman" w:cs="Times New Roman" w:eastAsia="Times New Roman" w:hAnsi="Times New Roman"/>
          <w:sz w:val="18"/>
          <w:szCs w:val="18"/>
          <w:color w:val="auto"/>
        </w:rPr>
        <w:t>enable a broad range of applications from any point in the design cycle. EC also offers engineering and technical resources deployed globally to support product design, bill of materials development, and technical education and training. By utilizing EC’s design chain support, customers can optimize their component selection and accelerate their time to market. EC’s extensive electronic component offerings provide customers access to a diverse range of products from a complete spectrum of suppliers.</w:t>
      </w:r>
    </w:p>
    <w:p>
      <w:pPr>
        <w:spacing w:after="0" w:line="1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Avnet Supply Chain Solutions</w:t>
      </w:r>
    </w:p>
    <w:p>
      <w:pPr>
        <w:spacing w:after="0" w:line="227" w:lineRule="exact"/>
        <w:rPr>
          <w:sz w:val="20"/>
          <w:szCs w:val="20"/>
          <w:color w:val="auto"/>
        </w:rPr>
      </w:pPr>
    </w:p>
    <w:p>
      <w:pPr>
        <w:ind w:left="60" w:right="79" w:firstLine="427"/>
        <w:spacing w:after="0" w:line="324" w:lineRule="auto"/>
        <w:rPr>
          <w:sz w:val="20"/>
          <w:szCs w:val="20"/>
          <w:color w:val="auto"/>
        </w:rPr>
      </w:pPr>
      <w:r>
        <w:rPr>
          <w:rFonts w:ascii="Times New Roman" w:cs="Times New Roman" w:eastAsia="Times New Roman" w:hAnsi="Times New Roman"/>
          <w:sz w:val="17"/>
          <w:szCs w:val="17"/>
          <w:color w:val="auto"/>
        </w:rPr>
        <w:t>EC’s supply chain solutions provide procurement support and warehousing and logistics services to OEMs, EMS providers, and electronic component manufacturers, enabling them to optimize supply chains on a local, regional, or global basis. EC’s internal competencies in supply chain, global warehousing and logistics, information technology, and asset management, combined with its global footprint and extensive supplier relationships, allows EC to develop supply chain solutions that provide for a deeper level of engagement with its customers. These customers can manage their supply chains to meet the demands of a competitive global environment without a commensurate investment in physical assets, systems, and personnel. With supply chain planning tools and a variety of electronic component management solutions, EC provides various solutions that meet a customer’s requirements and minimize supply chain risk in a variety of scenarios.</w:t>
      </w:r>
    </w:p>
    <w:p>
      <w:pPr>
        <w:spacing w:after="0" w:line="1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Avnet Embedded and Avnet Integrated Solutions</w:t>
      </w:r>
    </w:p>
    <w:p>
      <w:pPr>
        <w:spacing w:after="0" w:line="227" w:lineRule="exact"/>
        <w:rPr>
          <w:sz w:val="20"/>
          <w:szCs w:val="20"/>
          <w:color w:val="auto"/>
        </w:rPr>
      </w:pPr>
    </w:p>
    <w:p>
      <w:pPr>
        <w:ind w:left="60" w:right="59" w:firstLine="427"/>
        <w:spacing w:after="0" w:line="327" w:lineRule="auto"/>
        <w:rPr>
          <w:sz w:val="20"/>
          <w:szCs w:val="20"/>
          <w:color w:val="auto"/>
        </w:rPr>
      </w:pPr>
      <w:r>
        <w:rPr>
          <w:rFonts w:ascii="Times New Roman" w:cs="Times New Roman" w:eastAsia="Times New Roman" w:hAnsi="Times New Roman"/>
          <w:sz w:val="17"/>
          <w:szCs w:val="17"/>
          <w:color w:val="auto"/>
        </w:rPr>
        <w:t>EC provides embedded solutions, including technical design and integration and assembly of embedded products, systems, and solutions for a variety of end markets, including industrial and healthcare. EC also provides embedded display solutions, including touch and passive displays. In addition, EC develops and produces standard board and industrial subsystems and application-specific devices that enable it to produce specialized systems tailored to specific customer requirements. EC serves OEMs that require embedded systems and solutions, including engineering, product prototyping, integration, and other value-added services in the medical, telecommunications, industrial, and digital editing markets.</w:t>
      </w:r>
    </w:p>
    <w:p>
      <w:pPr>
        <w:spacing w:after="0" w:line="130" w:lineRule="exact"/>
        <w:rPr>
          <w:sz w:val="20"/>
          <w:szCs w:val="20"/>
          <w:color w:val="auto"/>
        </w:rPr>
      </w:pPr>
    </w:p>
    <w:p>
      <w:pPr>
        <w:ind w:left="60" w:right="399" w:firstLine="427"/>
        <w:spacing w:after="0" w:line="329" w:lineRule="auto"/>
        <w:rPr>
          <w:sz w:val="20"/>
          <w:szCs w:val="20"/>
          <w:color w:val="auto"/>
        </w:rPr>
      </w:pPr>
      <w:r>
        <w:rPr>
          <w:rFonts w:ascii="Times New Roman" w:cs="Times New Roman" w:eastAsia="Times New Roman" w:hAnsi="Times New Roman"/>
          <w:sz w:val="18"/>
          <w:szCs w:val="18"/>
          <w:color w:val="auto"/>
        </w:rPr>
        <w:t>EC also provides integrated solutions and services for software companies that bring their intellectual property to market via hardware solutions, including custom-built servers.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Farnell</w:t>
      </w:r>
    </w:p>
    <w:p>
      <w:pPr>
        <w:spacing w:after="0" w:line="229" w:lineRule="exact"/>
        <w:rPr>
          <w:sz w:val="20"/>
          <w:szCs w:val="20"/>
          <w:color w:val="auto"/>
        </w:rPr>
      </w:pPr>
    </w:p>
    <w:p>
      <w:pPr>
        <w:ind w:left="60" w:right="99" w:firstLine="427"/>
        <w:spacing w:after="0" w:line="305" w:lineRule="auto"/>
        <w:rPr>
          <w:sz w:val="20"/>
          <w:szCs w:val="20"/>
          <w:color w:val="auto"/>
        </w:rPr>
      </w:pPr>
      <w:r>
        <w:rPr>
          <w:rFonts w:ascii="Times New Roman" w:cs="Times New Roman" w:eastAsia="Times New Roman" w:hAnsi="Times New Roman"/>
          <w:sz w:val="18"/>
          <w:szCs w:val="18"/>
          <w:color w:val="auto"/>
        </w:rPr>
        <w:t>Avnet’s Farnell operating group primarily supports lower-volume customers that need electronic components quickly to develop, prototype, and test their products. It distributes a comprehensive portfolio of kits, tools, electronic components, industrial automation components, and test and measurement products to both engineers and entrepreneurs, primarily through an e-commerce channel. Farnell also distributes new product introductions for its suppliers across their various product categories.</w:t>
      </w:r>
    </w:p>
    <w:p>
      <w:pPr>
        <w:spacing w:after="0" w:line="143" w:lineRule="exact"/>
        <w:rPr>
          <w:sz w:val="20"/>
          <w:szCs w:val="20"/>
          <w:color w:val="auto"/>
        </w:rPr>
      </w:pPr>
    </w:p>
    <w:p>
      <w:pPr>
        <w:ind w:left="60" w:right="259" w:firstLine="427"/>
        <w:spacing w:after="0" w:line="313" w:lineRule="auto"/>
        <w:rPr>
          <w:sz w:val="20"/>
          <w:szCs w:val="20"/>
          <w:color w:val="auto"/>
        </w:rPr>
      </w:pPr>
      <w:r>
        <w:rPr>
          <w:rFonts w:ascii="Times New Roman" w:cs="Times New Roman" w:eastAsia="Times New Roman" w:hAnsi="Times New Roman"/>
          <w:sz w:val="18"/>
          <w:szCs w:val="18"/>
          <w:color w:val="auto"/>
        </w:rPr>
        <w:t>Within the Farnell operating group for 2025, net sales of approximately 14% consists of semiconductor products, approximately 47% consists of interconnect, passive, and electromechanical components, approximately 11% consists of single-board computers, and approximately 28% consists of other products and services, including test and measurement and maintenance, repair, and operations products.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Major Products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One of Avnet’s competitive strengths is the breadth and quality of the suppliers whose products it distributes.</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Products from one supplier were approximately 10% of consolidated sales during fiscal years 2025, 2024 and 2023.</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379"/>
        <w:spacing w:after="0" w:line="321" w:lineRule="auto"/>
        <w:rPr>
          <w:sz w:val="20"/>
          <w:szCs w:val="20"/>
          <w:color w:val="auto"/>
        </w:rPr>
      </w:pPr>
      <w:r>
        <w:rPr>
          <w:rFonts w:ascii="Times New Roman" w:cs="Times New Roman" w:eastAsia="Times New Roman" w:hAnsi="Times New Roman"/>
          <w:sz w:val="18"/>
          <w:szCs w:val="18"/>
          <w:color w:val="auto"/>
        </w:rPr>
        <w:t>Listed in the table below are the major product categories and the Company’s approximate sales of each during the past three fiscal years. “Other” consists primarily of test and measurement and maintenance, repair, and operations (MRO) products.</w:t>
      </w:r>
    </w:p>
    <w:p>
      <w:pPr>
        <w:spacing w:after="0" w:line="110"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4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Years Ended</w:t>
            </w:r>
          </w:p>
        </w:tc>
        <w:tc>
          <w:tcPr>
            <w:tcW w:w="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194"/>
        </w:trPr>
        <w:tc>
          <w:tcPr>
            <w:tcW w:w="4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June 28,</w:t>
            </w:r>
          </w:p>
        </w:tc>
        <w:tc>
          <w:tcPr>
            <w:tcW w:w="200" w:type="dxa"/>
            <w:vAlign w:val="bottom"/>
          </w:tcPr>
          <w:p>
            <w:pPr>
              <w:spacing w:after="0"/>
              <w:rPr>
                <w:sz w:val="16"/>
                <w:szCs w:val="16"/>
                <w:color w:val="auto"/>
              </w:rPr>
            </w:pPr>
          </w:p>
        </w:tc>
        <w:tc>
          <w:tcPr>
            <w:tcW w:w="940" w:type="dxa"/>
            <w:vAlign w:val="bottom"/>
            <w:gridSpan w:val="2"/>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29,</w:t>
            </w:r>
          </w:p>
        </w:tc>
        <w:tc>
          <w:tcPr>
            <w:tcW w:w="60" w:type="dxa"/>
            <w:vAlign w:val="bottom"/>
          </w:tcPr>
          <w:p>
            <w:pPr>
              <w:spacing w:after="0"/>
              <w:rPr>
                <w:sz w:val="16"/>
                <w:szCs w:val="16"/>
                <w:color w:val="auto"/>
              </w:rPr>
            </w:pPr>
          </w:p>
        </w:tc>
        <w:tc>
          <w:tcPr>
            <w:tcW w:w="84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July 1,</w:t>
            </w:r>
          </w:p>
        </w:tc>
        <w:tc>
          <w:tcPr>
            <w:tcW w:w="60" w:type="dxa"/>
            <w:vAlign w:val="bottom"/>
          </w:tcPr>
          <w:p>
            <w:pPr>
              <w:spacing w:after="0"/>
              <w:rPr>
                <w:sz w:val="16"/>
                <w:szCs w:val="16"/>
                <w:color w:val="auto"/>
              </w:rPr>
            </w:pPr>
          </w:p>
        </w:tc>
      </w:tr>
      <w:tr>
        <w:trPr>
          <w:trHeight w:val="245"/>
        </w:trPr>
        <w:tc>
          <w:tcPr>
            <w:tcW w:w="4800" w:type="dxa"/>
            <w:vAlign w:val="bottom"/>
          </w:tcPr>
          <w:p>
            <w:pPr>
              <w:spacing w:after="0"/>
              <w:rPr>
                <w:sz w:val="21"/>
                <w:szCs w:val="21"/>
                <w:color w:val="auto"/>
              </w:rPr>
            </w:pPr>
          </w:p>
        </w:tc>
        <w:tc>
          <w:tcPr>
            <w:tcW w:w="2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1"/>
                <w:szCs w:val="21"/>
                <w:color w:val="auto"/>
              </w:rPr>
            </w:pP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1"/>
                <w:szCs w:val="21"/>
                <w:color w:val="auto"/>
              </w:rPr>
            </w:pPr>
          </w:p>
        </w:tc>
      </w:tr>
      <w:tr>
        <w:trPr>
          <w:trHeight w:val="203"/>
        </w:trPr>
        <w:tc>
          <w:tcPr>
            <w:tcW w:w="4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(Millions)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Semiconductors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$ 17,207.9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$ 19,030.3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$ 21,366.5</w:t>
            </w:r>
          </w:p>
        </w:tc>
        <w:tc>
          <w:tcPr>
            <w:tcW w:w="6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Interconnect, passive &amp; electromechanical (IP&amp;E)</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3,976.9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3,745.9</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4,150.6</w:t>
            </w:r>
          </w:p>
        </w:tc>
        <w:tc>
          <w:tcPr>
            <w:tcW w:w="6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60" w:type="dxa"/>
            <w:vAlign w:val="bottom"/>
            <w:shd w:val="clear" w:color="auto" w:fill="CCEEFF"/>
          </w:tcPr>
          <w:p>
            <w:pPr>
              <w:spacing w:after="0"/>
              <w:rPr>
                <w:sz w:val="18"/>
                <w:szCs w:val="18"/>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60" w:type="dxa"/>
            <w:vAlign w:val="bottom"/>
          </w:tcPr>
          <w:p>
            <w:pPr>
              <w:spacing w:after="0"/>
              <w:rPr>
                <w:sz w:val="19"/>
                <w:szCs w:val="19"/>
                <w:color w:val="auto"/>
              </w:rPr>
            </w:pPr>
          </w:p>
        </w:tc>
      </w:tr>
      <w:tr>
        <w:trPr>
          <w:trHeight w:val="216"/>
        </w:trPr>
        <w:tc>
          <w:tcPr>
            <w:tcW w:w="48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w:t>
            </w: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$ 22,200.8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$ 23,757.1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$ 26,536.9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 &amp; Markets</w:t>
      </w:r>
    </w:p>
    <w:p>
      <w:pPr>
        <w:spacing w:after="0" w:line="216" w:lineRule="exact"/>
        <w:rPr>
          <w:sz w:val="20"/>
          <w:szCs w:val="20"/>
          <w:color w:val="auto"/>
        </w:rPr>
      </w:pPr>
    </w:p>
    <w:p>
      <w:pPr>
        <w:ind w:left="60" w:right="159" w:firstLine="432"/>
        <w:spacing w:after="0" w:line="305" w:lineRule="auto"/>
        <w:rPr>
          <w:sz w:val="20"/>
          <w:szCs w:val="20"/>
          <w:color w:val="auto"/>
        </w:rPr>
      </w:pPr>
      <w:r>
        <w:rPr>
          <w:rFonts w:ascii="Times New Roman" w:cs="Times New Roman" w:eastAsia="Times New Roman" w:hAnsi="Times New Roman"/>
          <w:sz w:val="18"/>
          <w:szCs w:val="18"/>
          <w:color w:val="auto"/>
        </w:rPr>
        <w:t>The electronic components industry is competitive. The Company’s major competitors include: Arrow Electronics, Future Electronics, World Peace Group, and WT Microelectronics for EC; Mouser Electronics, Digi-Key Electronics, and RS Components for Farnell. There are also certain smaller, specialized competitors who generally focus on particular sectors or on narrower geographic locations, markets, or products. As a result of these factors, Avnet’s pricing and product selection and availability must remain competitive.</w:t>
      </w:r>
    </w:p>
    <w:p>
      <w:pPr>
        <w:spacing w:after="0" w:line="156" w:lineRule="exact"/>
        <w:rPr>
          <w:sz w:val="20"/>
          <w:szCs w:val="20"/>
          <w:color w:val="auto"/>
        </w:rPr>
      </w:pPr>
    </w:p>
    <w:p>
      <w:pPr>
        <w:ind w:left="60" w:right="79" w:firstLine="427"/>
        <w:spacing w:after="0" w:line="301" w:lineRule="auto"/>
        <w:rPr>
          <w:sz w:val="20"/>
          <w:szCs w:val="20"/>
          <w:color w:val="auto"/>
        </w:rPr>
      </w:pPr>
      <w:r>
        <w:rPr>
          <w:rFonts w:ascii="Times New Roman" w:cs="Times New Roman" w:eastAsia="Times New Roman" w:hAnsi="Times New Roman"/>
          <w:sz w:val="18"/>
          <w:szCs w:val="18"/>
          <w:color w:val="auto"/>
        </w:rPr>
        <w:t>A key competitive factor in the electronic component distribution industry is the need to carry a sufficient amount and selection of inventory to meet customers’ demand and various delivery requirements. To minimize its exposure related to inventory on hand, the Company purchases most of its products pursuant to franchised distribution agreements, which typically provide certain protections for product obsolescence and price erosion. These agreements are generally cancelable upon 30 to 180 days’ notice and, in most cases, provide for or require inventory return privileges upon cancellation. In addition, the Company enhances its competitive position by offering a variety of value-added services, which are tailored to individual customer specifications and business needs, such as design support, point of use replenishment, labelling, testing, assembly, programming, supply chain management, and materials management.</w:t>
      </w:r>
    </w:p>
    <w:p>
      <w:pPr>
        <w:spacing w:after="0" w:line="164" w:lineRule="exact"/>
        <w:rPr>
          <w:sz w:val="20"/>
          <w:szCs w:val="20"/>
          <w:color w:val="auto"/>
        </w:rPr>
      </w:pPr>
    </w:p>
    <w:p>
      <w:pPr>
        <w:ind w:left="60" w:right="399" w:firstLine="427"/>
        <w:spacing w:after="0" w:line="313" w:lineRule="auto"/>
        <w:rPr>
          <w:sz w:val="20"/>
          <w:szCs w:val="20"/>
          <w:color w:val="auto"/>
        </w:rPr>
      </w:pPr>
      <w:r>
        <w:rPr>
          <w:rFonts w:ascii="Times New Roman" w:cs="Times New Roman" w:eastAsia="Times New Roman" w:hAnsi="Times New Roman"/>
          <w:sz w:val="18"/>
          <w:szCs w:val="18"/>
          <w:color w:val="auto"/>
        </w:rPr>
        <w:t>A competitive advantage is the breadth of the Company’s supplier product line card. Because of the number of Avnet’s suppliers, many customers can simplify their procurement process and can make all or substantially all of their required electronic component purchases from Avnet, rather than purchasing from several different parties.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0" w:right="159" w:firstLine="432"/>
        <w:spacing w:after="0" w:line="307" w:lineRule="auto"/>
        <w:rPr>
          <w:sz w:val="20"/>
          <w:szCs w:val="20"/>
          <w:color w:val="auto"/>
        </w:rPr>
      </w:pPr>
      <w:r>
        <w:rPr>
          <w:rFonts w:ascii="Times New Roman" w:cs="Times New Roman" w:eastAsia="Times New Roman" w:hAnsi="Times New Roman"/>
          <w:sz w:val="18"/>
          <w:szCs w:val="18"/>
          <w:color w:val="auto"/>
        </w:rPr>
        <w:t>Historically, Avnet’s business has not been materially impacted by seasonality, except for an impact on consolidated results from shifts in geographic sales trends from Asia in the first half of a fiscal year to the Americas and EMEA regions in the second half of a fiscal year, which impact gross profit and operating income margins as a result of such seasonal geographic sales mix changes.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left="60" w:right="159" w:firstLine="432"/>
        <w:spacing w:after="0" w:line="307" w:lineRule="auto"/>
        <w:rPr>
          <w:sz w:val="20"/>
          <w:szCs w:val="20"/>
          <w:color w:val="auto"/>
        </w:rPr>
      </w:pPr>
      <w:r>
        <w:rPr>
          <w:rFonts w:ascii="Times New Roman" w:cs="Times New Roman" w:eastAsia="Times New Roman" w:hAnsi="Times New Roman"/>
          <w:sz w:val="18"/>
          <w:szCs w:val="18"/>
          <w:color w:val="auto"/>
        </w:rPr>
        <w:t>The Company values its employees and recognizes their significant contributions to the Company’s success. Its core values of integrity, customer focus, ownership, teamwork, and inclusiveness provide a foundation for its culture and are key expectations of employees. The Company’s culture and commitment to its employees are vital to attracting, motivating, and retaining exceptional talent. Consequently, the Company invests in its global workforce to drive</w:t>
      </w:r>
    </w:p>
    <w:p>
      <w:pPr>
        <w:sectPr>
          <w:pgSz w:w="11900" w:h="16838" w:orient="portrait"/>
          <w:cols w:equalWidth="0" w:num="1">
            <w:col w:w="9019"/>
          </w:cols>
          <w:pgMar w:left="1440" w:top="513" w:right="1440"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19"/>
        <w:spacing w:after="0" w:line="344" w:lineRule="auto"/>
        <w:rPr>
          <w:sz w:val="20"/>
          <w:szCs w:val="20"/>
          <w:color w:val="auto"/>
        </w:rPr>
      </w:pPr>
      <w:r>
        <w:rPr>
          <w:rFonts w:ascii="Times New Roman" w:cs="Times New Roman" w:eastAsia="Times New Roman" w:hAnsi="Times New Roman"/>
          <w:sz w:val="18"/>
          <w:szCs w:val="18"/>
          <w:color w:val="auto"/>
        </w:rPr>
        <w:t>inclusiveness; provide fair and competitive pay and benefits; foster employee development; promote employees health and safety; and understand employees’ experiences and identify opportunities to improve.</w:t>
      </w:r>
    </w:p>
    <w:p>
      <w:pPr>
        <w:spacing w:after="0" w:line="109" w:lineRule="exact"/>
        <w:rPr>
          <w:sz w:val="20"/>
          <w:szCs w:val="20"/>
          <w:color w:val="auto"/>
        </w:rPr>
      </w:pPr>
    </w:p>
    <w:p>
      <w:pPr>
        <w:ind w:left="60" w:right="219" w:firstLine="432"/>
        <w:spacing w:after="0" w:line="313" w:lineRule="auto"/>
        <w:rPr>
          <w:sz w:val="20"/>
          <w:szCs w:val="20"/>
          <w:color w:val="auto"/>
        </w:rPr>
      </w:pPr>
      <w:r>
        <w:rPr>
          <w:rFonts w:ascii="Times New Roman" w:cs="Times New Roman" w:eastAsia="Times New Roman" w:hAnsi="Times New Roman"/>
          <w:sz w:val="18"/>
          <w:szCs w:val="18"/>
          <w:color w:val="auto"/>
        </w:rPr>
        <w:t>Additional information regarding the Company’s Human Capital programs, initiatives, and metrics can be found on its website, including in its Sustainability Reports accessible on its website. The Sustainability Reports and other information contained on the Company’s website are not incorporated by reference into this Annual Report.</w:t>
      </w:r>
    </w:p>
    <w:p>
      <w:pPr>
        <w:spacing w:after="0" w:line="1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Number of Employees</w:t>
      </w: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June 28, 2025, the Company had a global workforce of approximately 14,869 employees across 48 countries.</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This included approximately 4,052 employees in the Americas, 6,185 employees in EMEA, and 4,632 employees in Asia.</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Compensation, Benefits and Wellness</w:t>
      </w:r>
    </w:p>
    <w:p>
      <w:pPr>
        <w:spacing w:after="0" w:line="241" w:lineRule="exact"/>
        <w:rPr>
          <w:sz w:val="20"/>
          <w:szCs w:val="20"/>
          <w:color w:val="auto"/>
        </w:rPr>
      </w:pPr>
    </w:p>
    <w:p>
      <w:pPr>
        <w:ind w:left="60" w:right="119" w:firstLine="427"/>
        <w:spacing w:after="0" w:line="307" w:lineRule="auto"/>
        <w:rPr>
          <w:sz w:val="20"/>
          <w:szCs w:val="20"/>
          <w:color w:val="auto"/>
        </w:rPr>
      </w:pPr>
      <w:r>
        <w:rPr>
          <w:rFonts w:ascii="Times New Roman" w:cs="Times New Roman" w:eastAsia="Times New Roman" w:hAnsi="Times New Roman"/>
          <w:sz w:val="18"/>
          <w:szCs w:val="18"/>
          <w:color w:val="auto"/>
        </w:rPr>
        <w:t>The Company strives to pay all its employees competitively and fairly, without regard to gender, race, or other personal characteristics. The Company sets pay ranges based on market data and considers an employee’s role, experience, tenure, job location, and job performance. The Company periodically reviews its compensation practices, both in terms of its overall workforce and individual employees, to help ensure that pay remains competitive and fair.</w:t>
      </w:r>
    </w:p>
    <w:p>
      <w:pPr>
        <w:spacing w:after="0" w:line="142" w:lineRule="exact"/>
        <w:rPr>
          <w:sz w:val="20"/>
          <w:szCs w:val="20"/>
          <w:color w:val="auto"/>
        </w:rPr>
      </w:pPr>
    </w:p>
    <w:p>
      <w:pPr>
        <w:ind w:left="60" w:right="159" w:firstLine="427"/>
        <w:spacing w:after="0" w:line="307" w:lineRule="auto"/>
        <w:rPr>
          <w:sz w:val="20"/>
          <w:szCs w:val="20"/>
          <w:color w:val="auto"/>
        </w:rPr>
      </w:pPr>
      <w:r>
        <w:rPr>
          <w:rFonts w:ascii="Times New Roman" w:cs="Times New Roman" w:eastAsia="Times New Roman" w:hAnsi="Times New Roman"/>
          <w:sz w:val="18"/>
          <w:szCs w:val="18"/>
          <w:color w:val="auto"/>
        </w:rPr>
        <w:t>The Company offers an array of benefits that support employees’ well-being. Through its THRIVE program, the Company offers resources covering (1) physical and mental health, fitness, and well-being; (2) professional growth, skills, and development; (3) total rewards, retirement planning and money management; and (4) community connections, networks, and social interests.</w:t>
      </w:r>
    </w:p>
    <w:p>
      <w:pPr>
        <w:spacing w:after="0" w:line="1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Learning and Development</w:t>
      </w:r>
    </w:p>
    <w:p>
      <w:pPr>
        <w:spacing w:after="0" w:line="227" w:lineRule="exact"/>
        <w:rPr>
          <w:sz w:val="20"/>
          <w:szCs w:val="20"/>
          <w:color w:val="auto"/>
        </w:rPr>
      </w:pPr>
    </w:p>
    <w:p>
      <w:pPr>
        <w:ind w:left="60" w:right="119" w:firstLine="427"/>
        <w:spacing w:after="0" w:line="301" w:lineRule="auto"/>
        <w:rPr>
          <w:sz w:val="20"/>
          <w:szCs w:val="20"/>
          <w:color w:val="auto"/>
        </w:rPr>
      </w:pPr>
      <w:r>
        <w:rPr>
          <w:rFonts w:ascii="Times New Roman" w:cs="Times New Roman" w:eastAsia="Times New Roman" w:hAnsi="Times New Roman"/>
          <w:sz w:val="18"/>
          <w:szCs w:val="18"/>
          <w:color w:val="auto"/>
        </w:rPr>
        <w:t>The Company supports career growth and provides an array of resources and opportunities to help employees reach their potential. There is a structured learning framework as employees progress from individual contributor roles to senior management. Learning and development resources include self-paced courses, books, listen and learn events, mentoring programs and internal and external trainings, which cover a variety of technical, business, interpersonal, and leadership topics. The performance management process provides for goal-setting, ongoing conversations and check-ins between employees and their leaders, and includes coaching and training for people managers. Talent and succession planning activities are conducted for the Company’s executive officers and senior leaders at least annually and periodically for other levels of management.</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227" w:lineRule="exact"/>
        <w:rPr>
          <w:sz w:val="20"/>
          <w:szCs w:val="20"/>
          <w:color w:val="auto"/>
        </w:rPr>
      </w:pPr>
    </w:p>
    <w:p>
      <w:pPr>
        <w:ind w:left="60" w:right="59" w:firstLine="427"/>
        <w:spacing w:after="0" w:line="303" w:lineRule="auto"/>
        <w:rPr>
          <w:sz w:val="20"/>
          <w:szCs w:val="20"/>
          <w:color w:val="auto"/>
        </w:rPr>
      </w:pPr>
      <w:r>
        <w:rPr>
          <w:rFonts w:ascii="Times New Roman" w:cs="Times New Roman" w:eastAsia="Times New Roman" w:hAnsi="Times New Roman"/>
          <w:sz w:val="18"/>
          <w:szCs w:val="18"/>
          <w:color w:val="auto"/>
        </w:rPr>
        <w:t>The Company aims to create workspaces and practices that foster a safe and secure work environment. In fiscal 2025, continued progress was made with implementing a multi-year plan to improve alignment and consistency of management systems, policies, and procedures; provide comprehensive health and safety training to employees relevant to their specific work functions; drive continual improvement processes with a focus on identified risks; and increase ISO certifications at operational sites. As of June 28, 2025, the Company has 27 operational sites, of which nine are certified to ISO 45001 and 19 are certified to ISO 14001.</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Inclusion</w:t>
      </w:r>
    </w:p>
    <w:p>
      <w:pPr>
        <w:spacing w:after="0" w:line="227" w:lineRule="exact"/>
        <w:rPr>
          <w:sz w:val="20"/>
          <w:szCs w:val="20"/>
          <w:color w:val="auto"/>
        </w:rPr>
      </w:pPr>
    </w:p>
    <w:p>
      <w:pPr>
        <w:ind w:left="60" w:right="219" w:firstLine="432"/>
        <w:spacing w:after="0" w:line="329" w:lineRule="auto"/>
        <w:rPr>
          <w:sz w:val="20"/>
          <w:szCs w:val="20"/>
          <w:color w:val="auto"/>
        </w:rPr>
      </w:pPr>
      <w:r>
        <w:rPr>
          <w:rFonts w:ascii="Times New Roman" w:cs="Times New Roman" w:eastAsia="Times New Roman" w:hAnsi="Times New Roman"/>
          <w:sz w:val="18"/>
          <w:szCs w:val="18"/>
          <w:color w:val="auto"/>
        </w:rPr>
        <w:t>The Company strives for (i) an employee population that reflects the diverse communities in which they live, work, and do business, and (ii) a culture that seeks out varying perspectives, which allows the best ideas to come to light.</w:t>
      </w:r>
    </w:p>
    <w:p>
      <w:pPr>
        <w:sectPr>
          <w:pgSz w:w="11900" w:h="16838" w:orient="portrait"/>
          <w:cols w:equalWidth="0" w:num="1">
            <w:col w:w="9019"/>
          </w:cols>
          <w:pgMar w:left="1440" w:top="513" w:right="1440"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79"/>
        <w:spacing w:after="0" w:line="309" w:lineRule="auto"/>
        <w:rPr>
          <w:sz w:val="20"/>
          <w:szCs w:val="20"/>
          <w:color w:val="auto"/>
        </w:rPr>
      </w:pPr>
      <w:r>
        <w:rPr>
          <w:rFonts w:ascii="Times New Roman" w:cs="Times New Roman" w:eastAsia="Times New Roman" w:hAnsi="Times New Roman"/>
          <w:sz w:val="18"/>
          <w:szCs w:val="18"/>
          <w:color w:val="auto"/>
        </w:rPr>
        <w:t>The Company is committed to making employment decisions based on merit and the needs of the Company’s business, while ensuring equal employment opportunities for all applicants and employees regardless of race, gender, national origin, or other protected characteristic. The Company’s Global Inclusion Council, a global cross-functional team of leaders, oversees inclusion efforts. The council meets regularly and engages with colleagues across the Company to connect inclusion-related initiatives to the Company’s broader business strategy.</w:t>
      </w:r>
    </w:p>
    <w:p>
      <w:pPr>
        <w:spacing w:after="0" w:line="139" w:lineRule="exact"/>
        <w:rPr>
          <w:sz w:val="20"/>
          <w:szCs w:val="20"/>
          <w:color w:val="auto"/>
        </w:rPr>
      </w:pPr>
    </w:p>
    <w:p>
      <w:pPr>
        <w:ind w:left="60" w:right="179" w:firstLine="432"/>
        <w:spacing w:after="0" w:line="305" w:lineRule="auto"/>
        <w:rPr>
          <w:sz w:val="20"/>
          <w:szCs w:val="20"/>
          <w:color w:val="auto"/>
        </w:rPr>
      </w:pPr>
      <w:r>
        <w:rPr>
          <w:rFonts w:ascii="Times New Roman" w:cs="Times New Roman" w:eastAsia="Times New Roman" w:hAnsi="Times New Roman"/>
          <w:sz w:val="18"/>
          <w:szCs w:val="18"/>
          <w:color w:val="auto"/>
        </w:rPr>
        <w:t>The Company’s Equal Employment Opportunity Policy actively promotes inclusion in the Company’s talent management practices. The Company’s commitment to inclusion is evidenced by the makeup of its Board of Directors, which as of June 28, 2025, was 40% women and 50% racially and ethnically diverse (including Middle Eastern origin). In addition, for fiscal years 2021 through 2025, executive’s annual incentive compensation included non-financial performance goals that consist in part on inclusion.</w:t>
      </w:r>
    </w:p>
    <w:p>
      <w:pPr>
        <w:spacing w:after="0" w:line="156" w:lineRule="exact"/>
        <w:rPr>
          <w:sz w:val="20"/>
          <w:szCs w:val="20"/>
          <w:color w:val="auto"/>
        </w:rPr>
      </w:pPr>
    </w:p>
    <w:p>
      <w:pPr>
        <w:ind w:left="60" w:right="239" w:firstLine="432"/>
        <w:spacing w:after="0" w:line="305" w:lineRule="auto"/>
        <w:rPr>
          <w:sz w:val="20"/>
          <w:szCs w:val="20"/>
          <w:color w:val="auto"/>
        </w:rPr>
      </w:pPr>
      <w:r>
        <w:rPr>
          <w:rFonts w:ascii="Times New Roman" w:cs="Times New Roman" w:eastAsia="Times New Roman" w:hAnsi="Times New Roman"/>
          <w:sz w:val="18"/>
          <w:szCs w:val="18"/>
          <w:color w:val="auto"/>
        </w:rPr>
        <w:t>The Company’s employee-led Employee Resource Groups (ERGs) provide a forum for employees to communicate and exchange ideas, build a network of relationships across the Company, and support each other in personal and career development. The Company’s eight ERGs support the following communities: women, Asian and Pacific Islanders, Blacks, Hispanic and Latinos, U.S. veterans, LGBTQ+, later career employees; and environmental and sustainability causes.</w:t>
      </w:r>
    </w:p>
    <w:p>
      <w:pPr>
        <w:spacing w:after="0" w:line="1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Employee Engagement</w:t>
      </w:r>
    </w:p>
    <w:p>
      <w:pPr>
        <w:spacing w:after="0" w:line="241" w:lineRule="exact"/>
        <w:rPr>
          <w:sz w:val="20"/>
          <w:szCs w:val="20"/>
          <w:color w:val="auto"/>
        </w:rPr>
      </w:pPr>
    </w:p>
    <w:p>
      <w:pPr>
        <w:ind w:left="60" w:right="219" w:firstLine="432"/>
        <w:spacing w:after="0" w:line="305" w:lineRule="auto"/>
        <w:rPr>
          <w:sz w:val="20"/>
          <w:szCs w:val="20"/>
          <w:color w:val="auto"/>
        </w:rPr>
      </w:pPr>
      <w:r>
        <w:rPr>
          <w:rFonts w:ascii="Times New Roman" w:cs="Times New Roman" w:eastAsia="Times New Roman" w:hAnsi="Times New Roman"/>
          <w:sz w:val="18"/>
          <w:szCs w:val="18"/>
          <w:color w:val="auto"/>
        </w:rPr>
        <w:t>The Company engages with its employees and encourages open and direct feedback through employee engagement surveys. Through such surveys, the Company regularly collects feedback to better understand its employees’ experiences and identify opportunities to improve the work environment, increase employee satisfaction, and strengthen its culture. In fiscal 2025, the Company conducted its regular global employee engagement survey and achieved a participation rate of 76%, an increase over fiscal 2024.</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0" w:right="139" w:firstLine="427"/>
        <w:spacing w:after="0" w:line="306" w:lineRule="auto"/>
        <w:rPr>
          <w:sz w:val="20"/>
          <w:szCs w:val="20"/>
          <w:color w:val="auto"/>
        </w:rPr>
      </w:pPr>
      <w:r>
        <w:rPr>
          <w:rFonts w:ascii="Times New Roman" w:cs="Times New Roman" w:eastAsia="Times New Roman" w:hAnsi="Times New Roman"/>
          <w:sz w:val="18"/>
          <w:szCs w:val="18"/>
          <w:color w:val="auto"/>
        </w:rPr>
        <w:t>The Company files its annual report on Form 10-K, quarterly reports on Form 10-Q, Current Reports on Form 8-K, proxy statements, and other documents (including registration statements) with the U.S. Securities and Exchange Commission (“SEC”) under the Securities Exchange Act of 1934 or the Securities Act of 1933, as applicable. The Company’s SEC filings are available to the public on the SEC’s website at http://www.sec.gov and through The Nasdaq Global Select Market (“Nasdaq”), 165 Broadway, New York, New York 10006, on which the Company’s common stock is listed.</w:t>
      </w:r>
    </w:p>
    <w:p>
      <w:pPr>
        <w:spacing w:after="0" w:line="145" w:lineRule="exact"/>
        <w:rPr>
          <w:sz w:val="20"/>
          <w:szCs w:val="20"/>
          <w:color w:val="auto"/>
        </w:rPr>
      </w:pPr>
    </w:p>
    <w:p>
      <w:pPr>
        <w:ind w:left="60" w:right="319" w:firstLine="427"/>
        <w:spacing w:after="0" w:line="313" w:lineRule="auto"/>
        <w:rPr>
          <w:sz w:val="20"/>
          <w:szCs w:val="20"/>
          <w:color w:val="auto"/>
        </w:rPr>
      </w:pPr>
      <w:r>
        <w:rPr>
          <w:rFonts w:ascii="Times New Roman" w:cs="Times New Roman" w:eastAsia="Times New Roman" w:hAnsi="Times New Roman"/>
          <w:sz w:val="18"/>
          <w:szCs w:val="18"/>
          <w:color w:val="auto"/>
        </w:rPr>
        <w:t>A copy of any of the Company’s filings with the SEC, or any of the agreements or other documents that constitute exhibits to those filings, can be obtained by request directed to the Company at the following address and telephone number: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Avnet,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2211 South 47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w:t>
      </w:r>
    </w:p>
    <w:p>
      <w:pPr>
        <w:jc w:val="center"/>
        <w:spacing w:after="0"/>
        <w:rPr>
          <w:sz w:val="20"/>
          <w:szCs w:val="20"/>
          <w:color w:val="auto"/>
        </w:rPr>
      </w:pPr>
      <w:r>
        <w:rPr>
          <w:rFonts w:ascii="Times New Roman" w:cs="Times New Roman" w:eastAsia="Times New Roman" w:hAnsi="Times New Roman"/>
          <w:sz w:val="18"/>
          <w:szCs w:val="18"/>
          <w:color w:val="auto"/>
        </w:rPr>
        <w:t>Phoenix, Arizona 85034</w:t>
      </w:r>
    </w:p>
    <w:p>
      <w:pPr>
        <w:spacing w:after="0" w:line="30" w:lineRule="exact"/>
        <w:rPr>
          <w:sz w:val="20"/>
          <w:szCs w:val="20"/>
          <w:color w:val="auto"/>
        </w:rPr>
      </w:pPr>
    </w:p>
    <w:p>
      <w:pPr>
        <w:ind w:left="4380" w:hanging="438"/>
        <w:spacing w:after="0"/>
        <w:tabs>
          <w:tab w:leader="none" w:pos="4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643-2000</w:t>
      </w:r>
    </w:p>
    <w:p>
      <w:pPr>
        <w:spacing w:after="0" w:line="49" w:lineRule="exact"/>
        <w:rPr>
          <w:rFonts w:ascii="Times New Roman" w:cs="Times New Roman" w:eastAsia="Times New Roman" w:hAnsi="Times New Roman"/>
          <w:sz w:val="18"/>
          <w:szCs w:val="18"/>
          <w:color w:val="auto"/>
        </w:rPr>
      </w:pPr>
    </w:p>
    <w:p>
      <w:pPr>
        <w:ind w:left="3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Corporate Secretary</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also makes these filings available, free of charge, through its website (see “Avnet Website”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Avnet Website</w:t>
      </w:r>
    </w:p>
    <w:p>
      <w:pPr>
        <w:spacing w:after="0" w:line="243" w:lineRule="exact"/>
        <w:rPr>
          <w:sz w:val="20"/>
          <w:szCs w:val="20"/>
          <w:color w:val="auto"/>
        </w:rPr>
      </w:pPr>
    </w:p>
    <w:p>
      <w:pPr>
        <w:ind w:left="60" w:right="59" w:firstLine="432"/>
        <w:spacing w:after="0" w:line="313" w:lineRule="auto"/>
        <w:rPr>
          <w:sz w:val="20"/>
          <w:szCs w:val="20"/>
          <w:color w:val="auto"/>
        </w:rPr>
      </w:pPr>
      <w:r>
        <w:rPr>
          <w:rFonts w:ascii="Times New Roman" w:cs="Times New Roman" w:eastAsia="Times New Roman" w:hAnsi="Times New Roman"/>
          <w:sz w:val="18"/>
          <w:szCs w:val="18"/>
          <w:color w:val="auto"/>
        </w:rPr>
        <w:t xml:space="preserve">In addition to the information about the Company contained in this Report, extensive information about the Company can be found at </w:t>
      </w:r>
      <w:r>
        <w:rPr>
          <w:rFonts w:ascii="Times New Roman" w:cs="Times New Roman" w:eastAsia="Times New Roman" w:hAnsi="Times New Roman"/>
          <w:sz w:val="18"/>
          <w:szCs w:val="18"/>
          <w:u w:val="single" w:color="auto"/>
          <w:color w:val="auto"/>
        </w:rPr>
        <w:t>http://www.avnet.com</w:t>
      </w:r>
      <w:r>
        <w:rPr>
          <w:rFonts w:ascii="Times New Roman" w:cs="Times New Roman" w:eastAsia="Times New Roman" w:hAnsi="Times New Roman"/>
          <w:sz w:val="18"/>
          <w:szCs w:val="18"/>
          <w:color w:val="auto"/>
        </w:rPr>
        <w:t>, including information about its management team, products and services, and corporate governance practices.</w:t>
      </w:r>
    </w:p>
    <w:p>
      <w:pPr>
        <w:spacing w:after="0" w:line="135" w:lineRule="exact"/>
        <w:rPr>
          <w:sz w:val="20"/>
          <w:szCs w:val="20"/>
          <w:color w:val="auto"/>
        </w:rPr>
      </w:pPr>
    </w:p>
    <w:p>
      <w:pPr>
        <w:ind w:left="60" w:right="59" w:firstLine="427"/>
        <w:spacing w:after="0" w:line="305" w:lineRule="auto"/>
        <w:rPr>
          <w:sz w:val="20"/>
          <w:szCs w:val="20"/>
          <w:color w:val="auto"/>
        </w:rPr>
      </w:pPr>
      <w:r>
        <w:rPr>
          <w:rFonts w:ascii="Times New Roman" w:cs="Times New Roman" w:eastAsia="Times New Roman" w:hAnsi="Times New Roman"/>
          <w:sz w:val="18"/>
          <w:szCs w:val="18"/>
          <w:color w:val="auto"/>
        </w:rPr>
        <w:t xml:space="preserve">The corporate governance information on the Company’s website includes the current version of the Company’s Corporate Governance Guidelines, the Code of Conduct, and the charters for each of the committees of its Board of Directors. Waivers granted to directors and executive officers under the Code of Conduct, if any, will be posted in this area of the website. These documents can be accessed at </w:t>
      </w:r>
      <w:r>
        <w:rPr>
          <w:rFonts w:ascii="Times New Roman" w:cs="Times New Roman" w:eastAsia="Times New Roman" w:hAnsi="Times New Roman"/>
          <w:sz w:val="18"/>
          <w:szCs w:val="18"/>
          <w:u w:val="single" w:color="auto"/>
          <w:color w:val="auto"/>
        </w:rPr>
        <w:t>ir.avnet.com/documents-charters</w:t>
      </w:r>
      <w:r>
        <w:rPr>
          <w:rFonts w:ascii="Times New Roman" w:cs="Times New Roman" w:eastAsia="Times New Roman" w:hAnsi="Times New Roman"/>
          <w:sz w:val="18"/>
          <w:szCs w:val="18"/>
          <w:color w:val="auto"/>
        </w:rPr>
        <w:t>. Printed versions can be obtained, free of charge, by writing to the Company at the address listed above in “Available Information.”</w:t>
      </w:r>
    </w:p>
    <w:p>
      <w:pPr>
        <w:spacing w:after="0" w:line="156" w:lineRule="exact"/>
        <w:rPr>
          <w:sz w:val="20"/>
          <w:szCs w:val="20"/>
          <w:color w:val="auto"/>
        </w:rPr>
      </w:pPr>
    </w:p>
    <w:p>
      <w:pPr>
        <w:ind w:left="60" w:right="119" w:firstLine="427"/>
        <w:spacing w:after="0" w:line="307" w:lineRule="auto"/>
        <w:rPr>
          <w:sz w:val="20"/>
          <w:szCs w:val="20"/>
          <w:color w:val="auto"/>
        </w:rPr>
      </w:pPr>
      <w:r>
        <w:rPr>
          <w:rFonts w:ascii="Times New Roman" w:cs="Times New Roman" w:eastAsia="Times New Roman" w:hAnsi="Times New Roman"/>
          <w:sz w:val="18"/>
          <w:szCs w:val="18"/>
          <w:color w:val="auto"/>
        </w:rPr>
        <w:t>The Company’s filings with the SEC, as well as Section 16 filings made by any of the Company’s executive officers or directors with respect to the Company’s common stock, are available on the Company’s website (</w:t>
      </w:r>
      <w:r>
        <w:rPr>
          <w:rFonts w:ascii="Times New Roman" w:cs="Times New Roman" w:eastAsia="Times New Roman" w:hAnsi="Times New Roman"/>
          <w:sz w:val="18"/>
          <w:szCs w:val="18"/>
          <w:u w:val="single" w:color="auto"/>
          <w:color w:val="auto"/>
        </w:rPr>
        <w:t>ir.avnet.com/financial-information/sec-filings</w:t>
      </w:r>
      <w:r>
        <w:rPr>
          <w:rFonts w:ascii="Times New Roman" w:cs="Times New Roman" w:eastAsia="Times New Roman" w:hAnsi="Times New Roman"/>
          <w:sz w:val="18"/>
          <w:szCs w:val="18"/>
          <w:color w:val="auto"/>
        </w:rPr>
        <w:t>) as soon as reasonably practicable after the filing is electronically filed with, or furnished to, the SEC.</w:t>
      </w:r>
    </w:p>
    <w:p>
      <w:pPr>
        <w:spacing w:after="0" w:line="142" w:lineRule="exact"/>
        <w:rPr>
          <w:sz w:val="20"/>
          <w:szCs w:val="20"/>
          <w:color w:val="auto"/>
        </w:rPr>
      </w:pPr>
    </w:p>
    <w:p>
      <w:pPr>
        <w:ind w:left="60" w:right="219" w:firstLine="427"/>
        <w:spacing w:after="0" w:line="329" w:lineRule="auto"/>
        <w:rPr>
          <w:sz w:val="20"/>
          <w:szCs w:val="20"/>
          <w:color w:val="auto"/>
        </w:rPr>
      </w:pPr>
      <w:r>
        <w:rPr>
          <w:rFonts w:ascii="Times New Roman" w:cs="Times New Roman" w:eastAsia="Times New Roman" w:hAnsi="Times New Roman"/>
          <w:sz w:val="18"/>
          <w:szCs w:val="18"/>
          <w:color w:val="auto"/>
        </w:rPr>
        <w:t>These details about the Company’s website and its content are only for information. The contents of the Company’s website are not, nor shall they be deemed to be, incorporated by reference in this Report.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 and Risk Factors</w:t>
      </w:r>
    </w:p>
    <w:p>
      <w:pPr>
        <w:spacing w:after="0" w:line="162" w:lineRule="exact"/>
        <w:rPr>
          <w:sz w:val="20"/>
          <w:szCs w:val="20"/>
          <w:color w:val="auto"/>
        </w:rPr>
      </w:pPr>
    </w:p>
    <w:p>
      <w:pPr>
        <w:ind w:left="60" w:right="79" w:firstLine="427"/>
        <w:spacing w:after="0" w:line="30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Avnet. These statements are generally identified by words like “believes,” “plans,” “projects,” “expects,” “anticipates,” “should,” “will,” “may,” “estimates,” or similar expressions. Forward-looking statements are subject to numerous assumptions, risks, and uncertainties, and actual results and other outcomes could differ materially from those expressed or implied in the forward-looking statements. Any forward-looking statement speaks only as of the date on which that statement is made. Except as required by law, the Company does not undertake any obligation to update any forward-looking statements to reflect events or circumstances that occur after the date on which the statement is made.</w:t>
      </w:r>
    </w:p>
    <w:p>
      <w:pPr>
        <w:spacing w:after="0" w:line="80" w:lineRule="exact"/>
        <w:rPr>
          <w:sz w:val="20"/>
          <w:szCs w:val="20"/>
          <w:color w:val="auto"/>
        </w:rPr>
      </w:pPr>
    </w:p>
    <w:p>
      <w:pPr>
        <w:ind w:left="60" w:right="139" w:firstLine="427"/>
        <w:spacing w:after="0" w:line="302" w:lineRule="auto"/>
        <w:rPr>
          <w:sz w:val="20"/>
          <w:szCs w:val="20"/>
          <w:color w:val="auto"/>
        </w:rPr>
      </w:pPr>
      <w:r>
        <w:rPr>
          <w:rFonts w:ascii="Times New Roman" w:cs="Times New Roman" w:eastAsia="Times New Roman" w:hAnsi="Times New Roman"/>
          <w:sz w:val="18"/>
          <w:szCs w:val="18"/>
          <w:color w:val="auto"/>
        </w:rPr>
        <w:t>Risks and uncertainties that may cause actual results to differ materially from those contained in the forward-looking statements include the risk factors discussed below as well as risks and uncertainties not presently known to the Company or that management does not currently consider material. Such factors make the Company’s operating results for future periods difficult to predict and, therefore, prior results do not necessarily indicate results in future periods. Some of the risks disclosed below may have already occurred, but not to a degree that management considers material unless otherwise noted. Any of the below factors, or any other factors discussed elsewhere in this Report, may have an adverse effect on the Company’s financial condition, operating results, prospects, and liquidity. Similarly, the price of the Company’s common stock is subject to volatility due to fluctuations in general market conditions; actual financial results that do not meet the Company’s or the investment community’s expectations; changes in the Company’s or the investment community’s expectations for the Company’s future results, dividends, or share repurchases; and other factors, many of which are beyond the Company’s control.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customer needs and consumption models</w:t>
      </w:r>
    </w:p>
    <w:p>
      <w:pPr>
        <w:spacing w:after="0" w:line="175" w:lineRule="exact"/>
        <w:rPr>
          <w:sz w:val="20"/>
          <w:szCs w:val="20"/>
          <w:color w:val="auto"/>
        </w:rPr>
      </w:pPr>
    </w:p>
    <w:p>
      <w:pPr>
        <w:ind w:left="60" w:right="179" w:firstLine="427"/>
        <w:spacing w:after="0" w:line="301" w:lineRule="auto"/>
        <w:rPr>
          <w:sz w:val="20"/>
          <w:szCs w:val="20"/>
          <w:color w:val="auto"/>
        </w:rPr>
      </w:pPr>
      <w:r>
        <w:rPr>
          <w:rFonts w:ascii="Times New Roman" w:cs="Times New Roman" w:eastAsia="Times New Roman" w:hAnsi="Times New Roman"/>
          <w:sz w:val="18"/>
          <w:szCs w:val="18"/>
          <w:color w:val="auto"/>
        </w:rPr>
        <w:t>Changes in customer product demands and consumption models may cause a decline in the Company’s billings, which would have a negative impact on the Company’s financial results. Changes in technology (such as artificial intelligence) could reduce the types or quantity of services that customers require from the Company. While the Company attempts to identify changes in market conditions as soon as possible, the dynamics of the industries in which it operates make it difficult to predict and timely react to such changes, including those relating to product capacity and lead times. Also, future downturns, inflation, or supply chain challenges, including in the semiconductor, embedded solutions, maintenance, and test and measurement industries, could adversely affect the Company’s relationships with its customers, operating results, and profitability.</w:t>
      </w:r>
    </w:p>
    <w:p>
      <w:pPr>
        <w:spacing w:after="0" w:line="83" w:lineRule="exact"/>
        <w:rPr>
          <w:sz w:val="20"/>
          <w:szCs w:val="20"/>
          <w:color w:val="auto"/>
        </w:rPr>
      </w:pPr>
    </w:p>
    <w:p>
      <w:pPr>
        <w:ind w:left="60" w:right="79" w:firstLine="427"/>
        <w:spacing w:after="0" w:line="300" w:lineRule="auto"/>
        <w:rPr>
          <w:sz w:val="20"/>
          <w:szCs w:val="20"/>
          <w:color w:val="auto"/>
        </w:rPr>
      </w:pPr>
      <w:r>
        <w:rPr>
          <w:rFonts w:ascii="Times New Roman" w:cs="Times New Roman" w:eastAsia="Times New Roman" w:hAnsi="Times New Roman"/>
          <w:sz w:val="18"/>
          <w:szCs w:val="18"/>
          <w:color w:val="auto"/>
        </w:rPr>
        <w:t>Specifically, the semiconductor industry experiences periodic fluctuations in product supply and demand (often associated with changes in economic conditions, technology, and manufacturing capacity) and suppliers may not adequately predict or meet customer demand. Geopolitical uncertainty (including from military conflicts, health-related crises, and international trade disputes) has led, and may continue to lead, to shortages, extended lead times, and unpredictability in the supply of certain semiconductors and other electronic components. In reaction, customers may over order to ensure sufficient inventory, which, when the shortage lessens, may result in order cancellations and decreases. In cases where customers have non-cancellable/ non-returnable orders, customers may not be able or willing to carry out the terms of the orders. The Company’s prices to customers depend on many factors, including product availability, supplier costs, and competitive pressures. The Company may be unable to increase prices to customers to offset higher internal costs, which could reduce margins. During fiscal 2025, 2024, and 2023, sales of semiconductors represented approximately 78%, 80%, and 81% of the Company’s consolidated sales, respectively, and the Company’s sales closely follow the strength or weakness of the semiconductor industry. These conditions make it more difficult to manage the Company’s business and predict future performance.</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Disruptions to key supplier and customer relationships</w:t>
      </w:r>
    </w:p>
    <w:p>
      <w:pPr>
        <w:spacing w:after="0" w:line="162" w:lineRule="exact"/>
        <w:rPr>
          <w:sz w:val="20"/>
          <w:szCs w:val="20"/>
          <w:color w:val="auto"/>
        </w:rPr>
      </w:pPr>
    </w:p>
    <w:p>
      <w:pPr>
        <w:ind w:left="60" w:right="139" w:firstLine="427"/>
        <w:spacing w:after="0" w:line="305" w:lineRule="auto"/>
        <w:rPr>
          <w:sz w:val="20"/>
          <w:szCs w:val="20"/>
          <w:color w:val="auto"/>
        </w:rPr>
      </w:pPr>
      <w:r>
        <w:rPr>
          <w:rFonts w:ascii="Times New Roman" w:cs="Times New Roman" w:eastAsia="Times New Roman" w:hAnsi="Times New Roman"/>
          <w:sz w:val="18"/>
          <w:szCs w:val="18"/>
          <w:color w:val="auto"/>
        </w:rPr>
        <w:t>One of the Company’s competitive strengths is the breadth and quality of the suppliers whose products the Company distributes. For fiscal 2025, one supplier accounted for approximately 10% of the Company’s consolidated billings. The Company’s contracts with its suppliers vary in duration and are generally terminable by either party at will upon notice. The Company’s suppliers may terminate or significantly reduce their volume of business with the Company because of a product shortage, an unwillingness to do business with the Company, changes in strategy, or otherwise.</w:t>
      </w:r>
    </w:p>
    <w:p>
      <w:pPr>
        <w:spacing w:after="0" w:line="75" w:lineRule="exact"/>
        <w:rPr>
          <w:sz w:val="20"/>
          <w:szCs w:val="20"/>
          <w:color w:val="auto"/>
        </w:rPr>
      </w:pPr>
    </w:p>
    <w:p>
      <w:pPr>
        <w:ind w:left="60" w:right="159" w:firstLine="427"/>
        <w:spacing w:after="0" w:line="303" w:lineRule="auto"/>
        <w:rPr>
          <w:sz w:val="20"/>
          <w:szCs w:val="20"/>
          <w:color w:val="auto"/>
        </w:rPr>
      </w:pPr>
      <w:r>
        <w:rPr>
          <w:rFonts w:ascii="Times New Roman" w:cs="Times New Roman" w:eastAsia="Times New Roman" w:hAnsi="Times New Roman"/>
          <w:sz w:val="18"/>
          <w:szCs w:val="18"/>
          <w:color w:val="auto"/>
        </w:rPr>
        <w:t>Shortages of products or loss of a supplier may negatively affect the Company’s business and relationships with its customers, as customers depend on the Company’s timely delivery of technology hardware and software from the industry’s leading suppliers. In addition, shifts in suppliers’ strategies, or performance and delivery issues, may negatively affect the Company’s financial results. These conditions make it more difficult to manage the Company’s business and predict future performance. The competitive landscape has also experienced consolidation among suppliers and capacity constraints, which could negatively impact the Company’s profitability and customer base.</w:t>
      </w:r>
    </w:p>
    <w:p>
      <w:pPr>
        <w:spacing w:after="0" w:line="79" w:lineRule="exact"/>
        <w:rPr>
          <w:sz w:val="20"/>
          <w:szCs w:val="20"/>
          <w:color w:val="auto"/>
        </w:rPr>
      </w:pPr>
    </w:p>
    <w:p>
      <w:pPr>
        <w:ind w:left="60" w:right="419" w:firstLine="427"/>
        <w:spacing w:after="0" w:line="336" w:lineRule="auto"/>
        <w:rPr>
          <w:sz w:val="20"/>
          <w:szCs w:val="20"/>
          <w:color w:val="auto"/>
        </w:rPr>
      </w:pPr>
      <w:r>
        <w:rPr>
          <w:rFonts w:ascii="Times New Roman" w:cs="Times New Roman" w:eastAsia="Times New Roman" w:hAnsi="Times New Roman"/>
          <w:sz w:val="17"/>
          <w:szCs w:val="17"/>
          <w:color w:val="auto"/>
        </w:rPr>
        <w:t>Further, if key suppliers modify the terms of their contracts (including terms regarding price protection, rights of return, order cancellation rights, delivery commitments, rebates, or other terms that protect or enhance the Company’s gross margins), it could negatively affect the Company’s results of operations, financial condition, or liquidity. The Company may attempt to limit associated risks by passing such terms on to its customers, but this may not be possible.</w:t>
      </w:r>
    </w:p>
    <w:p>
      <w:pPr>
        <w:spacing w:after="0" w:line="53" w:lineRule="exact"/>
        <w:rPr>
          <w:sz w:val="20"/>
          <w:szCs w:val="20"/>
          <w:color w:val="auto"/>
        </w:rPr>
      </w:pPr>
    </w:p>
    <w:p>
      <w:pPr>
        <w:ind w:left="60" w:right="99" w:firstLine="427"/>
        <w:spacing w:after="0" w:line="307" w:lineRule="auto"/>
        <w:rPr>
          <w:sz w:val="20"/>
          <w:szCs w:val="20"/>
          <w:color w:val="auto"/>
        </w:rPr>
      </w:pPr>
      <w:r>
        <w:rPr>
          <w:rFonts w:ascii="Times New Roman" w:cs="Times New Roman" w:eastAsia="Times New Roman" w:hAnsi="Times New Roman"/>
          <w:sz w:val="18"/>
          <w:szCs w:val="18"/>
          <w:color w:val="auto"/>
        </w:rPr>
        <w:t>Customers, suppliers, and investors are increasingly requesting information and action regarding the Company’s supply chain due diligence, environmental impacts, and other social and governance practices. Such increased expectations may increase costs and result in reputational damage and loss of business if the Company is perceived to have not met such expectations.</w:t>
      </w:r>
    </w:p>
    <w:p>
      <w:pPr>
        <w:sectPr>
          <w:pgSz w:w="11900" w:h="16838" w:orient="portrait"/>
          <w:cols w:equalWidth="0" w:num="1">
            <w:col w:w="9019"/>
          </w:cols>
          <w:pgMar w:left="1440" w:top="513" w:right="1440"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international operations</w:t>
      </w:r>
    </w:p>
    <w:p>
      <w:pPr>
        <w:spacing w:after="0" w:line="175" w:lineRule="exact"/>
        <w:rPr>
          <w:sz w:val="20"/>
          <w:szCs w:val="20"/>
          <w:color w:val="auto"/>
        </w:rPr>
      </w:pPr>
    </w:p>
    <w:p>
      <w:pPr>
        <w:ind w:left="60" w:right="119" w:firstLine="427"/>
        <w:spacing w:after="0" w:line="313" w:lineRule="auto"/>
        <w:rPr>
          <w:sz w:val="20"/>
          <w:szCs w:val="20"/>
          <w:color w:val="auto"/>
        </w:rPr>
      </w:pPr>
      <w:r>
        <w:rPr>
          <w:rFonts w:ascii="Times New Roman" w:cs="Times New Roman" w:eastAsia="Times New Roman" w:hAnsi="Times New Roman"/>
          <w:sz w:val="18"/>
          <w:szCs w:val="18"/>
          <w:color w:val="auto"/>
        </w:rPr>
        <w:t>During fiscal 2025, 2024, and 2023 approximately 77%, 77% and 76%, respectively, of the Company’s sales came from its operations outside the United States. The Company’s operations are subject to a variety of risks that are specific to international operations, including, but not limited to, the following:</w:t>
      </w:r>
    </w:p>
    <w:p>
      <w:pPr>
        <w:spacing w:after="0" w:line="68" w:lineRule="exact"/>
        <w:rPr>
          <w:sz w:val="20"/>
          <w:szCs w:val="20"/>
          <w:color w:val="auto"/>
        </w:rPr>
      </w:pPr>
    </w:p>
    <w:p>
      <w:pPr>
        <w:ind w:left="820" w:hanging="32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restrictions on the Company’s ability to repatriate funds from its foreign subsidiaries;</w:t>
      </w:r>
    </w:p>
    <w:p>
      <w:pPr>
        <w:spacing w:after="0" w:line="157"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and interest rate fluctuations;</w:t>
      </w:r>
    </w:p>
    <w:p>
      <w:pPr>
        <w:spacing w:after="0" w:line="157" w:lineRule="exact"/>
        <w:rPr>
          <w:rFonts w:ascii="Times New Roman" w:cs="Times New Roman" w:eastAsia="Times New Roman" w:hAnsi="Times New Roman"/>
          <w:sz w:val="18"/>
          <w:szCs w:val="18"/>
          <w:color w:val="auto"/>
        </w:rPr>
      </w:pPr>
    </w:p>
    <w:p>
      <w:pPr>
        <w:ind w:left="820" w:right="659" w:hanging="324"/>
        <w:spacing w:after="0" w:line="313"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foreign and domestic data privacy regulations, business licensing requirements, environmental regulations, and anti-corruption laws, the failure of which could result in severe penalties, including monetary fines and criminal proceedings;</w:t>
      </w:r>
    </w:p>
    <w:p>
      <w:pPr>
        <w:spacing w:after="0" w:line="67" w:lineRule="exact"/>
        <w:rPr>
          <w:rFonts w:ascii="Times New Roman" w:cs="Times New Roman" w:eastAsia="Times New Roman" w:hAnsi="Times New Roman"/>
          <w:sz w:val="18"/>
          <w:szCs w:val="18"/>
          <w:color w:val="auto"/>
        </w:rPr>
      </w:pPr>
    </w:p>
    <w:p>
      <w:pPr>
        <w:ind w:left="820" w:right="259" w:hanging="324"/>
        <w:spacing w:after="0" w:line="307"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foreign and domestic import and export regulations and adoption or expansion of trade restrictions, including technology transfer restrictions, additional license, permit or authorization requirements for shipments, specific company sanctions, new and higher duties, tariffs or surcharges, or other import/export controls;</w:t>
      </w:r>
    </w:p>
    <w:p>
      <w:pPr>
        <w:spacing w:after="0" w:line="74"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and changing tax laws and regulations;</w:t>
      </w:r>
    </w:p>
    <w:p>
      <w:pPr>
        <w:spacing w:after="0" w:line="157"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and prohibitions that differ between jurisdictions;</w:t>
      </w:r>
    </w:p>
    <w:p>
      <w:pPr>
        <w:spacing w:after="0" w:line="157"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instability, terrorism, military conflicts, or civil unrest;</w:t>
      </w:r>
    </w:p>
    <w:p>
      <w:pPr>
        <w:spacing w:after="0" w:line="157" w:lineRule="exact"/>
        <w:rPr>
          <w:rFonts w:ascii="Times New Roman" w:cs="Times New Roman" w:eastAsia="Times New Roman" w:hAnsi="Times New Roman"/>
          <w:sz w:val="18"/>
          <w:szCs w:val="18"/>
          <w:color w:val="auto"/>
        </w:rPr>
      </w:pPr>
    </w:p>
    <w:p>
      <w:pPr>
        <w:ind w:left="820" w:right="339" w:hanging="324"/>
        <w:spacing w:after="0" w:line="329"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freight costs (both inbound and outbound), limitations on shipping and receiving capacity, and other disruptions in the transportation and shipping infrastructure;</w:t>
      </w:r>
    </w:p>
    <w:p>
      <w:pPr>
        <w:spacing w:after="0" w:line="53"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due to climate change), pandemics, and other public health crises;</w:t>
      </w:r>
    </w:p>
    <w:p>
      <w:pPr>
        <w:spacing w:after="0" w:line="157"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issues; and</w:t>
      </w:r>
    </w:p>
    <w:p>
      <w:pPr>
        <w:spacing w:after="0" w:line="157"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local laws.</w:t>
      </w:r>
    </w:p>
    <w:p>
      <w:pPr>
        <w:spacing w:after="0" w:line="158" w:lineRule="exact"/>
        <w:rPr>
          <w:sz w:val="20"/>
          <w:szCs w:val="20"/>
          <w:color w:val="auto"/>
        </w:rPr>
      </w:pPr>
    </w:p>
    <w:p>
      <w:pPr>
        <w:ind w:left="60" w:right="119" w:firstLine="427"/>
        <w:spacing w:after="0" w:line="301" w:lineRule="auto"/>
        <w:rPr>
          <w:sz w:val="20"/>
          <w:szCs w:val="20"/>
          <w:color w:val="auto"/>
        </w:rPr>
      </w:pPr>
      <w:r>
        <w:rPr>
          <w:rFonts w:ascii="Times New Roman" w:cs="Times New Roman" w:eastAsia="Times New Roman" w:hAnsi="Times New Roman"/>
          <w:sz w:val="18"/>
          <w:szCs w:val="18"/>
          <w:color w:val="auto"/>
        </w:rPr>
        <w:t>In addition to the cost of compliance, the potential penalties for violations of import or export regulations and anti-corruption laws, by the Company or its third-party agents, create heightened risks for the Company’s international operations. If a regulatory body determines that the Company has violated such laws, the Company could be fined significant sums, incur sizable legal defense costs, have its import or export capabilities restricted or denied, or have its inventories seized, which could have a material and adverse effect on the Company’s business. Additionally, allegations that the Company has violated any such regulations may negatively impact the Company’s reputation, which may result in customers or suppliers being unwilling to do business with the Company. While the Company has adopted measures and controls designed to ensure compliance with these laws, these measures may not be adequate, and the Company may be materially and adversely impacted in the event of an actual or alleged violation.</w:t>
      </w:r>
    </w:p>
    <w:p>
      <w:pPr>
        <w:spacing w:after="0" w:line="80" w:lineRule="exact"/>
        <w:rPr>
          <w:sz w:val="20"/>
          <w:szCs w:val="20"/>
          <w:color w:val="auto"/>
        </w:rPr>
      </w:pPr>
    </w:p>
    <w:p>
      <w:pPr>
        <w:ind w:left="60" w:right="139" w:firstLine="427"/>
        <w:spacing w:after="0" w:line="301" w:lineRule="auto"/>
        <w:rPr>
          <w:sz w:val="20"/>
          <w:szCs w:val="20"/>
          <w:color w:val="auto"/>
        </w:rPr>
      </w:pPr>
      <w:r>
        <w:rPr>
          <w:rFonts w:ascii="Times New Roman" w:cs="Times New Roman" w:eastAsia="Times New Roman" w:hAnsi="Times New Roman"/>
          <w:sz w:val="18"/>
          <w:szCs w:val="18"/>
          <w:color w:val="auto"/>
        </w:rPr>
        <w:t>Tariffs, trade restrictions, sanctions, or changes in trade policies may adversely affect the Company’s sales and profitability. For example, the U.S. administration has made, and continues to make, changes in trade policies, including negotiating or terminating trade agreements, imposing higher tariffs on imports into the United States, and other measures affecting trade between the United States and other countries. Additionally, some countries are changing their trade policies relating to goods imported from the United States. These policies and related geopolitical tensions could dampen consumer demand, increase market volatility, and impact currency exchange rates, each of which could adversely affect the Company’s financial performance. Further, evaluating and complying with new and future trade measures diverts management’s attention from existing initiatives, which may negatively impact the Company’s business operations.</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59" w:firstLine="427"/>
        <w:spacing w:after="0" w:line="313" w:lineRule="auto"/>
        <w:rPr>
          <w:sz w:val="20"/>
          <w:szCs w:val="20"/>
          <w:color w:val="auto"/>
        </w:rPr>
      </w:pPr>
      <w:r>
        <w:rPr>
          <w:rFonts w:ascii="Times New Roman" w:cs="Times New Roman" w:eastAsia="Times New Roman" w:hAnsi="Times New Roman"/>
          <w:sz w:val="18"/>
          <w:szCs w:val="18"/>
          <w:color w:val="auto"/>
        </w:rPr>
        <w:t>The impact of these trade disruptions is difficult to predict and depends on various factors, including (i) when trade measures are implemented, (ii) the ultimate amount, scope, nature, and duration of tariffs and other trade measures, (iii) and the extent to which price increases, together with mitigation efforts, do not fully offset increased costs. In addition, the impact of trade disruptions on general economic conditions is difficult to predict.</w:t>
      </w:r>
    </w:p>
    <w:p>
      <w:pPr>
        <w:spacing w:after="0" w:line="68" w:lineRule="exact"/>
        <w:rPr>
          <w:sz w:val="20"/>
          <w:szCs w:val="20"/>
          <w:color w:val="auto"/>
        </w:rPr>
      </w:pPr>
    </w:p>
    <w:p>
      <w:pPr>
        <w:ind w:left="60" w:right="239" w:firstLine="427"/>
        <w:spacing w:after="0" w:line="320" w:lineRule="auto"/>
        <w:rPr>
          <w:sz w:val="20"/>
          <w:szCs w:val="20"/>
          <w:color w:val="auto"/>
        </w:rPr>
      </w:pPr>
      <w:r>
        <w:rPr>
          <w:rFonts w:ascii="Times New Roman" w:cs="Times New Roman" w:eastAsia="Times New Roman" w:hAnsi="Times New Roman"/>
          <w:sz w:val="17"/>
          <w:szCs w:val="17"/>
          <w:color w:val="auto"/>
        </w:rPr>
        <w:t>The Company employs and continues to develop systems and other measures to mitigate the impact of tariffs. The Company also has contingency plans to respond to a range of economic scenarios. The Company continues to monitor and evaluate changing trade policies, as well as the overall economic environment in the electronic components industry. However, despite these efforts, the Company may not be able to fully mitigate the impact of changes in trade policies or an economic downturn. These actions have resulted in increased costs, which the Company may not be able to pass on to customers; shortages of materials and electronic components; increased cybersecurity attacks; credit market disruptions; and inflation. In addition, increased operational expenses incurred in minimizing the number of products subject to tariffs could adversely affect the Company’s operating profits. These measures have not yet had a material impact, but future actions or escalations that affect trade relations could materially affect the Company’s sales and results of operations.</w:t>
      </w:r>
    </w:p>
    <w:p>
      <w:pPr>
        <w:spacing w:after="0" w:line="71" w:lineRule="exact"/>
        <w:rPr>
          <w:sz w:val="20"/>
          <w:szCs w:val="20"/>
          <w:color w:val="auto"/>
        </w:rPr>
      </w:pPr>
    </w:p>
    <w:p>
      <w:pPr>
        <w:ind w:left="60" w:right="179" w:firstLine="427"/>
        <w:spacing w:after="0" w:line="300" w:lineRule="auto"/>
        <w:rPr>
          <w:sz w:val="20"/>
          <w:szCs w:val="20"/>
          <w:color w:val="auto"/>
        </w:rPr>
      </w:pPr>
      <w:r>
        <w:rPr>
          <w:rFonts w:ascii="Times New Roman" w:cs="Times New Roman" w:eastAsia="Times New Roman" w:hAnsi="Times New Roman"/>
          <w:sz w:val="18"/>
          <w:szCs w:val="18"/>
          <w:color w:val="auto"/>
        </w:rPr>
        <w:t>The Company transacts sales, pays expenses, owns assets, and incurs liabilities in countries using currencies other than the U.S. Dollar. Because the Company’s consolidated financial statements are presented in U.S. Dollars, the Company must translate such activities and amounts into U.S. Dollars at exchange rates in effect during each reporting period. Therefore, increases or decreases in the exchange rates between the U.S. Dollar and other currencies affect the Company’s reported amounts of sales, operating income, and assets and liabilities denominated in foreign currencies. In addition, unexpected and dramatic changes in foreign currency exchange rates may negatively affect the Company’s earnings from those markets. While the Company may use derivative financial instruments to reduce its net exposure, foreign currency exchange rate fluctuations may materially affect the Company’s financial results. Further, foreign currency instability and disruptions in the credit and capital markets may increase credit risks for some of the Company’s customers and may impair its customers’ ability to repay existing obligations.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Internal information systems failures</w:t>
      </w:r>
    </w:p>
    <w:p>
      <w:pPr>
        <w:spacing w:after="0" w:line="162" w:lineRule="exact"/>
        <w:rPr>
          <w:sz w:val="20"/>
          <w:szCs w:val="20"/>
          <w:color w:val="auto"/>
        </w:rPr>
      </w:pPr>
    </w:p>
    <w:p>
      <w:pPr>
        <w:ind w:left="60" w:right="79" w:firstLine="427"/>
        <w:spacing w:after="0" w:line="300" w:lineRule="auto"/>
        <w:rPr>
          <w:sz w:val="20"/>
          <w:szCs w:val="20"/>
          <w:color w:val="auto"/>
        </w:rPr>
      </w:pPr>
      <w:r>
        <w:rPr>
          <w:rFonts w:ascii="Times New Roman" w:cs="Times New Roman" w:eastAsia="Times New Roman" w:hAnsi="Times New Roman"/>
          <w:sz w:val="18"/>
          <w:szCs w:val="18"/>
          <w:color w:val="auto"/>
        </w:rPr>
        <w:t>The Company depends on its information systems to facilitate its day-to-day operations and to produce timely, accurate, and reliable information on financial and operational results. Currently, the Company’s global operations are tracked with multiple information systems, including systems from acquired businesses, some of which are subject to ongoing IT projects designed to streamline or optimize the Company’s systems. These IT projects are extremely complex, in part because of wide ranging processes, use of on-premise and cloud environments, the Company’s business operations, and changes in information technology. The Company may not always succeed at these efforts. Implementation or integration difficulties may adversely affect the Company’s ability to complete business transactions and ensure accurate recording and reporting of financial data. In addition, IT projects may not achieve the expected efficiencies and cost savings, which could negatively impact the Company’s financial results. A failure of any of these information systems (including due to power losses, computer and telecommunications failures, cybersecurity incidents, or manmade or natural disasters), or material difficulties in upgrading these information systems, could have an adverse effect on the Company’s business, internal controls, and reporting obligations under federal securities laws.</w:t>
      </w:r>
    </w:p>
    <w:p>
      <w:pPr>
        <w:spacing w:after="0" w:line="81" w:lineRule="exact"/>
        <w:rPr>
          <w:sz w:val="20"/>
          <w:szCs w:val="20"/>
          <w:color w:val="auto"/>
        </w:rPr>
      </w:pPr>
    </w:p>
    <w:p>
      <w:pPr>
        <w:ind w:left="60" w:right="139" w:firstLine="427"/>
        <w:spacing w:after="0" w:line="313" w:lineRule="auto"/>
        <w:rPr>
          <w:sz w:val="20"/>
          <w:szCs w:val="20"/>
          <w:color w:val="auto"/>
        </w:rPr>
      </w:pPr>
      <w:r>
        <w:rPr>
          <w:rFonts w:ascii="Times New Roman" w:cs="Times New Roman" w:eastAsia="Times New Roman" w:hAnsi="Times New Roman"/>
          <w:sz w:val="18"/>
          <w:szCs w:val="18"/>
          <w:color w:val="auto"/>
        </w:rPr>
        <w:t>Due to the Company’s increased online sales, system interruptions and delays that make its websites and services unavailable or slow to respond may reduce the attractiveness of its products and services to its customers. If the Company is unable to continually improve the efficiency of its systems, it could cause systems interruptions or delays and adversely affect the Company’s operating results.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Logistics disruptions</w:t>
      </w:r>
    </w:p>
    <w:p>
      <w:pPr>
        <w:spacing w:after="0" w:line="175" w:lineRule="exact"/>
        <w:rPr>
          <w:sz w:val="20"/>
          <w:szCs w:val="20"/>
          <w:color w:val="auto"/>
        </w:rPr>
      </w:pPr>
    </w:p>
    <w:p>
      <w:pPr>
        <w:ind w:left="60" w:right="119" w:firstLine="427"/>
        <w:spacing w:after="0" w:line="300" w:lineRule="auto"/>
        <w:rPr>
          <w:sz w:val="20"/>
          <w:szCs w:val="20"/>
          <w:color w:val="auto"/>
        </w:rPr>
      </w:pPr>
      <w:r>
        <w:rPr>
          <w:rFonts w:ascii="Times New Roman" w:cs="Times New Roman" w:eastAsia="Times New Roman" w:hAnsi="Times New Roman"/>
          <w:sz w:val="18"/>
          <w:szCs w:val="18"/>
          <w:color w:val="auto"/>
        </w:rPr>
        <w:t>The Company’s global logistics services are operated through specialized and centralized distribution centers around the globe, some of which are outsourced. The Company also depends almost entirely on third-party transportation service providers to deliver products to its customers. A major interruption or disruption in service at one or more of its distribution centers for any reason, or significant disruptions of services from the Company’s third-party transportation providers, could cause a delay in expected cost savings or an increase in expenses, which may not be possible to pass on to customers. Such disruptions could result from risks related to information technology, data security, or any of the General Risk Factors, as discussed herein. In addition, as the Company continues to increase capacity at various distribution centers, it may experience operational challenges, increased costs, decreased efficiency, and customer delivery delays and failures. Such operational challenges could have an adverse impact on the Company’s business partners, and on the Company’s business, operations, financial performance, and reputation.</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Data security and privacy threats</w:t>
      </w:r>
    </w:p>
    <w:p>
      <w:pPr>
        <w:spacing w:after="0" w:line="162" w:lineRule="exact"/>
        <w:rPr>
          <w:sz w:val="20"/>
          <w:szCs w:val="20"/>
          <w:color w:val="auto"/>
        </w:rPr>
      </w:pPr>
    </w:p>
    <w:p>
      <w:pPr>
        <w:ind w:left="60" w:right="79" w:firstLine="427"/>
        <w:spacing w:after="0" w:line="300" w:lineRule="auto"/>
        <w:rPr>
          <w:sz w:val="20"/>
          <w:szCs w:val="20"/>
          <w:color w:val="auto"/>
        </w:rPr>
      </w:pPr>
      <w:r>
        <w:rPr>
          <w:rFonts w:ascii="Times New Roman" w:cs="Times New Roman" w:eastAsia="Times New Roman" w:hAnsi="Times New Roman"/>
          <w:sz w:val="18"/>
          <w:szCs w:val="18"/>
          <w:color w:val="auto"/>
        </w:rPr>
        <w:t>Threats to the Company’s data and information technology systems (including cybersecurity attacks such as phishing and ransomware) are becoming more frequent and sophisticated, including through the use of artificial intelligence and machine learning. Threat actors have successfully breached the Company’s systems and processes in various ways, and such cybersecurity breaches expose the Company to significant potential liability and reputational harm. Cybersecurity attacks have not yet materially impacted the Company’s data (including data about customers, suppliers, and employees) or the Company’s operations, financial condition, or data security, but future attacks could have a material impact. Threat actors, including sophisticated nation-state actors, seek unauthorized access to intellectual property, or confidential or proprietary information regarding the Company, its customers, its business partners, or its employees, and may target the Company’s systems for espionage, intellectual property theft, or disruption of operations. They deploy malicious software programs that exploit security vulnerabilities, including ransomware designed to encrypt the Company’s files so an attacker may demand a ransom for restored access. They also seek to misdirect money, sabotage data and systems, takeover internal processes, and induce employees or other system users to disclose sensitive information, including login credentials. In addition, some Company employees continue to work from home on a full-time or hybrid basis, which increases the Company’s vulnerability to cyber and other information technology risks. Further, the Company’s business partners and service providers (such as suppliers, customers, and hosted solution providers) pose a security risk because their own security systems or infrastructure may become compromised.</w:t>
      </w:r>
    </w:p>
    <w:p>
      <w:pPr>
        <w:spacing w:after="0" w:line="86" w:lineRule="exact"/>
        <w:rPr>
          <w:sz w:val="20"/>
          <w:szCs w:val="20"/>
          <w:color w:val="auto"/>
        </w:rPr>
      </w:pPr>
    </w:p>
    <w:p>
      <w:pPr>
        <w:ind w:left="60" w:right="119" w:firstLine="427"/>
        <w:spacing w:after="0" w:line="300" w:lineRule="auto"/>
        <w:rPr>
          <w:sz w:val="20"/>
          <w:szCs w:val="20"/>
          <w:color w:val="auto"/>
        </w:rPr>
      </w:pPr>
      <w:r>
        <w:rPr>
          <w:rFonts w:ascii="Times New Roman" w:cs="Times New Roman" w:eastAsia="Times New Roman" w:hAnsi="Times New Roman"/>
          <w:sz w:val="18"/>
          <w:szCs w:val="18"/>
          <w:color w:val="auto"/>
        </w:rPr>
        <w:t>The Company seeks to protect and secure its systems and information, prevent and detect evolving threats, and respond to threats as they occur. Measures taken include implementing and enhancing information security controls, such as enterprise-wide firewalls, intrusion detection, endpoint protection, email security, disaster recovery, vulnerability management, and cybersecurity training for employees to enhance awareness of general security best practices, financial fraud, and phishing. Despite these efforts, the Company may not always be successful. Threat actors frequently change their techniques and technology (such as implementing artificial intelligence) and, consequently, the Company may not always promptly detect the existence or scope of a security breach. As these types of threats grow and evolve, the Company may make further investments to protect its data and information technology infrastructure, which may impact the Company’s profitability. The Company’s insurance coverage for protecting against cyber attacks may not be sufficient to cover all possible claims, and the Company may suffer losses that could have a material adverse effect on its business. As a global enterprise, the Company may be negatively impacted by existing and proposed laws and regulations, as well as government policies and practices, related to cybersecurity, data privacy, data localization, and data protection. Failure to comply with such requirements could have an adverse effect on the Company’s reputation, business, financial condition, and results of operations, as well as subject the Company to significant fines, litigation losses, third-party damages, and other liabilities.</w:t>
      </w:r>
    </w:p>
    <w:p>
      <w:pPr>
        <w:sectPr>
          <w:pgSz w:w="11900" w:h="16838" w:orient="portrait"/>
          <w:cols w:equalWidth="0" w:num="1">
            <w:col w:w="9019"/>
          </w:cols>
          <w:pgMar w:left="1440" w:top="513" w:right="1440"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 value decline</w:t>
      </w:r>
    </w:p>
    <w:p>
      <w:pPr>
        <w:spacing w:after="0" w:line="162" w:lineRule="exact"/>
        <w:rPr>
          <w:sz w:val="20"/>
          <w:szCs w:val="20"/>
          <w:color w:val="auto"/>
        </w:rPr>
      </w:pPr>
    </w:p>
    <w:p>
      <w:pPr>
        <w:ind w:left="60" w:right="79" w:firstLine="427"/>
        <w:spacing w:after="0" w:line="320" w:lineRule="auto"/>
        <w:rPr>
          <w:sz w:val="20"/>
          <w:szCs w:val="20"/>
          <w:color w:val="auto"/>
        </w:rPr>
      </w:pPr>
      <w:r>
        <w:rPr>
          <w:rFonts w:ascii="Times New Roman" w:cs="Times New Roman" w:eastAsia="Times New Roman" w:hAnsi="Times New Roman"/>
          <w:sz w:val="17"/>
          <w:szCs w:val="17"/>
          <w:color w:val="auto"/>
        </w:rPr>
        <w:t>The electronic components and integrated products industries are subject to technological change, new and enhanced products, changes in customer needs, and changes in industry standards and regulatory requirements, which can cause the Company’s inventory to decline in value or become obsolete. Regardless of the general economic environment, prices may decline due to a decrease in demand or an oversupply of products, which may increase the risk of declines in inventory value. Many of the Company’s suppliers offer certain protections from the loss in value of inventory (such as price protection and limited rights of return), but such policies may not fully compensate for the loss. Also, suppliers may not honor such agreements, some of which are subject to supplier discretion. In addition, most Company sales are made pursuant to individual purchase orders, rather than through long-term sales contracts. Where there are contracts, such contracts are generally terminable at will upon notice. Unforeseen product developments, inventory value declines, or customer cancellations may adversely affect the Company’s business, results of operations, financial condition, or liquidity.</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defaults</w:t>
      </w:r>
    </w:p>
    <w:p>
      <w:pPr>
        <w:spacing w:after="0" w:line="162" w:lineRule="exact"/>
        <w:rPr>
          <w:sz w:val="20"/>
          <w:szCs w:val="20"/>
          <w:color w:val="auto"/>
        </w:rPr>
      </w:pPr>
    </w:p>
    <w:p>
      <w:pPr>
        <w:ind w:left="60" w:right="279" w:firstLine="427"/>
        <w:spacing w:after="0" w:line="302" w:lineRule="auto"/>
        <w:rPr>
          <w:sz w:val="20"/>
          <w:szCs w:val="20"/>
          <w:color w:val="auto"/>
        </w:rPr>
      </w:pPr>
      <w:r>
        <w:rPr>
          <w:rFonts w:ascii="Times New Roman" w:cs="Times New Roman" w:eastAsia="Times New Roman" w:hAnsi="Times New Roman"/>
          <w:sz w:val="18"/>
          <w:szCs w:val="18"/>
          <w:color w:val="auto"/>
        </w:rPr>
        <w:t>Accounts receivable are a significant portion of the Company’s working capital. If entities responsible for a significant amount of accounts receivable cease doing business, direct their business elsewhere, fail to pay, or delay payment, the Company’s business, results of operations, financial condition, or liquidity could be adversely affected. An economic or industry downturn could adversely affect the Company’s ability to collect receivables, which could result in longer payment cycles, increased collection costs, and defaults exceeding management’s expectations. A significant deterioration in the Company’s ability to collect accounts receivable in the United States could impact the cost or availability of financing under various financing programs.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 constraints</w:t>
      </w:r>
    </w:p>
    <w:p>
      <w:pPr>
        <w:spacing w:after="0" w:line="162" w:lineRule="exact"/>
        <w:rPr>
          <w:sz w:val="20"/>
          <w:szCs w:val="20"/>
          <w:color w:val="auto"/>
        </w:rPr>
      </w:pPr>
    </w:p>
    <w:p>
      <w:pPr>
        <w:ind w:left="60" w:right="79" w:firstLine="427"/>
        <w:spacing w:after="0" w:line="302" w:lineRule="auto"/>
        <w:rPr>
          <w:sz w:val="20"/>
          <w:szCs w:val="20"/>
          <w:color w:val="auto"/>
        </w:rPr>
      </w:pPr>
      <w:r>
        <w:rPr>
          <w:rFonts w:ascii="Times New Roman" w:cs="Times New Roman" w:eastAsia="Times New Roman" w:hAnsi="Times New Roman"/>
          <w:sz w:val="18"/>
          <w:szCs w:val="18"/>
          <w:color w:val="auto"/>
        </w:rPr>
        <w:t>The Company’s ability to satisfy its cash needs and implement its capital allocation strategy depends on its ability to generate cash from operations and to access the financial markets, both of which are subject to general economic, financial, competitive, legislative, regulatory, and other factors that are beyond the Company’s control. In addition to cash on hand, the Company relies on external financing to help satisfy its cash needs. However, various factors affect external financing, including general market conditions, interest rate fluctuations, and the Company’s debt ratings and operating results. Consequently, external financing may not be available on acceptable terms or at all. An increase in the Company’s debt or deterioration of its operating results may cause a reduction in its debt ratings. Any such reduction could negatively impact the Company’s ability to obtain additional financing or renew existing financing at acceptable terms, and could result in reduced credit limits, increased financing expenses, and additional restrictions and covenants. A reduction in its current debt rating may also negatively impact the Company’s working capital and impair its relationship with its customers and suppliers.</w:t>
      </w:r>
    </w:p>
    <w:p>
      <w:pPr>
        <w:spacing w:after="0" w:line="78" w:lineRule="exact"/>
        <w:rPr>
          <w:sz w:val="20"/>
          <w:szCs w:val="20"/>
          <w:color w:val="auto"/>
        </w:rPr>
      </w:pPr>
    </w:p>
    <w:p>
      <w:pPr>
        <w:ind w:left="60" w:right="99" w:firstLine="427"/>
        <w:spacing w:after="0" w:line="301" w:lineRule="auto"/>
        <w:rPr>
          <w:sz w:val="20"/>
          <w:szCs w:val="20"/>
          <w:color w:val="auto"/>
        </w:rPr>
      </w:pPr>
      <w:r>
        <w:rPr>
          <w:rFonts w:ascii="Times New Roman" w:cs="Times New Roman" w:eastAsia="Times New Roman" w:hAnsi="Times New Roman"/>
          <w:sz w:val="18"/>
          <w:szCs w:val="18"/>
          <w:color w:val="auto"/>
        </w:rPr>
        <w:t>As of June 28, 2025, the Company had debt outstanding with financial institutions under various notes, secured borrowings, and committed and uncommitted lines of credit. The Company needs cash to pay debt principal and interest, and for general corporate purposes, such as funding its ongoing working capital and capital expenditure needs. Under certain of its credit facilities, the applicable interest rate and costs are based in part on the Company’s current debt rating. If its debt rating is reduced, higher interest rates and increased costs would result. A portion of the Company’s debt is subject to variable interest rates and an increase in such rates would increase debt service obligations. Any material increase in the Company’s financing costs or loss of access to cost-effective financing could have an adverse effect on its profitability, results of operations, and cash flows.</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39" w:firstLine="427"/>
        <w:spacing w:after="0" w:line="321" w:lineRule="auto"/>
        <w:rPr>
          <w:sz w:val="20"/>
          <w:szCs w:val="20"/>
          <w:color w:val="auto"/>
        </w:rPr>
      </w:pPr>
      <w:r>
        <w:rPr>
          <w:rFonts w:ascii="Times New Roman" w:cs="Times New Roman" w:eastAsia="Times New Roman" w:hAnsi="Times New Roman"/>
          <w:sz w:val="18"/>
          <w:szCs w:val="18"/>
          <w:color w:val="auto"/>
        </w:rPr>
        <w:t>General economic or business conditions, both domestic and foreign, may be less favorable than management expects and could adversely impact the Company’s sales or its ability to collect receivables from its customers, which may impact access to the Company’s accounts receivable securitization program.</w:t>
      </w:r>
    </w:p>
    <w:p>
      <w:pPr>
        <w:spacing w:after="0" w:line="1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covenants and restrictions may limit management discretion</w:t>
      </w:r>
    </w:p>
    <w:p>
      <w:pPr>
        <w:spacing w:after="0" w:line="162" w:lineRule="exact"/>
        <w:rPr>
          <w:sz w:val="20"/>
          <w:szCs w:val="20"/>
          <w:color w:val="auto"/>
        </w:rPr>
      </w:pPr>
    </w:p>
    <w:p>
      <w:pPr>
        <w:ind w:left="60" w:right="79" w:firstLine="427"/>
        <w:spacing w:after="0" w:line="313" w:lineRule="auto"/>
        <w:rPr>
          <w:sz w:val="20"/>
          <w:szCs w:val="20"/>
          <w:color w:val="auto"/>
        </w:rPr>
      </w:pPr>
      <w:r>
        <w:rPr>
          <w:rFonts w:ascii="Times New Roman" w:cs="Times New Roman" w:eastAsia="Times New Roman" w:hAnsi="Times New Roman"/>
          <w:sz w:val="18"/>
          <w:szCs w:val="18"/>
          <w:color w:val="auto"/>
        </w:rPr>
        <w:t>The agreements governing the Company’s financing, including its credit facility, accounts receivable securitization program, and the indentures governing the Company’s outstanding notes, contain various covenants and restrictions that, in certain circumstances, limit the Company’s ability, and the ability of certain subsidiaries, to:</w:t>
      </w:r>
    </w:p>
    <w:p>
      <w:pPr>
        <w:spacing w:after="0" w:line="68" w:lineRule="exact"/>
        <w:rPr>
          <w:sz w:val="20"/>
          <w:szCs w:val="20"/>
          <w:color w:val="auto"/>
        </w:rPr>
      </w:pPr>
    </w:p>
    <w:p>
      <w:pPr>
        <w:ind w:left="820" w:hanging="32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on assets;</w:t>
      </w:r>
    </w:p>
    <w:p>
      <w:pPr>
        <w:spacing w:after="0" w:line="157" w:lineRule="exact"/>
        <w:rPr>
          <w:rFonts w:ascii="Times New Roman" w:cs="Times New Roman" w:eastAsia="Times New Roman" w:hAnsi="Times New Roman"/>
          <w:sz w:val="18"/>
          <w:szCs w:val="18"/>
          <w:color w:val="auto"/>
        </w:rPr>
      </w:pPr>
    </w:p>
    <w:p>
      <w:pPr>
        <w:ind w:left="820" w:right="839" w:hanging="324"/>
        <w:spacing w:after="0" w:line="329"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restricted payments (including, under certain circumstances, paying dividends on, redeeming, or repurchasing common stock);</w:t>
      </w:r>
    </w:p>
    <w:p>
      <w:pPr>
        <w:spacing w:after="0" w:line="53"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57"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transfer all, or substantially all, of the Company’s assets;</w:t>
      </w:r>
    </w:p>
    <w:p>
      <w:pPr>
        <w:spacing w:after="0" w:line="157"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or</w:t>
      </w:r>
    </w:p>
    <w:p>
      <w:pPr>
        <w:spacing w:after="0" w:line="157"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w:t>
      </w:r>
    </w:p>
    <w:p>
      <w:pPr>
        <w:spacing w:after="0" w:line="158" w:lineRule="exact"/>
        <w:rPr>
          <w:sz w:val="20"/>
          <w:szCs w:val="20"/>
          <w:color w:val="auto"/>
        </w:rPr>
      </w:pPr>
    </w:p>
    <w:p>
      <w:pPr>
        <w:ind w:left="60" w:right="99" w:firstLine="427"/>
        <w:spacing w:after="0" w:line="307" w:lineRule="auto"/>
        <w:rPr>
          <w:sz w:val="20"/>
          <w:szCs w:val="20"/>
          <w:color w:val="auto"/>
        </w:rPr>
      </w:pPr>
      <w:r>
        <w:rPr>
          <w:rFonts w:ascii="Times New Roman" w:cs="Times New Roman" w:eastAsia="Times New Roman" w:hAnsi="Times New Roman"/>
          <w:sz w:val="18"/>
          <w:szCs w:val="18"/>
          <w:color w:val="auto"/>
        </w:rPr>
        <w:t>The Company may be in default under certain of its credit facilities if its leverage ratio exceeds a certain level. In such an event, lenders may accelerate payment, other lenders may declare a cross-default, and the Company may be unable to continue to utilize these facilities, which could cause the Company to have insufficient cash to make interest payments, to repay indebtedness, or for general corporate needs.</w:t>
      </w:r>
    </w:p>
    <w:p>
      <w:pPr>
        <w:spacing w:after="0" w:line="75" w:lineRule="exact"/>
        <w:rPr>
          <w:sz w:val="20"/>
          <w:szCs w:val="20"/>
          <w:color w:val="auto"/>
        </w:rPr>
      </w:pPr>
    </w:p>
    <w:p>
      <w:pPr>
        <w:ind w:left="60" w:right="419" w:firstLine="427"/>
        <w:spacing w:after="0" w:line="313" w:lineRule="auto"/>
        <w:rPr>
          <w:sz w:val="20"/>
          <w:szCs w:val="20"/>
          <w:color w:val="auto"/>
        </w:rPr>
      </w:pPr>
      <w:r>
        <w:rPr>
          <w:rFonts w:ascii="Times New Roman" w:cs="Times New Roman" w:eastAsia="Times New Roman" w:hAnsi="Times New Roman"/>
          <w:sz w:val="18"/>
          <w:szCs w:val="18"/>
          <w:color w:val="auto"/>
        </w:rPr>
        <w:t>As a result of these covenants and restrictions, the Company may be limited in the future in how it conducts its business and may be unable to raise additional debt, repurchase common stock, pay a dividend, compete effectively, or make further investments.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law changes and compliance</w:t>
      </w:r>
    </w:p>
    <w:p>
      <w:pPr>
        <w:spacing w:after="0" w:line="162" w:lineRule="exact"/>
        <w:rPr>
          <w:sz w:val="20"/>
          <w:szCs w:val="20"/>
          <w:color w:val="auto"/>
        </w:rPr>
      </w:pPr>
    </w:p>
    <w:p>
      <w:pPr>
        <w:jc w:val="both"/>
        <w:ind w:left="60" w:right="79" w:firstLine="427"/>
        <w:spacing w:after="0" w:line="305" w:lineRule="auto"/>
        <w:rPr>
          <w:sz w:val="20"/>
          <w:szCs w:val="20"/>
          <w:color w:val="auto"/>
        </w:rPr>
      </w:pPr>
      <w:r>
        <w:rPr>
          <w:rFonts w:ascii="Times New Roman" w:cs="Times New Roman" w:eastAsia="Times New Roman" w:hAnsi="Times New Roman"/>
          <w:sz w:val="18"/>
          <w:szCs w:val="18"/>
          <w:color w:val="auto"/>
        </w:rPr>
        <w:t>As a multinational corporation, the Company is subject to the tax laws and regulations of the United States and many foreign jurisdictions. From time to time, governments enact or revise tax laws and regulations, which are further subject to interpretations, guidance, amendments, and technical corrections from international, federal, and state tax authorities. Such changes to tax law may adversely affect the Company’s cash flow, costs of share buybacks, and effective tax rate, including through decreases in allowable deductions and higher tax rates.</w:t>
      </w:r>
    </w:p>
    <w:p>
      <w:pPr>
        <w:spacing w:after="0" w:line="75" w:lineRule="exact"/>
        <w:rPr>
          <w:sz w:val="20"/>
          <w:szCs w:val="20"/>
          <w:color w:val="auto"/>
        </w:rPr>
      </w:pPr>
    </w:p>
    <w:p>
      <w:pPr>
        <w:ind w:left="60" w:right="239" w:firstLine="427"/>
        <w:spacing w:after="0" w:line="321" w:lineRule="auto"/>
        <w:rPr>
          <w:sz w:val="20"/>
          <w:szCs w:val="20"/>
          <w:color w:val="auto"/>
        </w:rPr>
      </w:pPr>
      <w:r>
        <w:rPr>
          <w:rFonts w:ascii="Times New Roman" w:cs="Times New Roman" w:eastAsia="Times New Roman" w:hAnsi="Times New Roman"/>
          <w:sz w:val="17"/>
          <w:szCs w:val="17"/>
          <w:color w:val="auto"/>
        </w:rPr>
        <w:t>Many countries have adopted provisions to align their international tax rules with the Base Erosion and Profit Shifting Project, led by the Organisation for Economic Co-operation and Development (“OECD”), which applies to the Company as of fiscal year 2025. The project aims to standardize and modernize global corporate tax policy, and levies a 15% global minimum corporate tax rate on a country-by-country basis on companies with revenue over a set threshold. Various jurisdictions are adopting related regulations at different times and in varying forms. Conflicting regulations or interpretations could increase risk of double taxation, compliance complexity, and disputes with taxing authorities. Furthermore, many countries are independently evaluating their corporate tax policy, which could result in tax legislation and enforcement that adversely impacts the Company’s tax provision and value of deferred assets and liabilities.</w:t>
      </w:r>
    </w:p>
    <w:p>
      <w:pPr>
        <w:spacing w:after="0" w:line="68" w:lineRule="exact"/>
        <w:rPr>
          <w:sz w:val="20"/>
          <w:szCs w:val="20"/>
          <w:color w:val="auto"/>
        </w:rPr>
      </w:pPr>
    </w:p>
    <w:p>
      <w:pPr>
        <w:ind w:left="60" w:right="159" w:firstLine="427"/>
        <w:spacing w:after="0" w:line="321" w:lineRule="auto"/>
        <w:rPr>
          <w:sz w:val="20"/>
          <w:szCs w:val="20"/>
          <w:color w:val="auto"/>
        </w:rPr>
      </w:pPr>
      <w:r>
        <w:rPr>
          <w:rFonts w:ascii="Times New Roman" w:cs="Times New Roman" w:eastAsia="Times New Roman" w:hAnsi="Times New Roman"/>
          <w:sz w:val="18"/>
          <w:szCs w:val="18"/>
          <w:color w:val="auto"/>
        </w:rPr>
        <w:t>The tax laws and regulations of the various countries where the Company has operations are extremely complex and subject to varying interpretations. The Company believes that its historical tax positions are sound and consistent with applicable law, and that it has adequately reserved for taxes. However, taxing authorities may challenge such</w:t>
      </w:r>
    </w:p>
    <w:p>
      <w:pPr>
        <w:sectPr>
          <w:pgSz w:w="11900" w:h="16838" w:orient="portrait"/>
          <w:cols w:equalWidth="0" w:num="1">
            <w:col w:w="9019"/>
          </w:cols>
          <w:pgMar w:left="1440" w:top="513" w:right="1440"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99"/>
        <w:spacing w:after="0" w:line="321" w:lineRule="auto"/>
        <w:rPr>
          <w:sz w:val="20"/>
          <w:szCs w:val="20"/>
          <w:color w:val="auto"/>
        </w:rPr>
      </w:pPr>
      <w:r>
        <w:rPr>
          <w:rFonts w:ascii="Times New Roman" w:cs="Times New Roman" w:eastAsia="Times New Roman" w:hAnsi="Times New Roman"/>
          <w:sz w:val="18"/>
          <w:szCs w:val="18"/>
          <w:color w:val="auto"/>
        </w:rPr>
        <w:t>positions and the Company may not be successful in defending against any such challenges. The Company’s future income tax expense could be adversely affected by changes in the mix of earnings in countries with differing statutory tax rates, changes in the valuation of deferred tax assets, and liabilities and changes to its operating structure.</w:t>
      </w:r>
    </w:p>
    <w:p>
      <w:pPr>
        <w:spacing w:after="0" w:line="1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Constraints on internal controls</w:t>
      </w:r>
    </w:p>
    <w:p>
      <w:pPr>
        <w:spacing w:after="0" w:line="162" w:lineRule="exact"/>
        <w:rPr>
          <w:sz w:val="20"/>
          <w:szCs w:val="20"/>
          <w:color w:val="auto"/>
        </w:rPr>
      </w:pPr>
    </w:p>
    <w:p>
      <w:pPr>
        <w:ind w:left="60" w:right="79" w:firstLine="427"/>
        <w:spacing w:after="0" w:line="300" w:lineRule="auto"/>
        <w:rPr>
          <w:sz w:val="20"/>
          <w:szCs w:val="20"/>
          <w:color w:val="auto"/>
        </w:rPr>
      </w:pPr>
      <w:r>
        <w:rPr>
          <w:rFonts w:ascii="Times New Roman" w:cs="Times New Roman" w:eastAsia="Times New Roman" w:hAnsi="Times New Roman"/>
          <w:sz w:val="18"/>
          <w:szCs w:val="18"/>
          <w:color w:val="auto"/>
        </w:rPr>
        <w:t>Effective internal controls are necessary for the Company to provide reliable financial reports, safeguard its assets, and prevent and detect fraud. If the Company cannot do so, its brand and operating results could be harmed. Internal controls over financial reporting are intended to prevent and detect material misstatements in its financial reporting and material fraudulent activity, but are limited by human error, circumventing or overriding controls, and fraud. As a result, the Company may not identify all material activity or all immaterial activity that could aggregate into a material misstatement. Therefore, even effective internal controls cannot guarantee that financial statements are wholly accurate or prevent all fraud and loss of assets. Management continually evaluates the effectiveness of the design and operation of the Company’s internal controls. However, if the Company fails to maintain the adequacy of its internal controls, including any failure to implement required new or improved internal controls, or if the Company experiences difficulties in their implementation, the Company’s business and operating results could be harmed. Additionally, the Company may be subject to sanctions or investigations by regulatory authorities, or the Company could fail to meet its reporting obligations, all of which could have an adverse effect on its business or the market price of the Company’s securities.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expected benefits shortfall</w:t>
      </w:r>
    </w:p>
    <w:p>
      <w:pPr>
        <w:spacing w:after="0" w:line="162" w:lineRule="exact"/>
        <w:rPr>
          <w:sz w:val="20"/>
          <w:szCs w:val="20"/>
          <w:color w:val="auto"/>
        </w:rPr>
      </w:pPr>
    </w:p>
    <w:p>
      <w:pPr>
        <w:ind w:left="60" w:right="99" w:firstLine="427"/>
        <w:spacing w:after="0" w:line="300" w:lineRule="auto"/>
        <w:rPr>
          <w:sz w:val="20"/>
          <w:szCs w:val="20"/>
          <w:color w:val="auto"/>
        </w:rPr>
      </w:pPr>
      <w:r>
        <w:rPr>
          <w:rFonts w:ascii="Times New Roman" w:cs="Times New Roman" w:eastAsia="Times New Roman" w:hAnsi="Times New Roman"/>
          <w:sz w:val="18"/>
          <w:szCs w:val="18"/>
          <w:color w:val="auto"/>
        </w:rPr>
        <w:t>The Company has made, and expects to make, strategic acquisitions or investments globally to further its strategic objectives and support key business initiatives. Acquisitions and investments involve risks and uncertainties, some of which may differ from those associated with the Company’s historical operations. Examples include risks relating to expanding into emerging markets and business areas, adding additional product lines and services, impacting existing customer and supplier relationships, incurring costs or liabilities associated with the companies acquired, incurring potential impairment charges on acquired goodwill and other intangible assets, and diverting management’s attention from existing operations and initiatives. As a result, the Company’s profitability may be negatively impacted. In addition, the Company may not successfully integrate the acquired businesses, or the integration may be more difficult, costly, or time-consuming than anticipated. Further, any litigation involving the potential acquisition or acquired entity may increase expenses associated with the acquisition, cause a delay in completing the acquisition, or impact the ability to integrate the acquired entity, all of which may impact the Company’s profitability. The Company may experience disruptions that could, depending on the size of the acquisition, have an adverse effect on its business, especially where an acquisition target may have pre-existing regulatory issues or deficiencies, or material weaknesses in internal controls over financial reporting. Furthermore, the Company may not realize all benefits anticipated from its acquisitions, which could adversely affect the Company’s financial performance.</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costs and damages</w:t>
      </w:r>
    </w:p>
    <w:p>
      <w:pPr>
        <w:spacing w:after="0" w:line="162" w:lineRule="exact"/>
        <w:rPr>
          <w:sz w:val="20"/>
          <w:szCs w:val="20"/>
          <w:color w:val="auto"/>
        </w:rPr>
      </w:pPr>
    </w:p>
    <w:p>
      <w:pPr>
        <w:ind w:left="60" w:right="259" w:firstLine="427"/>
        <w:spacing w:after="0" w:line="327" w:lineRule="auto"/>
        <w:rPr>
          <w:sz w:val="20"/>
          <w:szCs w:val="20"/>
          <w:color w:val="auto"/>
        </w:rPr>
      </w:pPr>
      <w:r>
        <w:rPr>
          <w:rFonts w:ascii="Times New Roman" w:cs="Times New Roman" w:eastAsia="Times New Roman" w:hAnsi="Times New Roman"/>
          <w:sz w:val="17"/>
          <w:szCs w:val="17"/>
          <w:color w:val="auto"/>
        </w:rPr>
        <w:t>From time to time, the Company may become involved in legal proceedings, including government investigations, that arise out of the ordinary conduct of the Company’s business, including matters involving intellectual property rights, commercial matters, merger-related matters, product liability, and other actions. Legal proceedings could result in substantial costs and diversion of management’s efforts and other resources, and could have an adverse effect on the Company’s operations and business reputation. The Company may be obligated to indemnify and defend its customers if the products or services that the Company sells are alleged to infringe any third party’s intellectual property rights. The</w:t>
      </w:r>
    </w:p>
    <w:p>
      <w:pPr>
        <w:sectPr>
          <w:pgSz w:w="11900" w:h="16838" w:orient="portrait"/>
          <w:cols w:equalWidth="0" w:num="1">
            <w:col w:w="9019"/>
          </w:cols>
          <w:pgMar w:left="1440" w:top="513" w:right="1440"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239"/>
        <w:spacing w:after="0" w:line="302" w:lineRule="auto"/>
        <w:rPr>
          <w:sz w:val="20"/>
          <w:szCs w:val="20"/>
          <w:color w:val="auto"/>
        </w:rPr>
      </w:pPr>
      <w:r>
        <w:rPr>
          <w:rFonts w:ascii="Times New Roman" w:cs="Times New Roman" w:eastAsia="Times New Roman" w:hAnsi="Times New Roman"/>
          <w:sz w:val="18"/>
          <w:szCs w:val="18"/>
          <w:color w:val="auto"/>
        </w:rPr>
        <w:t>Company may not be able to obtain supplier indemnification for itself and its customers against such claims, or such indemnification may not fully protect the Company and its customers against such claims. Also, the Company is exposed to potential liability for technology and products that it develops for which it has no indemnification protections. If an infringement claim against the Company is successful, the Company may be required to pay damages or seek royalty or license arrangements, which may not be available on commercially reasonable terms. The Company may have to stop selling certain products or services, which could affect its ability to compete effectively. In addition, the Company’s expanding business activities may include the assembly or manufacture of electronic component products and systems. Product defects, whether caused by a design, assembly, manufacture or component failure or error, or manufacturing processes not in compliance with applicable statutory and regulatory requirements, may result in product liability claims, product recalls, fines, and penalties. Product liability risks could be particularly significant with respect to aerospace, automotive, and medical applications because of the risk of serious harm to users of such products.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Regulatory non-compliance</w:t>
      </w:r>
    </w:p>
    <w:p>
      <w:pPr>
        <w:spacing w:after="0" w:line="162" w:lineRule="exact"/>
        <w:rPr>
          <w:sz w:val="20"/>
          <w:szCs w:val="20"/>
          <w:color w:val="auto"/>
        </w:rPr>
      </w:pPr>
    </w:p>
    <w:p>
      <w:pPr>
        <w:ind w:left="60" w:right="259" w:firstLine="427"/>
        <w:spacing w:after="0" w:line="309" w:lineRule="auto"/>
        <w:rPr>
          <w:sz w:val="20"/>
          <w:szCs w:val="20"/>
          <w:color w:val="auto"/>
        </w:rPr>
      </w:pPr>
      <w:r>
        <w:rPr>
          <w:rFonts w:ascii="Times New Roman" w:cs="Times New Roman" w:eastAsia="Times New Roman" w:hAnsi="Times New Roman"/>
          <w:sz w:val="18"/>
          <w:szCs w:val="18"/>
          <w:color w:val="auto"/>
        </w:rPr>
        <w:t>The Company is subject to laws and regulations addressing a variety of issues, including import and export regulations, environmental impacts and related disclosures, data privacy, workplace safety, and supply chain regulations. While the Company strives to fully comply with all applicable regulations, certain of these regulations are subject to differing interpretations and conflicts among various jurisdictions or may impose liability without fault. Additionally, the Company may be held responsible for the prior activities of an entity it acquired.</w:t>
      </w:r>
    </w:p>
    <w:p>
      <w:pPr>
        <w:spacing w:after="0" w:line="72" w:lineRule="exact"/>
        <w:rPr>
          <w:sz w:val="20"/>
          <w:szCs w:val="20"/>
          <w:color w:val="auto"/>
        </w:rPr>
      </w:pPr>
    </w:p>
    <w:p>
      <w:pPr>
        <w:ind w:left="60" w:right="79" w:firstLine="427"/>
        <w:spacing w:after="0" w:line="313" w:lineRule="auto"/>
        <w:rPr>
          <w:sz w:val="20"/>
          <w:szCs w:val="20"/>
          <w:color w:val="auto"/>
        </w:rPr>
      </w:pPr>
      <w:r>
        <w:rPr>
          <w:rFonts w:ascii="Times New Roman" w:cs="Times New Roman" w:eastAsia="Times New Roman" w:hAnsi="Times New Roman"/>
          <w:sz w:val="18"/>
          <w:szCs w:val="18"/>
          <w:color w:val="auto"/>
        </w:rPr>
        <w:t>Failure to comply with these regulations could result in substantial costs, fines, and civil or criminal sanctions, as well as third-party claims for property damage or personal injury. Future regulations may become more stringent over time, imposing greater compliance costs, and increasing risks, penalties and reputational harm associated with violations.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Negative impacts of economic or geopolitical uncertainty, or a health crisis, on operations and financial results</w:t>
      </w:r>
    </w:p>
    <w:p>
      <w:pPr>
        <w:spacing w:after="0" w:line="162" w:lineRule="exact"/>
        <w:rPr>
          <w:sz w:val="20"/>
          <w:szCs w:val="20"/>
          <w:color w:val="auto"/>
        </w:rPr>
      </w:pPr>
    </w:p>
    <w:p>
      <w:pPr>
        <w:ind w:left="60" w:right="99" w:firstLine="427"/>
        <w:spacing w:after="0" w:line="303" w:lineRule="auto"/>
        <w:rPr>
          <w:sz w:val="20"/>
          <w:szCs w:val="20"/>
          <w:color w:val="auto"/>
        </w:rPr>
      </w:pPr>
      <w:r>
        <w:rPr>
          <w:rFonts w:ascii="Times New Roman" w:cs="Times New Roman" w:eastAsia="Times New Roman" w:hAnsi="Times New Roman"/>
          <w:sz w:val="18"/>
          <w:szCs w:val="18"/>
          <w:color w:val="auto"/>
        </w:rPr>
        <w:t>Economic weakness and geopolitical uncertainty (including from military conflicts and international trade disputes), as well as health-related crises (including pandemics and epidemics), have resulted, and may result in the future, in a variety of adverse impacts on the Company and its customers and suppliers. Such adverse impacts include decreased sales, margins, and earnings; increased logistics costs; demand uncertainty; constrained workforce participation; global supply chain disruptions; and logistics and distribution system disruptions. Such crises and uncertainties could also result in, or heighten the risks of, customer bankruptcies, customer delayed or defaulted payments, delays in product deliveries, financial market disruption and volatility, and other risk factors described in the Company’s Annual Report. As a result, the Company may need to impair assets (including goodwill, intangible assets, and other long-lived assets), implement restructuring actions, and reduce expenses in response to decreased sales or margins.</w:t>
      </w:r>
    </w:p>
    <w:p>
      <w:pPr>
        <w:spacing w:after="0" w:line="78" w:lineRule="exact"/>
        <w:rPr>
          <w:sz w:val="20"/>
          <w:szCs w:val="20"/>
          <w:color w:val="auto"/>
        </w:rPr>
      </w:pPr>
    </w:p>
    <w:p>
      <w:pPr>
        <w:ind w:left="60" w:right="79" w:firstLine="427"/>
        <w:spacing w:after="0" w:line="302" w:lineRule="auto"/>
        <w:rPr>
          <w:sz w:val="20"/>
          <w:szCs w:val="20"/>
          <w:color w:val="auto"/>
        </w:rPr>
      </w:pPr>
      <w:r>
        <w:rPr>
          <w:rFonts w:ascii="Times New Roman" w:cs="Times New Roman" w:eastAsia="Times New Roman" w:hAnsi="Times New Roman"/>
          <w:sz w:val="18"/>
          <w:szCs w:val="18"/>
          <w:color w:val="auto"/>
        </w:rPr>
        <w:t>The Company may not be able to adequately adjust its cost structure in a timely fashion, which may adversely impact its profitability. Uncertainty about economic conditions may increase foreign currency volatility, which may negatively impact the Company’s results. Economic weakness and geopolitical uncertainty also make it more difficult for the Company to manage inventory levels (including when customers decrease orders, cancel existing orders, or are unable to fulfill their obligations under non-cancelable/ non-return orders) and collect customer receivables, which may result in provisions to create reserves, write-offs, reduced access to liquidity, higher financing costs, and increased pressure on cash flows.</w:t>
      </w:r>
    </w:p>
    <w:p>
      <w:pPr>
        <w:spacing w:after="0" w:line="80" w:lineRule="exact"/>
        <w:rPr>
          <w:sz w:val="20"/>
          <w:szCs w:val="20"/>
          <w:color w:val="auto"/>
        </w:rPr>
      </w:pPr>
    </w:p>
    <w:p>
      <w:pPr>
        <w:ind w:left="60" w:right="99" w:firstLine="427"/>
        <w:spacing w:after="0" w:line="329" w:lineRule="auto"/>
        <w:rPr>
          <w:sz w:val="20"/>
          <w:szCs w:val="20"/>
          <w:color w:val="auto"/>
        </w:rPr>
      </w:pPr>
      <w:r>
        <w:rPr>
          <w:rFonts w:ascii="Times New Roman" w:cs="Times New Roman" w:eastAsia="Times New Roman" w:hAnsi="Times New Roman"/>
          <w:sz w:val="18"/>
          <w:szCs w:val="18"/>
          <w:color w:val="auto"/>
        </w:rPr>
        <w:t>An increase in or prolonged period of inflation could affect the Company’s profitability and cash flows, due to higher wages, higher operating expenses, higher financing costs, and higher supplier prices. Inflation may also adversely</w:t>
      </w:r>
    </w:p>
    <w:p>
      <w:pPr>
        <w:sectPr>
          <w:pgSz w:w="11900" w:h="16838" w:orient="portrait"/>
          <w:cols w:equalWidth="0" w:num="1">
            <w:col w:w="9019"/>
          </w:cols>
          <w:pgMar w:left="1440" w:top="513" w:right="1440"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59"/>
        <w:spacing w:after="0" w:line="313" w:lineRule="auto"/>
        <w:rPr>
          <w:sz w:val="20"/>
          <w:szCs w:val="20"/>
          <w:color w:val="auto"/>
        </w:rPr>
      </w:pPr>
      <w:r>
        <w:rPr>
          <w:rFonts w:ascii="Times New Roman" w:cs="Times New Roman" w:eastAsia="Times New Roman" w:hAnsi="Times New Roman"/>
          <w:sz w:val="18"/>
          <w:szCs w:val="18"/>
          <w:color w:val="auto"/>
        </w:rPr>
        <w:t>affect foreign exchange rates. The Company may be unable to pass along such higher costs to its customers, which may result in lower gross profit margins. In addition, inflation may adversely affect customers’ financing costs, cash flows, and profitability, which could adversely impact their operations and the Company’s ability to offer credit and collect receivables.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62" w:lineRule="exact"/>
        <w:rPr>
          <w:sz w:val="20"/>
          <w:szCs w:val="20"/>
          <w:color w:val="auto"/>
        </w:rPr>
      </w:pPr>
    </w:p>
    <w:p>
      <w:pPr>
        <w:ind w:left="60" w:right="259" w:firstLine="427"/>
        <w:spacing w:after="0" w:line="302" w:lineRule="auto"/>
        <w:rPr>
          <w:sz w:val="20"/>
          <w:szCs w:val="20"/>
          <w:color w:val="auto"/>
        </w:rPr>
      </w:pPr>
      <w:r>
        <w:rPr>
          <w:rFonts w:ascii="Times New Roman" w:cs="Times New Roman" w:eastAsia="Times New Roman" w:hAnsi="Times New Roman"/>
          <w:sz w:val="18"/>
          <w:szCs w:val="18"/>
          <w:color w:val="auto"/>
        </w:rPr>
        <w:t>The market for the Company’s products and services is very competitive and subject to technological advances (including artificial intelligence), new competitors, non-traditional competitors, and changes in industry standards. The Company competes with other global and regional distributors, as well as some of the Company’s own suppliers that maintain direct sales efforts. In addition, as the Company expands its offerings and geographies, the Company may encounter increased competition from current or new competitors. The Company’s failure to maintain and enhance its competitive position could adversely affect its business and prospects. Furthermore, the Company’s efforts to compete in the marketplace could cause deterioration of gross profit margins and, thus, overall profitability.</w:t>
      </w:r>
    </w:p>
    <w:p>
      <w:pPr>
        <w:spacing w:after="0" w:line="80" w:lineRule="exact"/>
        <w:rPr>
          <w:sz w:val="20"/>
          <w:szCs w:val="20"/>
          <w:color w:val="auto"/>
        </w:rPr>
      </w:pPr>
    </w:p>
    <w:p>
      <w:pPr>
        <w:ind w:left="60" w:right="119" w:firstLine="427"/>
        <w:spacing w:after="0" w:line="307" w:lineRule="auto"/>
        <w:rPr>
          <w:sz w:val="20"/>
          <w:szCs w:val="20"/>
          <w:color w:val="auto"/>
        </w:rPr>
      </w:pPr>
      <w:r>
        <w:rPr>
          <w:rFonts w:ascii="Times New Roman" w:cs="Times New Roman" w:eastAsia="Times New Roman" w:hAnsi="Times New Roman"/>
          <w:sz w:val="18"/>
          <w:szCs w:val="18"/>
          <w:color w:val="auto"/>
        </w:rPr>
        <w:t>The size of the Company’s competitors varies across market sectors, as do the resources the Company has allocated to the sectors and geographic areas in which it does business. Therefore, some competitors may have greater resources or a more extensive customer or supplier base in some market sectors and geographic areas. As a result, the Company may not be able to effectively compete in certain markets, which could impact the Company’s profitability and prospects.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retention and hiring constraints</w:t>
      </w:r>
    </w:p>
    <w:p>
      <w:pPr>
        <w:spacing w:after="0" w:line="162" w:lineRule="exact"/>
        <w:rPr>
          <w:sz w:val="20"/>
          <w:szCs w:val="20"/>
          <w:color w:val="auto"/>
        </w:rPr>
      </w:pPr>
    </w:p>
    <w:p>
      <w:pPr>
        <w:ind w:left="60" w:right="79" w:firstLine="427"/>
        <w:spacing w:after="0" w:line="300" w:lineRule="auto"/>
        <w:rPr>
          <w:sz w:val="20"/>
          <w:szCs w:val="20"/>
          <w:color w:val="auto"/>
        </w:rPr>
      </w:pPr>
      <w:r>
        <w:rPr>
          <w:rFonts w:ascii="Times New Roman" w:cs="Times New Roman" w:eastAsia="Times New Roman" w:hAnsi="Times New Roman"/>
          <w:sz w:val="18"/>
          <w:szCs w:val="18"/>
          <w:color w:val="auto"/>
        </w:rPr>
        <w:t>Identifying, hiring, training, developing, and retaining qualified and engaged employees is critical to the Company’s success, and competition for experienced employees in the Company’s industry can be intense. Restrictions on immigration or changes in immigration laws, including visa restrictions, may limit the Company’s acquisition of key talent, including talent with diverse experience and perspectives. Changing demographics and labor work force trends may result in a loss of knowledge and skills as experienced workers leave the Company. As global opportunities and industry demands shift, and as technology (including artificial intelligence) impacts how work is performed, the Company may encounter challenges in realigning, training, and hiring skilled personnel. Through organizational design activities, the Company periodically eliminates positions due to restructurings or other reasons, which may risk the Company’s brand reputation as an employer of choice and negatively impact the Company’s ability to hire and retain qualified personnel. Also, position eliminations may negatively impact the morale of employees who are not terminated, which could result in work stoppages or slowdowns, particularly where employees are represented by unions or works councils. If these circumstances occur, the Company’s business, financial condition, and results of operations could be seriously harmed.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left="60" w:right="179" w:firstLine="427"/>
        <w:spacing w:after="0" w:line="305" w:lineRule="auto"/>
        <w:rPr>
          <w:sz w:val="20"/>
          <w:szCs w:val="20"/>
          <w:color w:val="auto"/>
        </w:rPr>
      </w:pPr>
      <w:r>
        <w:rPr>
          <w:rFonts w:ascii="Times New Roman" w:cs="Times New Roman" w:eastAsia="Times New Roman" w:hAnsi="Times New Roman"/>
          <w:sz w:val="18"/>
          <w:szCs w:val="18"/>
          <w:color w:val="auto"/>
        </w:rPr>
        <w:t>The Company recognizes the importance of assessing, identifying, and managing material risks associated with cybersecurity threats, as defined in Item 106(a) of Regulation S-K. These risks include operational risks; intellectual property theft; fraud; extortion; harm to employees or customers; legal risks, including violations of privacy or data protection laws; and reputational risks. The Company has implemented several cybersecurity processes, technologies, and controls to aid in its efforts.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Company’s Global Cybersecurity &amp; Compliance (GC&amp;C) team maintains a comprehensive cybersecurity</w:t>
      </w:r>
    </w:p>
    <w:p>
      <w:pPr>
        <w:spacing w:after="0" w:line="63" w:lineRule="exact"/>
        <w:rPr>
          <w:sz w:val="20"/>
          <w:szCs w:val="20"/>
          <w:color w:val="auto"/>
        </w:rPr>
      </w:pPr>
    </w:p>
    <w:p>
      <w:pPr>
        <w:ind w:left="60" w:right="99"/>
        <w:spacing w:after="0" w:line="303" w:lineRule="auto"/>
        <w:rPr>
          <w:sz w:val="20"/>
          <w:szCs w:val="20"/>
          <w:color w:val="auto"/>
        </w:rPr>
      </w:pPr>
      <w:r>
        <w:rPr>
          <w:rFonts w:ascii="Times New Roman" w:cs="Times New Roman" w:eastAsia="Times New Roman" w:hAnsi="Times New Roman"/>
          <w:sz w:val="18"/>
          <w:szCs w:val="18"/>
          <w:color w:val="auto"/>
        </w:rPr>
        <w:t>program that includes policies, procedures, and standards to govern the safe processing, storage, and transmission of data. GC&amp;C team members have extensive knowledge and experience regarding cybersecurity and the Company’s information technology systems. The GC&amp;C team leader reports directly to the Company’s Chief Information Officer. The cybersecurity program was developed using practices anchored on the National Institute of Standards and Technology (NIST) Cyber Security Framework (CSF) and seeks to align to the additional cybersecurity measures of NIST 800-171 and ISO27001. Cybersecurity controls are governed by Avnet’s Global Information Security Policy (GISP).</w:t>
      </w:r>
    </w:p>
    <w:p>
      <w:pPr>
        <w:spacing w:after="0" w:line="147" w:lineRule="exact"/>
        <w:rPr>
          <w:sz w:val="20"/>
          <w:szCs w:val="20"/>
          <w:color w:val="auto"/>
        </w:rPr>
      </w:pPr>
    </w:p>
    <w:p>
      <w:pPr>
        <w:ind w:left="60" w:right="99" w:firstLine="427"/>
        <w:spacing w:after="0" w:line="338" w:lineRule="auto"/>
        <w:rPr>
          <w:sz w:val="20"/>
          <w:szCs w:val="20"/>
          <w:color w:val="auto"/>
        </w:rPr>
      </w:pPr>
      <w:r>
        <w:rPr>
          <w:rFonts w:ascii="Times New Roman" w:cs="Times New Roman" w:eastAsia="Times New Roman" w:hAnsi="Times New Roman"/>
          <w:sz w:val="17"/>
          <w:szCs w:val="17"/>
          <w:color w:val="auto"/>
        </w:rPr>
        <w:t>The Company has processes for overseeing and identifying cybersecurity threats, vulnerabilities, and controls associated with third-party service providers, including evaluating providers’ (i) cybersecurity ratings, (ii) public disclosures related to cybersecurity, (iii) cybersecurity questionnaire responses, and (iv) cybersecurity and IT certifications.</w:t>
      </w:r>
    </w:p>
    <w:p>
      <w:pPr>
        <w:spacing w:after="0" w:line="133" w:lineRule="exact"/>
        <w:rPr>
          <w:sz w:val="20"/>
          <w:szCs w:val="20"/>
          <w:color w:val="auto"/>
        </w:rPr>
      </w:pPr>
    </w:p>
    <w:p>
      <w:pPr>
        <w:ind w:left="60" w:right="59" w:firstLine="427"/>
        <w:spacing w:after="0" w:line="307" w:lineRule="auto"/>
        <w:rPr>
          <w:sz w:val="20"/>
          <w:szCs w:val="20"/>
          <w:color w:val="auto"/>
        </w:rPr>
      </w:pPr>
      <w:r>
        <w:rPr>
          <w:rFonts w:ascii="Times New Roman" w:cs="Times New Roman" w:eastAsia="Times New Roman" w:hAnsi="Times New Roman"/>
          <w:sz w:val="18"/>
          <w:szCs w:val="18"/>
          <w:color w:val="auto"/>
        </w:rPr>
        <w:t>The Company provides quarterly updates to, and receives oversight from, the Technology and Risk Committee on the Company’s cybersecurity program, cybersecurity incidents, and the cybersecurity threat landscape. Responsible members of management provide updates to the Company’s senior executive team regarding all cybersecurity incidents, the cybersecurity program, and the threat landscape.</w:t>
      </w:r>
    </w:p>
    <w:p>
      <w:pPr>
        <w:spacing w:after="0" w:line="142" w:lineRule="exact"/>
        <w:rPr>
          <w:sz w:val="20"/>
          <w:szCs w:val="20"/>
          <w:color w:val="auto"/>
        </w:rPr>
      </w:pPr>
    </w:p>
    <w:p>
      <w:pPr>
        <w:ind w:left="60" w:right="419" w:firstLine="427"/>
        <w:spacing w:after="0" w:line="307" w:lineRule="auto"/>
        <w:rPr>
          <w:sz w:val="20"/>
          <w:szCs w:val="20"/>
          <w:color w:val="auto"/>
        </w:rPr>
      </w:pPr>
      <w:r>
        <w:rPr>
          <w:rFonts w:ascii="Times New Roman" w:cs="Times New Roman" w:eastAsia="Times New Roman" w:hAnsi="Times New Roman"/>
          <w:sz w:val="18"/>
          <w:szCs w:val="18"/>
          <w:color w:val="auto"/>
        </w:rPr>
        <w:t>The Company’s enterprise risk management program (ERM) considers cybersecurity risks (including likelihood, potential severity, and mitigation) alongside other enterprise-wide risks as part of its overall ERM process. The GC&amp;C team administers an IT risk management program that identifies and assesses cybersecurity risks. Its assessments are shared with the Company’s enterprise risk management council (ERM Council).</w:t>
      </w:r>
    </w:p>
    <w:p>
      <w:pPr>
        <w:spacing w:after="0" w:line="156" w:lineRule="exact"/>
        <w:rPr>
          <w:sz w:val="20"/>
          <w:szCs w:val="20"/>
          <w:color w:val="auto"/>
        </w:rPr>
      </w:pPr>
    </w:p>
    <w:p>
      <w:pPr>
        <w:ind w:left="60" w:right="99" w:firstLine="427"/>
        <w:spacing w:after="0" w:line="305" w:lineRule="auto"/>
        <w:rPr>
          <w:sz w:val="20"/>
          <w:szCs w:val="20"/>
          <w:color w:val="auto"/>
        </w:rPr>
      </w:pPr>
      <w:r>
        <w:rPr>
          <w:rFonts w:ascii="Times New Roman" w:cs="Times New Roman" w:eastAsia="Times New Roman" w:hAnsi="Times New Roman"/>
          <w:sz w:val="18"/>
          <w:szCs w:val="18"/>
          <w:color w:val="auto"/>
        </w:rPr>
        <w:t>The GC&amp;C team applies an incident response procedure. Among other things, the team appropriately escalates some incidents in real-time, depending on the incident’s potential impact and scope. Further, the GC&amp;C team regularly collaborates with other departments—such as legal, corporate security, and human resources—when assessing, identifying, and managing cybersecurity incidents. The Company also retains external cybersecurity response consultants to assist internal resources as needed.</w:t>
      </w:r>
    </w:p>
    <w:p>
      <w:pPr>
        <w:spacing w:after="0" w:line="143" w:lineRule="exact"/>
        <w:rPr>
          <w:sz w:val="20"/>
          <w:szCs w:val="20"/>
          <w:color w:val="auto"/>
        </w:rPr>
      </w:pPr>
    </w:p>
    <w:p>
      <w:pPr>
        <w:ind w:left="60" w:right="199" w:firstLine="427"/>
        <w:spacing w:after="0" w:line="313" w:lineRule="auto"/>
        <w:rPr>
          <w:sz w:val="20"/>
          <w:szCs w:val="20"/>
          <w:color w:val="auto"/>
        </w:rPr>
      </w:pPr>
      <w:r>
        <w:rPr>
          <w:rFonts w:ascii="Times New Roman" w:cs="Times New Roman" w:eastAsia="Times New Roman" w:hAnsi="Times New Roman"/>
          <w:sz w:val="18"/>
          <w:szCs w:val="18"/>
          <w:color w:val="auto"/>
        </w:rPr>
        <w:t>The Company regularly tests the effectiveness of its security program through internal audit and external assessments. The Company makes investments for continual improvements in risk and vulnerability mitigation, including ongoing monitoring, network and system updates, and employee cybersecurity awareness training.</w:t>
      </w:r>
    </w:p>
    <w:p>
      <w:pPr>
        <w:spacing w:after="0" w:line="1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cybersecurity assessments and auditing include:</w:t>
      </w:r>
    </w:p>
    <w:p>
      <w:pPr>
        <w:spacing w:after="0" w:line="131" w:lineRule="exact"/>
        <w:rPr>
          <w:sz w:val="20"/>
          <w:szCs w:val="20"/>
          <w:color w:val="auto"/>
        </w:rPr>
      </w:pPr>
    </w:p>
    <w:p>
      <w:pPr>
        <w:ind w:left="700" w:hanging="222"/>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penetration tests conducted by external consultants;</w:t>
      </w:r>
    </w:p>
    <w:p>
      <w:pPr>
        <w:spacing w:after="0" w:line="117" w:lineRule="exact"/>
        <w:rPr>
          <w:rFonts w:ascii="Times New Roman" w:cs="Times New Roman" w:eastAsia="Times New Roman" w:hAnsi="Times New Roman"/>
          <w:sz w:val="18"/>
          <w:szCs w:val="18"/>
          <w:color w:val="auto"/>
        </w:rPr>
      </w:pPr>
    </w:p>
    <w:p>
      <w:pPr>
        <w:ind w:left="700" w:hanging="222"/>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maturity assessments conducted by external consultants;</w:t>
      </w:r>
    </w:p>
    <w:p>
      <w:pPr>
        <w:spacing w:after="0" w:line="117" w:lineRule="exact"/>
        <w:rPr>
          <w:rFonts w:ascii="Times New Roman" w:cs="Times New Roman" w:eastAsia="Times New Roman" w:hAnsi="Times New Roman"/>
          <w:sz w:val="18"/>
          <w:szCs w:val="18"/>
          <w:color w:val="auto"/>
        </w:rPr>
      </w:pPr>
    </w:p>
    <w:p>
      <w:pPr>
        <w:ind w:left="700" w:hanging="222"/>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self-assessments of internal cybersecurity capabilities; and</w:t>
      </w:r>
    </w:p>
    <w:p>
      <w:pPr>
        <w:spacing w:after="0" w:line="117" w:lineRule="exact"/>
        <w:rPr>
          <w:rFonts w:ascii="Times New Roman" w:cs="Times New Roman" w:eastAsia="Times New Roman" w:hAnsi="Times New Roman"/>
          <w:sz w:val="18"/>
          <w:szCs w:val="18"/>
          <w:color w:val="auto"/>
        </w:rPr>
      </w:pPr>
    </w:p>
    <w:p>
      <w:pPr>
        <w:ind w:left="700" w:hanging="222"/>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internal audits of cybersecurity systems and practices.</w:t>
      </w:r>
    </w:p>
    <w:p>
      <w:pPr>
        <w:spacing w:after="0" w:line="2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employee communication and training program includes:</w:t>
      </w:r>
    </w:p>
    <w:p>
      <w:pPr>
        <w:spacing w:after="0" w:line="131" w:lineRule="exact"/>
        <w:rPr>
          <w:sz w:val="20"/>
          <w:szCs w:val="20"/>
          <w:color w:val="auto"/>
        </w:rPr>
      </w:pPr>
    </w:p>
    <w:p>
      <w:pPr>
        <w:ind w:left="700" w:hanging="222"/>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tabletop exercises performed with its executive team;</w:t>
      </w:r>
    </w:p>
    <w:p>
      <w:pPr>
        <w:spacing w:after="0" w:line="117" w:lineRule="exact"/>
        <w:rPr>
          <w:rFonts w:ascii="Times New Roman" w:cs="Times New Roman" w:eastAsia="Times New Roman" w:hAnsi="Times New Roman"/>
          <w:sz w:val="18"/>
          <w:szCs w:val="18"/>
          <w:color w:val="auto"/>
        </w:rPr>
      </w:pPr>
    </w:p>
    <w:p>
      <w:pPr>
        <w:ind w:left="700" w:hanging="222"/>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tabletop exercises with its cybersecurity incident response team;</w:t>
      </w:r>
    </w:p>
    <w:p>
      <w:pPr>
        <w:spacing w:after="0" w:line="117" w:lineRule="exact"/>
        <w:rPr>
          <w:rFonts w:ascii="Times New Roman" w:cs="Times New Roman" w:eastAsia="Times New Roman" w:hAnsi="Times New Roman"/>
          <w:sz w:val="18"/>
          <w:szCs w:val="18"/>
          <w:color w:val="auto"/>
        </w:rPr>
      </w:pPr>
    </w:p>
    <w:p>
      <w:pPr>
        <w:ind w:left="700" w:hanging="222"/>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distributing the Global Information Security Policy (GISP) to all employees;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519" w:hanging="231"/>
        <w:spacing w:after="0" w:line="282"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hire and biennial computer-based training on data privacy and cybersecurity for all employees, with in-person training for high-risk positions;</w:t>
      </w:r>
    </w:p>
    <w:p>
      <w:pPr>
        <w:spacing w:after="0" w:line="53" w:lineRule="exact"/>
        <w:rPr>
          <w:rFonts w:ascii="Times New Roman" w:cs="Times New Roman" w:eastAsia="Times New Roman" w:hAnsi="Times New Roman"/>
          <w:sz w:val="18"/>
          <w:szCs w:val="18"/>
          <w:color w:val="auto"/>
        </w:rPr>
      </w:pPr>
    </w:p>
    <w:p>
      <w:pPr>
        <w:ind w:left="700" w:hanging="222"/>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videos available to employees and updated quarterly;</w:t>
      </w:r>
    </w:p>
    <w:p>
      <w:pPr>
        <w:spacing w:after="0" w:line="117" w:lineRule="exact"/>
        <w:rPr>
          <w:rFonts w:ascii="Times New Roman" w:cs="Times New Roman" w:eastAsia="Times New Roman" w:hAnsi="Times New Roman"/>
          <w:sz w:val="18"/>
          <w:szCs w:val="18"/>
          <w:color w:val="auto"/>
        </w:rPr>
      </w:pPr>
    </w:p>
    <w:p>
      <w:pPr>
        <w:ind w:left="700" w:hanging="222"/>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Phishing simulations conducted with employees monthly; and</w:t>
      </w:r>
    </w:p>
    <w:p>
      <w:pPr>
        <w:spacing w:after="0" w:line="117" w:lineRule="exact"/>
        <w:rPr>
          <w:rFonts w:ascii="Times New Roman" w:cs="Times New Roman" w:eastAsia="Times New Roman" w:hAnsi="Times New Roman"/>
          <w:sz w:val="18"/>
          <w:szCs w:val="18"/>
          <w:color w:val="auto"/>
        </w:rPr>
      </w:pPr>
    </w:p>
    <w:p>
      <w:pPr>
        <w:ind w:left="700" w:hanging="222"/>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Newsletters distributed to all employees on relevant cybersecurity threats.</w:t>
      </w:r>
    </w:p>
    <w:p>
      <w:pPr>
        <w:spacing w:after="0" w:line="225" w:lineRule="exact"/>
        <w:rPr>
          <w:sz w:val="20"/>
          <w:szCs w:val="20"/>
          <w:color w:val="auto"/>
        </w:rPr>
      </w:pPr>
    </w:p>
    <w:p>
      <w:pPr>
        <w:ind w:left="60" w:right="299" w:firstLine="427"/>
        <w:spacing w:after="0" w:line="313" w:lineRule="auto"/>
        <w:rPr>
          <w:sz w:val="20"/>
          <w:szCs w:val="20"/>
          <w:color w:val="auto"/>
        </w:rPr>
      </w:pPr>
      <w:r>
        <w:rPr>
          <w:rFonts w:ascii="Times New Roman" w:cs="Times New Roman" w:eastAsia="Times New Roman" w:hAnsi="Times New Roman"/>
          <w:sz w:val="18"/>
          <w:szCs w:val="18"/>
          <w:color w:val="auto"/>
        </w:rPr>
        <w:t>Please refer to Item 1.A, Risk Factors (Data security and privacy threats) for a discussion of whether cybersecurity threats have or will materially affect the Company, as well as the potential impact on the Company’s operations and financial condition.</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60" w:right="199" w:firstLine="427"/>
        <w:spacing w:after="0" w:line="309" w:lineRule="auto"/>
        <w:rPr>
          <w:sz w:val="20"/>
          <w:szCs w:val="20"/>
          <w:color w:val="auto"/>
        </w:rPr>
      </w:pPr>
      <w:r>
        <w:rPr>
          <w:rFonts w:ascii="Times New Roman" w:cs="Times New Roman" w:eastAsia="Times New Roman" w:hAnsi="Times New Roman"/>
          <w:sz w:val="18"/>
          <w:szCs w:val="18"/>
          <w:color w:val="auto"/>
        </w:rPr>
        <w:t>The Company’s Corporate and EC Americas headquarters are in Phoenix, Arizona. The Company owns and leases approximately 2.1 million and 3.7 million square feet of space, respectively, of which approximately 26% is in the United States. The facilities consist of warehousing, integration and value-added operations. The Company believes that the facilities are well maintained and adequate for current and future operating needs. The following table summarizes the square footage of the Company’s facilities by region as of June 28, 2025 (in millions):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2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6640" w:type="dxa"/>
            <w:vAlign w:val="bottom"/>
          </w:tcPr>
          <w:p>
            <w:pPr>
              <w:spacing w:after="0"/>
              <w:rPr>
                <w:sz w:val="18"/>
                <w:szCs w:val="18"/>
                <w:color w:val="auto"/>
              </w:rPr>
            </w:pPr>
          </w:p>
        </w:tc>
        <w:tc>
          <w:tcPr>
            <w:tcW w:w="2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Square</w:t>
            </w:r>
          </w:p>
        </w:tc>
      </w:tr>
      <w:tr>
        <w:trPr>
          <w:trHeight w:val="245"/>
        </w:trPr>
        <w:tc>
          <w:tcPr>
            <w:tcW w:w="6640" w:type="dxa"/>
            <w:vAlign w:val="bottom"/>
          </w:tcPr>
          <w:p>
            <w:pPr>
              <w:spacing w:after="0"/>
              <w:rPr>
                <w:sz w:val="21"/>
                <w:szCs w:val="21"/>
                <w:color w:val="auto"/>
              </w:rPr>
            </w:pPr>
          </w:p>
        </w:tc>
        <w:tc>
          <w:tcPr>
            <w:tcW w:w="2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Footage</w:t>
            </w:r>
          </w:p>
        </w:tc>
      </w:tr>
      <w:tr>
        <w:trPr>
          <w:trHeight w:val="216"/>
        </w:trPr>
        <w:tc>
          <w:tcPr>
            <w:tcW w:w="66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EMEA</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shd w:val="clear" w:color="auto" w:fill="CCEEFF"/>
          </w:tcPr>
          <w:p>
            <w:pPr>
              <w:spacing w:after="0"/>
              <w:rPr>
                <w:sz w:val="18"/>
                <w:szCs w:val="18"/>
                <w:color w:val="auto"/>
              </w:rPr>
            </w:pPr>
          </w:p>
        </w:tc>
      </w:tr>
      <w:tr>
        <w:trPr>
          <w:trHeight w:val="210"/>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79" w:firstLine="427"/>
        <w:spacing w:after="0" w:line="312" w:lineRule="auto"/>
        <w:rPr>
          <w:sz w:val="20"/>
          <w:szCs w:val="20"/>
          <w:color w:val="auto"/>
        </w:rPr>
      </w:pPr>
      <w:r>
        <w:rPr>
          <w:rFonts w:ascii="Times New Roman" w:cs="Times New Roman" w:eastAsia="Times New Roman" w:hAnsi="Times New Roman"/>
          <w:sz w:val="17"/>
          <w:szCs w:val="17"/>
          <w:color w:val="auto"/>
        </w:rPr>
        <w:t>See Note 5, “Property, plant and equipment, net” and Note 11, “Leases” to the Company’s consolidated financial statements included in Item 8 of this Annual Report on Form 10-K for additional information on the Company’s properties.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43" w:lineRule="exact"/>
        <w:rPr>
          <w:sz w:val="20"/>
          <w:szCs w:val="20"/>
          <w:color w:val="auto"/>
        </w:rPr>
      </w:pPr>
    </w:p>
    <w:p>
      <w:pPr>
        <w:ind w:left="60" w:right="239" w:firstLine="427"/>
        <w:spacing w:after="0" w:line="303" w:lineRule="auto"/>
        <w:rPr>
          <w:sz w:val="20"/>
          <w:szCs w:val="20"/>
          <w:color w:val="auto"/>
        </w:rPr>
      </w:pPr>
      <w:r>
        <w:rPr>
          <w:rFonts w:ascii="Times New Roman" w:cs="Times New Roman" w:eastAsia="Times New Roman" w:hAnsi="Times New Roman"/>
          <w:sz w:val="18"/>
          <w:szCs w:val="18"/>
          <w:color w:val="auto"/>
        </w:rPr>
        <w:t>Pursuant to SEC regulations, including but not limited to Item 103 of Regulation S-K, the Company regularly assesses the status of and developments in pending environmental and other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legal proceedings.</w:t>
      </w:r>
    </w:p>
    <w:p>
      <w:pPr>
        <w:spacing w:after="0" w:line="147" w:lineRule="exact"/>
        <w:rPr>
          <w:sz w:val="20"/>
          <w:szCs w:val="20"/>
          <w:color w:val="auto"/>
        </w:rPr>
      </w:pPr>
    </w:p>
    <w:p>
      <w:pPr>
        <w:jc w:val="both"/>
        <w:ind w:left="60" w:right="299" w:firstLine="427"/>
        <w:spacing w:after="0" w:line="330" w:lineRule="auto"/>
        <w:rPr>
          <w:sz w:val="20"/>
          <w:szCs w:val="20"/>
          <w:color w:val="auto"/>
        </w:rPr>
      </w:pPr>
      <w:r>
        <w:rPr>
          <w:rFonts w:ascii="Times New Roman" w:cs="Times New Roman" w:eastAsia="Times New Roman" w:hAnsi="Times New Roman"/>
          <w:sz w:val="17"/>
          <w:szCs w:val="17"/>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9" w:lineRule="exact"/>
        <w:rPr>
          <w:sz w:val="20"/>
          <w:szCs w:val="20"/>
          <w:color w:val="auto"/>
        </w:rPr>
      </w:pPr>
    </w:p>
    <w:p>
      <w:pPr>
        <w:ind w:left="60" w:right="499"/>
        <w:spacing w:after="0" w:line="33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common stock is listed on the Nasdaq Global Select Market under the symbol AVT.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60" w:right="139" w:firstLine="427"/>
        <w:spacing w:after="0" w:line="313" w:lineRule="auto"/>
        <w:rPr>
          <w:sz w:val="20"/>
          <w:szCs w:val="20"/>
          <w:color w:val="auto"/>
        </w:rPr>
      </w:pPr>
      <w:r>
        <w:rPr>
          <w:rFonts w:ascii="Times New Roman" w:cs="Times New Roman" w:eastAsia="Times New Roman" w:hAnsi="Times New Roman"/>
          <w:sz w:val="18"/>
          <w:szCs w:val="18"/>
          <w:color w:val="auto"/>
        </w:rPr>
        <w:t>The declaration and payment of future dividends will be at the discretion of the Board of Directors and will be dependent upon the Company’s financial condition, results of operations, capital requirements, and other factors the Board of Directors considers relevant. In addition, certain of the Company’s debt facilities may restrict the declaration and payment of dividends, depending upon the Company’s then current compliance with certain covenants.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Record Holders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August 7, 2025, there were 1,245 registered holders of record of Avnet’s common stock.</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Performance Graphs and Cumulative Total Returns</w:t>
      </w:r>
    </w:p>
    <w:p>
      <w:pPr>
        <w:spacing w:after="0" w:line="229" w:lineRule="exact"/>
        <w:rPr>
          <w:sz w:val="20"/>
          <w:szCs w:val="20"/>
          <w:color w:val="auto"/>
        </w:rPr>
      </w:pPr>
    </w:p>
    <w:p>
      <w:pPr>
        <w:ind w:left="60" w:right="99" w:firstLine="427"/>
        <w:spacing w:after="0" w:line="305" w:lineRule="auto"/>
        <w:rPr>
          <w:sz w:val="20"/>
          <w:szCs w:val="20"/>
          <w:color w:val="auto"/>
        </w:rPr>
      </w:pPr>
      <w:r>
        <w:rPr>
          <w:rFonts w:ascii="Times New Roman" w:cs="Times New Roman" w:eastAsia="Times New Roman" w:hAnsi="Times New Roman"/>
          <w:sz w:val="18"/>
          <w:szCs w:val="18"/>
          <w:color w:val="auto"/>
        </w:rPr>
        <w:t>The graph below matches the cumulative 5-year total return of holders of Avnet’s common stock with (i) the cumulative total returns of the Nasdaq Composite Index and (ii) a customized peer group of five companies (Agilysys Inc., Arrow Electronics Inc., Insight Enterprises Inc., Scansource Inc., and TD Synnex Corporation). The graph assumes that the value of the investment in Avnet’s common stock, in each index, and in the peer group (including reinvestment of dividends) was $100 on 6/27/2020 and tracks it through 6/28/2025.</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694690</wp:posOffset>
            </wp:positionV>
            <wp:extent cx="5520690" cy="41230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20690" cy="412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340" w:type="dxa"/>
            <w:vAlign w:val="bottom"/>
          </w:tcPr>
          <w:p>
            <w:pPr>
              <w:spacing w:after="0"/>
              <w:rPr>
                <w:sz w:val="20"/>
                <w:szCs w:val="20"/>
                <w:color w:val="auto"/>
              </w:rPr>
            </w:pPr>
          </w:p>
        </w:tc>
        <w:tc>
          <w:tcPr>
            <w:tcW w:w="18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6/27/2020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7/3/2021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7/2/2022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7/1/2023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6/29/2024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6/28/2025</w:t>
            </w:r>
          </w:p>
        </w:tc>
        <w:tc>
          <w:tcPr>
            <w:tcW w:w="60" w:type="dxa"/>
            <w:vAlign w:val="bottom"/>
          </w:tcPr>
          <w:p>
            <w:pPr>
              <w:spacing w:after="0"/>
              <w:rPr>
                <w:sz w:val="20"/>
                <w:szCs w:val="20"/>
                <w:color w:val="auto"/>
              </w:rPr>
            </w:pPr>
          </w:p>
        </w:tc>
      </w:tr>
      <w:tr>
        <w:trPr>
          <w:trHeight w:val="216"/>
        </w:trPr>
        <w:tc>
          <w:tcPr>
            <w:tcW w:w="2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Avnet, Inc.</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157.60</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170.52</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209.03</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218.81</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229.61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Nasdaq Composite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151.15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187.46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215.81</w:t>
            </w:r>
          </w:p>
        </w:tc>
        <w:tc>
          <w:tcPr>
            <w:tcW w:w="60" w:type="dxa"/>
            <w:vAlign w:val="bottom"/>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Peer Group</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256.14</w:t>
            </w:r>
          </w:p>
        </w:tc>
        <w:tc>
          <w:tcPr>
            <w:tcW w:w="60" w:type="dxa"/>
            <w:vAlign w:val="bottom"/>
            <w:shd w:val="clear" w:color="auto" w:fill="CCEEFF"/>
          </w:tcPr>
          <w:p>
            <w:pPr>
              <w:spacing w:after="0"/>
              <w:rPr>
                <w:sz w:val="18"/>
                <w:szCs w:val="18"/>
                <w:color w:val="auto"/>
              </w:rPr>
            </w:pPr>
          </w:p>
        </w:tc>
      </w:tr>
    </w:tbl>
    <w:p>
      <w:pPr>
        <w:spacing w:after="0" w:line="23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The stock price performance included in this graph is not necessarily indicative of future stock price performance</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3" w:lineRule="exact"/>
        <w:rPr>
          <w:sz w:val="20"/>
          <w:szCs w:val="20"/>
          <w:color w:val="auto"/>
        </w:rPr>
      </w:pPr>
    </w:p>
    <w:p>
      <w:pPr>
        <w:ind w:left="60" w:right="179" w:firstLine="427"/>
        <w:spacing w:after="0" w:line="307" w:lineRule="auto"/>
        <w:rPr>
          <w:sz w:val="20"/>
          <w:szCs w:val="20"/>
          <w:color w:val="auto"/>
        </w:rPr>
      </w:pPr>
      <w:r>
        <w:rPr>
          <w:rFonts w:ascii="Times New Roman" w:cs="Times New Roman" w:eastAsia="Times New Roman" w:hAnsi="Times New Roman"/>
          <w:sz w:val="18"/>
          <w:szCs w:val="18"/>
          <w:color w:val="auto"/>
        </w:rPr>
        <w:t>The Company’s Board of Directors approved the repurchase plan of up to an aggregate of $600 million of common stock, including the increase approved in August 2024. The following table includes the Company’s monthly purchases of the Company’s common stock, excluding excise tax, during the fourth quarter of fiscal 2025, under the share repurchase program, which is part of publicly announced plans.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8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Value of Shares That</w:t>
            </w: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18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Purchased under the</w:t>
            </w:r>
          </w:p>
        </w:tc>
      </w:tr>
      <w:tr>
        <w:trPr>
          <w:trHeight w:val="24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0" w:type="dxa"/>
            <w:vAlign w:val="bottom"/>
          </w:tcPr>
          <w:p>
            <w:pPr>
              <w:spacing w:after="0"/>
              <w:rPr>
                <w:sz w:val="21"/>
                <w:szCs w:val="21"/>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Plans or Programs</w:t>
            </w:r>
          </w:p>
        </w:tc>
      </w:tr>
      <w:tr>
        <w:trPr>
          <w:trHeight w:val="216"/>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30 – April 26</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1,059,729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1,059,729</w:t>
            </w:r>
          </w:p>
        </w:tc>
        <w:tc>
          <w:tcPr>
            <w:tcW w:w="1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365,394,000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27 – May 24</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365,394,000</w:t>
            </w:r>
          </w:p>
        </w:tc>
        <w:tc>
          <w:tcPr>
            <w:tcW w:w="60" w:type="dxa"/>
            <w:vAlign w:val="bottom"/>
          </w:tcPr>
          <w:p>
            <w:pPr>
              <w:spacing w:after="0"/>
              <w:rPr>
                <w:sz w:val="18"/>
                <w:szCs w:val="18"/>
                <w:color w:val="auto"/>
              </w:rPr>
            </w:pPr>
          </w:p>
        </w:tc>
      </w:tr>
      <w:tr>
        <w:trPr>
          <w:trHeight w:val="216"/>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25 – June 28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25,686</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364,120,000</w:t>
            </w:r>
          </w:p>
        </w:tc>
        <w:tc>
          <w:tcPr>
            <w:tcW w:w="60" w:type="dxa"/>
            <w:vAlign w:val="bottom"/>
            <w:shd w:val="clear" w:color="auto" w:fill="CCEEFF"/>
          </w:tcPr>
          <w:p>
            <w:pPr>
              <w:spacing w:after="0"/>
              <w:rPr>
                <w:sz w:val="18"/>
                <w:szCs w:val="18"/>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139" w:firstLine="427"/>
        <w:spacing w:after="0" w:line="301" w:lineRule="auto"/>
        <w:rPr>
          <w:sz w:val="20"/>
          <w:szCs w:val="20"/>
          <w:color w:val="auto"/>
        </w:rPr>
      </w:pPr>
      <w:r>
        <w:rPr>
          <w:rFonts w:ascii="Times New Roman" w:cs="Times New Roman" w:eastAsia="Times New Roman" w:hAnsi="Times New Roman"/>
          <w:sz w:val="18"/>
          <w:szCs w:val="18"/>
          <w:color w:val="auto"/>
        </w:rPr>
        <w:t>For a description of the Company’s critical accounting policies and an understanding of Avnet and the significant factors that influenced the Company’s performance during the past three fiscal years, the following discussion should be read in conjunction with the description of the business appearing in Item 1 of this Report and the consolidated financial statements, including the related notes and schedule, and other information appearing in Item 8 of this Report. Discussions of fiscal 2023 items and year-to-year comparisons between fiscal years 2024 and 2023 are not included in this Form 10-K and can be found in “Management’s Discussion and Analysis of Financial Condition and Results of Operations” in Part II, Item 7 of the Company’s Annual Report on Form 10-K for the fiscal year ended June 29, 2024. The Company operates on a “52/53 week” fiscal year. Fiscal years 2025, 2024 and 2023 each contained 52 weeks.</w:t>
      </w:r>
    </w:p>
    <w:p>
      <w:pPr>
        <w:spacing w:after="0" w:line="83" w:lineRule="exact"/>
        <w:rPr>
          <w:sz w:val="20"/>
          <w:szCs w:val="20"/>
          <w:color w:val="auto"/>
        </w:rPr>
      </w:pPr>
    </w:p>
    <w:p>
      <w:pPr>
        <w:ind w:left="60" w:right="139" w:firstLine="427"/>
        <w:spacing w:after="0" w:line="306" w:lineRule="auto"/>
        <w:rPr>
          <w:sz w:val="20"/>
          <w:szCs w:val="20"/>
          <w:color w:val="auto"/>
        </w:rPr>
      </w:pPr>
      <w:r>
        <w:rPr>
          <w:rFonts w:ascii="Times New Roman" w:cs="Times New Roman" w:eastAsia="Times New Roman" w:hAnsi="Times New Roman"/>
          <w:sz w:val="18"/>
          <w:szCs w:val="18"/>
          <w:color w:val="auto"/>
        </w:rPr>
        <w:t>The discussion of the Company’s results of operations includes references to the impact of foreign currency translation. When the U.S. Dollar strengthens and the stronger exchange rates are used to translate the results of operations of Avnet’s subsidiaries denominated in foreign currencies, the result is a decrease in U.S. Dollars of reported results. Conversely, when the U.S. Dollar weakens, the weaker exchange rates result in an increase in U.S. Dollars of reported results. In the discussion that follows, results excluding this impact, primarily for subsidiaries in EMEA and Asia, are referred to as “constant currency.”</w:t>
      </w:r>
    </w:p>
    <w:p>
      <w:pPr>
        <w:spacing w:after="0" w:line="77" w:lineRule="exact"/>
        <w:rPr>
          <w:sz w:val="20"/>
          <w:szCs w:val="20"/>
          <w:color w:val="auto"/>
        </w:rPr>
      </w:pPr>
    </w:p>
    <w:p>
      <w:pPr>
        <w:ind w:left="60" w:right="539" w:firstLine="427"/>
        <w:spacing w:after="0" w:line="356" w:lineRule="auto"/>
        <w:rPr>
          <w:sz w:val="20"/>
          <w:szCs w:val="20"/>
          <w:color w:val="auto"/>
        </w:rPr>
      </w:pPr>
      <w:r>
        <w:rPr>
          <w:rFonts w:ascii="Times New Roman" w:cs="Times New Roman" w:eastAsia="Times New Roman" w:hAnsi="Times New Roman"/>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 w:lineRule="exact"/>
        <w:rPr>
          <w:sz w:val="20"/>
          <w:szCs w:val="20"/>
          <w:color w:val="auto"/>
        </w:rPr>
      </w:pPr>
    </w:p>
    <w:p>
      <w:pPr>
        <w:ind w:left="820" w:right="579" w:hanging="324"/>
        <w:spacing w:after="0" w:line="329"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which is operating income excluding (i) restructuring, integration and other expenses, and (ii) amortization of acquired intangible assets.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a reconciliation of operating income to adjusted operating income:</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4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194"/>
        </w:trPr>
        <w:tc>
          <w:tcPr>
            <w:tcW w:w="4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June 28,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July 1,</w:t>
            </w:r>
          </w:p>
        </w:tc>
      </w:tr>
      <w:tr>
        <w:trPr>
          <w:trHeight w:val="245"/>
        </w:trPr>
        <w:tc>
          <w:tcPr>
            <w:tcW w:w="4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3"/>
        </w:trPr>
        <w:tc>
          <w:tcPr>
            <w:tcW w:w="4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(Thousands)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514,254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844,367</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1,186,800</w:t>
            </w:r>
          </w:p>
        </w:tc>
      </w:tr>
      <w:tr>
        <w:trPr>
          <w:trHeight w:val="216"/>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28,038</w:t>
            </w:r>
          </w:p>
        </w:tc>
      </w:tr>
      <w:tr>
        <w:trPr>
          <w:trHeight w:val="216"/>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w:t>
            </w:r>
          </w:p>
        </w:tc>
      </w:tr>
      <w:tr>
        <w:trPr>
          <w:trHeight w:val="21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0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624,033</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900,047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1,220,891</w:t>
            </w:r>
          </w:p>
        </w:tc>
      </w:tr>
      <w:tr>
        <w:trPr>
          <w:trHeight w:val="20"/>
        </w:trPr>
        <w:tc>
          <w:tcPr>
            <w:tcW w:w="4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firstLine="427"/>
        <w:spacing w:after="0" w:line="307" w:lineRule="auto"/>
        <w:rPr>
          <w:sz w:val="20"/>
          <w:szCs w:val="20"/>
          <w:color w:val="auto"/>
        </w:rPr>
      </w:pPr>
      <w:r>
        <w:rPr>
          <w:rFonts w:ascii="Times New Roman" w:cs="Times New Roman" w:eastAsia="Times New Roman" w:hAnsi="Times New Roman"/>
          <w:sz w:val="18"/>
          <w:szCs w:val="18"/>
          <w:color w:val="auto"/>
        </w:rPr>
        <w:t>Management believes that providing this additional information is useful to financial statement users to better assess and understand operating performance, especially when comparing results with prior periods or forecasting performance for future periods, primarily because management typically monitors the business with and without these adjustments to GAAP results. Management also uses these non-GAAP measures to establish operational goals and, in</w:t>
      </w:r>
    </w:p>
    <w:p>
      <w:pPr>
        <w:sectPr>
          <w:pgSz w:w="11900" w:h="16838" w:orient="portrait"/>
          <w:cols w:equalWidth="0" w:num="1">
            <w:col w:w="9019"/>
          </w:cols>
          <w:pgMar w:left="1440" w:top="513" w:right="1440"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59"/>
        <w:spacing w:after="0" w:line="344" w:lineRule="auto"/>
        <w:rPr>
          <w:sz w:val="20"/>
          <w:szCs w:val="20"/>
          <w:color w:val="auto"/>
        </w:rPr>
      </w:pPr>
      <w:r>
        <w:rPr>
          <w:rFonts w:ascii="Times New Roman" w:cs="Times New Roman" w:eastAsia="Times New Roman" w:hAnsi="Times New Roman"/>
          <w:sz w:val="18"/>
          <w:szCs w:val="18"/>
          <w:color w:val="auto"/>
        </w:rPr>
        <w:t>many cases, for measuring performance for compensation purposes. However, any analysis of results on a non-GAAP basis should be used in conjunction with results presented in accordance with GAAP.</w:t>
      </w:r>
    </w:p>
    <w:p>
      <w:pPr>
        <w:spacing w:after="0" w:line="1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Industry outlook</w:t>
      </w:r>
    </w:p>
    <w:p>
      <w:pPr>
        <w:spacing w:after="0" w:line="229" w:lineRule="exact"/>
        <w:rPr>
          <w:sz w:val="20"/>
          <w:szCs w:val="20"/>
          <w:color w:val="auto"/>
        </w:rPr>
      </w:pPr>
    </w:p>
    <w:p>
      <w:pPr>
        <w:ind w:left="60" w:right="79" w:firstLine="427"/>
        <w:spacing w:after="0" w:line="303" w:lineRule="auto"/>
        <w:rPr>
          <w:sz w:val="20"/>
          <w:szCs w:val="20"/>
          <w:color w:val="auto"/>
        </w:rPr>
      </w:pPr>
      <w:r>
        <w:rPr>
          <w:rFonts w:ascii="Times New Roman" w:cs="Times New Roman" w:eastAsia="Times New Roman" w:hAnsi="Times New Roman"/>
          <w:sz w:val="18"/>
          <w:szCs w:val="18"/>
          <w:color w:val="auto"/>
        </w:rPr>
        <w:t>The Company’s operations subject it to tariffs and other trade protection measures. The U.S. administration has instituted certain changes, and may make additional changes, in trade policies that include the negotiation or termination of trade agreements, higher tariffs on imports into the U.S., and other measures affecting trade between the U.S. and other countries from which the Company imports. Due in part to these measures, some countries are changing their trade policies relating to goods imported from the U.S. These global trade disruptions and geopolitical tensions, together with any related downturns in the global economy, could dampen customer demand, increase market volatility, and impact currency exchange rates, all of which could materially and adversely affect the Company’s financial performance. Evaluating and complying with new and future trade measures diverts management’s attention from existing initiatives, which may negatively impact the Company’s business operations.</w:t>
      </w:r>
    </w:p>
    <w:p>
      <w:pPr>
        <w:spacing w:after="0" w:line="146" w:lineRule="exact"/>
        <w:rPr>
          <w:sz w:val="20"/>
          <w:szCs w:val="20"/>
          <w:color w:val="auto"/>
        </w:rPr>
      </w:pPr>
    </w:p>
    <w:p>
      <w:pPr>
        <w:ind w:left="60" w:right="99" w:firstLine="427"/>
        <w:spacing w:after="0" w:line="330" w:lineRule="auto"/>
        <w:rPr>
          <w:sz w:val="20"/>
          <w:szCs w:val="20"/>
          <w:color w:val="auto"/>
        </w:rPr>
      </w:pPr>
      <w:r>
        <w:rPr>
          <w:rFonts w:ascii="Times New Roman" w:cs="Times New Roman" w:eastAsia="Times New Roman" w:hAnsi="Times New Roman"/>
          <w:sz w:val="17"/>
          <w:szCs w:val="17"/>
          <w:color w:val="auto"/>
        </w:rPr>
        <w:t>The impact of these changes in trade policies will depend on various factors, including (i) when trade measures are implemented, (ii) the ultimate amount, scope, nature, and duration of tariffs and other trade measures, and (iii) the extent to which the Company can mitigate impacts and pass on any increased costs associated with these changes. In addition, the impact of trade disruptions on general economic conditions and demand for electronic components is difficult to predict.</w:t>
      </w:r>
    </w:p>
    <w:p>
      <w:pPr>
        <w:spacing w:after="0" w:line="140" w:lineRule="exact"/>
        <w:rPr>
          <w:sz w:val="20"/>
          <w:szCs w:val="20"/>
          <w:color w:val="auto"/>
        </w:rPr>
      </w:pPr>
    </w:p>
    <w:p>
      <w:pPr>
        <w:ind w:left="60" w:right="79" w:firstLine="427"/>
        <w:spacing w:after="0" w:line="305" w:lineRule="auto"/>
        <w:rPr>
          <w:sz w:val="20"/>
          <w:szCs w:val="20"/>
          <w:color w:val="auto"/>
        </w:rPr>
      </w:pPr>
      <w:r>
        <w:rPr>
          <w:rFonts w:ascii="Times New Roman" w:cs="Times New Roman" w:eastAsia="Times New Roman" w:hAnsi="Times New Roman"/>
          <w:sz w:val="18"/>
          <w:szCs w:val="18"/>
          <w:color w:val="auto"/>
        </w:rPr>
        <w:t>The Company employs and continues to develop systems and other measures to mitigate the impact of tariffs, including selective supply chain, logistics, and pricing actions. The Company also has contingency plans to respond to a range of economic scenarios. The Company’s management continues to monitor and evaluate the changing tariff situation, as well as the overall environment in the electronic components industry. However, despite these efforts, the Company may not be able to fully mitigate the impact of changes in trade policies or an economic downturn.</w:t>
      </w:r>
    </w:p>
    <w:p>
      <w:pPr>
        <w:spacing w:after="0" w:line="143" w:lineRule="exact"/>
        <w:rPr>
          <w:sz w:val="20"/>
          <w:szCs w:val="20"/>
          <w:color w:val="auto"/>
        </w:rPr>
      </w:pPr>
    </w:p>
    <w:p>
      <w:pPr>
        <w:ind w:left="60" w:right="259" w:firstLine="427"/>
        <w:spacing w:after="0" w:line="303" w:lineRule="auto"/>
        <w:rPr>
          <w:sz w:val="20"/>
          <w:szCs w:val="20"/>
          <w:color w:val="auto"/>
        </w:rPr>
      </w:pPr>
      <w:r>
        <w:rPr>
          <w:rFonts w:ascii="Times New Roman" w:cs="Times New Roman" w:eastAsia="Times New Roman" w:hAnsi="Times New Roman"/>
          <w:sz w:val="18"/>
          <w:szCs w:val="18"/>
          <w:color w:val="auto"/>
        </w:rPr>
        <w:t>The global electronic components market has a history of cyclical downturns followed by periods of increased demand. Beginning in the second half of calendar year 2023, the industry began to experience a downturn marked by a decrease in sales due to a combination of elevated customer inventory levels and lower underlying demand for electronic components. As a result, the Company has seen decreased sales, resulting in lower operating income. The duration of the current downturn is uncertain. The Company expects sales in the first quarter of fiscal 2026 to be approximately 2% growth across all regions from the fourth quarter of fiscal 2025 sales.</w:t>
      </w:r>
    </w:p>
    <w:p>
      <w:pPr>
        <w:spacing w:after="0" w:line="160" w:lineRule="exact"/>
        <w:rPr>
          <w:sz w:val="20"/>
          <w:szCs w:val="20"/>
          <w:color w:val="auto"/>
        </w:rPr>
      </w:pPr>
    </w:p>
    <w:p>
      <w:pPr>
        <w:ind w:left="60" w:right="79" w:firstLine="427"/>
        <w:spacing w:after="0" w:line="307" w:lineRule="auto"/>
        <w:rPr>
          <w:sz w:val="20"/>
          <w:szCs w:val="20"/>
          <w:color w:val="auto"/>
        </w:rPr>
      </w:pPr>
      <w:r>
        <w:rPr>
          <w:rFonts w:ascii="Times New Roman" w:cs="Times New Roman" w:eastAsia="Times New Roman" w:hAnsi="Times New Roman"/>
          <w:sz w:val="18"/>
          <w:szCs w:val="18"/>
          <w:color w:val="auto"/>
        </w:rPr>
        <w:t>Additionally, the Company’s inventories relative to its sales are higher than they have historically been as a result of this industry downturn. The Company has and may in the future purchase additional inventories from electronic component suppliers, even in an industry downturn, if the Company believes the purchase will benefit the Company’s financial or strategic business objectives.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56"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187"/>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28,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29,</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5"/>
        </w:trPr>
        <w:tc>
          <w:tcPr>
            <w:tcW w:w="3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80" w:type="dxa"/>
            <w:vAlign w:val="bottom"/>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Variance %</w:t>
            </w:r>
          </w:p>
        </w:tc>
      </w:tr>
      <w:tr>
        <w:trPr>
          <w:trHeight w:val="189"/>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w w:val="99"/>
              </w:rPr>
              <w:t>$</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w w:val="99"/>
              </w:rPr>
              <w:t>in millions, unless</w:t>
            </w:r>
          </w:p>
        </w:tc>
        <w:tc>
          <w:tcPr>
            <w:tcW w:w="10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i w:val="1"/>
                <w:iCs w:val="1"/>
                <w:color w:val="auto"/>
                <w:w w:val="85"/>
              </w:rPr>
              <w:t>otherwise stated)</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22,201</w:t>
            </w:r>
          </w:p>
        </w:tc>
        <w:tc>
          <w:tcPr>
            <w:tcW w:w="3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23,757</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(1,556)</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0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2,385</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(381)</w:t>
            </w:r>
          </w:p>
        </w:tc>
        <w:tc>
          <w:tcPr>
            <w:tcW w:w="18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(13.8)</w:t>
            </w:r>
          </w:p>
        </w:tc>
      </w:tr>
      <w:tr>
        <w:trPr>
          <w:trHeight w:val="20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(107)</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(5.7)</w:t>
            </w:r>
          </w:p>
        </w:tc>
      </w:tr>
      <w:tr>
        <w:trPr>
          <w:trHeight w:val="20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integration, and other expenses</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56</w:t>
            </w:r>
          </w:p>
        </w:tc>
        <w:tc>
          <w:tcPr>
            <w:tcW w:w="180" w:type="dxa"/>
            <w:vAlign w:val="bottom"/>
          </w:tcPr>
          <w:p>
            <w:pPr>
              <w:spacing w:after="0"/>
              <w:rPr>
                <w:sz w:val="17"/>
                <w:szCs w:val="17"/>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106.1</w:t>
            </w:r>
          </w:p>
        </w:tc>
      </w:tr>
      <w:tr>
        <w:trPr>
          <w:trHeight w:val="20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(330)</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(39.1)</w:t>
            </w:r>
          </w:p>
        </w:tc>
      </w:tr>
      <w:tr>
        <w:trPr>
          <w:trHeight w:val="20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operating income</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624</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900</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6"/>
                <w:szCs w:val="16"/>
                <w:i w:val="1"/>
                <w:iCs w:val="1"/>
                <w:color w:val="auto"/>
              </w:rPr>
              <w:t>(276)</w:t>
            </w:r>
          </w:p>
        </w:tc>
        <w:tc>
          <w:tcPr>
            <w:tcW w:w="18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i w:val="1"/>
                <w:iCs w:val="1"/>
                <w:color w:val="auto"/>
              </w:rPr>
              <w:t>(30.7)</w:t>
            </w:r>
          </w:p>
        </w:tc>
      </w:tr>
      <w:tr>
        <w:trPr>
          <w:trHeight w:val="20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9.8</w:t>
            </w:r>
          </w:p>
        </w:tc>
      </w:tr>
      <w:tr>
        <w:trPr>
          <w:trHeight w:val="20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financing expenses, net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(12.9)</w:t>
            </w:r>
          </w:p>
        </w:tc>
      </w:tr>
      <w:tr>
        <w:trPr>
          <w:trHeight w:val="20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legal settlements and other</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(86)</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(100.0)</w:t>
            </w:r>
          </w:p>
        </w:tc>
      </w:tr>
      <w:tr>
        <w:trPr>
          <w:trHeight w:val="20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(123)</w:t>
            </w:r>
          </w:p>
        </w:tc>
        <w:tc>
          <w:tcPr>
            <w:tcW w:w="18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(92.3)</w:t>
            </w:r>
          </w:p>
        </w:tc>
      </w:tr>
      <w:tr>
        <w:trPr>
          <w:trHeight w:val="20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(258)</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(51.8)</w:t>
            </w:r>
          </w:p>
        </w:tc>
      </w:tr>
      <w:tr>
        <w:trPr>
          <w:trHeight w:val="20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(2.68)</w:t>
            </w:r>
          </w:p>
        </w:tc>
        <w:tc>
          <w:tcPr>
            <w:tcW w:w="18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(49.4)</w:t>
            </w:r>
          </w:p>
        </w:tc>
      </w:tr>
      <w:tr>
        <w:trPr>
          <w:trHeight w:val="203"/>
        </w:trPr>
        <w:tc>
          <w:tcPr>
            <w:tcW w:w="3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Metrics</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10.7 %</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11.6 %</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(90) bps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20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margin</w:t>
            </w:r>
          </w:p>
        </w:tc>
        <w:tc>
          <w:tcPr>
            <w:tcW w:w="200" w:type="dxa"/>
            <w:vAlign w:val="bottom"/>
          </w:tcPr>
          <w:p>
            <w:pPr>
              <w:spacing w:after="0"/>
              <w:rPr>
                <w:sz w:val="17"/>
                <w:szCs w:val="17"/>
                <w:color w:val="auto"/>
              </w:rPr>
            </w:pPr>
          </w:p>
        </w:tc>
        <w:tc>
          <w:tcPr>
            <w:tcW w:w="10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2.3 %</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3.6 %</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(123) bps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0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operating income margin</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i w:val="1"/>
                <w:iCs w:val="1"/>
                <w:color w:val="auto"/>
              </w:rPr>
              <w:t>2.8 %</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i w:val="1"/>
                <w:iCs w:val="1"/>
                <w:color w:val="auto"/>
              </w:rPr>
              <w:t>3.8 %</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i w:val="1"/>
                <w:iCs w:val="1"/>
                <w:color w:val="auto"/>
              </w:rPr>
              <w:t>(98) bps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 %</w:t>
            </w: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89"/>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(1,699) bps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 %</w:t>
            </w:r>
          </w:p>
        </w:tc>
      </w:tr>
    </w:tbl>
    <w:p>
      <w:pPr>
        <w:spacing w:after="0" w:line="1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Analysis of Sales: By Operating Group and Geography</w:t>
      </w:r>
    </w:p>
    <w:p>
      <w:pPr>
        <w:spacing w:after="0" w:line="243" w:lineRule="exact"/>
        <w:rPr>
          <w:sz w:val="20"/>
          <w:szCs w:val="20"/>
          <w:color w:val="auto"/>
        </w:rPr>
      </w:pPr>
    </w:p>
    <w:p>
      <w:pPr>
        <w:jc w:val="both"/>
        <w:ind w:left="60" w:right="79" w:firstLine="427"/>
        <w:spacing w:after="0" w:line="329" w:lineRule="auto"/>
        <w:rPr>
          <w:sz w:val="20"/>
          <w:szCs w:val="20"/>
          <w:color w:val="auto"/>
        </w:rPr>
      </w:pPr>
      <w:r>
        <w:rPr>
          <w:rFonts w:ascii="Times New Roman" w:cs="Times New Roman" w:eastAsia="Times New Roman" w:hAnsi="Times New Roman"/>
          <w:sz w:val="18"/>
          <w:szCs w:val="18"/>
          <w:color w:val="auto"/>
        </w:rPr>
        <w:t>The table below provides sales change rates for fiscal 2025 as compared to fiscal 2024 as reported and on a constant currency basis by geographic region and operating group.</w:t>
      </w:r>
    </w:p>
    <w:p>
      <w:pPr>
        <w:spacing w:after="0" w:line="56"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5"/>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Years Ended</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Year-Year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5"/>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June 28,</w:t>
            </w:r>
          </w:p>
        </w:tc>
        <w:tc>
          <w:tcPr>
            <w:tcW w:w="180" w:type="dxa"/>
            <w:vAlign w:val="bottom"/>
          </w:tcPr>
          <w:p>
            <w:pPr>
              <w:spacing w:after="0"/>
              <w:rPr>
                <w:sz w:val="16"/>
                <w:szCs w:val="16"/>
                <w:color w:val="auto"/>
              </w:rPr>
            </w:pPr>
          </w:p>
        </w:tc>
        <w:tc>
          <w:tcPr>
            <w:tcW w:w="78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June 29,</w:t>
            </w:r>
          </w:p>
        </w:tc>
        <w:tc>
          <w:tcPr>
            <w:tcW w:w="160" w:type="dxa"/>
            <w:vAlign w:val="bottom"/>
          </w:tcPr>
          <w:p>
            <w:pPr>
              <w:spacing w:after="0"/>
              <w:rPr>
                <w:sz w:val="16"/>
                <w:szCs w:val="16"/>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of</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Year-Year %</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Constant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9"/>
                <w:szCs w:val="19"/>
                <w:color w:val="auto"/>
              </w:rPr>
            </w:pPr>
          </w:p>
        </w:tc>
        <w:tc>
          <w:tcPr>
            <w:tcW w:w="78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89"/>
              </w:rPr>
              <w:t>in</w:t>
            </w:r>
          </w:p>
        </w:tc>
        <w:tc>
          <w:tcPr>
            <w:tcW w:w="760" w:type="dxa"/>
            <w:vAlign w:val="bottom"/>
            <w:tcBorders>
              <w:top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3"/>
              </w:rPr>
              <w:t>millions)</w:t>
            </w:r>
          </w:p>
        </w:tc>
        <w:tc>
          <w:tcPr>
            <w:tcW w:w="1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Sales by Operating Group:</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EC</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20,755.0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93.5 %</w:t>
            </w: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93.3 %</w:t>
            </w:r>
          </w:p>
        </w:tc>
        <w:tc>
          <w:tcPr>
            <w:tcW w:w="10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(6.3)%</w:t>
            </w:r>
          </w:p>
        </w:tc>
        <w:tc>
          <w:tcPr>
            <w:tcW w:w="1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Farnell</w:t>
            </w: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1,445.8</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1,597.1</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Total Avnet</w:t>
            </w:r>
          </w:p>
        </w:tc>
        <w:tc>
          <w:tcPr>
            <w:tcW w:w="7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22,200.8</w:t>
            </w:r>
          </w:p>
        </w:tc>
        <w:tc>
          <w:tcPr>
            <w:tcW w:w="1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23,757.1</w:t>
            </w:r>
          </w:p>
        </w:tc>
        <w:tc>
          <w:tcPr>
            <w:tcW w:w="1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(6.6)%</w:t>
            </w:r>
          </w:p>
        </w:tc>
        <w:tc>
          <w:tcPr>
            <w:tcW w:w="1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Sales by Geographic Region:</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Americas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5,919.2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24.9 %</w:t>
            </w:r>
          </w:p>
        </w:tc>
        <w:tc>
          <w:tcPr>
            <w:tcW w:w="10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EMEA</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6,409.6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28.9 %</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35.3 %</w:t>
            </w:r>
          </w:p>
        </w:tc>
        <w:tc>
          <w:tcPr>
            <w:tcW w:w="10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(23.7)%</w:t>
            </w:r>
          </w:p>
        </w:tc>
        <w:tc>
          <w:tcPr>
            <w:tcW w:w="1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Asia</w:t>
            </w: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10,491.2</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47.2 %</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9,442.9</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39.8 %</w:t>
            </w:r>
          </w:p>
        </w:tc>
        <w:tc>
          <w:tcPr>
            <w:tcW w:w="10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11.1 %</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Avnet</w:t>
            </w:r>
          </w:p>
        </w:tc>
        <w:tc>
          <w:tcPr>
            <w:tcW w:w="7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22,200.8</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23,757.1</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Avnet’s sales for fiscal 2025 were $22.20 billion, a decrease of $1.56 billion, or 6.6%, from fiscal 2024 sales of</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$23.76 billion. Sales in constant currency decreased 6.7% year over year, reflecting a reduction in sales volume primarily</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due to the lower demand for electronic components. Sales declined in the western regions, while sales in Asia experienced</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year-over-year growth.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79" w:firstLine="427"/>
        <w:spacing w:after="0" w:line="309" w:lineRule="auto"/>
        <w:rPr>
          <w:sz w:val="20"/>
          <w:szCs w:val="20"/>
          <w:color w:val="auto"/>
        </w:rPr>
      </w:pPr>
      <w:r>
        <w:rPr>
          <w:rFonts w:ascii="Times New Roman" w:cs="Times New Roman" w:eastAsia="Times New Roman" w:hAnsi="Times New Roman"/>
          <w:sz w:val="18"/>
          <w:szCs w:val="18"/>
          <w:color w:val="auto"/>
        </w:rPr>
        <w:t>EC sales in fiscal 2025 were $20.75 billion, representing a 6.3% decrease over fiscal 2024 sales of $22.16 billion. EC sales decreased 6.4% year over year in constant currency. The decrease in EC sales is primarily due to sales volume decreases in the western regions due to the market downturn in the electronic components industry and, to a lesser extent, an unfavorable product mix of lower-priced electronic components. The average selling prices of like for like electronic components remained relatively stable between fiscal 2025 and fiscal 2024.</w:t>
      </w:r>
    </w:p>
    <w:p>
      <w:pPr>
        <w:spacing w:after="0" w:line="139" w:lineRule="exact"/>
        <w:rPr>
          <w:sz w:val="20"/>
          <w:szCs w:val="20"/>
          <w:color w:val="auto"/>
        </w:rPr>
      </w:pPr>
    </w:p>
    <w:p>
      <w:pPr>
        <w:ind w:left="60" w:right="179" w:firstLine="427"/>
        <w:spacing w:after="0" w:line="313" w:lineRule="auto"/>
        <w:rPr>
          <w:sz w:val="20"/>
          <w:szCs w:val="20"/>
          <w:color w:val="auto"/>
        </w:rPr>
      </w:pPr>
      <w:r>
        <w:rPr>
          <w:rFonts w:ascii="Times New Roman" w:cs="Times New Roman" w:eastAsia="Times New Roman" w:hAnsi="Times New Roman"/>
          <w:sz w:val="18"/>
          <w:szCs w:val="18"/>
          <w:color w:val="auto"/>
        </w:rPr>
        <w:t>Farnell sales in fiscal 2025 were $1.45 billion, a decrease of $151.3 million or 9.5%, from fiscal 2024 sales of $1.60 billion. The year-over-year decrease in sales was primarily a result of lower demand for on-the-board electronic components.</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43" w:lineRule="exact"/>
        <w:rPr>
          <w:sz w:val="20"/>
          <w:szCs w:val="20"/>
          <w:color w:val="auto"/>
        </w:rPr>
      </w:pPr>
    </w:p>
    <w:p>
      <w:pPr>
        <w:ind w:left="60" w:right="59" w:firstLine="427"/>
        <w:spacing w:after="0" w:line="303" w:lineRule="auto"/>
        <w:rPr>
          <w:sz w:val="20"/>
          <w:szCs w:val="20"/>
          <w:color w:val="auto"/>
        </w:rPr>
      </w:pPr>
      <w:r>
        <w:rPr>
          <w:rFonts w:ascii="Times New Roman" w:cs="Times New Roman" w:eastAsia="Times New Roman" w:hAnsi="Times New Roman"/>
          <w:sz w:val="18"/>
          <w:szCs w:val="18"/>
          <w:color w:val="auto"/>
        </w:rPr>
        <w:t>The Company’s gross profit is primarily affected by sales volume, product mix, and geographic sales mix. Gross profit in fiscal 2025 was $2.38 billion, a decrease of $381.5 million, or 13.8%, from fiscal 2024 gross profit of $2.77 billion primarily due to lower sales volumes, as described above. Gross profit margin decreased to 10.7% in fiscal 2025 or 90 basis points from fiscal 2024 gross profit margin of 11.6%. The decrease in gross profit margin is primarily due to a shift in geographic sales mix to Asia. Sales in the higher margin western regions represented approximately 53% of sales in fiscal 2025, versus 60% of sales in fiscal 2024.</w:t>
      </w:r>
    </w:p>
    <w:p>
      <w:pPr>
        <w:spacing w:after="0" w:line="147" w:lineRule="exact"/>
        <w:rPr>
          <w:sz w:val="20"/>
          <w:szCs w:val="20"/>
          <w:color w:val="auto"/>
        </w:rPr>
      </w:pPr>
    </w:p>
    <w:p>
      <w:pPr>
        <w:ind w:left="60" w:right="179" w:firstLine="427"/>
        <w:spacing w:after="0" w:line="321" w:lineRule="auto"/>
        <w:rPr>
          <w:sz w:val="20"/>
          <w:szCs w:val="20"/>
          <w:color w:val="auto"/>
        </w:rPr>
      </w:pPr>
      <w:r>
        <w:rPr>
          <w:rFonts w:ascii="Times New Roman" w:cs="Times New Roman" w:eastAsia="Times New Roman" w:hAnsi="Times New Roman"/>
          <w:sz w:val="18"/>
          <w:szCs w:val="18"/>
          <w:color w:val="auto"/>
        </w:rPr>
        <w:t>EC gross profit margin decreased year over year largely due to the change in geographic mix, partially offset by increases in gross margin from certain supplier engagements. Average selling prices of like for like electronic components at EC remained relatively stable between fiscal 2025 and fiscal 2024.</w:t>
      </w:r>
    </w:p>
    <w:p>
      <w:pPr>
        <w:spacing w:after="0" w:line="128" w:lineRule="exact"/>
        <w:rPr>
          <w:sz w:val="20"/>
          <w:szCs w:val="20"/>
          <w:color w:val="auto"/>
        </w:rPr>
      </w:pPr>
    </w:p>
    <w:p>
      <w:pPr>
        <w:ind w:left="60" w:right="459" w:firstLine="427"/>
        <w:spacing w:after="0" w:line="329" w:lineRule="auto"/>
        <w:rPr>
          <w:sz w:val="20"/>
          <w:szCs w:val="20"/>
          <w:color w:val="auto"/>
        </w:rPr>
      </w:pPr>
      <w:r>
        <w:rPr>
          <w:rFonts w:ascii="Times New Roman" w:cs="Times New Roman" w:eastAsia="Times New Roman" w:hAnsi="Times New Roman"/>
          <w:sz w:val="18"/>
          <w:szCs w:val="18"/>
          <w:color w:val="auto"/>
        </w:rPr>
        <w:t>Farnell gross profit margin decreased year over year, primarily due to lower sales of higher margin on-the-board electronic components.</w:t>
      </w:r>
    </w:p>
    <w:p>
      <w:pPr>
        <w:spacing w:after="0" w:line="1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Selling, general and administrative expenses (“SG&amp;A expenses”) in fiscal 2025 were $1.76 billion, a decrease of</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$107.1 million, or 5.7%, from fiscal 2024. The year-over-year decrease in SG&amp;A expenses was primarily due to decreases</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variable operating expenses associated with the decrease in sales volumes discussed above, from restructuring actions</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taken by the Company, and by the impact of changes in foreign currency translation rates.</w:t>
      </w:r>
    </w:p>
    <w:p>
      <w:pPr>
        <w:spacing w:after="0" w:line="225" w:lineRule="exact"/>
        <w:rPr>
          <w:sz w:val="20"/>
          <w:szCs w:val="20"/>
          <w:color w:val="auto"/>
        </w:rPr>
      </w:pPr>
    </w:p>
    <w:p>
      <w:pPr>
        <w:ind w:left="60" w:right="359" w:firstLine="427"/>
        <w:spacing w:after="0" w:line="305" w:lineRule="auto"/>
        <w:rPr>
          <w:sz w:val="20"/>
          <w:szCs w:val="20"/>
          <w:color w:val="auto"/>
        </w:rPr>
      </w:pPr>
      <w:r>
        <w:rPr>
          <w:rFonts w:ascii="Times New Roman" w:cs="Times New Roman" w:eastAsia="Times New Roman" w:hAnsi="Times New Roman"/>
          <w:sz w:val="18"/>
          <w:szCs w:val="18"/>
          <w:color w:val="auto"/>
        </w:rPr>
        <w:t>Metrics that management monitors with respect to its operating expenses are SG&amp;A expenses as a percentage of sales and as a percentage of gross profit. In fiscal 2025, SG&amp;A expenses as a percentage of sales were 7.9% and as a percentage of gross profit were 73.9%, as compared with 7.9% and 67.6%, respectively, in fiscal 2024. The increases in SG&amp;A expenses as a percentage of gross profit resulted primarily from the decreases in sales and gross profit without a proportional reduction in SG&amp;A expenses, resulting in lower operating leverage.</w:t>
      </w:r>
    </w:p>
    <w:p>
      <w:pPr>
        <w:spacing w:after="0" w:line="15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Restructuring, Integration and Other Expenses</w:t>
      </w:r>
    </w:p>
    <w:p>
      <w:pPr>
        <w:spacing w:after="0" w:line="229" w:lineRule="exact"/>
        <w:rPr>
          <w:sz w:val="20"/>
          <w:szCs w:val="20"/>
          <w:color w:val="auto"/>
        </w:rPr>
      </w:pPr>
    </w:p>
    <w:p>
      <w:pPr>
        <w:ind w:left="60" w:right="419" w:firstLine="427"/>
        <w:spacing w:after="0" w:line="329" w:lineRule="auto"/>
        <w:rPr>
          <w:sz w:val="20"/>
          <w:szCs w:val="20"/>
          <w:color w:val="auto"/>
        </w:rPr>
      </w:pPr>
      <w:r>
        <w:rPr>
          <w:rFonts w:ascii="Times New Roman" w:cs="Times New Roman" w:eastAsia="Times New Roman" w:hAnsi="Times New Roman"/>
          <w:sz w:val="18"/>
          <w:szCs w:val="18"/>
          <w:color w:val="auto"/>
        </w:rPr>
        <w:t>In fiscal 2024, the Company initiated a restructuring plan to reduce SG&amp;A expenses including within the Farnell operating group. These efforts continued in fiscal 2025 and included EC Americas and EC EMEA.</w:t>
      </w:r>
    </w:p>
    <w:p>
      <w:pPr>
        <w:spacing w:after="0" w:line="135" w:lineRule="exact"/>
        <w:rPr>
          <w:sz w:val="20"/>
          <w:szCs w:val="20"/>
          <w:color w:val="auto"/>
        </w:rPr>
      </w:pPr>
    </w:p>
    <w:p>
      <w:pPr>
        <w:ind w:left="60" w:right="59" w:firstLine="427"/>
        <w:spacing w:after="0" w:line="307" w:lineRule="auto"/>
        <w:rPr>
          <w:sz w:val="20"/>
          <w:szCs w:val="20"/>
          <w:color w:val="auto"/>
        </w:rPr>
      </w:pPr>
      <w:r>
        <w:rPr>
          <w:rFonts w:ascii="Times New Roman" w:cs="Times New Roman" w:eastAsia="Times New Roman" w:hAnsi="Times New Roman"/>
          <w:sz w:val="18"/>
          <w:szCs w:val="18"/>
          <w:color w:val="auto"/>
        </w:rPr>
        <w:t>As a result of these restructuring initiatives, the Company incurred $56.1 million for restructuring expenses consisting of severance and other employee-related expenses of $32.2 million for reduction of over 400 employees across the Company, $5.6 million of facility exit costs primarily related to an office closure in the Americas, $14.9 million of asset impairments, and $3.4 million of other restructuring costs primarily related to software licenses not in</w:t>
      </w:r>
    </w:p>
    <w:p>
      <w:pPr>
        <w:sectPr>
          <w:pgSz w:w="11900" w:h="16838" w:orient="portrait"/>
          <w:cols w:equalWidth="0" w:num="1">
            <w:col w:w="9019"/>
          </w:cols>
          <w:pgMar w:left="1440" w:top="513" w:right="1440"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60" w:right="299"/>
        <w:spacing w:after="0" w:line="321" w:lineRule="auto"/>
        <w:rPr>
          <w:sz w:val="20"/>
          <w:szCs w:val="20"/>
          <w:color w:val="auto"/>
        </w:rPr>
      </w:pPr>
      <w:r>
        <w:rPr>
          <w:rFonts w:ascii="Times New Roman" w:cs="Times New Roman" w:eastAsia="Times New Roman" w:hAnsi="Times New Roman"/>
          <w:sz w:val="18"/>
          <w:szCs w:val="18"/>
          <w:color w:val="auto"/>
        </w:rPr>
        <w:t>use. The Company also recorded $14.5 million of integration costs, a benefit of $6.0 million for changes in estimates for costs associated with prior year restructuring actions, and $43.7 million of other costs primarily related to the estimated contingent liability associated with an ongoing consumption tax audit in Mexico.</w:t>
      </w:r>
    </w:p>
    <w:p>
      <w:pPr>
        <w:spacing w:after="0" w:line="128" w:lineRule="exact"/>
        <w:rPr>
          <w:sz w:val="20"/>
          <w:szCs w:val="20"/>
          <w:color w:val="auto"/>
        </w:rPr>
      </w:pPr>
    </w:p>
    <w:p>
      <w:pPr>
        <w:ind w:left="60" w:right="79" w:firstLine="427"/>
        <w:spacing w:after="0" w:line="329" w:lineRule="auto"/>
        <w:rPr>
          <w:sz w:val="20"/>
          <w:szCs w:val="20"/>
          <w:color w:val="auto"/>
        </w:rPr>
      </w:pPr>
      <w:r>
        <w:rPr>
          <w:rFonts w:ascii="Times New Roman" w:cs="Times New Roman" w:eastAsia="Times New Roman" w:hAnsi="Times New Roman"/>
          <w:sz w:val="18"/>
          <w:szCs w:val="18"/>
          <w:color w:val="auto"/>
        </w:rPr>
        <w:t>See Note 13, “Commitments and contingencies” to the Company’s consolidated financial statements included in Item 8 of this Annual Report on Form 10-K for additional information related to the consumption tax audit in Mexico.</w:t>
      </w:r>
    </w:p>
    <w:p>
      <w:pPr>
        <w:spacing w:after="0" w:line="121" w:lineRule="exact"/>
        <w:rPr>
          <w:sz w:val="20"/>
          <w:szCs w:val="20"/>
          <w:color w:val="auto"/>
        </w:rPr>
      </w:pPr>
    </w:p>
    <w:p>
      <w:pPr>
        <w:ind w:left="60" w:right="379" w:firstLine="427"/>
        <w:spacing w:after="0" w:line="329" w:lineRule="auto"/>
        <w:rPr>
          <w:sz w:val="20"/>
          <w:szCs w:val="20"/>
          <w:color w:val="auto"/>
        </w:rPr>
      </w:pPr>
      <w:r>
        <w:rPr>
          <w:rFonts w:ascii="Times New Roman" w:cs="Times New Roman" w:eastAsia="Times New Roman" w:hAnsi="Times New Roman"/>
          <w:sz w:val="18"/>
          <w:szCs w:val="18"/>
          <w:color w:val="auto"/>
        </w:rPr>
        <w:t>The after-tax impact of restructuring, integration, and other expenses were $87.6 million and $1.01 per share on a diluted basis.</w:t>
      </w:r>
    </w:p>
    <w:p>
      <w:pPr>
        <w:spacing w:after="0" w:line="135" w:lineRule="exact"/>
        <w:rPr>
          <w:sz w:val="20"/>
          <w:szCs w:val="20"/>
          <w:color w:val="auto"/>
        </w:rPr>
      </w:pPr>
    </w:p>
    <w:p>
      <w:pPr>
        <w:ind w:left="60" w:right="219" w:firstLine="427"/>
        <w:spacing w:after="0" w:line="313" w:lineRule="auto"/>
        <w:rPr>
          <w:sz w:val="20"/>
          <w:szCs w:val="20"/>
          <w:color w:val="auto"/>
        </w:rPr>
      </w:pPr>
      <w:r>
        <w:rPr>
          <w:rFonts w:ascii="Times New Roman" w:cs="Times New Roman" w:eastAsia="Times New Roman" w:hAnsi="Times New Roman"/>
          <w:sz w:val="18"/>
          <w:szCs w:val="18"/>
          <w:color w:val="auto"/>
        </w:rPr>
        <w:t>During fiscal 2024 the Company recorded restructuring, integration, and other expenses of $52.6 million, which consists of restructuring costs of $39.5 million, integration expenses of $13.1 million, and $5.5 million of other expenses, offset by a benefit of $5.5 million.</w:t>
      </w:r>
    </w:p>
    <w:p>
      <w:pPr>
        <w:spacing w:after="0" w:line="135" w:lineRule="exact"/>
        <w:rPr>
          <w:sz w:val="20"/>
          <w:szCs w:val="20"/>
          <w:color w:val="auto"/>
        </w:rPr>
      </w:pPr>
    </w:p>
    <w:p>
      <w:pPr>
        <w:ind w:left="60" w:right="139" w:firstLine="427"/>
        <w:spacing w:after="0" w:line="329" w:lineRule="auto"/>
        <w:rPr>
          <w:sz w:val="20"/>
          <w:szCs w:val="20"/>
          <w:color w:val="auto"/>
        </w:rPr>
      </w:pPr>
      <w:r>
        <w:rPr>
          <w:rFonts w:ascii="Times New Roman" w:cs="Times New Roman" w:eastAsia="Times New Roman" w:hAnsi="Times New Roman"/>
          <w:sz w:val="18"/>
          <w:szCs w:val="18"/>
          <w:color w:val="auto"/>
        </w:rPr>
        <w:t>See Note 17, “Restructuring expenses” to the Company’s consolidated financial statements included in Item 8 of this Annual Report on Form 10-K for additional information related to restructuring expenses.</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229" w:lineRule="exact"/>
        <w:rPr>
          <w:sz w:val="20"/>
          <w:szCs w:val="20"/>
          <w:color w:val="auto"/>
        </w:rPr>
      </w:pPr>
    </w:p>
    <w:p>
      <w:pPr>
        <w:ind w:left="60" w:right="279" w:firstLine="427"/>
        <w:spacing w:after="0" w:line="314" w:lineRule="auto"/>
        <w:rPr>
          <w:sz w:val="20"/>
          <w:szCs w:val="20"/>
          <w:color w:val="auto"/>
        </w:rPr>
      </w:pPr>
      <w:r>
        <w:rPr>
          <w:rFonts w:ascii="Times New Roman" w:cs="Times New Roman" w:eastAsia="Times New Roman" w:hAnsi="Times New Roman"/>
          <w:sz w:val="17"/>
          <w:szCs w:val="17"/>
          <w:color w:val="auto"/>
        </w:rPr>
        <w:t>Operating income for fiscal 2025 was $514.3 million, a decrease of $330.1 million or 39.1%, from fiscal 2024 operating income of $844.4 million. Operating income margin was 2.3% in fiscal 2025 compared to 3.6% in fiscal 2024. Adjusted operating income for fiscal 2025 was $624.0 million, a decrease of $276.0 million or 30.7%, from fiscal 2024 adjusted operating income of $900.0 million. Adjusted operating income margin was 2.8% in fiscal 2025 compared to</w:t>
      </w:r>
    </w:p>
    <w:p>
      <w:pPr>
        <w:spacing w:after="0" w:line="3" w:lineRule="exact"/>
        <w:rPr>
          <w:sz w:val="20"/>
          <w:szCs w:val="20"/>
          <w:color w:val="auto"/>
        </w:rPr>
      </w:pPr>
    </w:p>
    <w:p>
      <w:pPr>
        <w:ind w:left="60" w:right="239"/>
        <w:spacing w:after="0" w:line="329" w:lineRule="auto"/>
        <w:rPr>
          <w:sz w:val="20"/>
          <w:szCs w:val="20"/>
          <w:color w:val="auto"/>
        </w:rPr>
      </w:pPr>
      <w:r>
        <w:rPr>
          <w:rFonts w:ascii="Times New Roman" w:cs="Times New Roman" w:eastAsia="Times New Roman" w:hAnsi="Times New Roman"/>
          <w:sz w:val="18"/>
          <w:szCs w:val="18"/>
          <w:color w:val="auto"/>
        </w:rPr>
        <w:t>3.8% in fiscal 2024. The decreases in operating income and operating income margin are primarily due to the decrease in sales, lower gross profit margin, and impact from foreign currency exchange rates.</w:t>
      </w:r>
    </w:p>
    <w:p>
      <w:pPr>
        <w:spacing w:after="0" w:line="135" w:lineRule="exact"/>
        <w:rPr>
          <w:sz w:val="20"/>
          <w:szCs w:val="20"/>
          <w:color w:val="auto"/>
        </w:rPr>
      </w:pPr>
    </w:p>
    <w:p>
      <w:pPr>
        <w:ind w:left="60" w:right="119" w:firstLine="427"/>
        <w:spacing w:after="0" w:line="303" w:lineRule="auto"/>
        <w:rPr>
          <w:sz w:val="20"/>
          <w:szCs w:val="20"/>
          <w:color w:val="auto"/>
        </w:rPr>
      </w:pPr>
      <w:r>
        <w:rPr>
          <w:rFonts w:ascii="Times New Roman" w:cs="Times New Roman" w:eastAsia="Times New Roman" w:hAnsi="Times New Roman"/>
          <w:sz w:val="18"/>
          <w:szCs w:val="18"/>
          <w:color w:val="auto"/>
        </w:rPr>
        <w:t>EC operating income decreased 25.3% to $708.2 million, and EC operating income margin decreased 87 basis points to 3.4% in fiscal 2025, with decreases in both the EMEA and Americas regions, offset by an increase in the Asia region. Farnell operating income decreased 49.3% to $32.8 million in fiscal 2025 and Farnell operating income margin decreased 179 basis points to 2.3% in fiscal 2025. The decreases in operating income and operating income margin in both operating groups are due to the decrease in gross profit primarily from lower sales and from a lower gross profit margin without a proportionate decrease in SG&amp;A expenses.</w:t>
      </w:r>
    </w:p>
    <w:p>
      <w:pPr>
        <w:spacing w:after="0" w:line="1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Financing Expenses, Net and Other (Expense) Income, Net</w:t>
      </w:r>
    </w:p>
    <w:p>
      <w:pPr>
        <w:spacing w:after="0" w:line="243" w:lineRule="exact"/>
        <w:rPr>
          <w:sz w:val="20"/>
          <w:szCs w:val="20"/>
          <w:color w:val="auto"/>
        </w:rPr>
      </w:pPr>
    </w:p>
    <w:p>
      <w:pPr>
        <w:ind w:left="60" w:right="339" w:firstLine="427"/>
        <w:spacing w:after="0" w:line="307" w:lineRule="auto"/>
        <w:rPr>
          <w:sz w:val="20"/>
          <w:szCs w:val="20"/>
          <w:color w:val="auto"/>
        </w:rPr>
      </w:pPr>
      <w:r>
        <w:rPr>
          <w:rFonts w:ascii="Times New Roman" w:cs="Times New Roman" w:eastAsia="Times New Roman" w:hAnsi="Times New Roman"/>
          <w:sz w:val="18"/>
          <w:szCs w:val="18"/>
          <w:color w:val="auto"/>
        </w:rPr>
        <w:t>Interest and other financing expenses for fiscal 2025 was $246.4 million, a decrease of $36.5 million, or 12.9%, compared with interest and other financing expenses of $282.9 million in fiscal 2024. The decrease in interest and other financing expenses in fiscal 2025 compared to fiscal 2024 is primarily a result of lower outstanding borrowings and average borrowing rates.</w:t>
      </w:r>
    </w:p>
    <w:p>
      <w:pPr>
        <w:spacing w:after="0" w:line="142" w:lineRule="exact"/>
        <w:rPr>
          <w:sz w:val="20"/>
          <w:szCs w:val="20"/>
          <w:color w:val="auto"/>
        </w:rPr>
      </w:pPr>
    </w:p>
    <w:p>
      <w:pPr>
        <w:ind w:left="60" w:right="79" w:firstLine="427"/>
        <w:spacing w:after="0" w:line="329" w:lineRule="auto"/>
        <w:rPr>
          <w:sz w:val="20"/>
          <w:szCs w:val="20"/>
          <w:color w:val="auto"/>
        </w:rPr>
      </w:pPr>
      <w:r>
        <w:rPr>
          <w:rFonts w:ascii="Times New Roman" w:cs="Times New Roman" w:eastAsia="Times New Roman" w:hAnsi="Times New Roman"/>
          <w:sz w:val="18"/>
          <w:szCs w:val="18"/>
          <w:color w:val="auto"/>
        </w:rPr>
        <w:t>The Company had other expense of $17.3 million in fiscal 2025, compared to other expense of $15.7 million in fiscal 2024. The increase in other expenses is primarily due to foreign currency translation losses.</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Gain on Legal Settlements and Other</w:t>
      </w:r>
    </w:p>
    <w:p>
      <w:pPr>
        <w:spacing w:after="0" w:line="229" w:lineRule="exact"/>
        <w:rPr>
          <w:sz w:val="20"/>
          <w:szCs w:val="20"/>
          <w:color w:val="auto"/>
        </w:rPr>
      </w:pPr>
    </w:p>
    <w:p>
      <w:pPr>
        <w:ind w:left="60" w:right="199" w:firstLine="427"/>
        <w:spacing w:after="0" w:line="329" w:lineRule="auto"/>
        <w:rPr>
          <w:sz w:val="20"/>
          <w:szCs w:val="20"/>
          <w:color w:val="auto"/>
        </w:rPr>
      </w:pPr>
      <w:r>
        <w:rPr>
          <w:rFonts w:ascii="Times New Roman" w:cs="Times New Roman" w:eastAsia="Times New Roman" w:hAnsi="Times New Roman"/>
          <w:sz w:val="18"/>
          <w:szCs w:val="18"/>
          <w:color w:val="auto"/>
        </w:rPr>
        <w:t>During fiscal 2024, the Company recorded a gain on legal settlements and other of $86.5 million in connection with the settlement of claims filed against certain manufacturers of capacitors.</w:t>
      </w:r>
    </w:p>
    <w:p>
      <w:pPr>
        <w:sectPr>
          <w:pgSz w:w="11900" w:h="16838" w:orient="portrait"/>
          <w:cols w:equalWidth="0" w:num="1">
            <w:col w:w="9019"/>
          </w:cols>
          <w:pgMar w:left="1440" w:top="513" w:right="1440"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75" w:lineRule="exact"/>
        <w:rPr>
          <w:sz w:val="20"/>
          <w:szCs w:val="20"/>
          <w:color w:val="auto"/>
        </w:rPr>
      </w:pPr>
    </w:p>
    <w:p>
      <w:pPr>
        <w:ind w:left="60" w:right="79" w:firstLine="427"/>
        <w:spacing w:after="0" w:line="307" w:lineRule="auto"/>
        <w:rPr>
          <w:sz w:val="20"/>
          <w:szCs w:val="20"/>
          <w:color w:val="auto"/>
        </w:rPr>
      </w:pPr>
      <w:r>
        <w:rPr>
          <w:rFonts w:ascii="Times New Roman" w:cs="Times New Roman" w:eastAsia="Times New Roman" w:hAnsi="Times New Roman"/>
          <w:sz w:val="18"/>
          <w:szCs w:val="18"/>
          <w:color w:val="auto"/>
        </w:rPr>
        <w:t>Income tax expenses were $10.4 million in fiscal 2025, reflecting an effective tax rate of 4.1% as compared to income tax expenses of $133.6 million in fiscal 2024, reflecting an effective tax rate of 21.1%. The decrease in the effective tax rate in fiscal 2025 as compared to fiscal 2024 was primarily due to the increases in tax attribute carryforwards, partially offset by increases to valuation allowances.</w:t>
      </w:r>
    </w:p>
    <w:p>
      <w:pPr>
        <w:spacing w:after="0" w:line="142" w:lineRule="exact"/>
        <w:rPr>
          <w:sz w:val="20"/>
          <w:szCs w:val="20"/>
          <w:color w:val="auto"/>
        </w:rPr>
      </w:pPr>
    </w:p>
    <w:p>
      <w:pPr>
        <w:ind w:left="60" w:right="359" w:firstLine="427"/>
        <w:spacing w:after="0" w:line="329" w:lineRule="auto"/>
        <w:rPr>
          <w:sz w:val="20"/>
          <w:szCs w:val="20"/>
          <w:color w:val="auto"/>
        </w:rPr>
      </w:pPr>
      <w:r>
        <w:rPr>
          <w:rFonts w:ascii="Times New Roman" w:cs="Times New Roman" w:eastAsia="Times New Roman" w:hAnsi="Times New Roman"/>
          <w:sz w:val="18"/>
          <w:szCs w:val="18"/>
          <w:color w:val="auto"/>
        </w:rPr>
        <w:t>See Note 9, “Income taxes” to the Company’s consolidated financial statements included in Item 8 of this Annual Report on Form 10-K for further discussion on the effective tax rate.</w:t>
      </w:r>
    </w:p>
    <w:p>
      <w:pPr>
        <w:spacing w:after="0" w:line="1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43" w:lineRule="exact"/>
        <w:rPr>
          <w:sz w:val="20"/>
          <w:szCs w:val="20"/>
          <w:color w:val="auto"/>
        </w:rPr>
      </w:pPr>
    </w:p>
    <w:p>
      <w:pPr>
        <w:ind w:left="60" w:right="79" w:firstLine="427"/>
        <w:spacing w:after="0" w:line="313" w:lineRule="auto"/>
        <w:rPr>
          <w:sz w:val="20"/>
          <w:szCs w:val="20"/>
          <w:color w:val="auto"/>
        </w:rPr>
      </w:pPr>
      <w:r>
        <w:rPr>
          <w:rFonts w:ascii="Times New Roman" w:cs="Times New Roman" w:eastAsia="Times New Roman" w:hAnsi="Times New Roman"/>
          <w:sz w:val="18"/>
          <w:szCs w:val="18"/>
          <w:color w:val="auto"/>
        </w:rPr>
        <w:t>As a result of the factors described in the preceding sections of this MD&amp;A, the Company’s net income in fiscal 2025 was $240.2 million, or earnings per share on a diluted basis of $2.75, compared with fiscal 2024 net income of $498.7 million, or earnings per share on a diluted basis of $5.43.</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left="60" w:right="59" w:firstLine="427"/>
        <w:spacing w:after="0" w:line="302" w:lineRule="auto"/>
        <w:rPr>
          <w:sz w:val="20"/>
          <w:szCs w:val="20"/>
          <w:color w:val="auto"/>
        </w:rPr>
      </w:pPr>
      <w:r>
        <w:rPr>
          <w:rFonts w:ascii="Times New Roman" w:cs="Times New Roman" w:eastAsia="Times New Roman" w:hAnsi="Times New Roman"/>
          <w:sz w:val="18"/>
          <w:szCs w:val="18"/>
          <w:color w:val="auto"/>
        </w:rPr>
        <w:t>Net cash provided by operating activities was $724.5 million during fiscal 2025, compared to net cash provided by operating activities of $690.0 million during fiscal 2024. The $34.5 million increase in net cash provided by operating activities year over year is primarily due to improvements in cash used for working capital and other as working capital levels have begun to be more in line with sales including the reduction of inventories, offset by lower cash provided by net income. Cash generated by working capital and other was $402.2 million during fiscal 2025, compared to cash generated by working capital of $11.2 million during fiscal 2024, with the difference attributable primarily to decreases in inventory purchases and the timing of payments for inventory purchases. The Company also had decreases in accounts receivable due to cash collections and lower sales when compared to the prior fiscal year. Included in other, net was a gain of $9.2 million recognized on the sale of a building during fiscal 2025. The Company received $90.7 million of cash from legal settlements during fiscal 2024.</w:t>
      </w:r>
    </w:p>
    <w:p>
      <w:pPr>
        <w:spacing w:after="0" w:line="1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41" w:lineRule="exact"/>
        <w:rPr>
          <w:sz w:val="20"/>
          <w:szCs w:val="20"/>
          <w:color w:val="auto"/>
        </w:rPr>
      </w:pPr>
    </w:p>
    <w:p>
      <w:pPr>
        <w:ind w:left="60" w:right="119" w:firstLine="427"/>
        <w:spacing w:after="0" w:line="303" w:lineRule="auto"/>
        <w:rPr>
          <w:sz w:val="20"/>
          <w:szCs w:val="20"/>
          <w:color w:val="auto"/>
        </w:rPr>
      </w:pPr>
      <w:r>
        <w:rPr>
          <w:rFonts w:ascii="Times New Roman" w:cs="Times New Roman" w:eastAsia="Times New Roman" w:hAnsi="Times New Roman"/>
          <w:sz w:val="18"/>
          <w:szCs w:val="18"/>
          <w:color w:val="auto"/>
        </w:rPr>
        <w:t>Net repayments of debt totaled $274.9 million during fiscal 2025, including the repayment of $357.3 million under the Credit Facility, and $2.5 million for other debt, offset by net proceeds of $84.9 million under the Securitization Program. This compares to $156.5 million of net repayments during fiscal 2024. The Company paid cash dividends to shareholders of $1.32 per share, or $113.3 million, during fiscal 2025 as compared to $1.24 per share, or $112.0 million, during fiscal 2024. The Company has repurchased $303.5 million of common stock under the share repurchase plan during fiscal 2025 compared to $162.7 million during fiscal 2024.</w:t>
      </w:r>
    </w:p>
    <w:p>
      <w:pPr>
        <w:spacing w:after="0" w:line="1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41" w:lineRule="exact"/>
        <w:rPr>
          <w:sz w:val="20"/>
          <w:szCs w:val="20"/>
          <w:color w:val="auto"/>
        </w:rPr>
      </w:pPr>
    </w:p>
    <w:p>
      <w:pPr>
        <w:ind w:left="60" w:right="279" w:firstLine="427"/>
        <w:spacing w:after="0" w:line="313" w:lineRule="auto"/>
        <w:rPr>
          <w:sz w:val="20"/>
          <w:szCs w:val="20"/>
          <w:color w:val="auto"/>
        </w:rPr>
      </w:pPr>
      <w:r>
        <w:rPr>
          <w:rFonts w:ascii="Times New Roman" w:cs="Times New Roman" w:eastAsia="Times New Roman" w:hAnsi="Times New Roman"/>
          <w:sz w:val="18"/>
          <w:szCs w:val="18"/>
          <w:color w:val="auto"/>
        </w:rPr>
        <w:t>The Company’s purchases of property, plant and equipment decreased during fiscal 2025 by $79.0 million, when compared to fiscal 2024, primarily due to a distribution center investment in EMEA in fiscal 2024. Included in other, net were net proceeds of $9.2 million on the sale of a building received during fiscal 2025.</w:t>
      </w:r>
    </w:p>
    <w:p>
      <w:pPr>
        <w:sectPr>
          <w:pgSz w:w="11900" w:h="16838" w:orient="portrait"/>
          <w:cols w:equalWidth="0" w:num="1">
            <w:col w:w="9019"/>
          </w:cols>
          <w:pgMar w:left="1440" w:top="513"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Transactions</w:t>
      </w:r>
    </w:p>
    <w:p>
      <w:pPr>
        <w:spacing w:after="0" w:line="243" w:lineRule="exact"/>
        <w:rPr>
          <w:sz w:val="20"/>
          <w:szCs w:val="20"/>
          <w:color w:val="auto"/>
        </w:rPr>
      </w:pPr>
    </w:p>
    <w:p>
      <w:pPr>
        <w:ind w:left="60" w:right="239" w:firstLine="427"/>
        <w:spacing w:after="0" w:line="305" w:lineRule="auto"/>
        <w:rPr>
          <w:sz w:val="20"/>
          <w:szCs w:val="20"/>
          <w:color w:val="auto"/>
        </w:rPr>
      </w:pPr>
      <w:r>
        <w:rPr>
          <w:rFonts w:ascii="Times New Roman" w:cs="Times New Roman" w:eastAsia="Times New Roman" w:hAnsi="Times New Roman"/>
          <w:sz w:val="18"/>
          <w:szCs w:val="18"/>
          <w:color w:val="auto"/>
        </w:rPr>
        <w:t>The Company uses a variety of financing arrangements, both short-term and long-term, to fund its operations in addition to historical cash generated from operating activities. The Company also uses several funding sources to avoid becoming overly dependent on one financing source, and to lower overall funding costs. These financing arrangements include public debt (“Notes”), short-term and long-term bank loans, a revolving credit facility (the “Credit Facility”), and an accounts receivable securitization program (the “Securitization Program”).</w:t>
      </w:r>
    </w:p>
    <w:p>
      <w:pPr>
        <w:spacing w:after="0" w:line="143" w:lineRule="exact"/>
        <w:rPr>
          <w:sz w:val="20"/>
          <w:szCs w:val="20"/>
          <w:color w:val="auto"/>
        </w:rPr>
      </w:pPr>
    </w:p>
    <w:p>
      <w:pPr>
        <w:ind w:left="60" w:right="79" w:firstLine="427"/>
        <w:spacing w:after="0" w:line="313" w:lineRule="auto"/>
        <w:rPr>
          <w:sz w:val="20"/>
          <w:szCs w:val="20"/>
          <w:color w:val="auto"/>
        </w:rPr>
      </w:pPr>
      <w:r>
        <w:rPr>
          <w:rFonts w:ascii="Times New Roman" w:cs="Times New Roman" w:eastAsia="Times New Roman" w:hAnsi="Times New Roman"/>
          <w:sz w:val="18"/>
          <w:szCs w:val="18"/>
          <w:color w:val="auto"/>
        </w:rPr>
        <w:t>The Company has various lines of credit, financing arrangements, and other forms of bank debt in the U.S. and various foreign locations to fund the short-term working capital, foreign exchange, overdraft, capital expenditure, and letter of credit needs of its wholly owned subsidiaries. Outstanding borrowings under such forms of debt at the end of fiscal 2025 was $24.9 million.</w:t>
      </w:r>
    </w:p>
    <w:p>
      <w:pPr>
        <w:spacing w:after="0" w:line="135" w:lineRule="exact"/>
        <w:rPr>
          <w:sz w:val="20"/>
          <w:szCs w:val="20"/>
          <w:color w:val="auto"/>
        </w:rPr>
      </w:pPr>
    </w:p>
    <w:p>
      <w:pPr>
        <w:ind w:left="60" w:right="339" w:firstLine="427"/>
        <w:spacing w:after="0" w:line="305" w:lineRule="auto"/>
        <w:rPr>
          <w:sz w:val="20"/>
          <w:szCs w:val="20"/>
          <w:color w:val="auto"/>
        </w:rPr>
      </w:pPr>
      <w:r>
        <w:rPr>
          <w:rFonts w:ascii="Times New Roman" w:cs="Times New Roman" w:eastAsia="Times New Roman" w:hAnsi="Times New Roman"/>
          <w:sz w:val="18"/>
          <w:szCs w:val="18"/>
          <w:color w:val="auto"/>
        </w:rPr>
        <w:t>As an alternative form of liquidity outside of the United States, the Company sells certain of its trade accounts receivable on a non-recourse basis to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 are classified within “Interest and other financing expenses, net” of the consolidated financial statements.</w:t>
      </w:r>
    </w:p>
    <w:p>
      <w:pPr>
        <w:spacing w:after="0" w:line="143" w:lineRule="exact"/>
        <w:rPr>
          <w:sz w:val="20"/>
          <w:szCs w:val="20"/>
          <w:color w:val="auto"/>
        </w:rPr>
      </w:pPr>
    </w:p>
    <w:p>
      <w:pPr>
        <w:ind w:left="60" w:right="219" w:firstLine="427"/>
        <w:spacing w:after="0" w:line="321" w:lineRule="auto"/>
        <w:rPr>
          <w:sz w:val="20"/>
          <w:szCs w:val="20"/>
          <w:color w:val="auto"/>
        </w:rPr>
      </w:pPr>
      <w:r>
        <w:rPr>
          <w:rFonts w:ascii="Times New Roman" w:cs="Times New Roman" w:eastAsia="Times New Roman" w:hAnsi="Times New Roman"/>
          <w:sz w:val="18"/>
          <w:szCs w:val="18"/>
          <w:color w:val="auto"/>
        </w:rPr>
        <w:t>See Note 7, “Debt” to the Company’s consolidated financial statements included in Item 8 of this Annual Report on Form 10-K for additional information on financing transactions including the Credit Facility, the Securitization Program and the outstanding Notes as of June 28, 2025.</w:t>
      </w:r>
    </w:p>
    <w:p>
      <w:pPr>
        <w:spacing w:after="0" w:line="1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Covenants and Conditions</w:t>
      </w:r>
    </w:p>
    <w:p>
      <w:pPr>
        <w:spacing w:after="0" w:line="229" w:lineRule="exact"/>
        <w:rPr>
          <w:sz w:val="20"/>
          <w:szCs w:val="20"/>
          <w:color w:val="auto"/>
        </w:rPr>
      </w:pPr>
    </w:p>
    <w:p>
      <w:pPr>
        <w:ind w:left="60" w:right="179" w:firstLine="427"/>
        <w:spacing w:after="0" w:line="307" w:lineRule="auto"/>
        <w:rPr>
          <w:sz w:val="20"/>
          <w:szCs w:val="20"/>
          <w:color w:val="auto"/>
        </w:rPr>
      </w:pPr>
      <w:r>
        <w:rPr>
          <w:rFonts w:ascii="Times New Roman" w:cs="Times New Roman" w:eastAsia="Times New Roman" w:hAnsi="Times New Roman"/>
          <w:sz w:val="18"/>
          <w:szCs w:val="18"/>
          <w:color w:val="auto"/>
        </w:rPr>
        <w:t>The Company’s Credit Facility contains certain covenants with various limitations on debt incurrence, share repurchases, dividends, investments and capital expenditures, and also includes a financial covenant requiring the Company to maintain a leverage ratio below a certain threshold. The Company was in compliance with all such covenants as of June 28, 2025.</w:t>
      </w:r>
    </w:p>
    <w:p>
      <w:pPr>
        <w:spacing w:after="0" w:line="156" w:lineRule="exact"/>
        <w:rPr>
          <w:sz w:val="20"/>
          <w:szCs w:val="20"/>
          <w:color w:val="auto"/>
        </w:rPr>
      </w:pPr>
    </w:p>
    <w:p>
      <w:pPr>
        <w:ind w:left="60" w:right="119" w:firstLine="427"/>
        <w:spacing w:after="0" w:line="302" w:lineRule="auto"/>
        <w:rPr>
          <w:sz w:val="20"/>
          <w:szCs w:val="20"/>
          <w:color w:val="auto"/>
        </w:rPr>
      </w:pPr>
      <w:r>
        <w:rPr>
          <w:rFonts w:ascii="Times New Roman" w:cs="Times New Roman" w:eastAsia="Times New Roman" w:hAnsi="Times New Roman"/>
          <w:sz w:val="18"/>
          <w:szCs w:val="18"/>
          <w:color w:val="auto"/>
        </w:rPr>
        <w:t>The Company’s Securitization Program contains certain covenants relating to the quality of the receivables sold. If these conditions are not met, the Company may not be able to borrow any additional funds and the financial institutions may consider this an amortization event, as defined in the Securitization Program agreements, which would permit the financial institutions to liquidate the accounts receivables sold to cover any outstanding borrowings. Circumstances that could affect the Company’s ability to meet the required covenants and conditions of the Securitization Program include the Company’s ongoing profitability and various other economic, market, and industry factors. The Company was in compliance with all such covenants as of June 28, 2025.</w:t>
      </w:r>
    </w:p>
    <w:p>
      <w:pPr>
        <w:spacing w:after="0" w:line="148" w:lineRule="exact"/>
        <w:rPr>
          <w:sz w:val="20"/>
          <w:szCs w:val="20"/>
          <w:color w:val="auto"/>
        </w:rPr>
      </w:pPr>
    </w:p>
    <w:p>
      <w:pPr>
        <w:ind w:left="60" w:right="679" w:firstLine="427"/>
        <w:spacing w:after="0" w:line="344" w:lineRule="auto"/>
        <w:rPr>
          <w:sz w:val="20"/>
          <w:szCs w:val="20"/>
          <w:color w:val="auto"/>
        </w:rPr>
      </w:pPr>
      <w:r>
        <w:rPr>
          <w:rFonts w:ascii="Times New Roman" w:cs="Times New Roman" w:eastAsia="Times New Roman" w:hAnsi="Times New Roman"/>
          <w:sz w:val="18"/>
          <w:szCs w:val="18"/>
          <w:color w:val="auto"/>
        </w:rPr>
        <w:t>Management does not believe that the covenants under the Credit Facility or Securitization Program limit the Company’s ability to pursue its intended business strategy or its future financing needs.</w:t>
      </w:r>
    </w:p>
    <w:p>
      <w:pPr>
        <w:spacing w:after="0" w:line="1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Liquidity</w:t>
      </w:r>
      <w:r>
        <w:rPr>
          <w:rFonts w:ascii="Times New Roman" w:cs="Times New Roman" w:eastAsia="Times New Roman" w:hAnsi="Times New Roman"/>
          <w:sz w:val="18"/>
          <w:szCs w:val="18"/>
          <w:color w:val="auto"/>
        </w:rPr>
        <w:t xml:space="preserve"> below for further discussion of the Company’s availability under these various facilities.</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43" w:lineRule="exact"/>
        <w:rPr>
          <w:sz w:val="20"/>
          <w:szCs w:val="20"/>
          <w:color w:val="auto"/>
        </w:rPr>
      </w:pPr>
    </w:p>
    <w:p>
      <w:pPr>
        <w:jc w:val="both"/>
        <w:ind w:left="60" w:right="379" w:firstLine="427"/>
        <w:spacing w:after="0" w:line="313" w:lineRule="auto"/>
        <w:rPr>
          <w:sz w:val="20"/>
          <w:szCs w:val="20"/>
          <w:color w:val="auto"/>
        </w:rPr>
      </w:pPr>
      <w:r>
        <w:rPr>
          <w:rFonts w:ascii="Times New Roman" w:cs="Times New Roman" w:eastAsia="Times New Roman" w:hAnsi="Times New Roman"/>
          <w:sz w:val="18"/>
          <w:szCs w:val="18"/>
          <w:color w:val="auto"/>
        </w:rPr>
        <w:t>The Company held cash and cash equivalents of $192.4 million as of June 28, 2025, of which $181.8 million was held outside the United States. As of June 29, 2024, the Company held cash and cash equivalents of $310.9 million, of which $179.6 million was held outside of the United States.</w:t>
      </w:r>
    </w:p>
    <w:p>
      <w:pPr>
        <w:sectPr>
          <w:pgSz w:w="11900" w:h="16838" w:orient="portrait"/>
          <w:cols w:equalWidth="0" w:num="1">
            <w:col w:w="9019"/>
          </w:cols>
          <w:pgMar w:left="1440" w:top="513"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79" w:firstLine="427"/>
        <w:spacing w:after="0" w:line="313" w:lineRule="auto"/>
        <w:rPr>
          <w:sz w:val="20"/>
          <w:szCs w:val="20"/>
          <w:color w:val="auto"/>
        </w:rPr>
      </w:pPr>
      <w:r>
        <w:rPr>
          <w:rFonts w:ascii="Times New Roman" w:cs="Times New Roman" w:eastAsia="Times New Roman" w:hAnsi="Times New Roman"/>
          <w:sz w:val="18"/>
          <w:szCs w:val="18"/>
          <w:color w:val="auto"/>
        </w:rPr>
        <w:t>During periods of weakening demand in the electronic components industry, the Company typically generates cash from operating activities. Conversely, the Company will use cash for working capital requirements during periods of higher growth. The Company generated $724.5 million in cash flows for operating activities during the fiscal year ended June 28, 2025.</w:t>
      </w:r>
    </w:p>
    <w:p>
      <w:pPr>
        <w:spacing w:after="0" w:line="135" w:lineRule="exact"/>
        <w:rPr>
          <w:sz w:val="20"/>
          <w:szCs w:val="20"/>
          <w:color w:val="auto"/>
        </w:rPr>
      </w:pPr>
    </w:p>
    <w:p>
      <w:pPr>
        <w:ind w:left="60" w:right="159" w:firstLine="427"/>
        <w:spacing w:after="0" w:line="302" w:lineRule="auto"/>
        <w:rPr>
          <w:sz w:val="20"/>
          <w:szCs w:val="20"/>
          <w:color w:val="auto"/>
        </w:rPr>
      </w:pPr>
      <w:r>
        <w:rPr>
          <w:rFonts w:ascii="Times New Roman" w:cs="Times New Roman" w:eastAsia="Times New Roman" w:hAnsi="Times New Roman"/>
          <w:sz w:val="18"/>
          <w:szCs w:val="18"/>
          <w:color w:val="auto"/>
        </w:rPr>
        <w:t>Liquidity is subject to many factors, such as normal business operations and general economic, financial, competitive, legislative, and regulatory factors that are beyond the Company’s control. Cash balances held in foreign locations that cannot be remitted back to the U.S. in a tax efficient manner are generally used for ongoing working capital, including the need to purchase inventories, capital expenditures and other foreign business needs.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61" w:lineRule="exact"/>
        <w:rPr>
          <w:sz w:val="20"/>
          <w:szCs w:val="20"/>
          <w:color w:val="auto"/>
        </w:rPr>
      </w:pPr>
    </w:p>
    <w:p>
      <w:pPr>
        <w:ind w:left="60" w:right="59" w:firstLine="427"/>
        <w:spacing w:after="0" w:line="301" w:lineRule="auto"/>
        <w:rPr>
          <w:sz w:val="20"/>
          <w:szCs w:val="20"/>
          <w:color w:val="auto"/>
        </w:rPr>
      </w:pPr>
      <w:r>
        <w:rPr>
          <w:rFonts w:ascii="Times New Roman" w:cs="Times New Roman" w:eastAsia="Times New Roman" w:hAnsi="Times New Roman"/>
          <w:sz w:val="18"/>
          <w:szCs w:val="18"/>
          <w:color w:val="auto"/>
        </w:rPr>
        <w:t>As of June 28, 2025, there were $411.6 million of borrowings outstanding under the Credit Facility and $0.9 million in letters of credit issued, and $500.0 million outstanding under the Securitization Program. During fiscal 2025, the Company had an average daily balance outstanding under the Credit Facility of approximately $1.00 billion and $490.5 million under the Securitization Program. During fiscal 2024, the Company had an average daily balance outstanding under the Credit Facility of approximately $1.17 billion and $596.7 million under the Securitization Program. The Company expects to redeem the $550.0 million of 4.63% Notes due April 2026 either through the issuance of new debt or from available borrowing capacity under the Credit Facility. As of June 28, 2025, the combined availability under the Credit Facility and the Securitization Program was $1.09 billion. Availability under the Securitization Program is subject to the Company having sufficient eligible trade accounts receivable in the United States to support desired borrowings.</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has the following contractual obligations outstanding as of June 28, 2025 (in millions):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0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0" w:type="dxa"/>
            <w:vAlign w:val="bottom"/>
          </w:tcPr>
          <w:p>
            <w:pPr>
              <w:spacing w:after="0"/>
              <w:rPr>
                <w:sz w:val="1"/>
                <w:szCs w:val="1"/>
                <w:color w:val="auto"/>
              </w:rPr>
            </w:pPr>
          </w:p>
        </w:tc>
      </w:tr>
      <w:tr>
        <w:trPr>
          <w:trHeight w:val="194"/>
        </w:trPr>
        <w:tc>
          <w:tcPr>
            <w:tcW w:w="3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7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3-5 years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0" w:type="dxa"/>
            <w:vAlign w:val="bottom"/>
          </w:tcPr>
          <w:p>
            <w:pPr>
              <w:spacing w:after="0"/>
              <w:rPr>
                <w:sz w:val="1"/>
                <w:szCs w:val="1"/>
                <w:color w:val="auto"/>
              </w:rPr>
            </w:pPr>
          </w:p>
        </w:tc>
      </w:tr>
      <w:tr>
        <w:trPr>
          <w:trHeight w:val="216"/>
        </w:trPr>
        <w:tc>
          <w:tcPr>
            <w:tcW w:w="3740" w:type="dxa"/>
            <w:vAlign w:val="bottom"/>
            <w:tcBorders>
              <w:top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Long-term debt obligations</w:t>
            </w:r>
            <w:r>
              <w:rPr>
                <w:rFonts w:ascii="Times New Roman" w:cs="Times New Roman" w:eastAsia="Times New Roman" w:hAnsi="Times New Roman"/>
                <w:sz w:val="25"/>
                <w:szCs w:val="25"/>
                <w:color w:val="auto"/>
                <w:vertAlign w:val="superscript"/>
              </w:rPr>
              <w:t>(1)</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Interest expense on long-term debt obligations</w:t>
            </w:r>
            <w:r>
              <w:rPr>
                <w:rFonts w:ascii="Times New Roman" w:cs="Times New Roman" w:eastAsia="Times New Roman" w:hAnsi="Times New Roman"/>
                <w:sz w:val="25"/>
                <w:szCs w:val="25"/>
                <w:color w:val="auto"/>
                <w:vertAlign w:val="superscript"/>
              </w:rPr>
              <w:t>(2)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Operating lease obligations</w:t>
            </w:r>
            <w:r>
              <w:rPr>
                <w:rFonts w:ascii="Times New Roman" w:cs="Times New Roman" w:eastAsia="Times New Roman" w:hAnsi="Times New Roman"/>
                <w:sz w:val="25"/>
                <w:szCs w:val="25"/>
                <w:color w:val="auto"/>
                <w:vertAlign w:val="superscript"/>
              </w:rPr>
              <w:t>(3)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163195</wp:posOffset>
            </wp:positionV>
            <wp:extent cx="14141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10" w:lineRule="exact"/>
        <w:rPr>
          <w:sz w:val="20"/>
          <w:szCs w:val="20"/>
          <w:color w:val="auto"/>
        </w:rPr>
      </w:pPr>
    </w:p>
    <w:p>
      <w:pPr>
        <w:ind w:left="380" w:hanging="330"/>
        <w:spacing w:after="0"/>
        <w:tabs>
          <w:tab w:leader="none" w:pos="380"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amounts due within one year and excludes unamortized discount and issuance costs on debt.</w:t>
      </w:r>
    </w:p>
    <w:p>
      <w:pPr>
        <w:spacing w:after="0" w:line="42" w:lineRule="exact"/>
        <w:rPr>
          <w:rFonts w:ascii="Times New Roman" w:cs="Times New Roman" w:eastAsia="Times New Roman" w:hAnsi="Times New Roman"/>
          <w:sz w:val="27"/>
          <w:szCs w:val="27"/>
          <w:color w:val="auto"/>
          <w:vertAlign w:val="superscript"/>
        </w:rPr>
      </w:pPr>
    </w:p>
    <w:p>
      <w:pPr>
        <w:ind w:left="380" w:right="119" w:hanging="330"/>
        <w:spacing w:after="0" w:line="218" w:lineRule="auto"/>
        <w:tabs>
          <w:tab w:leader="none" w:pos="380"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interest expense due on debt by using fixed interest rates for fixed rate debt and assuming the same interest rate at the end of fiscal 2025 for variable rate debt.</w:t>
      </w:r>
    </w:p>
    <w:p>
      <w:pPr>
        <w:ind w:left="380" w:hanging="330"/>
        <w:spacing w:after="0" w:line="198" w:lineRule="auto"/>
        <w:tabs>
          <w:tab w:leader="none" w:pos="380"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Excludes imputed interest on operating lease liabilities.</w:t>
      </w:r>
    </w:p>
    <w:p>
      <w:pPr>
        <w:spacing w:after="0" w:line="198" w:lineRule="exact"/>
        <w:rPr>
          <w:sz w:val="20"/>
          <w:szCs w:val="20"/>
          <w:color w:val="auto"/>
        </w:rPr>
      </w:pPr>
    </w:p>
    <w:p>
      <w:pPr>
        <w:ind w:left="60" w:right="139" w:firstLine="427"/>
        <w:spacing w:after="0" w:line="305" w:lineRule="auto"/>
        <w:rPr>
          <w:sz w:val="20"/>
          <w:szCs w:val="20"/>
          <w:color w:val="auto"/>
        </w:rPr>
      </w:pPr>
      <w:r>
        <w:rPr>
          <w:rFonts w:ascii="Times New Roman" w:cs="Times New Roman" w:eastAsia="Times New Roman" w:hAnsi="Times New Roman"/>
          <w:sz w:val="18"/>
          <w:szCs w:val="18"/>
          <w:color w:val="auto"/>
        </w:rPr>
        <w:t>The Company purchases inventories in the normal course of business throughout the year through the issuance of purchase orders to suppliers. During fiscal 2025, the Company’s cost of sales, substantially all of which related to the underlying purchase of inventories was $19.8 billion and the Company had $5.2 billion of inventories as of June 28, 2025. The Company expects to continue to purchase sufficient inventory to meet its customers’ demands in fiscal year 2026, some of which relates to outstanding purchase orders at the end of fiscal 2025. Outstanding purchase orders with suppliers may be non-cancellable/non-returnable at the point such orders are issued or may become non-cancellable at some point in the future, typically within 30 days to 90 days from the requested delivery date of inventories.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19" w:firstLine="427"/>
        <w:spacing w:after="0" w:line="313" w:lineRule="auto"/>
        <w:rPr>
          <w:sz w:val="20"/>
          <w:szCs w:val="20"/>
          <w:color w:val="auto"/>
        </w:rPr>
      </w:pPr>
      <w:r>
        <w:rPr>
          <w:rFonts w:ascii="Times New Roman" w:cs="Times New Roman" w:eastAsia="Times New Roman" w:hAnsi="Times New Roman"/>
          <w:sz w:val="18"/>
          <w:szCs w:val="18"/>
          <w:color w:val="auto"/>
        </w:rPr>
        <w:t>At June 28, 2025, the Company had an estimated liability for income tax contingencies of $120.5 million, which is not included in the above table. Immaterial cash payments associated with the settlement of these liabilities are expected to be paid within the next 12 months. The settlement period for the remaining amount of the unrecognized tax benefits, including related accrued interest and penalties, cannot be determined, and therefore was not included in the table.</w:t>
      </w:r>
    </w:p>
    <w:p>
      <w:pPr>
        <w:spacing w:after="0" w:line="135" w:lineRule="exact"/>
        <w:rPr>
          <w:sz w:val="20"/>
          <w:szCs w:val="20"/>
          <w:color w:val="auto"/>
        </w:rPr>
      </w:pPr>
    </w:p>
    <w:p>
      <w:pPr>
        <w:ind w:left="60" w:right="159" w:firstLine="427"/>
        <w:spacing w:after="0" w:line="305" w:lineRule="auto"/>
        <w:rPr>
          <w:sz w:val="20"/>
          <w:szCs w:val="20"/>
          <w:color w:val="auto"/>
        </w:rPr>
      </w:pPr>
      <w:r>
        <w:rPr>
          <w:rFonts w:ascii="Times New Roman" w:cs="Times New Roman" w:eastAsia="Times New Roman" w:hAnsi="Times New Roman"/>
          <w:sz w:val="18"/>
          <w:szCs w:val="18"/>
          <w:color w:val="auto"/>
        </w:rPr>
        <w:t>As of June 28, 2025, the Company may repurchase up to an aggregate of $364.1 million of shares of the Company’s common stock through the share repurchase program approved by the Board of Directors. The Company may repurchase stock from time to time at the discretion of management, subject to strategic considerations, market conditions including share price and other factors. The Company may terminate or limit the share repurchase program at any time without prior notice. During fiscal 2025, the Company repurchased $301.4 million of common stock.</w:t>
      </w:r>
    </w:p>
    <w:p>
      <w:pPr>
        <w:spacing w:after="0" w:line="156" w:lineRule="exact"/>
        <w:rPr>
          <w:sz w:val="20"/>
          <w:szCs w:val="20"/>
          <w:color w:val="auto"/>
        </w:rPr>
      </w:pPr>
    </w:p>
    <w:p>
      <w:pPr>
        <w:jc w:val="both"/>
        <w:ind w:left="60" w:right="159" w:firstLine="427"/>
        <w:spacing w:after="0" w:line="313" w:lineRule="auto"/>
        <w:rPr>
          <w:sz w:val="20"/>
          <w:szCs w:val="20"/>
          <w:color w:val="auto"/>
        </w:rPr>
      </w:pPr>
      <w:r>
        <w:rPr>
          <w:rFonts w:ascii="Times New Roman" w:cs="Times New Roman" w:eastAsia="Times New Roman" w:hAnsi="Times New Roman"/>
          <w:sz w:val="18"/>
          <w:szCs w:val="18"/>
          <w:color w:val="auto"/>
        </w:rPr>
        <w:t>The Company has historically paid quarterly cash dividends on shares of its common stock, and future dividends are subject to approval by the Board of Directors. During the fourth quarter of fiscal 2025, the Board of Directors approved a dividend of $0.33 per share, which resulted in $27.7 million of dividend payments during the quarter.</w:t>
      </w:r>
    </w:p>
    <w:p>
      <w:pPr>
        <w:spacing w:after="0" w:line="135" w:lineRule="exact"/>
        <w:rPr>
          <w:sz w:val="20"/>
          <w:szCs w:val="20"/>
          <w:color w:val="auto"/>
        </w:rPr>
      </w:pPr>
    </w:p>
    <w:p>
      <w:pPr>
        <w:ind w:left="60" w:right="99" w:firstLine="427"/>
        <w:spacing w:after="0" w:line="305" w:lineRule="auto"/>
        <w:rPr>
          <w:sz w:val="20"/>
          <w:szCs w:val="20"/>
          <w:color w:val="auto"/>
        </w:rPr>
      </w:pPr>
      <w:r>
        <w:rPr>
          <w:rFonts w:ascii="Times New Roman" w:cs="Times New Roman" w:eastAsia="Times New Roman" w:hAnsi="Times New Roman"/>
          <w:sz w:val="18"/>
          <w:szCs w:val="18"/>
          <w:color w:val="auto"/>
        </w:rPr>
        <w:t>The Company continually monitors and reviews its liquidity position and funding needs. Management believes that the Company’s ability to generate operating cash flows through the liquidation of working capital in the future and available borrowing capacity, including capacity for the non-recourse sale of trade accounts receivable, will be sufficient to meet its future liquidity needs. Additionally, the Company believes that it has sufficient access to additional liquidity from the capital markets if necessary.</w:t>
      </w:r>
    </w:p>
    <w:p>
      <w:pPr>
        <w:spacing w:after="0" w:line="156" w:lineRule="exact"/>
        <w:rPr>
          <w:sz w:val="20"/>
          <w:szCs w:val="20"/>
          <w:color w:val="auto"/>
        </w:rPr>
      </w:pPr>
    </w:p>
    <w:p>
      <w:pPr>
        <w:ind w:left="60" w:right="139" w:firstLine="427"/>
        <w:spacing w:after="0" w:line="313" w:lineRule="auto"/>
        <w:rPr>
          <w:sz w:val="20"/>
          <w:szCs w:val="20"/>
          <w:color w:val="auto"/>
        </w:rPr>
      </w:pPr>
      <w:r>
        <w:rPr>
          <w:rFonts w:ascii="Times New Roman" w:cs="Times New Roman" w:eastAsia="Times New Roman" w:hAnsi="Times New Roman"/>
          <w:sz w:val="18"/>
          <w:szCs w:val="18"/>
          <w:color w:val="auto"/>
        </w:rPr>
        <w:t>During fiscal 2026 the Company may use cash for investing and financing activities including the payment of cash dividends and capital expenditures for distribution centers and information systems including digital tools and capabilities. The Company may also use cash in fiscal 2026 for share repurchases and for acquisitions.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left="60" w:right="159" w:firstLine="427"/>
        <w:spacing w:after="0" w:line="309"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GAAP. The preparation of these consolidated financial statements requires the Company to make estimates and assumptions that affect the reported amounts of assets, liabilities, sales and expenses. These estimates and assumptions are based upon the Company’s continual evaluation of available information, including historical results and anticipated future events. Actual results may differ materially from these estimates.</w:t>
      </w:r>
    </w:p>
    <w:p>
      <w:pPr>
        <w:spacing w:after="0" w:line="139" w:lineRule="exact"/>
        <w:rPr>
          <w:sz w:val="20"/>
          <w:szCs w:val="20"/>
          <w:color w:val="auto"/>
        </w:rPr>
      </w:pPr>
    </w:p>
    <w:p>
      <w:pPr>
        <w:ind w:left="60" w:right="279" w:firstLine="427"/>
        <w:spacing w:after="0" w:line="307" w:lineRule="auto"/>
        <w:rPr>
          <w:sz w:val="20"/>
          <w:szCs w:val="20"/>
          <w:color w:val="auto"/>
        </w:rPr>
      </w:pPr>
      <w:r>
        <w:rPr>
          <w:rFonts w:ascii="Times New Roman" w:cs="Times New Roman" w:eastAsia="Times New Roman" w:hAnsi="Times New Roman"/>
          <w:sz w:val="18"/>
          <w:szCs w:val="18"/>
          <w:color w:val="auto"/>
        </w:rPr>
        <w:t>The Securities and Exchange Commission defines critical accounting policies as those that are, in management’s view, most important to the portrayal of the Company’s financial condition and results of operations and that require significant judgments and estimates. Management believes the Company’s most critical accounting policies at the end of fiscal 2025 relate to the valuation of inventories and accounting for income taxes.</w:t>
      </w:r>
    </w:p>
    <w:p>
      <w:pPr>
        <w:spacing w:after="0" w:line="1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Inventories</w:t>
      </w:r>
    </w:p>
    <w:p>
      <w:pPr>
        <w:spacing w:after="0" w:line="243" w:lineRule="exact"/>
        <w:rPr>
          <w:sz w:val="20"/>
          <w:szCs w:val="20"/>
          <w:color w:val="auto"/>
        </w:rPr>
      </w:pPr>
    </w:p>
    <w:p>
      <w:pPr>
        <w:ind w:left="60" w:right="79" w:firstLine="427"/>
        <w:spacing w:after="0" w:line="307" w:lineRule="auto"/>
        <w:rPr>
          <w:sz w:val="20"/>
          <w:szCs w:val="20"/>
          <w:color w:val="auto"/>
        </w:rPr>
      </w:pPr>
      <w:r>
        <w:rPr>
          <w:rFonts w:ascii="Times New Roman" w:cs="Times New Roman" w:eastAsia="Times New Roman" w:hAnsi="Times New Roman"/>
          <w:sz w:val="18"/>
          <w:szCs w:val="18"/>
          <w:color w:val="auto"/>
        </w:rPr>
        <w:t>Inventories are recorded at the lower of cost or estimated net realizable value. Inventory cost includes the purchase price of finished goods, and any freight cost incurred to receive the inventory into the Company’s distribution centers. The Company’s inventories include electronic components sold into changing, cyclical, and competitive markets, so inventories may decline in market value or become obsolete.</w:t>
      </w:r>
    </w:p>
    <w:p>
      <w:pPr>
        <w:spacing w:after="0" w:line="142" w:lineRule="exact"/>
        <w:rPr>
          <w:sz w:val="20"/>
          <w:szCs w:val="20"/>
          <w:color w:val="auto"/>
        </w:rPr>
      </w:pPr>
    </w:p>
    <w:p>
      <w:pPr>
        <w:ind w:left="60" w:right="299" w:firstLine="427"/>
        <w:spacing w:after="0" w:line="338" w:lineRule="auto"/>
        <w:rPr>
          <w:sz w:val="20"/>
          <w:szCs w:val="20"/>
          <w:color w:val="auto"/>
        </w:rPr>
      </w:pPr>
      <w:r>
        <w:rPr>
          <w:rFonts w:ascii="Times New Roman" w:cs="Times New Roman" w:eastAsia="Times New Roman" w:hAnsi="Times New Roman"/>
          <w:sz w:val="17"/>
          <w:szCs w:val="17"/>
          <w:color w:val="auto"/>
        </w:rPr>
        <w:t>The Company regularly evaluates inventories for expected customer demand, obsolescence, current market prices, and other factors that may render inventories less marketable. Write-downs are recorded so that inventories reflect the estimated net realizable value and take into account the Company’s contractual provisions with its suppliers, which may</w:t>
      </w:r>
    </w:p>
    <w:p>
      <w:pPr>
        <w:sectPr>
          <w:pgSz w:w="11900" w:h="16838" w:orient="portrait"/>
          <w:cols w:equalWidth="0" w:num="1">
            <w:col w:w="9019"/>
          </w:cols>
          <w:pgMar w:left="1440" w:top="513"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79"/>
        <w:spacing w:after="0" w:line="304" w:lineRule="auto"/>
        <w:rPr>
          <w:sz w:val="20"/>
          <w:szCs w:val="20"/>
          <w:color w:val="auto"/>
        </w:rPr>
      </w:pPr>
      <w:r>
        <w:rPr>
          <w:rFonts w:ascii="Times New Roman" w:cs="Times New Roman" w:eastAsia="Times New Roman" w:hAnsi="Times New Roman"/>
          <w:sz w:val="18"/>
          <w:szCs w:val="18"/>
          <w:color w:val="auto"/>
        </w:rPr>
        <w:t>provide certain protections to the Company for product obsolescence and price erosion in the form of rights of return, stock rotation rights, obsolescence allowances, industry specific supplier rebate programs and price protections. Because of the large number of products and suppliers and the complexity of managing the process around price protections, supplier rebate programs and stock rotations, estimates are made regarding the net realizable value of inventories. Additionally, assumptions about future demand and market conditions, as well as decisions to discontinue certain product lines, impact the evaluation of whether to write-down inventories. If future demand changes or actual market conditions are less favorable than assumed, then management evaluates whether additional write-downs of inventories are required. In any case, actual net realizable values could be different from those currently estimated.</w:t>
      </w:r>
    </w:p>
    <w:p>
      <w:pPr>
        <w:spacing w:after="0" w:line="1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243" w:lineRule="exact"/>
        <w:rPr>
          <w:sz w:val="20"/>
          <w:szCs w:val="20"/>
          <w:color w:val="auto"/>
        </w:rPr>
      </w:pPr>
    </w:p>
    <w:p>
      <w:pPr>
        <w:ind w:left="60" w:right="79" w:firstLine="427"/>
        <w:spacing w:after="0" w:line="300" w:lineRule="auto"/>
        <w:rPr>
          <w:sz w:val="20"/>
          <w:szCs w:val="20"/>
          <w:color w:val="auto"/>
        </w:rPr>
      </w:pPr>
      <w:r>
        <w:rPr>
          <w:rFonts w:ascii="Times New Roman" w:cs="Times New Roman" w:eastAsia="Times New Roman" w:hAnsi="Times New Roman"/>
          <w:sz w:val="18"/>
          <w:szCs w:val="18"/>
          <w:color w:val="auto"/>
        </w:rPr>
        <w:t>Management’s judgment is required in determining income tax expense, unrecognized tax benefit liabilities, deferred tax assets and liabilities, and valuation allowances recorded against net deferred tax assets. Recovering net deferred tax assets depends on the Company’s ability to generate sufficient future taxable income in certain jurisdictions. In addition, when assessing the need for valuation allowances, the Company considers historic levels and types of income, expectations and risk associated with estimates of future taxable income, and ongoing prudent and feasible tax planning strategies. If the Company determines that it cannot realize all or part of its deferred tax assets in the future, it may record additional valuation allowances against the deferred tax assets with a corresponding increase to income tax expense in the period such determination is made. Similarly, if the Company determines that it can realize all or part of its deferred tax assets that have an associated valuation allowance established, the Company may release a valuation allowance with a corresponding benefit to income tax expense in the period such determination is made.</w:t>
      </w:r>
    </w:p>
    <w:p>
      <w:pPr>
        <w:spacing w:after="0" w:line="153" w:lineRule="exact"/>
        <w:rPr>
          <w:sz w:val="20"/>
          <w:szCs w:val="20"/>
          <w:color w:val="auto"/>
        </w:rPr>
      </w:pPr>
    </w:p>
    <w:p>
      <w:pPr>
        <w:ind w:left="60" w:right="99" w:firstLine="427"/>
        <w:spacing w:after="0" w:line="306" w:lineRule="auto"/>
        <w:rPr>
          <w:sz w:val="20"/>
          <w:szCs w:val="20"/>
          <w:color w:val="auto"/>
        </w:rPr>
      </w:pPr>
      <w:r>
        <w:rPr>
          <w:rFonts w:ascii="Times New Roman" w:cs="Times New Roman" w:eastAsia="Times New Roman" w:hAnsi="Times New Roman"/>
          <w:sz w:val="18"/>
          <w:szCs w:val="18"/>
          <w:color w:val="auto"/>
        </w:rPr>
        <w:t>The Company establishes contingent liabilities for potentially unfavorable outcomes of positions taken on certain tax matters. These liabilities are based on management’s assessment of whether a tax benefit is more likely than not to be sustained upon examination by tax authorities. The anticipated and actual outcomes of these matters may differ, which may result in changes in estimates to such unrecognized tax benefit liabilities. To the extent such changes in estimates are necessary, the Company’s effective tax rate may fluctuate. In accordance with the Company’s accounting policy, accrued interest and penalties related to unrecognized tax benefits are recorded as a component of income tax expense.</w:t>
      </w:r>
    </w:p>
    <w:p>
      <w:pPr>
        <w:spacing w:after="0" w:line="145" w:lineRule="exact"/>
        <w:rPr>
          <w:sz w:val="20"/>
          <w:szCs w:val="20"/>
          <w:color w:val="auto"/>
        </w:rPr>
      </w:pPr>
    </w:p>
    <w:p>
      <w:pPr>
        <w:ind w:left="60" w:right="99" w:firstLine="427"/>
        <w:spacing w:after="0" w:line="305" w:lineRule="auto"/>
        <w:rPr>
          <w:sz w:val="20"/>
          <w:szCs w:val="20"/>
          <w:color w:val="auto"/>
        </w:rPr>
      </w:pPr>
      <w:r>
        <w:rPr>
          <w:rFonts w:ascii="Times New Roman" w:cs="Times New Roman" w:eastAsia="Times New Roman" w:hAnsi="Times New Roman"/>
          <w:sz w:val="18"/>
          <w:szCs w:val="18"/>
          <w:color w:val="auto"/>
        </w:rPr>
        <w:t>In determining the Company’s income tax expense, management considers current tax regulations in the numerous jurisdictions in which it operates, including the impact of tax law and regulation changes in the jurisdictions the Company operates in. The Company exercises judgment for interpretation and application of such current tax regulations. Changes to such tax regulations or disagreements with the Company’s interpretation or application by tax authorities in any of the Company’s major jurisdictions may have a significant impact on the Company’s income tax expense.</w:t>
      </w:r>
    </w:p>
    <w:p>
      <w:pPr>
        <w:spacing w:after="0" w:line="156" w:lineRule="exact"/>
        <w:rPr>
          <w:sz w:val="20"/>
          <w:szCs w:val="20"/>
          <w:color w:val="auto"/>
        </w:rPr>
      </w:pPr>
    </w:p>
    <w:p>
      <w:pPr>
        <w:ind w:left="60" w:right="279" w:firstLine="427"/>
        <w:spacing w:after="0" w:line="362" w:lineRule="auto"/>
        <w:rPr>
          <w:sz w:val="20"/>
          <w:szCs w:val="20"/>
          <w:color w:val="auto"/>
        </w:rPr>
      </w:pPr>
      <w:r>
        <w:rPr>
          <w:rFonts w:ascii="Times New Roman" w:cs="Times New Roman" w:eastAsia="Times New Roman" w:hAnsi="Times New Roman"/>
          <w:sz w:val="17"/>
          <w:szCs w:val="17"/>
          <w:color w:val="auto"/>
        </w:rPr>
        <w:t>See Note 9, “Income taxes” to the Company’s consolidated financial statements included in Item 8 of this Annual Report on Form 10-K for further discussion on income tax expense, valuation allowances and unrecognized tax benefits.</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41" w:lineRule="exact"/>
        <w:rPr>
          <w:sz w:val="20"/>
          <w:szCs w:val="20"/>
          <w:color w:val="auto"/>
        </w:rPr>
      </w:pPr>
    </w:p>
    <w:p>
      <w:pPr>
        <w:ind w:left="60" w:right="79" w:firstLine="427"/>
        <w:spacing w:after="0" w:line="305"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Tax Disclosures</w:t>
      </w:r>
      <w:r>
        <w:rPr>
          <w:rFonts w:ascii="Times New Roman" w:cs="Times New Roman" w:eastAsia="Times New Roman" w:hAnsi="Times New Roman"/>
          <w:sz w:val="18"/>
          <w:szCs w:val="18"/>
          <w:color w:val="auto"/>
        </w:rPr>
        <w:t xml:space="preserve"> (“ASU No. 2023-09”), which updates income tax disclosures related to the effective income tax rate reconciliation and requires disclosure of income taxes paid by jurisdiction. ASU No. 2023-09 will be effective for the Company in fiscal year 2026 and early adoption is permitted. The Company is currently evaluating the impact of adopting ASU No. 2023-09 on its disclosures.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right="79" w:firstLine="427"/>
        <w:spacing w:after="0" w:line="30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Disaggregation of Income Statement Expenses </w:t>
      </w:r>
      <w:r>
        <w:rPr>
          <w:rFonts w:ascii="Times New Roman" w:cs="Times New Roman" w:eastAsia="Times New Roman" w:hAnsi="Times New Roman"/>
          <w:sz w:val="18"/>
          <w:szCs w:val="18"/>
          <w:color w:val="auto"/>
        </w:rPr>
        <w:t>(“ASU 2024-03”),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January 2025, the FASB issued ASU 2025-01,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Clarifying the Effective Date </w:t>
      </w:r>
      <w:r>
        <w:rPr>
          <w:rFonts w:ascii="Times New Roman" w:cs="Times New Roman" w:eastAsia="Times New Roman" w:hAnsi="Times New Roman"/>
          <w:sz w:val="18"/>
          <w:szCs w:val="18"/>
          <w:color w:val="auto"/>
        </w:rPr>
        <w:t>(“ASU 2025-01”). The guidance is designed to improve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by requiring public business entities to disclose additional information about specific expense categories in the financial statement notes at interim and annual reporting periods. ASU No. 2024-03, as clarified by ASU 2025-01, will be effective for the Company in fiscal year 2028 and early adoption is permitted. The Company is currently evaluating the impact of adopting ASU No. 2024-03 on its disclosures.</w:t>
      </w: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0" w:right="139" w:firstLine="427"/>
        <w:spacing w:after="0" w:line="307" w:lineRule="auto"/>
        <w:rPr>
          <w:sz w:val="20"/>
          <w:szCs w:val="20"/>
          <w:color w:val="auto"/>
        </w:rPr>
      </w:pPr>
      <w:r>
        <w:rPr>
          <w:rFonts w:ascii="Times New Roman" w:cs="Times New Roman" w:eastAsia="Times New Roman" w:hAnsi="Times New Roman"/>
          <w:sz w:val="18"/>
          <w:szCs w:val="18"/>
          <w:color w:val="auto"/>
        </w:rPr>
        <w:t>The Company seeks to reduce earnings and cash flow volatility associated with changes in interest rates and foreign currency exchange rates by entering financial arrangements, from time to time, which are intended to provide an economic hedge against all, or a portion of, the risks associated with such volatility. The Company continues to have exposure to such risks to the extent they are not economically hedged.</w:t>
      </w:r>
    </w:p>
    <w:p>
      <w:pPr>
        <w:spacing w:after="0" w:line="156" w:lineRule="exact"/>
        <w:rPr>
          <w:sz w:val="20"/>
          <w:szCs w:val="20"/>
          <w:color w:val="auto"/>
        </w:rPr>
      </w:pPr>
    </w:p>
    <w:p>
      <w:pPr>
        <w:ind w:left="60" w:right="239" w:firstLine="427"/>
        <w:spacing w:after="0" w:line="329" w:lineRule="auto"/>
        <w:rPr>
          <w:sz w:val="20"/>
          <w:szCs w:val="20"/>
          <w:color w:val="auto"/>
        </w:rPr>
      </w:pPr>
      <w:r>
        <w:rPr>
          <w:rFonts w:ascii="Times New Roman" w:cs="Times New Roman" w:eastAsia="Times New Roman" w:hAnsi="Times New Roman"/>
          <w:sz w:val="18"/>
          <w:szCs w:val="18"/>
          <w:color w:val="auto"/>
        </w:rPr>
        <w:t>The following table sets forth the scheduled maturities of the Company’s debt outstanding at June 28, 2025 (dollars in millions):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4"/>
              </w:rPr>
              <w:t>2026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2028</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2029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2030</w:t>
            </w: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8"/>
              </w:rPr>
              <w:t>Thereafter</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432"/>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rate debt</w:t>
            </w:r>
            <w:r>
              <w:rPr>
                <w:rFonts w:ascii="Times New Roman" w:cs="Times New Roman" w:eastAsia="Times New Roman" w:hAnsi="Times New Roman"/>
                <w:sz w:val="26"/>
                <w:szCs w:val="26"/>
                <w:color w:val="auto"/>
                <w:vertAlign w:val="superscript"/>
              </w:rPr>
              <w:t>(1)</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552.9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1,674.9</w:t>
            </w: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Floating rate debt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60" w:type="dxa"/>
            <w:vAlign w:val="bottom"/>
            <w:shd w:val="clear" w:color="auto" w:fill="CCEEFF"/>
          </w:tcPr>
          <w:p>
            <w:pPr>
              <w:spacing w:after="0"/>
              <w:rPr>
                <w:sz w:val="24"/>
                <w:szCs w:val="24"/>
                <w:color w:val="auto"/>
              </w:rPr>
            </w:pPr>
          </w:p>
        </w:tc>
      </w:tr>
      <w:tr>
        <w:trPr>
          <w:trHeight w:val="48"/>
        </w:trPr>
        <w:tc>
          <w:tcPr>
            <w:tcW w:w="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bl>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Excludes unamortized discounts and issuance costs.</w:t>
      </w:r>
    </w:p>
    <w:p>
      <w:pPr>
        <w:spacing w:after="0" w:line="239" w:lineRule="exact"/>
        <w:rPr>
          <w:sz w:val="20"/>
          <w:szCs w:val="20"/>
          <w:color w:val="auto"/>
        </w:rPr>
      </w:pPr>
    </w:p>
    <w:p>
      <w:pPr>
        <w:ind w:left="60" w:right="219" w:firstLine="427"/>
        <w:spacing w:after="0" w:line="329" w:lineRule="auto"/>
        <w:rPr>
          <w:sz w:val="20"/>
          <w:szCs w:val="20"/>
          <w:color w:val="auto"/>
        </w:rPr>
      </w:pPr>
      <w:r>
        <w:rPr>
          <w:rFonts w:ascii="Times New Roman" w:cs="Times New Roman" w:eastAsia="Times New Roman" w:hAnsi="Times New Roman"/>
          <w:sz w:val="18"/>
          <w:szCs w:val="18"/>
          <w:color w:val="auto"/>
        </w:rPr>
        <w:t>The following table sets forth the carrying value and fair value of the Company’s debt and the average interest rates at June 28, 2025, and June 29, 2024 (dollars in millions):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Carrying Value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Fair Value at</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Carrying Value</w:t>
            </w:r>
          </w:p>
        </w:tc>
        <w:tc>
          <w:tcPr>
            <w:tcW w:w="20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w:t>
            </w:r>
          </w:p>
        </w:tc>
      </w:tr>
      <w:tr>
        <w:trPr>
          <w:trHeight w:val="245"/>
        </w:trPr>
        <w:tc>
          <w:tcPr>
            <w:tcW w:w="2240" w:type="dxa"/>
            <w:vAlign w:val="bottom"/>
          </w:tcPr>
          <w:p>
            <w:pPr>
              <w:spacing w:after="0"/>
              <w:rPr>
                <w:sz w:val="21"/>
                <w:szCs w:val="21"/>
                <w:color w:val="auto"/>
              </w:rPr>
            </w:pPr>
          </w:p>
        </w:tc>
        <w:tc>
          <w:tcPr>
            <w:tcW w:w="2440" w:type="dxa"/>
            <w:vAlign w:val="bottom"/>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w w:val="98"/>
              </w:rPr>
              <w:t>at June 28, 2025</w:t>
            </w:r>
          </w:p>
        </w:tc>
        <w:tc>
          <w:tcPr>
            <w:tcW w:w="14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at June 28, 2025</w:t>
            </w: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at June 29, 2024</w:t>
            </w:r>
          </w:p>
        </w:tc>
        <w:tc>
          <w:tcPr>
            <w:tcW w:w="20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June 29, 2024</w:t>
            </w:r>
          </w:p>
        </w:tc>
      </w:tr>
      <w:tr>
        <w:trPr>
          <w:trHeight w:val="216"/>
        </w:trPr>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Fixed rate debt</w:t>
            </w:r>
            <w:r>
              <w:rPr>
                <w:rFonts w:ascii="Times New Roman" w:cs="Times New Roman" w:eastAsia="Times New Roman" w:hAnsi="Times New Roman"/>
                <w:sz w:val="25"/>
                <w:szCs w:val="25"/>
                <w:color w:val="auto"/>
                <w:vertAlign w:val="superscript"/>
              </w:rPr>
              <w:t>(1)</w:t>
            </w:r>
          </w:p>
        </w:tc>
        <w:tc>
          <w:tcPr>
            <w:tcW w:w="14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1,674.9</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1,660.5</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1,675.4</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1,621.1</w:t>
            </w:r>
          </w:p>
        </w:tc>
        <w:tc>
          <w:tcPr>
            <w:tcW w:w="4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interest rate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5.0 %</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Floating rate debt</w:t>
            </w:r>
          </w:p>
        </w:tc>
        <w:tc>
          <w:tcPr>
            <w:tcW w:w="14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995.9</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1,235.5</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1,235.5</w:t>
            </w:r>
          </w:p>
        </w:tc>
        <w:tc>
          <w:tcPr>
            <w:tcW w:w="4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interest rate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5.5 %</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48"/>
        </w:trPr>
        <w:tc>
          <w:tcPr>
            <w:tcW w:w="2240" w:type="dxa"/>
            <w:vAlign w:val="bottom"/>
            <w:tcBorders>
              <w:bottom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r>
    </w:tbl>
    <w:p>
      <w:pPr>
        <w:spacing w:after="0" w:line="22" w:lineRule="exact"/>
        <w:rPr>
          <w:sz w:val="20"/>
          <w:szCs w:val="20"/>
          <w:color w:val="auto"/>
        </w:rPr>
      </w:pPr>
    </w:p>
    <w:p>
      <w:pPr>
        <w:ind w:left="380" w:right="419" w:hanging="330"/>
        <w:spacing w:after="0" w:line="344"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unamortized discounts and issuance costs. Fair value was estimated primarily based upon quoted market prices for the Company’s public long-term notes.</w:t>
      </w:r>
    </w:p>
    <w:p>
      <w:pPr>
        <w:spacing w:after="0" w:line="109" w:lineRule="exact"/>
        <w:rPr>
          <w:sz w:val="20"/>
          <w:szCs w:val="20"/>
          <w:color w:val="auto"/>
        </w:rPr>
      </w:pPr>
    </w:p>
    <w:p>
      <w:pPr>
        <w:ind w:left="60" w:right="139" w:firstLine="427"/>
        <w:spacing w:after="0" w:line="301" w:lineRule="auto"/>
        <w:rPr>
          <w:sz w:val="20"/>
          <w:szCs w:val="20"/>
          <w:color w:val="auto"/>
        </w:rPr>
      </w:pPr>
      <w:r>
        <w:rPr>
          <w:rFonts w:ascii="Times New Roman" w:cs="Times New Roman" w:eastAsia="Times New Roman" w:hAnsi="Times New Roman"/>
          <w:sz w:val="18"/>
          <w:szCs w:val="18"/>
          <w:color w:val="auto"/>
        </w:rPr>
        <w:t>Many of the Company’s subsidiaries purchase and sell products in currencies other than their functional currencies, which subjects the Company to the risks associated with fluctuations in currency exchange rates. The Company uses economic hedges to reduce this risk utilizing natural hedging (i.e., offsetting receivables and payables in the same foreign currency) and creating offsetting positions through the use of derivative financial instruments (primarily forward foreign currency exchange contracts typically with maturities of less than 60 days, but no longer than one year). The Company continues to have exposure to foreign currency risks to the extent they are not economically hedged. The Company adjusts any economic hedges to fair value within the same line item in the consolidated statements of operations as the remeasurement of the underlying assets or liabilities being economically hedged. Therefore, the</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79"/>
        <w:spacing w:after="0" w:line="305" w:lineRule="auto"/>
        <w:rPr>
          <w:sz w:val="20"/>
          <w:szCs w:val="20"/>
          <w:color w:val="auto"/>
        </w:rPr>
      </w:pPr>
      <w:r>
        <w:rPr>
          <w:rFonts w:ascii="Times New Roman" w:cs="Times New Roman" w:eastAsia="Times New Roman" w:hAnsi="Times New Roman"/>
          <w:sz w:val="18"/>
          <w:szCs w:val="18"/>
          <w:color w:val="auto"/>
        </w:rPr>
        <w:t>changes in valuation of the underlying items being economically hedged are offset by the changes in fair value of the forward foreign exchange contracts. A hypothetical 10% change in foreign currency exchange rates under the forward foreign currency exchange contracts outstanding at June 28, 2025, would result in an increase or decrease of approximately $25.0 million to the fair value of the forward foreign exchange contracts, which would generally be offset by an opposite effect on the underlying exposure being economically hedged. See Note 2, “Derivative financial instruments” to the Company’s consolidated financial statements included in Item 8 of this Annual Report on Form 10-K for further discussion on derivative financial instruments.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1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760" w:type="dxa"/>
            <w:vAlign w:val="bottom"/>
          </w:tcPr>
          <w:p>
            <w:pPr>
              <w:spacing w:after="0"/>
              <w:rPr>
                <w:sz w:val="20"/>
                <w:szCs w:val="20"/>
                <w:color w:val="auto"/>
              </w:rPr>
            </w:pPr>
          </w:p>
        </w:tc>
      </w:tr>
      <w:tr>
        <w:trPr>
          <w:trHeight w:val="378"/>
        </w:trPr>
        <w:tc>
          <w:tcPr>
            <w:tcW w:w="380" w:type="dxa"/>
            <w:vAlign w:val="bottom"/>
          </w:tcPr>
          <w:p>
            <w:pPr>
              <w:spacing w:after="0"/>
              <w:rPr>
                <w:sz w:val="24"/>
                <w:szCs w:val="24"/>
                <w:color w:val="auto"/>
              </w:rPr>
            </w:pPr>
          </w:p>
        </w:tc>
        <w:tc>
          <w:tcPr>
            <w:tcW w:w="776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Index to Financial Statements</w:t>
            </w:r>
          </w:p>
        </w:tc>
        <w:tc>
          <w:tcPr>
            <w:tcW w:w="760" w:type="dxa"/>
            <w:vAlign w:val="bottom"/>
          </w:tcPr>
          <w:p>
            <w:pPr>
              <w:spacing w:after="0"/>
              <w:rPr>
                <w:sz w:val="24"/>
                <w:szCs w:val="24"/>
                <w:color w:val="auto"/>
              </w:rPr>
            </w:pPr>
          </w:p>
        </w:tc>
      </w:tr>
      <w:tr>
        <w:trPr>
          <w:trHeight w:val="358"/>
        </w:trPr>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8140" w:type="dxa"/>
            <w:vAlign w:val="bottom"/>
            <w:gridSpan w:val="13"/>
          </w:tcPr>
          <w:p>
            <w:pPr>
              <w:ind w:left="200"/>
              <w:spacing w:after="0"/>
              <w:rPr>
                <w:sz w:val="20"/>
                <w:szCs w:val="20"/>
                <w:color w:val="auto"/>
              </w:rPr>
            </w:pPr>
            <w:r>
              <w:rPr>
                <w:rFonts w:ascii="Times New Roman" w:cs="Times New Roman" w:eastAsia="Times New Roman" w:hAnsi="Times New Roman"/>
                <w:sz w:val="18"/>
                <w:szCs w:val="18"/>
                <w:color w:val="auto"/>
              </w:rPr>
              <w:t>1. Consolidated Financial Statements:</w:t>
            </w:r>
          </w:p>
        </w:tc>
        <w:tc>
          <w:tcPr>
            <w:tcW w:w="76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(KPMG LLP, Phoenix, AZ, Auditor Firm ID: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185)</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380" w:type="dxa"/>
            <w:vAlign w:val="bottom"/>
          </w:tcPr>
          <w:p>
            <w:pPr>
              <w:spacing w:after="0"/>
              <w:rPr>
                <w:sz w:val="24"/>
                <w:szCs w:val="24"/>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Avnet, Inc. and Subsidiaries Consolidated Financial Statements:</w:t>
            </w:r>
          </w:p>
        </w:tc>
        <w:tc>
          <w:tcPr>
            <w:tcW w:w="76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Consolidated Balance Sheets at June 28, 2025, and June 29, 2024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Consolidated Statements of Operations for the fiscal years ended June 28, 2025, June 29, 2024, and July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920" w:type="dxa"/>
            <w:vAlign w:val="bottom"/>
            <w:gridSpan w:val="2"/>
          </w:tcPr>
          <w:p>
            <w:pPr>
              <w:ind w:left="380"/>
              <w:spacing w:after="0" w:line="196" w:lineRule="exact"/>
              <w:rPr>
                <w:sz w:val="20"/>
                <w:szCs w:val="20"/>
                <w:color w:val="auto"/>
              </w:rPr>
            </w:pPr>
            <w:r>
              <w:rPr>
                <w:rFonts w:ascii="Times New Roman" w:cs="Times New Roman" w:eastAsia="Times New Roman" w:hAnsi="Times New Roman"/>
                <w:sz w:val="18"/>
                <w:szCs w:val="18"/>
                <w:color w:val="0000EE"/>
                <w:w w:val="96"/>
              </w:rPr>
              <w:t>1, 2023</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for the fiscal years ended June 28, 2025, June 29,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96"/>
        </w:trPr>
        <w:tc>
          <w:tcPr>
            <w:tcW w:w="38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2024, and July 1, 2023</w:t>
            </w:r>
          </w:p>
        </w:tc>
        <w:tc>
          <w:tcPr>
            <w:tcW w:w="5680" w:type="dxa"/>
            <w:vAlign w:val="bottom"/>
            <w:tcBorders>
              <w:top w:val="single" w:sz="8" w:color="0000EE"/>
            </w:tcBorders>
            <w:gridSpan w:val="7"/>
          </w:tcPr>
          <w:p>
            <w:pPr>
              <w:spacing w:after="0"/>
              <w:rPr>
                <w:sz w:val="17"/>
                <w:szCs w:val="17"/>
                <w:color w:val="auto"/>
              </w:rPr>
            </w:pPr>
          </w:p>
        </w:tc>
        <w:tc>
          <w:tcPr>
            <w:tcW w:w="4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r>
      <w:tr>
        <w:trPr>
          <w:trHeight w:val="412"/>
        </w:trPr>
        <w:tc>
          <w:tcPr>
            <w:tcW w:w="380" w:type="dxa"/>
            <w:vAlign w:val="bottom"/>
          </w:tcPr>
          <w:p>
            <w:pPr>
              <w:spacing w:after="0"/>
              <w:rPr>
                <w:sz w:val="24"/>
                <w:szCs w:val="24"/>
                <w:color w:val="auto"/>
              </w:rPr>
            </w:pPr>
          </w:p>
        </w:tc>
        <w:tc>
          <w:tcPr>
            <w:tcW w:w="71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Consolidated Statements of Shareholders’ Equity for the fiscal years ended June 28, 2025, June 29,</w:t>
            </w:r>
          </w:p>
        </w:tc>
        <w:tc>
          <w:tcPr>
            <w:tcW w:w="62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196"/>
        </w:trPr>
        <w:tc>
          <w:tcPr>
            <w:tcW w:w="380" w:type="dxa"/>
            <w:vAlign w:val="bottom"/>
          </w:tcPr>
          <w:p>
            <w:pPr>
              <w:spacing w:after="0"/>
              <w:rPr>
                <w:sz w:val="17"/>
                <w:szCs w:val="17"/>
                <w:color w:val="auto"/>
              </w:rPr>
            </w:pPr>
          </w:p>
        </w:tc>
        <w:tc>
          <w:tcPr>
            <w:tcW w:w="16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2024, and July 1, 2023</w:t>
            </w:r>
          </w:p>
        </w:tc>
        <w:tc>
          <w:tcPr>
            <w:tcW w:w="6120" w:type="dxa"/>
            <w:vAlign w:val="bottom"/>
            <w:gridSpan w:val="9"/>
          </w:tcPr>
          <w:p>
            <w:pPr>
              <w:spacing w:after="0"/>
              <w:rPr>
                <w:sz w:val="17"/>
                <w:szCs w:val="17"/>
                <w:color w:val="auto"/>
              </w:rPr>
            </w:pPr>
          </w:p>
        </w:tc>
        <w:tc>
          <w:tcPr>
            <w:tcW w:w="760" w:type="dxa"/>
            <w:vAlign w:val="bottom"/>
          </w:tcPr>
          <w:p>
            <w:pPr>
              <w:spacing w:after="0"/>
              <w:rPr>
                <w:sz w:val="17"/>
                <w:szCs w:val="17"/>
                <w:color w:val="auto"/>
              </w:rPr>
            </w:pPr>
          </w:p>
        </w:tc>
      </w:tr>
      <w:tr>
        <w:trPr>
          <w:trHeight w:val="412"/>
        </w:trPr>
        <w:tc>
          <w:tcPr>
            <w:tcW w:w="380" w:type="dxa"/>
            <w:vAlign w:val="bottom"/>
          </w:tcPr>
          <w:p>
            <w:pPr>
              <w:spacing w:after="0"/>
              <w:rPr>
                <w:sz w:val="24"/>
                <w:szCs w:val="24"/>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fiscal years ended June 28, 2025, June 29, 2024, and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196"/>
        </w:trPr>
        <w:tc>
          <w:tcPr>
            <w:tcW w:w="38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July 1, 2023</w:t>
            </w:r>
          </w:p>
        </w:tc>
        <w:tc>
          <w:tcPr>
            <w:tcW w:w="6320" w:type="dxa"/>
            <w:vAlign w:val="bottom"/>
            <w:tcBorders>
              <w:top w:val="single" w:sz="8" w:color="0000EE"/>
            </w:tcBorders>
            <w:gridSpan w:val="7"/>
          </w:tcPr>
          <w:p>
            <w:pPr>
              <w:spacing w:after="0"/>
              <w:rPr>
                <w:sz w:val="17"/>
                <w:szCs w:val="17"/>
                <w:color w:val="auto"/>
              </w:rPr>
            </w:pPr>
          </w:p>
        </w:tc>
        <w:tc>
          <w:tcPr>
            <w:tcW w:w="56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r>
      <w:tr>
        <w:trPr>
          <w:trHeight w:val="412"/>
        </w:trPr>
        <w:tc>
          <w:tcPr>
            <w:tcW w:w="380" w:type="dxa"/>
            <w:vAlign w:val="bottom"/>
          </w:tcPr>
          <w:p>
            <w:pPr>
              <w:spacing w:after="0"/>
              <w:rPr>
                <w:sz w:val="24"/>
                <w:szCs w:val="24"/>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380" w:type="dxa"/>
            <w:vAlign w:val="bottom"/>
          </w:tcPr>
          <w:p>
            <w:pPr>
              <w:spacing w:after="0" w:line="20" w:lineRule="exact"/>
              <w:rPr>
                <w:sz w:val="1"/>
                <w:szCs w:val="1"/>
                <w:color w:val="auto"/>
              </w:rPr>
            </w:pPr>
          </w:p>
        </w:tc>
        <w:tc>
          <w:tcPr>
            <w:tcW w:w="3140" w:type="dxa"/>
            <w:vAlign w:val="bottom"/>
            <w:gridSpan w:val="4"/>
            <w:shd w:val="clear" w:color="auto" w:fill="0000EE"/>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53"/>
        </w:trPr>
        <w:tc>
          <w:tcPr>
            <w:tcW w:w="8140" w:type="dxa"/>
            <w:vAlign w:val="bottom"/>
            <w:gridSpan w:val="13"/>
          </w:tcPr>
          <w:p>
            <w:pPr>
              <w:ind w:left="200"/>
              <w:spacing w:after="0"/>
              <w:rPr>
                <w:sz w:val="20"/>
                <w:szCs w:val="20"/>
                <w:color w:val="auto"/>
              </w:rPr>
            </w:pPr>
            <w:r>
              <w:rPr>
                <w:rFonts w:ascii="Times New Roman" w:cs="Times New Roman" w:eastAsia="Times New Roman" w:hAnsi="Times New Roman"/>
                <w:sz w:val="18"/>
                <w:szCs w:val="18"/>
                <w:color w:val="auto"/>
              </w:rPr>
              <w:t>2. Financial Statement Schedule:</w:t>
            </w:r>
          </w:p>
        </w:tc>
        <w:tc>
          <w:tcPr>
            <w:tcW w:w="76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71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Schedule II (Valuation and Qualifying Accounts) for the fiscal years ended June 28, 2025, June 29,</w:t>
            </w:r>
          </w:p>
        </w:tc>
        <w:tc>
          <w:tcPr>
            <w:tcW w:w="640" w:type="dxa"/>
            <w:vAlign w:val="bottom"/>
            <w:gridSpan w:val="5"/>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196"/>
        </w:trPr>
        <w:tc>
          <w:tcPr>
            <w:tcW w:w="380" w:type="dxa"/>
            <w:vAlign w:val="bottom"/>
          </w:tcPr>
          <w:p>
            <w:pPr>
              <w:spacing w:after="0"/>
              <w:rPr>
                <w:sz w:val="17"/>
                <w:szCs w:val="17"/>
                <w:color w:val="auto"/>
              </w:rPr>
            </w:pPr>
          </w:p>
        </w:tc>
        <w:tc>
          <w:tcPr>
            <w:tcW w:w="16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2024, and July 1, 2023</w:t>
            </w:r>
          </w:p>
        </w:tc>
        <w:tc>
          <w:tcPr>
            <w:tcW w:w="6120" w:type="dxa"/>
            <w:vAlign w:val="bottom"/>
            <w:gridSpan w:val="9"/>
          </w:tcPr>
          <w:p>
            <w:pPr>
              <w:spacing w:after="0"/>
              <w:rPr>
                <w:sz w:val="17"/>
                <w:szCs w:val="17"/>
                <w:color w:val="auto"/>
              </w:rPr>
            </w:pPr>
          </w:p>
        </w:tc>
        <w:tc>
          <w:tcPr>
            <w:tcW w:w="760" w:type="dxa"/>
            <w:vAlign w:val="bottom"/>
          </w:tcPr>
          <w:p>
            <w:pPr>
              <w:spacing w:after="0"/>
              <w:rPr>
                <w:sz w:val="17"/>
                <w:szCs w:val="17"/>
                <w:color w:val="auto"/>
              </w:rPr>
            </w:pPr>
          </w:p>
        </w:tc>
      </w:tr>
    </w:tbl>
    <w:p>
      <w:pPr>
        <w:spacing w:after="0" w:line="225" w:lineRule="exact"/>
        <w:rPr>
          <w:sz w:val="20"/>
          <w:szCs w:val="20"/>
          <w:color w:val="auto"/>
        </w:rPr>
      </w:pPr>
    </w:p>
    <w:p>
      <w:pPr>
        <w:ind w:left="440" w:right="1499"/>
        <w:spacing w:after="0" w:line="282" w:lineRule="auto"/>
        <w:rPr>
          <w:sz w:val="20"/>
          <w:szCs w:val="20"/>
          <w:color w:val="auto"/>
        </w:rPr>
      </w:pPr>
      <w:r>
        <w:rPr>
          <w:rFonts w:ascii="Times New Roman" w:cs="Times New Roman" w:eastAsia="Times New Roman" w:hAnsi="Times New Roman"/>
          <w:sz w:val="18"/>
          <w:szCs w:val="18"/>
          <w:color w:val="auto"/>
        </w:rPr>
        <w:t>Schedules other than that above have been omitted because they are not applicable, or the required information is shown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Avnet, Inc.:</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33" w:lineRule="exact"/>
        <w:rPr>
          <w:sz w:val="20"/>
          <w:szCs w:val="20"/>
          <w:color w:val="auto"/>
        </w:rPr>
      </w:pPr>
    </w:p>
    <w:p>
      <w:pPr>
        <w:ind w:left="60" w:right="219"/>
        <w:spacing w:after="0" w:line="300"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Avnet, Inc. and subsidiaries (the Company) as of June 28, 2025 and June 29, 2024, the related consolidated statements of operations, comprehensive income, stockholders’ equity, and cash flows for each of the years in the three-year period ended June 28, 2025, and the related notes and financial statement schedules II (collectively, the consolidated financial statements). We also have audited the Company’s internal control over financial reporting as of June 28,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68" w:lineRule="exact"/>
        <w:rPr>
          <w:sz w:val="20"/>
          <w:szCs w:val="20"/>
          <w:color w:val="auto"/>
        </w:rPr>
      </w:pPr>
    </w:p>
    <w:p>
      <w:pPr>
        <w:ind w:left="60" w:right="99"/>
        <w:spacing w:after="0" w:line="300"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June 28, 2025 and June 29, 2024, and the results of its operations and its cash flows for each of the years in the three-year period ended June 28, 2025, in conformity with U.S. generally accepted accounting principles. Also in our opinion, the Company maintained, in all material respects, effective internal control over financial reporting as of June 28,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60" w:lineRule="exact"/>
        <w:rPr>
          <w:sz w:val="20"/>
          <w:szCs w:val="20"/>
          <w:color w:val="auto"/>
        </w:rPr>
      </w:pPr>
    </w:p>
    <w:p>
      <w:pPr>
        <w:ind w:left="60" w:right="99"/>
        <w:spacing w:after="0" w:line="297"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left="60" w:right="139"/>
        <w:spacing w:after="0" w:line="30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9" w:lineRule="exact"/>
        <w:rPr>
          <w:sz w:val="20"/>
          <w:szCs w:val="20"/>
          <w:color w:val="auto"/>
        </w:rPr>
      </w:pPr>
    </w:p>
    <w:p>
      <w:pPr>
        <w:ind w:left="60" w:right="119"/>
        <w:spacing w:after="0" w:line="29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46" w:lineRule="exact"/>
        <w:rPr>
          <w:sz w:val="20"/>
          <w:szCs w:val="20"/>
          <w:color w:val="auto"/>
        </w:rPr>
      </w:pPr>
    </w:p>
    <w:p>
      <w:pPr>
        <w:ind w:left="60" w:right="219"/>
        <w:spacing w:after="0" w:line="31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317" w:lineRule="auto"/>
        <w:rPr>
          <w:sz w:val="20"/>
          <w:szCs w:val="20"/>
          <w:color w:val="auto"/>
        </w:rPr>
      </w:pPr>
      <w:r>
        <w:rPr>
          <w:rFonts w:ascii="Times New Roman" w:cs="Times New Roman" w:eastAsia="Times New Roman" w:hAnsi="Times New Roman"/>
          <w:sz w:val="17"/>
          <w:szCs w:val="17"/>
          <w:color w:val="auto"/>
        </w:rPr>
        <w:t>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9" w:lineRule="exact"/>
        <w:rPr>
          <w:sz w:val="20"/>
          <w:szCs w:val="20"/>
          <w:color w:val="auto"/>
        </w:rPr>
      </w:pPr>
    </w:p>
    <w:p>
      <w:pPr>
        <w:jc w:val="both"/>
        <w:ind w:left="60" w:right="159"/>
        <w:spacing w:after="0" w:line="33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33" w:lineRule="exact"/>
        <w:rPr>
          <w:sz w:val="20"/>
          <w:szCs w:val="20"/>
          <w:color w:val="auto"/>
        </w:rPr>
      </w:pPr>
    </w:p>
    <w:p>
      <w:pPr>
        <w:ind w:left="60" w:right="99"/>
        <w:spacing w:after="0" w:line="300"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Evaluation of accounting for income taxes</w:t>
      </w:r>
    </w:p>
    <w:p>
      <w:pPr>
        <w:spacing w:after="0" w:line="146" w:lineRule="exact"/>
        <w:rPr>
          <w:sz w:val="20"/>
          <w:szCs w:val="20"/>
          <w:color w:val="auto"/>
        </w:rPr>
      </w:pPr>
    </w:p>
    <w:p>
      <w:pPr>
        <w:jc w:val="both"/>
        <w:ind w:left="60" w:right="99"/>
        <w:spacing w:after="0" w:line="297" w:lineRule="auto"/>
        <w:rPr>
          <w:sz w:val="20"/>
          <w:szCs w:val="20"/>
          <w:color w:val="auto"/>
        </w:rPr>
      </w:pPr>
      <w:r>
        <w:rPr>
          <w:rFonts w:ascii="Times New Roman" w:cs="Times New Roman" w:eastAsia="Times New Roman" w:hAnsi="Times New Roman"/>
          <w:sz w:val="18"/>
          <w:szCs w:val="18"/>
          <w:color w:val="auto"/>
        </w:rPr>
        <w:t>As discussed in Notes 1 and 9 to the consolidated financial statements, the Company recognized $324.0 million of deferred tax assets, net and income tax expense of $10.4 million as of and for the year ended June 28, 2025. The Company conducts business globally and consequently is subject to U.S. federal, state, and local income taxes as well as foreign income taxes in many of the jurisdictions in which it operates. The Company exercises judgment for the interpretation and application of such current tax regulations.</w:t>
      </w:r>
    </w:p>
    <w:p>
      <w:pPr>
        <w:spacing w:after="0" w:line="83" w:lineRule="exact"/>
        <w:rPr>
          <w:sz w:val="20"/>
          <w:szCs w:val="20"/>
          <w:color w:val="auto"/>
        </w:rPr>
      </w:pPr>
    </w:p>
    <w:p>
      <w:pPr>
        <w:ind w:left="60" w:right="279"/>
        <w:spacing w:after="0" w:line="302" w:lineRule="auto"/>
        <w:rPr>
          <w:sz w:val="20"/>
          <w:szCs w:val="20"/>
          <w:color w:val="auto"/>
        </w:rPr>
      </w:pPr>
      <w:r>
        <w:rPr>
          <w:rFonts w:ascii="Times New Roman" w:cs="Times New Roman" w:eastAsia="Times New Roman" w:hAnsi="Times New Roman"/>
          <w:sz w:val="18"/>
          <w:szCs w:val="18"/>
          <w:color w:val="auto"/>
        </w:rPr>
        <w:t>We identified the evaluation of accounting for income taxes as a critical audit matter. Evaluating the Company’s application of current tax regulations in various foreign jurisdictions and the impact of those regulations on foreign, U.S. federal, state and local income tax provisions required complex auditor judgment and the use of tax professionals with specialized skills.</w:t>
      </w:r>
    </w:p>
    <w:p>
      <w:pPr>
        <w:spacing w:after="0" w:line="52" w:lineRule="exact"/>
        <w:rPr>
          <w:sz w:val="20"/>
          <w:szCs w:val="20"/>
          <w:color w:val="auto"/>
        </w:rPr>
      </w:pPr>
    </w:p>
    <w:p>
      <w:pPr>
        <w:ind w:left="60" w:right="259"/>
        <w:spacing w:after="0" w:line="297"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income tax process, including controls related to the application of current tax regulations in the various tax jurisdictions and impact on the Company’s tax provisions. We involved tax professionals with specialized skills and knowledge in various tax jurisdictions, who assisted in evaluating the Company’s analyses over the application of current tax regulations and the Company’s interpretation of tax laws and regulations in those jurisdictions.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Phoenix, Arizona</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August 15,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29,</w:t>
            </w:r>
          </w:p>
        </w:tc>
      </w:tr>
      <w:tr>
        <w:trPr>
          <w:trHeight w:val="245"/>
        </w:trPr>
        <w:tc>
          <w:tcPr>
            <w:tcW w:w="6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180"/>
        </w:trPr>
        <w:tc>
          <w:tcPr>
            <w:tcW w:w="6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8"/>
                <w:szCs w:val="18"/>
                <w:b w:val="1"/>
                <w:bCs w:val="1"/>
                <w:color w:val="auto"/>
                <w:w w:val="95"/>
              </w:rPr>
              <w:t>(Thousands,</w:t>
            </w:r>
          </w:p>
        </w:tc>
        <w:tc>
          <w:tcPr>
            <w:tcW w:w="180" w:type="dxa"/>
            <w:vAlign w:val="bottom"/>
          </w:tcPr>
          <w:p>
            <w:pPr>
              <w:spacing w:after="0"/>
              <w:rPr>
                <w:sz w:val="15"/>
                <w:szCs w:val="15"/>
                <w:color w:val="auto"/>
              </w:rPr>
            </w:pPr>
          </w:p>
        </w:tc>
        <w:tc>
          <w:tcPr>
            <w:tcW w:w="1040" w:type="dxa"/>
            <w:vAlign w:val="bottom"/>
            <w:gridSpan w:val="2"/>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except share</w:t>
            </w:r>
          </w:p>
        </w:tc>
        <w:tc>
          <w:tcPr>
            <w:tcW w:w="100" w:type="dxa"/>
            <w:vAlign w:val="bottom"/>
          </w:tcPr>
          <w:p>
            <w:pPr>
              <w:spacing w:after="0"/>
              <w:rPr>
                <w:sz w:val="15"/>
                <w:szCs w:val="15"/>
                <w:color w:val="auto"/>
              </w:rPr>
            </w:pPr>
          </w:p>
        </w:tc>
      </w:tr>
      <w:tr>
        <w:trPr>
          <w:trHeight w:val="238"/>
        </w:trPr>
        <w:tc>
          <w:tcPr>
            <w:tcW w:w="6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6"/>
        </w:trPr>
        <w:tc>
          <w:tcPr>
            <w:tcW w:w="6380" w:type="dxa"/>
            <w:vAlign w:val="bottom"/>
            <w:shd w:val="clear" w:color="auto" w:fill="CCEEFF"/>
          </w:tcPr>
          <w:p>
            <w:pPr>
              <w:ind w:left="2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192,428</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310,941</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Receivables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4,327,450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4,391,187</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5,235,485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5,468,730</w:t>
            </w:r>
          </w:p>
        </w:tc>
        <w:tc>
          <w:tcPr>
            <w:tcW w:w="100" w:type="dxa"/>
            <w:vAlign w:val="bottom"/>
            <w:shd w:val="clear" w:color="auto" w:fill="CCEEFF"/>
          </w:tcPr>
          <w:p>
            <w:pPr>
              <w:spacing w:after="0"/>
              <w:rPr>
                <w:sz w:val="18"/>
                <w:szCs w:val="18"/>
                <w:color w:val="auto"/>
              </w:rPr>
            </w:pPr>
          </w:p>
        </w:tc>
      </w:tr>
      <w:tr>
        <w:trPr>
          <w:trHeight w:val="223"/>
        </w:trPr>
        <w:tc>
          <w:tcPr>
            <w:tcW w:w="6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263,374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199,694</w:t>
            </w:r>
          </w:p>
        </w:tc>
        <w:tc>
          <w:tcPr>
            <w:tcW w:w="100" w:type="dxa"/>
            <w:vAlign w:val="bottom"/>
            <w:tcBorders>
              <w:bottom w:val="single" w:sz="8" w:color="CCEEFF"/>
            </w:tcBorders>
          </w:tcPr>
          <w:p>
            <w:pPr>
              <w:spacing w:after="0"/>
              <w:rPr>
                <w:sz w:val="19"/>
                <w:szCs w:val="19"/>
                <w:color w:val="auto"/>
              </w:rPr>
            </w:pPr>
          </w:p>
        </w:tc>
      </w:tr>
      <w:tr>
        <w:trPr>
          <w:trHeight w:val="216"/>
        </w:trPr>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10,018,737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10,370,552</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568,169</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780,984</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208,971</w:t>
            </w:r>
          </w:p>
        </w:tc>
        <w:tc>
          <w:tcPr>
            <w:tcW w:w="100" w:type="dxa"/>
            <w:vAlign w:val="bottom"/>
          </w:tcPr>
          <w:p>
            <w:pPr>
              <w:spacing w:after="0"/>
              <w:rPr>
                <w:sz w:val="18"/>
                <w:szCs w:val="18"/>
                <w:color w:val="auto"/>
              </w:rPr>
            </w:pPr>
          </w:p>
        </w:tc>
      </w:tr>
      <w:tr>
        <w:trPr>
          <w:trHeight w:val="236"/>
        </w:trPr>
        <w:tc>
          <w:tcPr>
            <w:tcW w:w="6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393,642</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280,471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6380" w:type="dxa"/>
            <w:vAlign w:val="bottom"/>
            <w:tcBorders>
              <w:bottom w:val="single" w:sz="8" w:color="CCEE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12,118,553</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12,209,147</w:t>
            </w:r>
          </w:p>
        </w:tc>
        <w:tc>
          <w:tcPr>
            <w:tcW w:w="100" w:type="dxa"/>
            <w:vAlign w:val="bottom"/>
            <w:tcBorders>
              <w:bottom w:val="single" w:sz="8" w:color="CCEEFF"/>
            </w:tcBorders>
          </w:tcPr>
          <w:p>
            <w:pPr>
              <w:spacing w:after="0"/>
              <w:rPr>
                <w:sz w:val="21"/>
                <w:szCs w:val="21"/>
                <w:color w:val="auto"/>
              </w:rPr>
            </w:pPr>
          </w:p>
        </w:tc>
      </w:tr>
      <w:tr>
        <w:trPr>
          <w:trHeight w:val="197"/>
        </w:trPr>
        <w:tc>
          <w:tcPr>
            <w:tcW w:w="6380" w:type="dxa"/>
            <w:vAlign w:val="bottom"/>
            <w:shd w:val="clear" w:color="auto" w:fill="CCEEFF"/>
          </w:tcPr>
          <w:p>
            <w:pPr>
              <w:ind w:left="12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debt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87,284</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492,711</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3,487,419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3,345,510</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573,055</w:t>
            </w:r>
          </w:p>
        </w:tc>
        <w:tc>
          <w:tcPr>
            <w:tcW w:w="100" w:type="dxa"/>
            <w:vAlign w:val="bottom"/>
            <w:shd w:val="clear" w:color="auto" w:fill="CCEEFF"/>
          </w:tcPr>
          <w:p>
            <w:pPr>
              <w:spacing w:after="0"/>
              <w:rPr>
                <w:sz w:val="18"/>
                <w:szCs w:val="18"/>
                <w:color w:val="auto"/>
              </w:rPr>
            </w:pPr>
          </w:p>
        </w:tc>
      </w:tr>
      <w:tr>
        <w:trPr>
          <w:trHeight w:val="223"/>
        </w:trPr>
        <w:tc>
          <w:tcPr>
            <w:tcW w:w="6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56,247</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53,993</w:t>
            </w:r>
          </w:p>
        </w:tc>
        <w:tc>
          <w:tcPr>
            <w:tcW w:w="100" w:type="dxa"/>
            <w:vAlign w:val="bottom"/>
            <w:tcBorders>
              <w:bottom w:val="single" w:sz="8" w:color="CCEEFF"/>
            </w:tcBorders>
          </w:tcPr>
          <w:p>
            <w:pPr>
              <w:spacing w:after="0"/>
              <w:rPr>
                <w:sz w:val="19"/>
                <w:szCs w:val="19"/>
                <w:color w:val="auto"/>
              </w:rPr>
            </w:pPr>
          </w:p>
        </w:tc>
      </w:tr>
      <w:tr>
        <w:trPr>
          <w:trHeight w:val="216"/>
        </w:trPr>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4,128,104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4,465,269</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2,574,729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2,406,629</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173,886</w:t>
            </w:r>
          </w:p>
        </w:tc>
        <w:tc>
          <w:tcPr>
            <w:tcW w:w="100" w:type="dxa"/>
            <w:vAlign w:val="bottom"/>
            <w:shd w:val="clear" w:color="auto" w:fill="CCEEFF"/>
          </w:tcPr>
          <w:p>
            <w:pPr>
              <w:spacing w:after="0"/>
              <w:rPr>
                <w:sz w:val="18"/>
                <w:szCs w:val="18"/>
                <w:color w:val="auto"/>
              </w:rPr>
            </w:pPr>
          </w:p>
        </w:tc>
      </w:tr>
      <w:tr>
        <w:trPr>
          <w:trHeight w:val="223"/>
        </w:trPr>
        <w:tc>
          <w:tcPr>
            <w:tcW w:w="6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244,776</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237,859</w:t>
            </w:r>
          </w:p>
        </w:tc>
        <w:tc>
          <w:tcPr>
            <w:tcW w:w="100" w:type="dxa"/>
            <w:vAlign w:val="bottom"/>
            <w:tcBorders>
              <w:bottom w:val="single" w:sz="8" w:color="CCEEFF"/>
            </w:tcBorders>
          </w:tcPr>
          <w:p>
            <w:pPr>
              <w:spacing w:after="0"/>
              <w:rPr>
                <w:sz w:val="19"/>
                <w:szCs w:val="19"/>
                <w:color w:val="auto"/>
              </w:rPr>
            </w:pPr>
          </w:p>
        </w:tc>
      </w:tr>
      <w:tr>
        <w:trPr>
          <w:trHeight w:val="236"/>
        </w:trPr>
        <w:tc>
          <w:tcPr>
            <w:tcW w:w="63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7,107,058</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7,283,643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638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3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$1.00 par; authorized 300,000,000 shares; issued 83,853,935 shares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89,045,996 shares, respectively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89,046</w:t>
            </w:r>
          </w:p>
        </w:tc>
        <w:tc>
          <w:tcPr>
            <w:tcW w:w="100" w:type="dxa"/>
            <w:vAlign w:val="bottom"/>
          </w:tcPr>
          <w:p>
            <w:pPr>
              <w:spacing w:after="0"/>
              <w:rPr>
                <w:sz w:val="20"/>
                <w:szCs w:val="20"/>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1,755,141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1,721,369</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3,430,193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3,601,812</w:t>
            </w:r>
          </w:p>
        </w:tc>
        <w:tc>
          <w:tcPr>
            <w:tcW w:w="100" w:type="dxa"/>
            <w:vAlign w:val="bottom"/>
          </w:tcPr>
          <w:p>
            <w:pPr>
              <w:spacing w:after="0"/>
              <w:rPr>
                <w:sz w:val="18"/>
                <w:szCs w:val="18"/>
                <w:color w:val="auto"/>
              </w:rPr>
            </w:pPr>
          </w:p>
        </w:tc>
      </w:tr>
      <w:tr>
        <w:trPr>
          <w:trHeight w:val="236"/>
        </w:trPr>
        <w:tc>
          <w:tcPr>
            <w:tcW w:w="6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(257,693)</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(486,723)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6380" w:type="dxa"/>
            <w:vAlign w:val="bottom"/>
            <w:tcBorders>
              <w:bottom w:val="single" w:sz="8" w:color="CCEE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5,011,495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4,925,504</w:t>
            </w:r>
          </w:p>
        </w:tc>
        <w:tc>
          <w:tcPr>
            <w:tcW w:w="100" w:type="dxa"/>
            <w:vAlign w:val="bottom"/>
            <w:tcBorders>
              <w:bottom w:val="single" w:sz="8" w:color="CCEEFF"/>
            </w:tcBorders>
          </w:tcPr>
          <w:p>
            <w:pPr>
              <w:spacing w:after="0"/>
              <w:rPr>
                <w:sz w:val="18"/>
                <w:szCs w:val="18"/>
                <w:color w:val="auto"/>
              </w:rPr>
            </w:pPr>
          </w:p>
        </w:tc>
      </w:tr>
      <w:tr>
        <w:trPr>
          <w:trHeight w:val="216"/>
        </w:trPr>
        <w:tc>
          <w:tcPr>
            <w:tcW w:w="63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12,118,553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12,209,147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28,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July 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400"/>
              <w:spacing w:after="0" w:line="202" w:lineRule="exact"/>
              <w:rPr>
                <w:sz w:val="20"/>
                <w:szCs w:val="20"/>
                <w:color w:val="auto"/>
              </w:rPr>
            </w:pPr>
            <w:r>
              <w:rPr>
                <w:rFonts w:ascii="Times New Roman" w:cs="Times New Roman" w:eastAsia="Times New Roman" w:hAnsi="Times New Roman"/>
                <w:sz w:val="18"/>
                <w:szCs w:val="18"/>
                <w:b w:val="1"/>
                <w:bCs w:val="1"/>
                <w:color w:val="auto"/>
                <w:w w:val="84"/>
              </w:rPr>
              <w:t>(Thousands,</w:t>
            </w:r>
          </w:p>
        </w:tc>
        <w:tc>
          <w:tcPr>
            <w:tcW w:w="1480" w:type="dxa"/>
            <w:vAlign w:val="bottom"/>
            <w:gridSpan w:val="3"/>
          </w:tcPr>
          <w:p>
            <w:pPr>
              <w:ind w:left="160"/>
              <w:spacing w:after="0" w:line="202" w:lineRule="exact"/>
              <w:rPr>
                <w:sz w:val="20"/>
                <w:szCs w:val="20"/>
                <w:color w:val="auto"/>
              </w:rPr>
            </w:pPr>
            <w:r>
              <w:rPr>
                <w:rFonts w:ascii="Times New Roman" w:cs="Times New Roman" w:eastAsia="Times New Roman" w:hAnsi="Times New Roman"/>
                <w:sz w:val="18"/>
                <w:szCs w:val="18"/>
                <w:b w:val="1"/>
                <w:bCs w:val="1"/>
                <w:color w:val="auto"/>
              </w:rPr>
              <w:t>except per share</w:t>
            </w:r>
          </w:p>
        </w:tc>
        <w:tc>
          <w:tcPr>
            <w:tcW w:w="12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22,200,754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23,757,129</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26,536,881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19,815,798</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20,990,687</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23,354,738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2,384,956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2,766,442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1,762,386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1,869,525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1,967,305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7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108,316</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52,550</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514,254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844,367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1,186,800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financing expenses, net</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(250,869)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legal settlements and other</w:t>
            </w:r>
          </w:p>
        </w:tc>
        <w:tc>
          <w:tcPr>
            <w:tcW w:w="7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86,499</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Income before taxes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250,569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632,263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982,876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133,564</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212,048</w:t>
            </w: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240,217</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498,699</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770,828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7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Borders>
              <w:bottom w:val="single" w:sz="8" w:color="CCEEFF"/>
            </w:tcBorders>
            <w:vMerge w:val="continue"/>
          </w:tcPr>
          <w:p>
            <w:pPr>
              <w:spacing w:after="0"/>
              <w:rPr>
                <w:sz w:val="20"/>
                <w:szCs w:val="20"/>
                <w:color w:val="auto"/>
              </w:rPr>
            </w:pPr>
          </w:p>
        </w:tc>
        <w:tc>
          <w:tcPr>
            <w:tcW w:w="7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2.75</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5.43</w:t>
            </w:r>
          </w:p>
        </w:tc>
        <w:tc>
          <w:tcPr>
            <w:tcW w:w="2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compute earnings per share:</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86,266</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90,567</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Borders>
              <w:bottom w:val="single" w:sz="8" w:color="CCEEFF"/>
            </w:tcBorders>
            <w:vMerge w:val="continue"/>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87,413</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91,837</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93,368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dividends paid per common share</w:t>
            </w:r>
          </w:p>
        </w:tc>
        <w:tc>
          <w:tcPr>
            <w:tcW w:w="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49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r>
      <w:tr>
        <w:trPr>
          <w:trHeight w:val="194"/>
        </w:trPr>
        <w:tc>
          <w:tcPr>
            <w:tcW w:w="4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June 28,</w:t>
            </w:r>
          </w:p>
        </w:tc>
        <w:tc>
          <w:tcPr>
            <w:tcW w:w="180" w:type="dxa"/>
            <w:vAlign w:val="bottom"/>
          </w:tcPr>
          <w:p>
            <w:pPr>
              <w:spacing w:after="0"/>
              <w:rPr>
                <w:sz w:val="16"/>
                <w:szCs w:val="16"/>
                <w:color w:val="auto"/>
              </w:rPr>
            </w:pPr>
          </w:p>
        </w:tc>
        <w:tc>
          <w:tcPr>
            <w:tcW w:w="92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29,</w:t>
            </w:r>
          </w:p>
        </w:tc>
        <w:tc>
          <w:tcPr>
            <w:tcW w:w="60" w:type="dxa"/>
            <w:vAlign w:val="bottom"/>
          </w:tcPr>
          <w:p>
            <w:pPr>
              <w:spacing w:after="0"/>
              <w:rPr>
                <w:sz w:val="16"/>
                <w:szCs w:val="16"/>
                <w:color w:val="auto"/>
              </w:rPr>
            </w:pPr>
          </w:p>
        </w:tc>
        <w:tc>
          <w:tcPr>
            <w:tcW w:w="78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July 1,</w:t>
            </w:r>
          </w:p>
        </w:tc>
      </w:tr>
      <w:tr>
        <w:trPr>
          <w:trHeight w:val="245"/>
        </w:trPr>
        <w:tc>
          <w:tcPr>
            <w:tcW w:w="4980" w:type="dxa"/>
            <w:vAlign w:val="bottom"/>
          </w:tcPr>
          <w:p>
            <w:pPr>
              <w:spacing w:after="0"/>
              <w:rPr>
                <w:sz w:val="21"/>
                <w:szCs w:val="21"/>
                <w:color w:val="auto"/>
              </w:rPr>
            </w:pPr>
          </w:p>
        </w:tc>
        <w:tc>
          <w:tcPr>
            <w:tcW w:w="1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21"/>
                <w:szCs w:val="21"/>
                <w:color w:val="auto"/>
              </w:rPr>
            </w:pPr>
          </w:p>
        </w:tc>
        <w:tc>
          <w:tcPr>
            <w:tcW w:w="8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3"/>
        </w:trPr>
        <w:tc>
          <w:tcPr>
            <w:tcW w:w="4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81"/>
              </w:rPr>
              <w:t>(Thousands)</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$ 240,217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$ 498,699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$ 770,828</w:t>
            </w: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304,255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64,486</w:t>
            </w: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Cross-currency swap</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(52,902)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(22,849)</w:t>
            </w:r>
          </w:p>
        </w:tc>
      </w:tr>
      <w:tr>
        <w:trPr>
          <w:trHeight w:val="23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adjustments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(23,516)</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30,230</w:t>
            </w:r>
          </w:p>
        </w:tc>
      </w:tr>
      <w:tr>
        <w:trPr>
          <w:trHeight w:val="210"/>
        </w:trPr>
        <w:tc>
          <w:tcPr>
            <w:tcW w:w="4980" w:type="dxa"/>
            <w:vAlign w:val="bottom"/>
            <w:tcBorders>
              <w:top w:val="single" w:sz="8" w:color="CCEEFF"/>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20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229,030</w:t>
            </w:r>
          </w:p>
        </w:tc>
        <w:tc>
          <w:tcPr>
            <w:tcW w:w="18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(77,342)</w:t>
            </w:r>
          </w:p>
        </w:tc>
        <w:tc>
          <w:tcPr>
            <w:tcW w:w="14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71,867</w:t>
            </w:r>
          </w:p>
        </w:tc>
      </w:tr>
      <w:tr>
        <w:trPr>
          <w:trHeight w:val="216"/>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1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$ 469,247</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$ 421,357</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$ 842,695</w:t>
            </w:r>
          </w:p>
        </w:tc>
      </w:tr>
      <w:tr>
        <w:trPr>
          <w:trHeight w:val="20"/>
        </w:trPr>
        <w:tc>
          <w:tcPr>
            <w:tcW w:w="4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60" w:right="79"/>
        <w:spacing w:after="0" w:line="323" w:lineRule="auto"/>
        <w:rPr>
          <w:sz w:val="20"/>
          <w:szCs w:val="20"/>
          <w:color w:val="auto"/>
        </w:rPr>
      </w:pPr>
      <w:r>
        <w:rPr>
          <w:rFonts w:ascii="Times New Roman" w:cs="Times New Roman" w:eastAsia="Times New Roman" w:hAnsi="Times New Roman"/>
          <w:sz w:val="18"/>
          <w:szCs w:val="18"/>
          <w:b w:val="1"/>
          <w:bCs w:val="1"/>
          <w:color w:val="auto"/>
        </w:rPr>
        <w:t>AVNET, INC. AND SUBSIDIARIES CONSOLIDATED STATEMENTS OF SHAREHOLDERS’ EQUITY Years Ended June 28, 2025, June 29, 2024, and July 1, 2023</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2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6"/>
        </w:trPr>
        <w:tc>
          <w:tcPr>
            <w:tcW w:w="29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Pr>
          <w:p>
            <w:pPr>
              <w:spacing w:after="0"/>
              <w:rPr>
                <w:sz w:val="17"/>
                <w:szCs w:val="17"/>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7"/>
                <w:szCs w:val="17"/>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Shareholders’</w:t>
            </w:r>
          </w:p>
        </w:tc>
      </w:tr>
      <w:tr>
        <w:trPr>
          <w:trHeight w:val="225"/>
        </w:trPr>
        <w:tc>
          <w:tcPr>
            <w:tcW w:w="294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60" w:type="dxa"/>
            <w:vAlign w:val="bottom"/>
          </w:tcPr>
          <w:p>
            <w:pPr>
              <w:spacing w:after="0"/>
              <w:rPr>
                <w:sz w:val="19"/>
                <w:szCs w:val="19"/>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9"/>
                <w:szCs w:val="19"/>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203"/>
        </w:trPr>
        <w:tc>
          <w:tcPr>
            <w:tcW w:w="29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81"/>
              </w:rPr>
              <w:t>(Thousands)</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July 2, 2022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95,702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95,702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$ 1,656,907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$ 2,921,399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(481,248)</w:t>
            </w:r>
          </w:p>
        </w:tc>
        <w:tc>
          <w:tcPr>
            <w:tcW w:w="3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4,192,760</w:t>
            </w:r>
          </w:p>
        </w:tc>
        <w:tc>
          <w:tcPr>
            <w:tcW w:w="60" w:type="dxa"/>
            <w:vAlign w:val="bottom"/>
            <w:shd w:val="clear" w:color="auto" w:fill="CCEEFF"/>
          </w:tcPr>
          <w:p>
            <w:pPr>
              <w:spacing w:after="0"/>
              <w:rPr>
                <w:sz w:val="18"/>
                <w:szCs w:val="18"/>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770,828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770,828</w:t>
            </w:r>
          </w:p>
        </w:tc>
        <w:tc>
          <w:tcPr>
            <w:tcW w:w="60" w:type="dxa"/>
            <w:vAlign w:val="bottom"/>
          </w:tcPr>
          <w:p>
            <w:pPr>
              <w:spacing w:after="0"/>
              <w:rPr>
                <w:sz w:val="18"/>
                <w:szCs w:val="18"/>
                <w:color w:val="auto"/>
              </w:rPr>
            </w:pPr>
          </w:p>
        </w:tc>
      </w:tr>
      <w:tr>
        <w:trPr>
          <w:trHeight w:val="20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Translation adjustments and other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64,486</w:t>
            </w:r>
          </w:p>
        </w:tc>
        <w:tc>
          <w:tcPr>
            <w:tcW w:w="60" w:type="dxa"/>
            <w:vAlign w:val="bottom"/>
            <w:shd w:val="clear" w:color="auto" w:fill="CCEEFF"/>
          </w:tcPr>
          <w:p>
            <w:pPr>
              <w:spacing w:after="0"/>
              <w:rPr>
                <w:sz w:val="18"/>
                <w:szCs w:val="18"/>
                <w:color w:val="auto"/>
              </w:rPr>
            </w:pPr>
          </w:p>
        </w:tc>
      </w:tr>
      <w:tr>
        <w:trPr>
          <w:trHeight w:val="189"/>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Pension liability adjustments, net of tax of</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$8,146</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30,230</w:t>
            </w:r>
          </w:p>
        </w:tc>
        <w:tc>
          <w:tcPr>
            <w:tcW w:w="60" w:type="dxa"/>
            <w:vAlign w:val="bottom"/>
          </w:tcPr>
          <w:p>
            <w:pPr>
              <w:spacing w:after="0"/>
              <w:rPr>
                <w:sz w:val="18"/>
                <w:szCs w:val="18"/>
                <w:color w:val="auto"/>
              </w:rPr>
            </w:pPr>
          </w:p>
        </w:tc>
      </w:tr>
      <w:tr>
        <w:trPr>
          <w:trHeight w:val="20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Cross-currency swap</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(22,849)</w:t>
            </w:r>
          </w:p>
        </w:tc>
        <w:tc>
          <w:tcPr>
            <w:tcW w:w="60" w:type="dxa"/>
            <w:vAlign w:val="bottom"/>
            <w:shd w:val="clear" w:color="auto" w:fill="CCEEFF"/>
          </w:tcPr>
          <w:p>
            <w:pPr>
              <w:spacing w:after="0"/>
              <w:rPr>
                <w:sz w:val="18"/>
                <w:szCs w:val="18"/>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 ($1.16 per share)</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(106,325)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(106,325)</w:t>
            </w:r>
          </w:p>
        </w:tc>
        <w:tc>
          <w:tcPr>
            <w:tcW w:w="60" w:type="dxa"/>
            <w:vAlign w:val="bottom"/>
          </w:tcPr>
          <w:p>
            <w:pPr>
              <w:spacing w:after="0"/>
              <w:rPr>
                <w:sz w:val="17"/>
                <w:szCs w:val="17"/>
                <w:color w:val="auto"/>
              </w:rPr>
            </w:pPr>
          </w:p>
        </w:tc>
      </w:tr>
      <w:tr>
        <w:trPr>
          <w:trHeight w:val="20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(5,085)</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(207,690)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(212,775)</w:t>
            </w:r>
          </w:p>
        </w:tc>
        <w:tc>
          <w:tcPr>
            <w:tcW w:w="60" w:type="dxa"/>
            <w:vAlign w:val="bottom"/>
            <w:shd w:val="clear" w:color="auto" w:fill="CCEEFF"/>
          </w:tcPr>
          <w:p>
            <w:pPr>
              <w:spacing w:after="0"/>
              <w:rPr>
                <w:sz w:val="17"/>
                <w:szCs w:val="17"/>
                <w:color w:val="auto"/>
              </w:rPr>
            </w:pPr>
          </w:p>
        </w:tc>
      </w:tr>
      <w:tr>
        <w:trPr>
          <w:trHeight w:val="209"/>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34,427</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35,314</w:t>
            </w:r>
          </w:p>
        </w:tc>
        <w:tc>
          <w:tcPr>
            <w:tcW w:w="60" w:type="dxa"/>
            <w:vAlign w:val="bottom"/>
          </w:tcPr>
          <w:p>
            <w:pPr>
              <w:spacing w:after="0"/>
              <w:rPr>
                <w:sz w:val="18"/>
                <w:szCs w:val="18"/>
                <w:color w:val="auto"/>
              </w:rPr>
            </w:pPr>
          </w:p>
        </w:tc>
      </w:tr>
      <w:tr>
        <w:trPr>
          <w:trHeight w:val="203"/>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July 1, 2023</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91,504</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91,504</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1,691,334</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3,378,212</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(409,381)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4,751,669</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498,699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498,699</w:t>
            </w:r>
          </w:p>
        </w:tc>
        <w:tc>
          <w:tcPr>
            <w:tcW w:w="60" w:type="dxa"/>
            <w:vAlign w:val="bottom"/>
          </w:tcPr>
          <w:p>
            <w:pPr>
              <w:spacing w:after="0"/>
              <w:rPr>
                <w:sz w:val="18"/>
                <w:szCs w:val="18"/>
                <w:color w:val="auto"/>
              </w:rPr>
            </w:pPr>
          </w:p>
        </w:tc>
      </w:tr>
      <w:tr>
        <w:trPr>
          <w:trHeight w:val="222"/>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Translation adjustments and other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(60,434)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(60,434)</w:t>
            </w:r>
          </w:p>
        </w:tc>
        <w:tc>
          <w:tcPr>
            <w:tcW w:w="60" w:type="dxa"/>
            <w:vAlign w:val="bottom"/>
            <w:shd w:val="clear" w:color="auto" w:fill="CCEEFF"/>
          </w:tcPr>
          <w:p>
            <w:pPr>
              <w:spacing w:after="0"/>
              <w:rPr>
                <w:sz w:val="19"/>
                <w:szCs w:val="19"/>
                <w:color w:val="auto"/>
              </w:rPr>
            </w:pPr>
          </w:p>
        </w:tc>
      </w:tr>
      <w:tr>
        <w:trPr>
          <w:trHeight w:val="189"/>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Pension liability adjustments, net of tax of</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$7,648</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(23,516)</w:t>
            </w:r>
          </w:p>
        </w:tc>
        <w:tc>
          <w:tcPr>
            <w:tcW w:w="60" w:type="dxa"/>
            <w:vAlign w:val="bottom"/>
          </w:tcPr>
          <w:p>
            <w:pPr>
              <w:spacing w:after="0"/>
              <w:rPr>
                <w:sz w:val="18"/>
                <w:szCs w:val="18"/>
                <w:color w:val="auto"/>
              </w:rPr>
            </w:pPr>
          </w:p>
        </w:tc>
      </w:tr>
      <w:tr>
        <w:trPr>
          <w:trHeight w:val="222"/>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Cross-currency swap</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6,608</w:t>
            </w:r>
          </w:p>
        </w:tc>
        <w:tc>
          <w:tcPr>
            <w:tcW w:w="60" w:type="dxa"/>
            <w:vAlign w:val="bottom"/>
            <w:shd w:val="clear" w:color="auto" w:fill="CCEEFF"/>
          </w:tcPr>
          <w:p>
            <w:pPr>
              <w:spacing w:after="0"/>
              <w:rPr>
                <w:sz w:val="19"/>
                <w:szCs w:val="19"/>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 ($1.24 per share)</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(111,963)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(111,963)</w:t>
            </w:r>
          </w:p>
        </w:tc>
        <w:tc>
          <w:tcPr>
            <w:tcW w:w="60" w:type="dxa"/>
            <w:vAlign w:val="bottom"/>
          </w:tcPr>
          <w:p>
            <w:pPr>
              <w:spacing w:after="0"/>
              <w:rPr>
                <w:sz w:val="17"/>
                <w:szCs w:val="17"/>
                <w:color w:val="auto"/>
              </w:rPr>
            </w:pPr>
          </w:p>
        </w:tc>
      </w:tr>
      <w:tr>
        <w:trPr>
          <w:trHeight w:val="18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Repurchases of common stock, including</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$1,652 of excise tax</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(166,429)</w:t>
            </w:r>
          </w:p>
        </w:tc>
        <w:tc>
          <w:tcPr>
            <w:tcW w:w="60" w:type="dxa"/>
            <w:vAlign w:val="bottom"/>
            <w:shd w:val="clear" w:color="auto" w:fill="CCEEFF"/>
          </w:tcPr>
          <w:p>
            <w:pPr>
              <w:spacing w:after="0"/>
              <w:rPr>
                <w:sz w:val="18"/>
                <w:szCs w:val="18"/>
                <w:color w:val="auto"/>
              </w:rPr>
            </w:pPr>
          </w:p>
        </w:tc>
      </w:tr>
      <w:tr>
        <w:trPr>
          <w:trHeight w:val="209"/>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30,035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30,870</w:t>
            </w:r>
          </w:p>
        </w:tc>
        <w:tc>
          <w:tcPr>
            <w:tcW w:w="60" w:type="dxa"/>
            <w:vAlign w:val="bottom"/>
          </w:tcPr>
          <w:p>
            <w:pPr>
              <w:spacing w:after="0"/>
              <w:rPr>
                <w:sz w:val="18"/>
                <w:szCs w:val="18"/>
                <w:color w:val="auto"/>
              </w:rPr>
            </w:pPr>
          </w:p>
        </w:tc>
      </w:tr>
      <w:tr>
        <w:trPr>
          <w:trHeight w:val="203"/>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June 29, 2024</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89,046</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89,046</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1,721,369</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3,601,812</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(486,723)</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4,925,504</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240,217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240,217</w:t>
            </w:r>
          </w:p>
        </w:tc>
        <w:tc>
          <w:tcPr>
            <w:tcW w:w="60" w:type="dxa"/>
            <w:vAlign w:val="bottom"/>
          </w:tcPr>
          <w:p>
            <w:pPr>
              <w:spacing w:after="0"/>
              <w:rPr>
                <w:sz w:val="18"/>
                <w:szCs w:val="18"/>
                <w:color w:val="auto"/>
              </w:rPr>
            </w:pPr>
          </w:p>
        </w:tc>
      </w:tr>
      <w:tr>
        <w:trPr>
          <w:trHeight w:val="222"/>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Translation adjustments and other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304,255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304,255</w:t>
            </w:r>
          </w:p>
        </w:tc>
        <w:tc>
          <w:tcPr>
            <w:tcW w:w="60" w:type="dxa"/>
            <w:vAlign w:val="bottom"/>
            <w:shd w:val="clear" w:color="auto" w:fill="CCEEFF"/>
          </w:tcPr>
          <w:p>
            <w:pPr>
              <w:spacing w:after="0"/>
              <w:rPr>
                <w:sz w:val="19"/>
                <w:szCs w:val="19"/>
                <w:color w:val="auto"/>
              </w:rPr>
            </w:pPr>
          </w:p>
        </w:tc>
      </w:tr>
      <w:tr>
        <w:trPr>
          <w:trHeight w:val="189"/>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Pension liability adjustments, net of tax of</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$6,392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(22,323)</w:t>
            </w:r>
          </w:p>
        </w:tc>
        <w:tc>
          <w:tcPr>
            <w:tcW w:w="60" w:type="dxa"/>
            <w:vAlign w:val="bottom"/>
          </w:tcPr>
          <w:p>
            <w:pPr>
              <w:spacing w:after="0"/>
              <w:rPr>
                <w:sz w:val="18"/>
                <w:szCs w:val="18"/>
                <w:color w:val="auto"/>
              </w:rPr>
            </w:pPr>
          </w:p>
        </w:tc>
      </w:tr>
      <w:tr>
        <w:trPr>
          <w:trHeight w:val="222"/>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Cross-currency swap</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(52,902)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(52,902)</w:t>
            </w:r>
          </w:p>
        </w:tc>
        <w:tc>
          <w:tcPr>
            <w:tcW w:w="60" w:type="dxa"/>
            <w:vAlign w:val="bottom"/>
            <w:shd w:val="clear" w:color="auto" w:fill="CCEEFF"/>
          </w:tcPr>
          <w:p>
            <w:pPr>
              <w:spacing w:after="0"/>
              <w:rPr>
                <w:sz w:val="19"/>
                <w:szCs w:val="19"/>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 ($1.32 per share)</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(113,310)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(113,310)</w:t>
            </w:r>
          </w:p>
        </w:tc>
        <w:tc>
          <w:tcPr>
            <w:tcW w:w="60" w:type="dxa"/>
            <w:vAlign w:val="bottom"/>
          </w:tcPr>
          <w:p>
            <w:pPr>
              <w:spacing w:after="0"/>
              <w:rPr>
                <w:sz w:val="17"/>
                <w:szCs w:val="17"/>
                <w:color w:val="auto"/>
              </w:rPr>
            </w:pPr>
          </w:p>
        </w:tc>
      </w:tr>
      <w:tr>
        <w:trPr>
          <w:trHeight w:val="18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Repurchases of common stock, including</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$3,013 of excise tax</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(304,449)</w:t>
            </w:r>
          </w:p>
        </w:tc>
        <w:tc>
          <w:tcPr>
            <w:tcW w:w="60" w:type="dxa"/>
            <w:vAlign w:val="bottom"/>
            <w:shd w:val="clear" w:color="auto" w:fill="CCEEFF"/>
          </w:tcPr>
          <w:p>
            <w:pPr>
              <w:spacing w:after="0"/>
              <w:rPr>
                <w:sz w:val="18"/>
                <w:szCs w:val="18"/>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33,772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34,503</w:t>
            </w:r>
          </w:p>
        </w:tc>
        <w:tc>
          <w:tcPr>
            <w:tcW w:w="60" w:type="dxa"/>
            <w:vAlign w:val="bottom"/>
          </w:tcPr>
          <w:p>
            <w:pPr>
              <w:spacing w:after="0"/>
              <w:rPr>
                <w:sz w:val="18"/>
                <w:szCs w:val="18"/>
                <w:color w:val="auto"/>
              </w:rPr>
            </w:pPr>
          </w:p>
        </w:tc>
      </w:tr>
      <w:tr>
        <w:trPr>
          <w:trHeight w:val="203"/>
        </w:trPr>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June 28, 2025</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83,854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83,854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$ 1,755,141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$ 3,430,193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(257,693)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5,011,495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9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w w:val="99"/>
              </w:rPr>
              <w:t>Years Ended</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5"/>
              <w:spacing w:after="0" w:line="176" w:lineRule="exact"/>
              <w:rPr>
                <w:sz w:val="20"/>
                <w:szCs w:val="20"/>
                <w:color w:val="auto"/>
              </w:rPr>
            </w:pPr>
            <w:r>
              <w:rPr>
                <w:rFonts w:ascii="Times New Roman" w:cs="Times New Roman" w:eastAsia="Times New Roman" w:hAnsi="Times New Roman"/>
                <w:sz w:val="17"/>
                <w:szCs w:val="17"/>
                <w:b w:val="1"/>
                <w:bCs w:val="1"/>
                <w:color w:val="auto"/>
                <w:w w:val="99"/>
              </w:rPr>
              <w:t>June 28,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7"/>
                <w:szCs w:val="17"/>
                <w:b w:val="1"/>
                <w:bCs w:val="1"/>
                <w:color w:val="auto"/>
              </w:rPr>
              <w:t>June 29,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55"/>
              <w:spacing w:after="0" w:line="176" w:lineRule="exact"/>
              <w:rPr>
                <w:sz w:val="20"/>
                <w:szCs w:val="20"/>
                <w:color w:val="auto"/>
              </w:rPr>
            </w:pPr>
            <w:r>
              <w:rPr>
                <w:rFonts w:ascii="Times New Roman" w:cs="Times New Roman" w:eastAsia="Times New Roman" w:hAnsi="Times New Roman"/>
                <w:sz w:val="17"/>
                <w:szCs w:val="17"/>
                <w:b w:val="1"/>
                <w:bCs w:val="1"/>
                <w:color w:val="auto"/>
              </w:rPr>
              <w:t>July 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85"/>
              </w:rPr>
              <w:t>(Thousands)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240,217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498,699</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Non-cash and other reconciling items: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71,616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86,708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 of operating lease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53,579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53,796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36,399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33,496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Changes in (net of effects from businesses acquired and divested):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Receivables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183,533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316,218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409,553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FF"/>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rPr>
              <w:t>Accrued expenses and other, net</w:t>
            </w: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(292,625)</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(258,277)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tcBorders>
              <w:bottom w:val="single" w:sz="8" w:color="CCEEFF"/>
            </w:tcBorders>
            <w:shd w:val="clear" w:color="auto" w:fill="CCEEFF"/>
          </w:tcPr>
          <w:p>
            <w:pPr>
              <w:ind w:left="400"/>
              <w:spacing w:after="0" w:line="202" w:lineRule="exact"/>
              <w:rPr>
                <w:sz w:val="20"/>
                <w:szCs w:val="20"/>
                <w:color w:val="auto"/>
              </w:rPr>
            </w:pPr>
            <w:r>
              <w:rPr>
                <w:rFonts w:ascii="Times New Roman" w:cs="Times New Roman" w:eastAsia="Times New Roman" w:hAnsi="Times New Roman"/>
                <w:sz w:val="18"/>
                <w:szCs w:val="18"/>
                <w:color w:val="auto"/>
              </w:rPr>
              <w:t>Net cash flows provided by (used for)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724,504</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689,984</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(713,703)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Issuance of notes, net of discounts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Borrowings (repayments) under accounts receivable securitization,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(Repayments) borrowings under senior unsecured credit facility,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(357,299)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(Repayments) borrowings under bank credit facilities and other debt,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27,491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(303,490)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(113,310)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(111,963)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FF"/>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(1,876)</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tcBorders>
              <w:bottom w:val="single" w:sz="8" w:color="CCEEFF"/>
            </w:tcBorders>
            <w:shd w:val="clear" w:color="auto" w:fill="CCEEFF"/>
          </w:tcPr>
          <w:p>
            <w:pPr>
              <w:ind w:left="400"/>
              <w:spacing w:after="0" w:line="202" w:lineRule="exact"/>
              <w:rPr>
                <w:sz w:val="20"/>
                <w:szCs w:val="20"/>
                <w:color w:val="auto"/>
              </w:rPr>
            </w:pPr>
            <w:r>
              <w:rPr>
                <w:rFonts w:ascii="Times New Roman" w:cs="Times New Roman" w:eastAsia="Times New Roman" w:hAnsi="Times New Roman"/>
                <w:sz w:val="18"/>
                <w:szCs w:val="18"/>
                <w:color w:val="auto"/>
              </w:rPr>
              <w:t>Net cash flows (used for) provided by financing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(693,526)</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(433,799)</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1,054,756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(147,474)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(226,478)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(194,674)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Borders>
              <w:bottom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10,347</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(16,877)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tcBorders>
              <w:bottom w:val="single" w:sz="8" w:color="CCEEFF"/>
            </w:tcBorders>
          </w:tcPr>
          <w:p>
            <w:pPr>
              <w:ind w:left="400"/>
              <w:spacing w:after="0" w:line="189" w:lineRule="exact"/>
              <w:rPr>
                <w:sz w:val="20"/>
                <w:szCs w:val="20"/>
                <w:color w:val="auto"/>
              </w:rPr>
            </w:pPr>
            <w:r>
              <w:rPr>
                <w:rFonts w:ascii="Times New Roman" w:cs="Times New Roman" w:eastAsia="Times New Roman" w:hAnsi="Times New Roman"/>
                <w:sz w:val="18"/>
                <w:szCs w:val="18"/>
                <w:color w:val="auto"/>
              </w:rPr>
              <w:t>Net cash flows used for investing activities</w:t>
            </w:r>
          </w:p>
        </w:tc>
        <w:tc>
          <w:tcPr>
            <w:tcW w:w="3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(137,127)</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(225,484)</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(211,551)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(12,364)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(decrease) increase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 at beginning of period</w:t>
            </w: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310,941</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288,230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153,693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 at end of period</w:t>
            </w: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192,428</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310,941</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Additional cash flow information (Note 15)</w:t>
      </w:r>
    </w:p>
    <w:p>
      <w:pPr>
        <w:spacing w:after="0" w:line="7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41" w:lineRule="exact"/>
        <w:rPr>
          <w:sz w:val="20"/>
          <w:szCs w:val="20"/>
          <w:color w:val="auto"/>
        </w:rPr>
      </w:pPr>
    </w:p>
    <w:p>
      <w:pPr>
        <w:ind w:left="60" w:right="99" w:firstLine="427"/>
        <w:spacing w:after="0" w:line="314"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 The accompanying consolidated financial statements include the accounts of Avnet, Inc.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 its majority-owned and controlled subsidiaries (the “Company” or “Avnet”). All intercompany and intracompany accounts and transactions have been eliminated.</w:t>
      </w:r>
    </w:p>
    <w:p>
      <w:pPr>
        <w:spacing w:after="0" w:line="133" w:lineRule="exact"/>
        <w:rPr>
          <w:sz w:val="20"/>
          <w:szCs w:val="20"/>
          <w:color w:val="auto"/>
        </w:rPr>
      </w:pPr>
    </w:p>
    <w:p>
      <w:pPr>
        <w:ind w:left="60" w:right="539" w:firstLine="427"/>
        <w:spacing w:after="0" w:line="331"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 Certain prior period amounts have been reclassified or combined to conform to the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presentation.</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Fiscal year </w:t>
      </w:r>
      <w:r>
        <w:rPr>
          <w:rFonts w:ascii="Times New Roman" w:cs="Times New Roman" w:eastAsia="Times New Roman" w:hAnsi="Times New Roman"/>
          <w:sz w:val="18"/>
          <w:szCs w:val="18"/>
          <w:color w:val="auto"/>
        </w:rPr>
        <w:t>— The Company operates on a “52/53 week” fiscal year, which ends on the Saturday closest to</w:t>
      </w:r>
    </w:p>
    <w:p>
      <w:pPr>
        <w:spacing w:after="0" w:line="65" w:lineRule="exact"/>
        <w:rPr>
          <w:sz w:val="20"/>
          <w:szCs w:val="20"/>
          <w:color w:val="auto"/>
        </w:rPr>
      </w:pPr>
    </w:p>
    <w:p>
      <w:pPr>
        <w:ind w:left="60" w:right="199"/>
        <w:spacing w:after="0" w:line="329" w:lineRule="auto"/>
        <w:rPr>
          <w:sz w:val="20"/>
          <w:szCs w:val="20"/>
          <w:color w:val="auto"/>
        </w:rPr>
      </w:pPr>
      <w:r>
        <w:rPr>
          <w:rFonts w:ascii="Times New Roman" w:cs="Times New Roman" w:eastAsia="Times New Roman" w:hAnsi="Times New Roman"/>
          <w:sz w:val="18"/>
          <w:szCs w:val="18"/>
          <w:color w:val="auto"/>
        </w:rPr>
        <w:t>June 30th. Fiscal 2025, 2024 and 2023 contain 52 weeks. Unless otherwise noted, all references to “fiscal” or “year” shall mean the Company’s fiscal year.</w:t>
      </w:r>
    </w:p>
    <w:p>
      <w:pPr>
        <w:spacing w:after="0" w:line="119" w:lineRule="exact"/>
        <w:rPr>
          <w:sz w:val="20"/>
          <w:szCs w:val="20"/>
          <w:color w:val="auto"/>
        </w:rPr>
      </w:pPr>
    </w:p>
    <w:p>
      <w:pPr>
        <w:ind w:left="60" w:right="179" w:firstLine="427"/>
        <w:spacing w:after="0" w:line="305" w:lineRule="auto"/>
        <w:rPr>
          <w:sz w:val="20"/>
          <w:szCs w:val="20"/>
          <w:color w:val="auto"/>
        </w:rPr>
      </w:pPr>
      <w:r>
        <w:rPr>
          <w:rFonts w:ascii="Times New Roman" w:cs="Times New Roman" w:eastAsia="Times New Roman" w:hAnsi="Times New Roman"/>
          <w:sz w:val="18"/>
          <w:szCs w:val="18"/>
          <w:i w:val="1"/>
          <w:iCs w:val="1"/>
          <w:color w:val="auto"/>
        </w:rPr>
        <w:t xml:space="preserve">Management estimates </w:t>
      </w:r>
      <w:r>
        <w:rPr>
          <w:rFonts w:ascii="Times New Roman" w:cs="Times New Roman" w:eastAsia="Times New Roman" w:hAnsi="Times New Roman"/>
          <w:sz w:val="18"/>
          <w:szCs w:val="18"/>
          <w:color w:val="auto"/>
        </w:rPr>
        <w:t>— The preparation of financial statements in conformity with generally accepted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principles in the United States of America (“GAAP”) requires management to make estimates and assumptions that affect certain reported amounts of assets and liabilities, reported amounts of sales and expenses and the disclosure of contingent assets and liabilities at the date of the consolidated financial statements. Actual results could differ materially from those estimates.</w:t>
      </w:r>
    </w:p>
    <w:p>
      <w:pPr>
        <w:spacing w:after="0" w:line="156" w:lineRule="exact"/>
        <w:rPr>
          <w:sz w:val="20"/>
          <w:szCs w:val="20"/>
          <w:color w:val="auto"/>
        </w:rPr>
      </w:pPr>
    </w:p>
    <w:p>
      <w:pPr>
        <w:ind w:left="60" w:right="459" w:firstLine="427"/>
        <w:spacing w:after="0" w:line="331"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Company considers all highly liquid investments with an original maturity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or less including money market funds to be cash equivalents.</w:t>
      </w:r>
    </w:p>
    <w:p>
      <w:pPr>
        <w:spacing w:after="0" w:line="118" w:lineRule="exact"/>
        <w:rPr>
          <w:sz w:val="20"/>
          <w:szCs w:val="20"/>
          <w:color w:val="auto"/>
        </w:rPr>
      </w:pPr>
    </w:p>
    <w:p>
      <w:pPr>
        <w:ind w:left="60" w:right="179" w:firstLine="427"/>
        <w:spacing w:after="0" w:line="302" w:lineRule="auto"/>
        <w:rPr>
          <w:sz w:val="20"/>
          <w:szCs w:val="20"/>
          <w:color w:val="auto"/>
        </w:rPr>
      </w:pPr>
      <w:r>
        <w:rPr>
          <w:rFonts w:ascii="Times New Roman" w:cs="Times New Roman" w:eastAsia="Times New Roman" w:hAnsi="Times New Roman"/>
          <w:sz w:val="18"/>
          <w:szCs w:val="18"/>
          <w:i w:val="1"/>
          <w:iCs w:val="1"/>
          <w:color w:val="auto"/>
        </w:rPr>
        <w:t xml:space="preserve">Receivables – </w:t>
      </w:r>
      <w:r>
        <w:rPr>
          <w:rFonts w:ascii="Times New Roman" w:cs="Times New Roman" w:eastAsia="Times New Roman" w:hAnsi="Times New Roman"/>
          <w:sz w:val="18"/>
          <w:szCs w:val="18"/>
          <w:color w:val="auto"/>
        </w:rPr>
        <w:t>Receivables, predominately comprised of customer trade accounts, are reported at amortized cost,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allowance for credit losses in the consolidated balance sheets. The allowance for credit losses is a valuation account that is deducted from the receivables’ amortized cost basis to present the net amount expected to be collected. The Company estimates the allowance for credit losses using relevant available information about expected credit losses, including information about historical credit losses, past events, current conditions, and other factors which may affect the collectability of receivables. Adjustments to historical loss information are made for differences in current receivable specific risk characteristics, such as changes in customer behavior, economic and industry changes, or other relevant factors. Expected credit losses are estimated on a pooled basis when similar risk characteristics exist.</w:t>
      </w:r>
    </w:p>
    <w:p>
      <w:pPr>
        <w:spacing w:after="0" w:line="157" w:lineRule="exact"/>
        <w:rPr>
          <w:sz w:val="20"/>
          <w:szCs w:val="20"/>
          <w:color w:val="auto"/>
        </w:rPr>
      </w:pPr>
    </w:p>
    <w:p>
      <w:pPr>
        <w:ind w:left="60" w:right="59" w:firstLine="427"/>
        <w:spacing w:after="0" w:line="303"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comprised principally of finished goods, are stated at the lower of cost or net realizable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Inventory cost includes the purchase price of finished goods, and any freight cost incurred to receive the inventory into the Company’s distribution centers. The Company regularly reviews the cost of inventory against its estimated net realizable value, considering historical experience and any contractual rights of return, stock rotations, vendor rebates, excess, and obsolescence allowances, or price protections provided by the Company’s suppliers. It records the lower of cost or net realizable value write-down if any inventories have a cost in excess of such inventories’ estimated net realizable value.</w:t>
      </w:r>
    </w:p>
    <w:p>
      <w:pPr>
        <w:spacing w:after="0" w:line="142" w:lineRule="exact"/>
        <w:rPr>
          <w:sz w:val="20"/>
          <w:szCs w:val="20"/>
          <w:color w:val="auto"/>
        </w:rPr>
      </w:pPr>
    </w:p>
    <w:p>
      <w:pPr>
        <w:ind w:left="60" w:right="99" w:firstLine="427"/>
        <w:spacing w:after="0" w:line="305" w:lineRule="auto"/>
        <w:rPr>
          <w:sz w:val="20"/>
          <w:szCs w:val="20"/>
          <w:color w:val="auto"/>
        </w:rPr>
      </w:pPr>
      <w:r>
        <w:rPr>
          <w:rFonts w:ascii="Times New Roman" w:cs="Times New Roman" w:eastAsia="Times New Roman" w:hAnsi="Times New Roman"/>
          <w:sz w:val="18"/>
          <w:szCs w:val="18"/>
          <w:i w:val="1"/>
          <w:iCs w:val="1"/>
          <w:color w:val="auto"/>
        </w:rPr>
        <w:t xml:space="preserve">Depreciation, amortization and useful lives </w:t>
      </w:r>
      <w:r>
        <w:rPr>
          <w:rFonts w:ascii="Times New Roman" w:cs="Times New Roman" w:eastAsia="Times New Roman" w:hAnsi="Times New Roman"/>
          <w:sz w:val="18"/>
          <w:szCs w:val="18"/>
          <w:color w:val="auto"/>
        </w:rPr>
        <w:t>— The Company reports property, plant, and equipment at cost,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depreciation. Cost includes the price paid to acquire or construct the assets, required installation costs, interest capitalized during the construction period, and any expenditure that substantially adds to the value or substantially extends the useful life of an existing asset. Additionally, the Company capitalizes qualified costs related to software obtained or developed for internal use as a component of property, plant, and equipment. Software obtained for</w:t>
      </w:r>
    </w:p>
    <w:p>
      <w:pPr>
        <w:sectPr>
          <w:pgSz w:w="11900" w:h="16838" w:orient="portrait"/>
          <w:cols w:equalWidth="0" w:num="1">
            <w:col w:w="9019"/>
          </w:cols>
          <w:pgMar w:left="1440" w:top="513"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70" w:lineRule="exact"/>
        <w:rPr>
          <w:sz w:val="20"/>
          <w:szCs w:val="20"/>
          <w:color w:val="auto"/>
        </w:rPr>
      </w:pPr>
    </w:p>
    <w:p>
      <w:pPr>
        <w:ind w:left="60" w:right="159"/>
        <w:spacing w:after="0" w:line="338" w:lineRule="auto"/>
        <w:rPr>
          <w:sz w:val="20"/>
          <w:szCs w:val="20"/>
          <w:color w:val="auto"/>
        </w:rPr>
      </w:pPr>
      <w:r>
        <w:rPr>
          <w:rFonts w:ascii="Times New Roman" w:cs="Times New Roman" w:eastAsia="Times New Roman" w:hAnsi="Times New Roman"/>
          <w:sz w:val="17"/>
          <w:szCs w:val="17"/>
          <w:color w:val="auto"/>
        </w:rPr>
        <w:t>internal use has generally been enterprise-level business operations, logistics, and finance software that is customized to meet the Company’s specific operational requirements. The Company begins depreciation and amortization (“depreciation”) for property, plant, and equipment when an asset is both in the location and condition for its intended use.</w:t>
      </w:r>
    </w:p>
    <w:p>
      <w:pPr>
        <w:spacing w:after="0" w:line="119" w:lineRule="exact"/>
        <w:rPr>
          <w:sz w:val="20"/>
          <w:szCs w:val="20"/>
          <w:color w:val="auto"/>
        </w:rPr>
      </w:pPr>
    </w:p>
    <w:p>
      <w:pPr>
        <w:ind w:left="60" w:right="179" w:firstLine="427"/>
        <w:spacing w:after="0" w:line="313" w:lineRule="auto"/>
        <w:rPr>
          <w:sz w:val="20"/>
          <w:szCs w:val="20"/>
          <w:color w:val="auto"/>
        </w:rPr>
      </w:pPr>
      <w:r>
        <w:rPr>
          <w:rFonts w:ascii="Times New Roman" w:cs="Times New Roman" w:eastAsia="Times New Roman" w:hAnsi="Times New Roman"/>
          <w:sz w:val="18"/>
          <w:szCs w:val="18"/>
          <w:color w:val="auto"/>
        </w:rPr>
        <w:t>Property, plant, and equipment is depreciated using the straight-line method over its estimated useful lives. The estimated useful lives for property, plant, and equipment are typically as follows: buildings (30 years); machinery, fixtures and equipment (2-10 years); information technology hardware and software (2-10 years); and leasehold improvements (over the applicable lease term or economic useful life, if shorter).</w:t>
      </w:r>
    </w:p>
    <w:p>
      <w:pPr>
        <w:spacing w:after="0" w:line="135" w:lineRule="exact"/>
        <w:rPr>
          <w:sz w:val="20"/>
          <w:szCs w:val="20"/>
          <w:color w:val="auto"/>
        </w:rPr>
      </w:pPr>
    </w:p>
    <w:p>
      <w:pPr>
        <w:ind w:left="60" w:right="79" w:firstLine="427"/>
        <w:spacing w:after="0" w:line="313" w:lineRule="auto"/>
        <w:rPr>
          <w:sz w:val="20"/>
          <w:szCs w:val="20"/>
          <w:color w:val="auto"/>
        </w:rPr>
      </w:pPr>
      <w:r>
        <w:rPr>
          <w:rFonts w:ascii="Times New Roman" w:cs="Times New Roman" w:eastAsia="Times New Roman" w:hAnsi="Times New Roman"/>
          <w:sz w:val="18"/>
          <w:szCs w:val="18"/>
          <w:color w:val="auto"/>
        </w:rPr>
        <w:t>The Company amortizes intangible assets acquired in business combinations or asset combinations using the straight-line method over the estimated economic useful lives of the intangible assets from the date of acquisition, which is generally between 5-10 years.</w:t>
      </w:r>
    </w:p>
    <w:p>
      <w:pPr>
        <w:spacing w:after="0" w:line="133" w:lineRule="exact"/>
        <w:rPr>
          <w:sz w:val="20"/>
          <w:szCs w:val="20"/>
          <w:color w:val="auto"/>
        </w:rPr>
      </w:pPr>
    </w:p>
    <w:p>
      <w:pPr>
        <w:ind w:left="60" w:right="119" w:firstLine="427"/>
        <w:spacing w:after="0" w:line="302" w:lineRule="auto"/>
        <w:rPr>
          <w:sz w:val="20"/>
          <w:szCs w:val="20"/>
          <w:color w:val="auto"/>
        </w:rPr>
      </w:pPr>
      <w:r>
        <w:rPr>
          <w:rFonts w:ascii="Times New Roman" w:cs="Times New Roman" w:eastAsia="Times New Roman" w:hAnsi="Times New Roman"/>
          <w:sz w:val="18"/>
          <w:szCs w:val="18"/>
          <w:i w:val="1"/>
          <w:iCs w:val="1"/>
          <w:color w:val="auto"/>
        </w:rPr>
        <w:t xml:space="preserve">Long-lived asset impairment </w:t>
      </w:r>
      <w:r>
        <w:rPr>
          <w:rFonts w:ascii="Times New Roman" w:cs="Times New Roman" w:eastAsia="Times New Roman" w:hAnsi="Times New Roman"/>
          <w:sz w:val="18"/>
          <w:szCs w:val="18"/>
          <w:color w:val="auto"/>
        </w:rPr>
        <w:t>— Long-lived assets, including property, plant, equipment, intangible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lease assets, are reviewed for impairment whenever events or changes in circumstances indicate that the carrying amount of an asset group may not be recoverable. For purposes of recognition and measurement of an impairment loss, long-lived assets are grouped with other assets and liabilities at the lowest level for which identifiable cash flows are largely independent of the cash flows of other assets and liabilities (“asset group”). An impairment is recognized when the estimated undiscounted cash flows expected to result from the use of the asset group and its eventual disposition is less than its carrying amount. An impairment is measured as the amount by which an asset group’s carrying value exceeds its estimated fair value. The Company considers a long-lived asset to be abandoned when it has ceased use of such abandoned asset and if the Company has no intent to use or repurpose the asset in the future. The Company continually evaluates the carrying value and the remaining economic useful life of long-lived assets and adjusts the carrying value and remaining useful life when appropriate.</w:t>
      </w:r>
    </w:p>
    <w:p>
      <w:pPr>
        <w:spacing w:after="0" w:line="145" w:lineRule="exact"/>
        <w:rPr>
          <w:sz w:val="20"/>
          <w:szCs w:val="20"/>
          <w:color w:val="auto"/>
        </w:rPr>
      </w:pPr>
    </w:p>
    <w:p>
      <w:pPr>
        <w:ind w:left="60" w:right="139" w:firstLine="427"/>
        <w:spacing w:after="0" w:line="308"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 Substantially all the Company’s leases are classified as operating leases and are predominately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property for distribution centers, office space, and integration facilities, with a lease term of up to 13 years. The Company’s equipment leases are primarily for automobiles, distribution center equipment and office equipment, which are not material to the consolidated financial statements.</w:t>
      </w:r>
    </w:p>
    <w:p>
      <w:pPr>
        <w:spacing w:after="0" w:line="154" w:lineRule="exact"/>
        <w:rPr>
          <w:sz w:val="20"/>
          <w:szCs w:val="20"/>
          <w:color w:val="auto"/>
        </w:rPr>
      </w:pPr>
    </w:p>
    <w:p>
      <w:pPr>
        <w:ind w:left="60" w:right="119" w:firstLine="427"/>
        <w:spacing w:after="0" w:line="305"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inception. Lease right-of-use assets (“Operating lease assets”) and associated liabilities (“Operating lease liabilities”) are recognized at the commencement date of the lease based on the present value of lease payments over the lease term. Certain lease agreements may include one or more options to extend or terminate a lease. Lease terms are inclusive of these options if it is reasonably certain that the Company will exercise such options.</w:t>
      </w:r>
    </w:p>
    <w:p>
      <w:pPr>
        <w:spacing w:after="0" w:line="143" w:lineRule="exact"/>
        <w:rPr>
          <w:sz w:val="20"/>
          <w:szCs w:val="20"/>
          <w:color w:val="auto"/>
        </w:rPr>
      </w:pPr>
    </w:p>
    <w:p>
      <w:pPr>
        <w:ind w:left="60" w:right="59" w:firstLine="427"/>
        <w:spacing w:after="0" w:line="306" w:lineRule="auto"/>
        <w:rPr>
          <w:sz w:val="20"/>
          <w:szCs w:val="20"/>
          <w:color w:val="auto"/>
        </w:rPr>
      </w:pPr>
      <w:r>
        <w:rPr>
          <w:rFonts w:ascii="Times New Roman" w:cs="Times New Roman" w:eastAsia="Times New Roman" w:hAnsi="Times New Roman"/>
          <w:sz w:val="18"/>
          <w:szCs w:val="18"/>
          <w:color w:val="auto"/>
        </w:rPr>
        <w:t>The Company’s leases generally do not provide an implicit borrowing rate, as such, the discount rate used to calculate present value is based upon an estimate of the Company’s secured borrowing rate, which varies based on the lease term and the currency of the lease payments. Lease cost is recognized on a straight-line basis over the lease term and is included as a component of “Selling, general, and administrative expenses” in the consolidated statements of operations. Lease payments are primarily fixed; however, certain lease agreements contain variable payments, which are expensed as incurred and not included in the measurement of operating lease assets and liabilities.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4" w:lineRule="exact"/>
        <w:rPr>
          <w:sz w:val="20"/>
          <w:szCs w:val="20"/>
          <w:color w:val="auto"/>
        </w:rPr>
      </w:pPr>
    </w:p>
    <w:p>
      <w:pPr>
        <w:ind w:left="60" w:right="59" w:firstLine="427"/>
        <w:spacing w:after="0" w:line="303"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Goodwill represents the excess of the purchase price of acquired businesses over the estimated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assigned to the individual assets acquired and liabilities assumed. The Company does not amortize goodwill but instead tests goodwill for impairment at least annually in the fourth quarter. If necessary, the Company records any impairment resulting from such goodwill impairment testing as a component of operating expenses. Impairment testing is performed at the reporting unit level, which is defined as the same, or one level below, an operating segment. The Company will perform an interim impairment test between required annual tests if facts and circumstances indicate that it is more-likely-than-not that the fair value of a reporting unit that has goodwill is less than its carrying value.</w:t>
      </w:r>
    </w:p>
    <w:p>
      <w:pPr>
        <w:spacing w:after="0" w:line="157" w:lineRule="exact"/>
        <w:rPr>
          <w:sz w:val="20"/>
          <w:szCs w:val="20"/>
          <w:color w:val="auto"/>
        </w:rPr>
      </w:pPr>
    </w:p>
    <w:p>
      <w:pPr>
        <w:ind w:left="60" w:right="79" w:firstLine="427"/>
        <w:spacing w:after="0" w:line="301" w:lineRule="auto"/>
        <w:rPr>
          <w:sz w:val="20"/>
          <w:szCs w:val="20"/>
          <w:color w:val="auto"/>
        </w:rPr>
      </w:pPr>
      <w:r>
        <w:rPr>
          <w:rFonts w:ascii="Times New Roman" w:cs="Times New Roman" w:eastAsia="Times New Roman" w:hAnsi="Times New Roman"/>
          <w:sz w:val="18"/>
          <w:szCs w:val="18"/>
          <w:color w:val="auto"/>
        </w:rPr>
        <w:t>In performing goodwill impairment testing, the Company may first make a qualitative assessment of whether it is more-likely-than-not that a reporting unit’s fair value is less than its carrying value. If the qualitative assessment indicates it is more-likely-than-not that a reporting unit’s fair value is not greater than its carrying value, the Company must perform a quantitative impairment test. The Company defines the fair value of a reporting unit as the price that would be received to sell the reporting unit as a whole in an orderly transaction between market participants as of the impairment test date. To determine the fair value of a reporting unit, the Company uses the income methodology of valuation, which includes the discounted cash flow method, and the market methodology of valuation, which considers values of comparable businesses to estimate the fair value of the Company’s reporting units.</w:t>
      </w:r>
    </w:p>
    <w:p>
      <w:pPr>
        <w:spacing w:after="0" w:line="151" w:lineRule="exact"/>
        <w:rPr>
          <w:sz w:val="20"/>
          <w:szCs w:val="20"/>
          <w:color w:val="auto"/>
        </w:rPr>
      </w:pPr>
    </w:p>
    <w:p>
      <w:pPr>
        <w:ind w:left="60" w:right="79" w:firstLine="427"/>
        <w:spacing w:after="0" w:line="303" w:lineRule="auto"/>
        <w:rPr>
          <w:sz w:val="20"/>
          <w:szCs w:val="20"/>
          <w:color w:val="auto"/>
        </w:rPr>
      </w:pPr>
      <w:r>
        <w:rPr>
          <w:rFonts w:ascii="Times New Roman" w:cs="Times New Roman" w:eastAsia="Times New Roman" w:hAnsi="Times New Roman"/>
          <w:sz w:val="18"/>
          <w:szCs w:val="18"/>
          <w:color w:val="auto"/>
        </w:rPr>
        <w:t>Significant management judgment is required when estimating the fair value of the Company’s reporting units from a market participant perspective (including forecasting of future operating results and the discount rates used in the discounted cash flow method of valuation) and in the selection of comparable businesses and related market multiples that are used in the market method of valuation. If the estimated fair value of a reporting unit exceeds the carrying value assigned to that reporting unit, goodwill is not impaired. If the reverse is true, then the Company measures a goodwill impairment loss based on such difference.</w:t>
      </w:r>
    </w:p>
    <w:p>
      <w:pPr>
        <w:spacing w:after="0" w:line="160" w:lineRule="exact"/>
        <w:rPr>
          <w:sz w:val="20"/>
          <w:szCs w:val="20"/>
          <w:color w:val="auto"/>
        </w:rPr>
      </w:pPr>
    </w:p>
    <w:p>
      <w:pPr>
        <w:ind w:left="60" w:right="259" w:firstLine="427"/>
        <w:spacing w:after="0" w:line="324" w:lineRule="auto"/>
        <w:rPr>
          <w:sz w:val="20"/>
          <w:szCs w:val="20"/>
          <w:color w:val="auto"/>
        </w:rPr>
      </w:pPr>
      <w:r>
        <w:rPr>
          <w:rFonts w:ascii="Times New Roman" w:cs="Times New Roman" w:eastAsia="Times New Roman" w:hAnsi="Times New Roman"/>
          <w:sz w:val="17"/>
          <w:szCs w:val="17"/>
          <w:color w:val="auto"/>
        </w:rPr>
        <w:t>The Company evaluates each quarter if facts and circumstances indicate that it is more-likely-than-not that the fair value of its reporting units is less than their carrying value, which would require the Company to perform an interim goodwill impairment test. Indicators the Company evaluates to determine whether an interim goodwill impairment test is necessary include, but are not limited to, (i) a sustained decrease in share price or market capitalization as of any fiscal quarter end, (ii) changes in macroeconomic or industry environments, (iii) the results of, and the amount of time passed since, the last goodwill impairment test, and (iv) the long-term expected financial performance of its reporting units.</w:t>
      </w:r>
    </w:p>
    <w:p>
      <w:pPr>
        <w:spacing w:after="0" w:line="129" w:lineRule="exact"/>
        <w:rPr>
          <w:sz w:val="20"/>
          <w:szCs w:val="20"/>
          <w:color w:val="auto"/>
        </w:rPr>
      </w:pPr>
    </w:p>
    <w:p>
      <w:pPr>
        <w:ind w:left="60" w:right="59" w:firstLine="427"/>
        <w:spacing w:after="0" w:line="305"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w:t>
      </w:r>
      <w:r>
        <w:rPr>
          <w:rFonts w:ascii="Times New Roman" w:cs="Times New Roman" w:eastAsia="Times New Roman" w:hAnsi="Times New Roman"/>
          <w:sz w:val="18"/>
          <w:szCs w:val="18"/>
          <w:color w:val="auto"/>
        </w:rPr>
        <w:t>— The assets and liabilities of foreign operations are translated into U.S. Dollars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rates in effect at each balance sheet date, with the related translation adjustments reported as a separate component of shareholders’ equity and comprehensive income (loss). Results of operations are translated using the average exchange rates prevailing throughout the reporting period. Transactions denominated in currencies other than the functional currency of the Avnet subsidiaries that are party to the transactions are remeasured at exchange rates in effect at each balance sheet date or upon settlement of the transaction. Gains and losses from such remeasurements are recorded in the consolidated statements of operations as a component of “Other expense, net.”</w:t>
      </w:r>
    </w:p>
    <w:p>
      <w:pPr>
        <w:spacing w:after="0" w:line="143" w:lineRule="exact"/>
        <w:rPr>
          <w:sz w:val="20"/>
          <w:szCs w:val="20"/>
          <w:color w:val="auto"/>
        </w:rPr>
      </w:pPr>
    </w:p>
    <w:p>
      <w:pPr>
        <w:ind w:left="60" w:right="139" w:firstLine="427"/>
        <w:spacing w:after="0" w:line="305"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Company follows the asset and liability method of accounting for income taxes.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assets and liabilities are recognized for the estimated future tax impact of differences between the consolidated financial statement carrying amounts of assets and liabilities and their respective tax bases. Deferred income tax assets and liabilities are measured using enacted tax rates in effect for the year in which those temporary differences are expected to be recovered or settled. The effect on deferred income tax assets and liabilities of a change in</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70" w:lineRule="exact"/>
        <w:rPr>
          <w:sz w:val="20"/>
          <w:szCs w:val="20"/>
          <w:color w:val="auto"/>
        </w:rPr>
      </w:pPr>
    </w:p>
    <w:p>
      <w:pPr>
        <w:ind w:left="60" w:right="179"/>
        <w:spacing w:after="0" w:line="307" w:lineRule="auto"/>
        <w:rPr>
          <w:sz w:val="20"/>
          <w:szCs w:val="20"/>
          <w:color w:val="auto"/>
        </w:rPr>
      </w:pPr>
      <w:r>
        <w:rPr>
          <w:rFonts w:ascii="Times New Roman" w:cs="Times New Roman" w:eastAsia="Times New Roman" w:hAnsi="Times New Roman"/>
          <w:sz w:val="18"/>
          <w:szCs w:val="18"/>
          <w:color w:val="auto"/>
        </w:rPr>
        <w:t>tax rates is recognized within income tax expense in the period in which the new tax rate is enacted. Based upon historical and estimated levels of future taxable income and analysis of other key factors, the Company may increase or decrease a valuation allowance against its deferred tax assets, as deemed necessary, to adjust such assets to their estimated net realizable value.</w:t>
      </w:r>
    </w:p>
    <w:p>
      <w:pPr>
        <w:spacing w:after="0" w:line="142" w:lineRule="exact"/>
        <w:rPr>
          <w:sz w:val="20"/>
          <w:szCs w:val="20"/>
          <w:color w:val="auto"/>
        </w:rPr>
      </w:pPr>
    </w:p>
    <w:p>
      <w:pPr>
        <w:ind w:left="60" w:right="79" w:firstLine="427"/>
        <w:spacing w:after="0" w:line="306" w:lineRule="auto"/>
        <w:rPr>
          <w:sz w:val="20"/>
          <w:szCs w:val="20"/>
          <w:color w:val="auto"/>
        </w:rPr>
      </w:pPr>
      <w:r>
        <w:rPr>
          <w:rFonts w:ascii="Times New Roman" w:cs="Times New Roman" w:eastAsia="Times New Roman" w:hAnsi="Times New Roman"/>
          <w:sz w:val="18"/>
          <w:szCs w:val="18"/>
          <w:color w:val="auto"/>
        </w:rPr>
        <w:t>The Company establishes contingent liabilities for potentially unfavorable outcomes of positions taken on certain tax matters. These liabilities are based on management’s assessment of whether a tax benefit is more-likely-than-not to be sustained upon examination by the relevant tax authorities. Differences between the estimated and actual outcomes of these matters may result in future changes in estimates to such unrecognized tax benefits. Any such changes in estimates may impact the Company’s effective tax rate. In accordance with the Company’s accounting policies, accrued interest and penalties related to unrecognized tax benefits are recorded as a component of income tax expense.</w:t>
      </w:r>
    </w:p>
    <w:p>
      <w:pPr>
        <w:spacing w:after="0" w:line="143" w:lineRule="exact"/>
        <w:rPr>
          <w:sz w:val="20"/>
          <w:szCs w:val="20"/>
          <w:color w:val="auto"/>
        </w:rPr>
      </w:pPr>
    </w:p>
    <w:p>
      <w:pPr>
        <w:ind w:left="60" w:right="179" w:firstLine="427"/>
        <w:spacing w:after="0" w:line="301"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Revenue is recognized at the point at which control of the underlying products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to the customer, which includes determining whether products are distinct and separate performance obligations. For electronic component and related product sales, transfer of control to the customer generally occurs upon product shipment, but it may occur at a later date depending on the agreed upon sales terms (such as delivery at the customer's designated location, or when products that are consigned at customer locations are consumed). In limited instances, where products are not in stock and delivery times are critical, product is purchased from the supplier and drop-shipped to the customer. The Company typically takes control of the products when shipped by the supplier and then recognizes revenue when control of the product transfers to the customer. The Company does not have material product warranty obligations, because the assurance type product warranties provided by the component manufacturers are passed through to the Company’s customers.</w:t>
      </w:r>
    </w:p>
    <w:p>
      <w:pPr>
        <w:spacing w:after="0" w:line="160" w:lineRule="exact"/>
        <w:rPr>
          <w:sz w:val="20"/>
          <w:szCs w:val="20"/>
          <w:color w:val="auto"/>
        </w:rPr>
      </w:pPr>
    </w:p>
    <w:p>
      <w:pPr>
        <w:jc w:val="both"/>
        <w:ind w:left="60" w:right="199" w:firstLine="427"/>
        <w:spacing w:after="0" w:line="307" w:lineRule="auto"/>
        <w:rPr>
          <w:sz w:val="20"/>
          <w:szCs w:val="20"/>
          <w:color w:val="auto"/>
        </w:rPr>
      </w:pPr>
      <w:r>
        <w:rPr>
          <w:rFonts w:ascii="Times New Roman" w:cs="Times New Roman" w:eastAsia="Times New Roman" w:hAnsi="Times New Roman"/>
          <w:sz w:val="18"/>
          <w:szCs w:val="18"/>
          <w:color w:val="auto"/>
        </w:rPr>
        <w:t>For contracts related to the specialized manufacture of products for customers with no alternative use and for which the Company has an enforceable right to payment, including a reasonable profit margin, the Company recognizes revenue over time as control of the products transfer through the manufacturing process, which is typically over a few weeks. The contract assets associated with such specialized manufacturing products are not material.</w:t>
      </w:r>
    </w:p>
    <w:p>
      <w:pPr>
        <w:spacing w:after="0" w:line="142" w:lineRule="exact"/>
        <w:rPr>
          <w:sz w:val="20"/>
          <w:szCs w:val="20"/>
          <w:color w:val="auto"/>
        </w:rPr>
      </w:pPr>
    </w:p>
    <w:p>
      <w:pPr>
        <w:ind w:left="60" w:right="359" w:firstLine="427"/>
        <w:spacing w:after="0" w:line="306" w:lineRule="auto"/>
        <w:rPr>
          <w:sz w:val="20"/>
          <w:szCs w:val="20"/>
          <w:color w:val="auto"/>
        </w:rPr>
      </w:pPr>
      <w:r>
        <w:rPr>
          <w:rFonts w:ascii="Times New Roman" w:cs="Times New Roman" w:eastAsia="Times New Roman" w:hAnsi="Times New Roman"/>
          <w:sz w:val="18"/>
          <w:szCs w:val="18"/>
          <w:color w:val="auto"/>
        </w:rPr>
        <w:t>Revenue is measured as the amount of consideration the Company expects to receive in exchange for transferring products. The Company estimates different forms of variable consideration at the time of sale based on historical experience, current conditions, and contractual obligations. Revenue is recorded net of customer discounts and rebates. When the Company offers the right or has a history of accepting returns of product, historical experience is utilized to establish a liability for the estimate of expected returns and an asset for the right to recover the product expected to be returned. These adjustments are made in the same period as the underlying sales transactions.</w:t>
      </w:r>
    </w:p>
    <w:p>
      <w:pPr>
        <w:spacing w:after="0" w:line="145" w:lineRule="exact"/>
        <w:rPr>
          <w:sz w:val="20"/>
          <w:szCs w:val="20"/>
          <w:color w:val="auto"/>
        </w:rPr>
      </w:pPr>
    </w:p>
    <w:p>
      <w:pPr>
        <w:ind w:left="60" w:right="119" w:firstLine="427"/>
        <w:spacing w:after="0" w:line="302" w:lineRule="auto"/>
        <w:rPr>
          <w:sz w:val="20"/>
          <w:szCs w:val="20"/>
          <w:color w:val="auto"/>
        </w:rPr>
      </w:pPr>
      <w:r>
        <w:rPr>
          <w:rFonts w:ascii="Times New Roman" w:cs="Times New Roman" w:eastAsia="Times New Roman" w:hAnsi="Times New Roman"/>
          <w:sz w:val="18"/>
          <w:szCs w:val="18"/>
          <w:color w:val="auto"/>
        </w:rPr>
        <w:t>The Company considers the following indicators amongst others when determining whether it is acting as a principal in the contract where revenue would be recorded on a gross basis: (i) the Company is primarily responsible for fulfilling the promise to provide the specified products or services; (ii) the Company has control of inventory and the related inventory risk before the specified products have been transferred to a customer or after transfer of control to the customer; and (iii) the Company has discretion in establishing the price for the specified products. If a transaction does not meet the Company’s indicators of being a principal in the transaction, then the Company is acting as an agent in the transaction and the associated revenues are recognized on a net basis.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60" w:right="59" w:firstLine="427"/>
        <w:spacing w:after="0" w:line="305" w:lineRule="auto"/>
        <w:rPr>
          <w:sz w:val="20"/>
          <w:szCs w:val="20"/>
          <w:color w:val="auto"/>
        </w:rPr>
      </w:pPr>
      <w:r>
        <w:rPr>
          <w:rFonts w:ascii="Times New Roman" w:cs="Times New Roman" w:eastAsia="Times New Roman" w:hAnsi="Times New Roman"/>
          <w:sz w:val="18"/>
          <w:szCs w:val="18"/>
          <w:color w:val="auto"/>
        </w:rPr>
        <w:t>The Company has contracts with certain customers where the Company's performance obligation is to arrange for the products or services to be provided by another party. In these arrangements, as the Company assumes an agency relationship in the transaction, revenue is recognized in the amount of the net fee associated with serving as an agent. These arrangements primarily relate to the sale of electronic component supply chain services or to a lesser extent supplier software services.</w:t>
      </w:r>
    </w:p>
    <w:p>
      <w:pPr>
        <w:spacing w:after="0" w:line="143" w:lineRule="exact"/>
        <w:rPr>
          <w:sz w:val="20"/>
          <w:szCs w:val="20"/>
          <w:color w:val="auto"/>
        </w:rPr>
      </w:pPr>
    </w:p>
    <w:p>
      <w:pPr>
        <w:ind w:left="60" w:right="119" w:firstLine="427"/>
        <w:spacing w:after="0" w:line="306" w:lineRule="auto"/>
        <w:rPr>
          <w:sz w:val="20"/>
          <w:szCs w:val="20"/>
          <w:color w:val="auto"/>
        </w:rPr>
      </w:pPr>
      <w:r>
        <w:rPr>
          <w:rFonts w:ascii="Times New Roman" w:cs="Times New Roman" w:eastAsia="Times New Roman" w:hAnsi="Times New Roman"/>
          <w:sz w:val="18"/>
          <w:szCs w:val="18"/>
          <w:color w:val="auto"/>
        </w:rPr>
        <w:t>Sales tax and other tax amounts collected from customers for remittance to governmental authorities are excluded from revenue. The Company accounts for shipping and handling of product as a fulfillment activity. The Company does not have any payment terms that exceed one year from the point it has satisfied the related performance obligations. Tariffs are included in sales as the company has enforceable rights to additional consideration to cover the cost of tariffs. Other taxes imposed by governmental authorities on the company's revenue producing activities with customers, such as sales taxes and value added taxes, are excluded from net sales.</w:t>
      </w:r>
    </w:p>
    <w:p>
      <w:pPr>
        <w:spacing w:after="0" w:line="143" w:lineRule="exact"/>
        <w:rPr>
          <w:sz w:val="20"/>
          <w:szCs w:val="20"/>
          <w:color w:val="auto"/>
        </w:rPr>
      </w:pPr>
    </w:p>
    <w:p>
      <w:pPr>
        <w:ind w:left="60" w:right="99" w:firstLine="427"/>
        <w:spacing w:after="0" w:line="305" w:lineRule="auto"/>
        <w:rPr>
          <w:sz w:val="20"/>
          <w:szCs w:val="20"/>
          <w:color w:val="auto"/>
        </w:rPr>
      </w:pPr>
      <w:r>
        <w:rPr>
          <w:rFonts w:ascii="Times New Roman" w:cs="Times New Roman" w:eastAsia="Times New Roman" w:hAnsi="Times New Roman"/>
          <w:sz w:val="18"/>
          <w:szCs w:val="18"/>
          <w:i w:val="1"/>
          <w:iCs w:val="1"/>
          <w:color w:val="auto"/>
        </w:rPr>
        <w:t xml:space="preserve">Vendor allowances and consideration </w:t>
      </w:r>
      <w:r>
        <w:rPr>
          <w:rFonts w:ascii="Times New Roman" w:cs="Times New Roman" w:eastAsia="Times New Roman" w:hAnsi="Times New Roman"/>
          <w:sz w:val="18"/>
          <w:szCs w:val="18"/>
          <w:color w:val="auto"/>
        </w:rPr>
        <w:t>— Consideration received from suppliers for price protection, product rebates,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through incentives, marketing/promotional activities, or any other programs are recorded when earned (under the terms and conditions of such supplier programs) as adjustments to product costs or selling, general and administrative expenses, depending upon the nature and contractual requirements related to the consideration received. Some of these supplier programs require management to make estimates and may extend over multiple periods.</w:t>
      </w:r>
    </w:p>
    <w:p>
      <w:pPr>
        <w:spacing w:after="0" w:line="156" w:lineRule="exact"/>
        <w:rPr>
          <w:sz w:val="20"/>
          <w:szCs w:val="20"/>
          <w:color w:val="auto"/>
        </w:rPr>
      </w:pPr>
    </w:p>
    <w:p>
      <w:pPr>
        <w:ind w:left="60" w:right="79" w:firstLine="427"/>
        <w:spacing w:after="0" w:line="308" w:lineRule="auto"/>
        <w:rPr>
          <w:sz w:val="20"/>
          <w:szCs w:val="20"/>
          <w:color w:val="auto"/>
        </w:rPr>
      </w:pPr>
      <w:r>
        <w:rPr>
          <w:rFonts w:ascii="Times New Roman" w:cs="Times New Roman" w:eastAsia="Times New Roman" w:hAnsi="Times New Roman"/>
          <w:sz w:val="18"/>
          <w:szCs w:val="18"/>
          <w:i w:val="1"/>
          <w:iCs w:val="1"/>
          <w:color w:val="auto"/>
        </w:rPr>
        <w:t xml:space="preserve">Comprehensive income (loss) </w:t>
      </w:r>
      <w:r>
        <w:rPr>
          <w:rFonts w:ascii="Times New Roman" w:cs="Times New Roman" w:eastAsia="Times New Roman" w:hAnsi="Times New Roman"/>
          <w:sz w:val="18"/>
          <w:szCs w:val="18"/>
          <w:color w:val="auto"/>
        </w:rPr>
        <w:t>— Comprehensive income (loss) represents net income for the year adjusted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shareholders’ equity. Accumulated comprehensive income (loss) items impacting comprehensive income (loss) includes foreign currency translation, unrealized gains and losses on derivative instruments designated and qualifying as net investment hedges, and the impact of the Company’s pension liability adjustments, net of tax.</w:t>
      </w:r>
    </w:p>
    <w:p>
      <w:pPr>
        <w:spacing w:after="0" w:line="139" w:lineRule="exact"/>
        <w:rPr>
          <w:sz w:val="20"/>
          <w:szCs w:val="20"/>
          <w:color w:val="auto"/>
        </w:rPr>
      </w:pPr>
    </w:p>
    <w:p>
      <w:pPr>
        <w:ind w:left="60" w:right="239" w:firstLine="427"/>
        <w:spacing w:after="0" w:line="302"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The Company measures stock-based payments at fair value and generally recognizes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associated operating expense in the consolidated statements of operations over the requisite service period. A stock-based payment is considered vested for accounting expense attribution purposes when the employee’s retention of the award is no longer contingent on providing continued service. Accordingly, the Company recognizes all stock-based compensation expense for awards granted to retirement eligible employees over the period from the grant date to the date retirement eligibility is achieved, if less than the stated requisite service period. The expense attribution approach for retirement eligible employees does not affect the overall amount of compensation expense recognized but instead accelerates the recognition of such expense.</w:t>
      </w:r>
    </w:p>
    <w:p>
      <w:pPr>
        <w:spacing w:after="0" w:line="157" w:lineRule="exact"/>
        <w:rPr>
          <w:sz w:val="20"/>
          <w:szCs w:val="20"/>
          <w:color w:val="auto"/>
        </w:rPr>
      </w:pPr>
    </w:p>
    <w:p>
      <w:pPr>
        <w:ind w:left="60" w:right="199" w:firstLine="427"/>
        <w:spacing w:after="0" w:line="301" w:lineRule="auto"/>
        <w:rPr>
          <w:sz w:val="20"/>
          <w:szCs w:val="20"/>
          <w:color w:val="auto"/>
        </w:rPr>
      </w:pPr>
      <w:r>
        <w:rPr>
          <w:rFonts w:ascii="Times New Roman" w:cs="Times New Roman" w:eastAsia="Times New Roman" w:hAnsi="Times New Roman"/>
          <w:sz w:val="18"/>
          <w:szCs w:val="18"/>
          <w:i w:val="1"/>
          <w:iCs w:val="1"/>
          <w:color w:val="auto"/>
        </w:rPr>
        <w:t xml:space="preserve">Restructuring and exit activities </w:t>
      </w:r>
      <w:r>
        <w:rPr>
          <w:rFonts w:ascii="Times New Roman" w:cs="Times New Roman" w:eastAsia="Times New Roman" w:hAnsi="Times New Roman"/>
          <w:sz w:val="18"/>
          <w:szCs w:val="18"/>
          <w:color w:val="auto"/>
        </w:rPr>
        <w:t>— The determination of when the Company accrues for involuntary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benefits under restructuring plans depends on whether the termination benefits are provided under an on-going benefit arrangement or under a one-time benefit arrangement. The Company accounts for on-going benefit arrangements in accordance with Accounting Standards Codification 712 (“ASC 712”) </w:t>
      </w:r>
      <w:r>
        <w:rPr>
          <w:rFonts w:ascii="Times New Roman" w:cs="Times New Roman" w:eastAsia="Times New Roman" w:hAnsi="Times New Roman"/>
          <w:sz w:val="18"/>
          <w:szCs w:val="18"/>
          <w:i w:val="1"/>
          <w:iCs w:val="1"/>
          <w:color w:val="auto"/>
        </w:rPr>
        <w:t>Nonretirement Postemployment Benefits</w:t>
      </w:r>
      <w:r>
        <w:rPr>
          <w:rFonts w:ascii="Times New Roman" w:cs="Times New Roman" w:eastAsia="Times New Roman" w:hAnsi="Times New Roman"/>
          <w:sz w:val="18"/>
          <w:szCs w:val="18"/>
          <w:color w:val="auto"/>
        </w:rPr>
        <w:t xml:space="preserve"> and accounts for one-time benefit arrangements in accordance with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xml:space="preserve">. If applicable, the Company records such costs into operating expense over the terminated employee’s future service period beyond any minimum retention period. Other costs associated with restructuring or exit activities may include contract termination costs and impairments of long-lived assets, which are expensed in accordance with ASC 420 </w:t>
      </w:r>
      <w:r>
        <w:rPr>
          <w:rFonts w:ascii="Times New Roman" w:cs="Times New Roman" w:eastAsia="Times New Roman" w:hAnsi="Times New Roman"/>
          <w:sz w:val="18"/>
          <w:szCs w:val="18"/>
          <w:i w:val="1"/>
          <w:iCs w:val="1"/>
          <w:color w:val="auto"/>
        </w:rPr>
        <w:t>Exit or Disposal Cost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Obligations </w:t>
      </w:r>
      <w:r>
        <w:rPr>
          <w:rFonts w:ascii="Times New Roman" w:cs="Times New Roman" w:eastAsia="Times New Roman" w:hAnsi="Times New Roman"/>
          <w:sz w:val="18"/>
          <w:szCs w:val="18"/>
          <w:color w:val="auto"/>
        </w:rPr>
        <w:t>and ASC 360</w:t>
      </w:r>
      <w:r>
        <w:rPr>
          <w:rFonts w:ascii="Times New Roman" w:cs="Times New Roman" w:eastAsia="Times New Roman" w:hAnsi="Times New Roman"/>
          <w:sz w:val="18"/>
          <w:szCs w:val="18"/>
          <w:i w:val="1"/>
          <w:iCs w:val="1"/>
          <w:color w:val="auto"/>
        </w:rPr>
        <w:t xml:space="preserve"> Property, Plant and Equipment</w:t>
      </w:r>
      <w:r>
        <w:rPr>
          <w:rFonts w:ascii="Times New Roman" w:cs="Times New Roman" w:eastAsia="Times New Roman" w:hAnsi="Times New Roman"/>
          <w:sz w:val="18"/>
          <w:szCs w:val="18"/>
          <w:color w:val="auto"/>
        </w:rPr>
        <w:t>, respectively.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68" w:lineRule="exact"/>
        <w:rPr>
          <w:sz w:val="20"/>
          <w:szCs w:val="20"/>
          <w:color w:val="auto"/>
        </w:rPr>
      </w:pPr>
    </w:p>
    <w:p>
      <w:pPr>
        <w:ind w:left="60" w:right="239" w:firstLine="427"/>
        <w:spacing w:after="0" w:line="331" w:lineRule="auto"/>
        <w:rPr>
          <w:sz w:val="20"/>
          <w:szCs w:val="20"/>
          <w:color w:val="auto"/>
        </w:rPr>
      </w:pPr>
      <w:r>
        <w:rPr>
          <w:rFonts w:ascii="Times New Roman" w:cs="Times New Roman" w:eastAsia="Times New Roman" w:hAnsi="Times New Roman"/>
          <w:sz w:val="18"/>
          <w:szCs w:val="18"/>
          <w:i w:val="1"/>
          <w:iCs w:val="1"/>
          <w:color w:val="auto"/>
        </w:rPr>
        <w:t xml:space="preserve">Gain on legal settlements — </w:t>
      </w:r>
      <w:r>
        <w:rPr>
          <w:rFonts w:ascii="Times New Roman" w:cs="Times New Roman" w:eastAsia="Times New Roman" w:hAnsi="Times New Roman"/>
          <w:sz w:val="18"/>
          <w:szCs w:val="18"/>
          <w:color w:val="auto"/>
        </w:rPr>
        <w:t>The Company recognizes gains on legal settlements only when such gains are 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realizable.</w:t>
      </w:r>
    </w:p>
    <w:p>
      <w:pPr>
        <w:spacing w:after="0" w:line="118" w:lineRule="exact"/>
        <w:rPr>
          <w:sz w:val="20"/>
          <w:szCs w:val="20"/>
          <w:color w:val="auto"/>
        </w:rPr>
      </w:pPr>
    </w:p>
    <w:p>
      <w:pPr>
        <w:ind w:left="60" w:right="179" w:firstLine="427"/>
        <w:spacing w:after="0" w:line="305"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the Company to a concentration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risk principally consist of cash and cash equivalents, marketable securities, and trade accounts receivable. The Company invests its excess cash primarily in overnight time deposits and institutional money market funds with highly rated financial institutions. To reduce credit risk, management performs ongoing credit evaluations of its customers’ financial condition and, in some instances, has obtained credit insurance coverage to reduce such risk. The Company maintains reserves for potential credit losses from customers but has not historically experienced material losses related to individual customers or groups of customers in any particular end market or geographic area.</w:t>
      </w:r>
    </w:p>
    <w:p>
      <w:pPr>
        <w:spacing w:after="0" w:line="143" w:lineRule="exact"/>
        <w:rPr>
          <w:sz w:val="20"/>
          <w:szCs w:val="20"/>
          <w:color w:val="auto"/>
        </w:rPr>
      </w:pPr>
    </w:p>
    <w:p>
      <w:pPr>
        <w:ind w:left="60" w:right="119" w:firstLine="427"/>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Fair value </w:t>
      </w:r>
      <w:r>
        <w:rPr>
          <w:rFonts w:ascii="Times New Roman" w:cs="Times New Roman" w:eastAsia="Times New Roman" w:hAnsi="Times New Roman"/>
          <w:sz w:val="18"/>
          <w:szCs w:val="18"/>
          <w:color w:val="auto"/>
        </w:rPr>
        <w:t>— The Company measures financial assets and liabilities at fair value based upon an exit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representing the amount that would be received from the sale of an asset, or paid to transfer a liability, in an orderly transaction between market participants.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requires inputs used in valuation techniques for measuring fair value on a recurring or non-recurring basis be assigned to a hierarchical level as follows: Level 1 are observable inputs that reflect quoted prices for identical assets or liabilities in active markets; Level 2 are observable market-based inputs or unobservable inputs that are corroborated by market data; and, Level 3 are unobservable inputs that are not corroborated by market data. During fiscal 2025, 2024, and 2023, there were no transfers of assets measured at fair value between the three levels of the fair value hierarchy. The carrying amounts of the Company’s financial instruments, including cash equivalents, receivables, and accounts payable approximate their fair values at June 28, 2025, due to the short-term nature of these assets and liabilities. At June 28, 2025, and June 29, 2024, the Company had $3.5 million and $14.1 million, respectively, of cash equivalents that were measured at fair value based upon Level 1 criteria.</w:t>
      </w:r>
    </w:p>
    <w:p>
      <w:pPr>
        <w:spacing w:after="0" w:line="164" w:lineRule="exact"/>
        <w:rPr>
          <w:sz w:val="20"/>
          <w:szCs w:val="20"/>
          <w:color w:val="auto"/>
        </w:rPr>
      </w:pPr>
    </w:p>
    <w:p>
      <w:pPr>
        <w:ind w:left="60" w:right="59" w:firstLine="427"/>
        <w:spacing w:after="0" w:line="301" w:lineRule="auto"/>
        <w:rPr>
          <w:sz w:val="20"/>
          <w:szCs w:val="20"/>
          <w:color w:val="auto"/>
        </w:rPr>
      </w:pP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 Equity investments in businesses or start-up companies (“ventures”) are accounted for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method if the investment provides the Company the ability to exercise significant influence, but not control, over the ventures. All other equity investments, which consist of investments for which the Company does not possess the ability to exercise significant influence over the ventures, are measured at fair value, using quoted market prices, or at cost minus impairment, if any, plus or minus changes resulting from observable price changes when fair value is not readily determinable. Investments in ventures are included in “Other assets” in the Company’s consolidated balance sheets. Changes in fair value, including impairments for investments in ventures, if any, are recorded in “Other expense, net” in the Company’s consolidated statements of operations. As of June 28, 2025, the Company’s investment in a venture was $23.5 million.</w:t>
      </w:r>
    </w:p>
    <w:p>
      <w:pPr>
        <w:spacing w:after="0" w:line="161" w:lineRule="exact"/>
        <w:rPr>
          <w:sz w:val="20"/>
          <w:szCs w:val="20"/>
          <w:color w:val="auto"/>
        </w:rPr>
      </w:pPr>
    </w:p>
    <w:p>
      <w:pPr>
        <w:ind w:left="60" w:right="179" w:firstLine="427"/>
        <w:spacing w:after="0" w:line="303" w:lineRule="auto"/>
        <w:rPr>
          <w:sz w:val="20"/>
          <w:szCs w:val="20"/>
          <w:color w:val="auto"/>
        </w:rPr>
      </w:pPr>
      <w:r>
        <w:rPr>
          <w:rFonts w:ascii="Times New Roman" w:cs="Times New Roman" w:eastAsia="Times New Roman" w:hAnsi="Times New Roman"/>
          <w:sz w:val="18"/>
          <w:szCs w:val="18"/>
          <w:i w:val="1"/>
          <w:iCs w:val="1"/>
          <w:color w:val="auto"/>
        </w:rPr>
        <w:t xml:space="preserve">Environmental liabilities </w:t>
      </w:r>
      <w:r>
        <w:rPr>
          <w:rFonts w:ascii="Times New Roman" w:cs="Times New Roman" w:eastAsia="Times New Roman" w:hAnsi="Times New Roman"/>
          <w:sz w:val="18"/>
          <w:szCs w:val="18"/>
          <w:color w:val="auto"/>
        </w:rPr>
        <w:t>— The Company accrues for environmental liabilities when it is probable that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incurred, and the associated amounts can be reasonably estimated. The Company uses a third-party specialist to assist in appropriately measuring its obligations associated with environmental liabilities. Such liabilities are adjusted as new information develops or circumstances change. The Company does not discount its environmental liabilities as the timing of the anticipated cash payments is not fixed or readily determinable. The Company’s estimate of its potential liability is independent of any potential recovery of insurance proceeds or indemnification arrangements and the Company’s environmental liabilities have not been reduced for potential insurance recoveries.</w:t>
      </w:r>
    </w:p>
    <w:p>
      <w:pPr>
        <w:spacing w:after="0" w:line="142" w:lineRule="exact"/>
        <w:rPr>
          <w:sz w:val="20"/>
          <w:szCs w:val="20"/>
          <w:color w:val="auto"/>
        </w:rPr>
      </w:pPr>
    </w:p>
    <w:p>
      <w:pPr>
        <w:ind w:left="60" w:right="259" w:firstLine="427"/>
        <w:spacing w:after="0" w:line="365" w:lineRule="auto"/>
        <w:rPr>
          <w:sz w:val="20"/>
          <w:szCs w:val="20"/>
          <w:color w:val="auto"/>
        </w:rPr>
      </w:pPr>
      <w:r>
        <w:rPr>
          <w:rFonts w:ascii="Times New Roman" w:cs="Times New Roman" w:eastAsia="Times New Roman" w:hAnsi="Times New Roman"/>
          <w:sz w:val="17"/>
          <w:szCs w:val="17"/>
          <w:i w:val="1"/>
          <w:iCs w:val="1"/>
          <w:color w:val="auto"/>
        </w:rPr>
        <w:t xml:space="preserve">Recently adopted accounting pronouncements </w:t>
      </w:r>
      <w:r>
        <w:rPr>
          <w:rFonts w:ascii="Times New Roman" w:cs="Times New Roman" w:eastAsia="Times New Roman" w:hAnsi="Times New Roman"/>
          <w:sz w:val="17"/>
          <w:szCs w:val="17"/>
          <w:color w:val="auto"/>
        </w:rPr>
        <w:t>— In November 2023, the FASB issued ASU No. 2023-07,</w:t>
      </w:r>
      <w:r>
        <w:rPr>
          <w:rFonts w:ascii="Times New Roman" w:cs="Times New Roman" w:eastAsia="Times New Roman" w:hAnsi="Times New Roman"/>
          <w:sz w:val="17"/>
          <w:szCs w:val="17"/>
          <w:i w:val="1"/>
          <w:iCs w:val="1"/>
          <w:color w:val="auto"/>
        </w:rPr>
        <w:t xml:space="preserve"> Segment reporting (Topic 280): Improvements to Reportable Segment Disclosures</w:t>
      </w:r>
      <w:r>
        <w:rPr>
          <w:rFonts w:ascii="Times New Roman" w:cs="Times New Roman" w:eastAsia="Times New Roman" w:hAnsi="Times New Roman"/>
          <w:sz w:val="17"/>
          <w:szCs w:val="17"/>
          <w:color w:val="auto"/>
        </w:rPr>
        <w:t>. This ASU requires the Company to disclose</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60" w:right="299"/>
        <w:spacing w:after="0" w:line="303" w:lineRule="auto"/>
        <w:rPr>
          <w:sz w:val="20"/>
          <w:szCs w:val="20"/>
          <w:color w:val="auto"/>
        </w:rPr>
      </w:pPr>
      <w:r>
        <w:rPr>
          <w:rFonts w:ascii="Times New Roman" w:cs="Times New Roman" w:eastAsia="Times New Roman" w:hAnsi="Times New Roman"/>
          <w:sz w:val="18"/>
          <w:szCs w:val="18"/>
          <w:color w:val="auto"/>
        </w:rPr>
        <w:t>significant segment expenses, the title and position of the Company’s Chief Operating Decision Maker (CODM), and an explanation of how the Company’s reported measure of segment profit or loss is used by the CODM to assess segment performance and make resource allocation decisions. The Company adopted this guidance in the fourth quarter of fiscal 2025 on a retrospective basis. The Company’s adoption of ASU No. 2023-07 did not have a material impact on the Company's consolidated financial statements but did require additional disclosures. Refer to Note 16 “Segment information.”</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Derivative financial instruments</w:t>
      </w:r>
    </w:p>
    <w:p>
      <w:pPr>
        <w:spacing w:after="0" w:line="229" w:lineRule="exact"/>
        <w:rPr>
          <w:sz w:val="20"/>
          <w:szCs w:val="20"/>
          <w:color w:val="auto"/>
        </w:rPr>
      </w:pPr>
    </w:p>
    <w:p>
      <w:pPr>
        <w:ind w:left="60" w:right="199" w:firstLine="427"/>
        <w:spacing w:after="0" w:line="302" w:lineRule="auto"/>
        <w:rPr>
          <w:sz w:val="20"/>
          <w:szCs w:val="20"/>
          <w:color w:val="auto"/>
        </w:rPr>
      </w:pPr>
      <w:r>
        <w:rPr>
          <w:rFonts w:ascii="Times New Roman" w:cs="Times New Roman" w:eastAsia="Times New Roman" w:hAnsi="Times New Roman"/>
          <w:sz w:val="18"/>
          <w:szCs w:val="18"/>
          <w:color w:val="auto"/>
        </w:rPr>
        <w:t>Many of the Company’s subsidiaries purchase and sell products in currencies other than their functional currencies, which subjects the Company to the risks associated with fluctuations in currency exchange rates. This foreign currency exposure relates primarily to international transactions where the currency collected from customers can be different from the currency used to purchase from suppliers. The Company’s transactions are denominated primarily in the following currencies: U.S. Dollar, Euro, British Pound, Japanese Yen, Chinese Yuan, Taiwan Dollar, Canadian Dollar and Mexican Peso. The Company also, to a lesser extent, has foreign operations transactions in other EMEA and Asian foreign currencies.</w:t>
      </w:r>
    </w:p>
    <w:p>
      <w:pPr>
        <w:spacing w:after="0" w:line="161" w:lineRule="exact"/>
        <w:rPr>
          <w:sz w:val="20"/>
          <w:szCs w:val="20"/>
          <w:color w:val="auto"/>
        </w:rPr>
      </w:pPr>
    </w:p>
    <w:p>
      <w:pPr>
        <w:ind w:left="60" w:right="59" w:firstLine="427"/>
        <w:spacing w:after="0" w:line="300" w:lineRule="auto"/>
        <w:rPr>
          <w:sz w:val="20"/>
          <w:szCs w:val="20"/>
          <w:color w:val="auto"/>
        </w:rPr>
      </w:pPr>
      <w:r>
        <w:rPr>
          <w:rFonts w:ascii="Times New Roman" w:cs="Times New Roman" w:eastAsia="Times New Roman" w:hAnsi="Times New Roman"/>
          <w:sz w:val="18"/>
          <w:szCs w:val="18"/>
          <w:color w:val="auto"/>
        </w:rPr>
        <w:t>The Company uses economic hedges to reduce this risk utilizing natural hedging (i.e., offsetting receivables and payables in the same foreign currency) and creating offsetting positions using of derivative financial instruments (primarily forward foreign currency exchange contracts typically with maturities of less than 60 days, but no longer than one year). The Company continues to have exposure to foreign currency risks to the extent they are not economically hedged. The fair value of forward foreign currency exchange contracts is based on Level 2 criteria under the ASC 820 fair value hierarchy.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 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164" w:lineRule="exact"/>
        <w:rPr>
          <w:sz w:val="20"/>
          <w:szCs w:val="20"/>
          <w:color w:val="auto"/>
        </w:rPr>
      </w:pPr>
    </w:p>
    <w:p>
      <w:pPr>
        <w:ind w:left="60" w:right="99" w:firstLine="427"/>
        <w:spacing w:after="0" w:line="301" w:lineRule="auto"/>
        <w:rPr>
          <w:sz w:val="20"/>
          <w:szCs w:val="20"/>
          <w:color w:val="auto"/>
        </w:rPr>
      </w:pPr>
      <w:r>
        <w:rPr>
          <w:rFonts w:ascii="Times New Roman" w:cs="Times New Roman" w:eastAsia="Times New Roman" w:hAnsi="Times New Roman"/>
          <w:sz w:val="18"/>
          <w:szCs w:val="18"/>
          <w:color w:val="auto"/>
        </w:rPr>
        <w:t>The Company has a fixed-to-fixed rate cross currency swap (the “cross-currency swap”) with a notional amount of $500.0 million, or €472.6 million, that is set to mature in March 2028. The Company designated this derivative contract as a net investment hedge of its European operations and elected the spot method for measuring hedge effectiveness. Changes in fair value of the cross-currency swap is presented in “Accumulated other comprehensive loss” in the consolidated balance sheets. Amounts related to the cross-currency swap recognized directly in net income represent net periodic interest settlements and accruals, which are recognized in “Interest and other financing expenses, net,” on the consolidated statements of operations. The fair value of the cross-currency swaps is based on Level 2 criteria under the ASC 820 fair value hierarchy.</w:t>
      </w:r>
    </w:p>
    <w:p>
      <w:pPr>
        <w:spacing w:after="0" w:line="151" w:lineRule="exact"/>
        <w:rPr>
          <w:sz w:val="20"/>
          <w:szCs w:val="20"/>
          <w:color w:val="auto"/>
        </w:rPr>
      </w:pPr>
    </w:p>
    <w:p>
      <w:pPr>
        <w:ind w:left="60" w:right="139" w:firstLine="427"/>
        <w:spacing w:after="0" w:line="313" w:lineRule="auto"/>
        <w:rPr>
          <w:sz w:val="20"/>
          <w:szCs w:val="20"/>
          <w:color w:val="auto"/>
        </w:rPr>
      </w:pPr>
      <w:r>
        <w:rPr>
          <w:rFonts w:ascii="Times New Roman" w:cs="Times New Roman" w:eastAsia="Times New Roman" w:hAnsi="Times New Roman"/>
          <w:sz w:val="18"/>
          <w:szCs w:val="18"/>
          <w:color w:val="auto"/>
        </w:rPr>
        <w:t>The Company uses these derivative financial instruments to manage risks associated with foreign currency exchange rates and interest rates. The Company does not enter derivative financial instruments for trading or speculative purposes and monitors the financial stability and credit standing of its counterparties.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70" w:lineRule="exact"/>
        <w:rPr>
          <w:sz w:val="20"/>
          <w:szCs w:val="20"/>
          <w:color w:val="auto"/>
        </w:rPr>
      </w:pPr>
    </w:p>
    <w:p>
      <w:pPr>
        <w:ind w:left="60" w:right="539" w:firstLine="427"/>
        <w:spacing w:after="0" w:line="329" w:lineRule="auto"/>
        <w:rPr>
          <w:sz w:val="20"/>
          <w:szCs w:val="20"/>
          <w:color w:val="auto"/>
        </w:rPr>
      </w:pPr>
      <w:r>
        <w:rPr>
          <w:rFonts w:ascii="Times New Roman" w:cs="Times New Roman" w:eastAsia="Times New Roman" w:hAnsi="Times New Roman"/>
          <w:sz w:val="18"/>
          <w:szCs w:val="18"/>
          <w:color w:val="auto"/>
        </w:rPr>
        <w:t>The locations and fair values of the Company’s derivative financial instruments in the Company’s consolidated balance sheets are as follows: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40" w:type="dxa"/>
            <w:vAlign w:val="bottom"/>
          </w:tcPr>
          <w:p>
            <w:pPr>
              <w:spacing w:after="0"/>
              <w:rPr>
                <w:sz w:val="18"/>
                <w:szCs w:val="18"/>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29,</w:t>
            </w:r>
          </w:p>
        </w:tc>
      </w:tr>
      <w:tr>
        <w:trPr>
          <w:trHeight w:val="245"/>
        </w:trPr>
        <w:tc>
          <w:tcPr>
            <w:tcW w:w="67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4"/>
          </w:tcPr>
          <w:p>
            <w:pPr>
              <w:jc w:val="right"/>
              <w:ind w:right="51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Economic hedges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12,116</w:t>
            </w: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16,957</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Cross-currency swap</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16,241</w:t>
            </w:r>
          </w:p>
        </w:tc>
      </w:tr>
    </w:tbl>
    <w:p>
      <w:pPr>
        <w:spacing w:after="0" w:line="184" w:lineRule="exact"/>
        <w:rPr>
          <w:sz w:val="20"/>
          <w:szCs w:val="20"/>
          <w:color w:val="auto"/>
        </w:rPr>
      </w:pPr>
    </w:p>
    <w:p>
      <w:pPr>
        <w:ind w:left="60" w:right="479" w:firstLine="427"/>
        <w:spacing w:after="0" w:line="329" w:lineRule="auto"/>
        <w:rPr>
          <w:sz w:val="20"/>
          <w:szCs w:val="20"/>
          <w:color w:val="auto"/>
        </w:rPr>
      </w:pPr>
      <w:r>
        <w:rPr>
          <w:rFonts w:ascii="Times New Roman" w:cs="Times New Roman" w:eastAsia="Times New Roman" w:hAnsi="Times New Roman"/>
          <w:sz w:val="18"/>
          <w:szCs w:val="18"/>
          <w:color w:val="auto"/>
        </w:rPr>
        <w:t>The locations of derivative financial instruments on the Company’s consolidated statements of operations are as follows:</w:t>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16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Years Ended</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177"/>
        </w:trPr>
        <w:tc>
          <w:tcPr>
            <w:tcW w:w="16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7"/>
                <w:szCs w:val="17"/>
                <w:b w:val="1"/>
                <w:bCs w:val="1"/>
                <w:color w:val="auto"/>
                <w:w w:val="99"/>
              </w:rPr>
              <w:t>June 28,</w:t>
            </w:r>
          </w:p>
        </w:tc>
        <w:tc>
          <w:tcPr>
            <w:tcW w:w="140" w:type="dxa"/>
            <w:vAlign w:val="bottom"/>
          </w:tcPr>
          <w:p>
            <w:pPr>
              <w:spacing w:after="0"/>
              <w:rPr>
                <w:sz w:val="15"/>
                <w:szCs w:val="15"/>
                <w:color w:val="auto"/>
              </w:rPr>
            </w:pPr>
          </w:p>
        </w:tc>
        <w:tc>
          <w:tcPr>
            <w:tcW w:w="11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7"/>
                <w:szCs w:val="17"/>
                <w:b w:val="1"/>
                <w:bCs w:val="1"/>
                <w:color w:val="auto"/>
                <w:w w:val="99"/>
              </w:rPr>
              <w:t>June 29,</w:t>
            </w:r>
          </w:p>
        </w:tc>
        <w:tc>
          <w:tcPr>
            <w:tcW w:w="220" w:type="dxa"/>
            <w:vAlign w:val="bottom"/>
          </w:tcPr>
          <w:p>
            <w:pPr>
              <w:spacing w:after="0"/>
              <w:rPr>
                <w:sz w:val="15"/>
                <w:szCs w:val="15"/>
                <w:color w:val="auto"/>
              </w:rPr>
            </w:pPr>
          </w:p>
        </w:tc>
        <w:tc>
          <w:tcPr>
            <w:tcW w:w="940" w:type="dxa"/>
            <w:vAlign w:val="bottom"/>
          </w:tcPr>
          <w:p>
            <w:pPr>
              <w:jc w:val="center"/>
              <w:ind w:right="135"/>
              <w:spacing w:after="0" w:line="176" w:lineRule="exact"/>
              <w:rPr>
                <w:sz w:val="20"/>
                <w:szCs w:val="20"/>
                <w:color w:val="auto"/>
              </w:rPr>
            </w:pPr>
            <w:r>
              <w:rPr>
                <w:rFonts w:ascii="Times New Roman" w:cs="Times New Roman" w:eastAsia="Times New Roman" w:hAnsi="Times New Roman"/>
                <w:sz w:val="17"/>
                <w:szCs w:val="17"/>
                <w:b w:val="1"/>
                <w:bCs w:val="1"/>
                <w:color w:val="auto"/>
                <w:w w:val="99"/>
              </w:rPr>
              <w:t>July 1,</w:t>
            </w:r>
          </w:p>
        </w:tc>
      </w:tr>
      <w:tr>
        <w:trPr>
          <w:trHeight w:val="235"/>
        </w:trPr>
        <w:tc>
          <w:tcPr>
            <w:tcW w:w="16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3"/>
        </w:trPr>
        <w:tc>
          <w:tcPr>
            <w:tcW w:w="16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(Thousands)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Economic hedges</w:t>
            </w:r>
          </w:p>
        </w:tc>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15,543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(31,666)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40,454</w:t>
            </w:r>
          </w:p>
        </w:tc>
      </w:tr>
      <w:tr>
        <w:trPr>
          <w:trHeight w:val="234"/>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financing expense,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4,071</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4,536</w:t>
            </w:r>
          </w:p>
        </w:tc>
        <w:tc>
          <w:tcPr>
            <w:tcW w:w="180" w:type="dxa"/>
            <w:vAlign w:val="bottom"/>
          </w:tcPr>
          <w:p>
            <w:pPr>
              <w:spacing w:after="0"/>
              <w:rPr>
                <w:sz w:val="20"/>
                <w:szCs w:val="20"/>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1,635</w:t>
            </w:r>
          </w:p>
        </w:tc>
      </w:tr>
    </w:tbl>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Shareholders’ equity</w:t>
      </w: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Accumulated comprehensive loss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includes the balances within “Accumulated other comprehensive loss”: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Accumulated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-119380</wp:posOffset>
            </wp:positionV>
            <wp:extent cx="564896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right="615"/>
        <w:spacing w:after="0" w:line="307" w:lineRule="auto"/>
        <w:rPr>
          <w:sz w:val="20"/>
          <w:szCs w:val="20"/>
          <w:color w:val="auto"/>
        </w:rPr>
      </w:pPr>
      <w:r>
        <w:rPr>
          <w:rFonts w:ascii="Times New Roman" w:cs="Times New Roman" w:eastAsia="Times New Roman" w:hAnsi="Times New Roman"/>
          <w:sz w:val="18"/>
          <w:szCs w:val="18"/>
          <w:color w:val="auto"/>
        </w:rPr>
        <w:t>Accumulated pension liability adjustments, net of income taxes Total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-198755</wp:posOffset>
            </wp:positionV>
            <wp:extent cx="564896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4896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28,</w:t>
            </w:r>
          </w:p>
        </w:tc>
        <w:tc>
          <w:tcPr>
            <w:tcW w:w="1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29,</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July 1,</w:t>
            </w:r>
          </w:p>
        </w:tc>
      </w:tr>
      <w:tr>
        <w:trPr>
          <w:trHeight w:val="245"/>
        </w:trPr>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1"/>
                <w:szCs w:val="21"/>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4"/>
        </w:trPr>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top w:val="single" w:sz="8" w:color="auto"/>
            </w:tcBorders>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w w:val="89"/>
              </w:rPr>
              <w:t>(Thousands)</w:t>
            </w:r>
          </w:p>
        </w:tc>
        <w:tc>
          <w:tcPr>
            <w:tcW w:w="1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bl>
    <w:p>
      <w:pPr>
        <w:ind w:left="145" w:hanging="145"/>
        <w:spacing w:after="0"/>
        <w:tabs>
          <w:tab w:leader="none" w:pos="1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(131,448)  $ (382,801)  $ (328,975)</w:t>
      </w:r>
    </w:p>
    <w:p>
      <w:pPr>
        <w:spacing w:after="0" w:line="7" w:lineRule="exact"/>
        <w:rPr>
          <w:rFonts w:ascii="Times New Roman" w:cs="Times New Roman" w:eastAsia="Times New Roman" w:hAnsi="Times New Roman"/>
          <w:sz w:val="18"/>
          <w:szCs w:val="18"/>
          <w:color w:val="auto"/>
        </w:rPr>
      </w:pPr>
    </w:p>
    <w:p>
      <w:pPr>
        <w:ind w:left="1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(126,245)(103,922)</w:t>
      </w:r>
      <w:r>
        <w:rPr>
          <w:rFonts w:ascii="Times New Roman" w:cs="Times New Roman" w:eastAsia="Times New Roman" w:hAnsi="Times New Roman"/>
          <w:sz w:val="17"/>
          <w:szCs w:val="17"/>
          <w:color w:val="auto"/>
        </w:rPr>
        <w:t>(80,406)</w:t>
      </w:r>
    </w:p>
    <w:p>
      <w:pPr>
        <w:spacing w:after="0" w:line="18" w:lineRule="exact"/>
        <w:rPr>
          <w:sz w:val="20"/>
          <w:szCs w:val="20"/>
          <w:color w:val="auto"/>
        </w:rPr>
      </w:pPr>
    </w:p>
    <w:p>
      <w:pPr>
        <w:ind w:left="5"/>
        <w:spacing w:after="0"/>
        <w:tabs>
          <w:tab w:leader="none" w:pos="1024" w:val="left"/>
          <w:tab w:leader="none" w:pos="2064" w:val="left"/>
        </w:tabs>
        <w:rPr>
          <w:sz w:val="20"/>
          <w:szCs w:val="20"/>
          <w:color w:val="auto"/>
        </w:rPr>
      </w:pPr>
      <w:r>
        <w:rPr>
          <w:rFonts w:ascii="Times New Roman" w:cs="Times New Roman" w:eastAsia="Times New Roman" w:hAnsi="Times New Roman"/>
          <w:sz w:val="18"/>
          <w:szCs w:val="18"/>
          <w:u w:val="single" w:color="auto"/>
          <w:color w:val="auto"/>
        </w:rPr>
        <w:t>$ (257,693)</w:t>
        <w:tab/>
        <w:t>$ (486,723)</w:t>
      </w:r>
      <w:r>
        <w:rPr>
          <w:sz w:val="20"/>
          <w:szCs w:val="20"/>
          <w:color w:val="auto"/>
        </w:rPr>
        <w:tab/>
      </w:r>
      <w:r>
        <w:rPr>
          <w:rFonts w:ascii="Times New Roman" w:cs="Times New Roman" w:eastAsia="Times New Roman" w:hAnsi="Times New Roman"/>
          <w:sz w:val="17"/>
          <w:szCs w:val="17"/>
          <w:u w:val="single" w:color="auto"/>
          <w:color w:val="auto"/>
        </w:rPr>
        <w:t>$ (409,381)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18605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60550" cy="8255"/>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5235" w:space="720"/>
            <w:col w:w="3064"/>
          </w:cols>
          <w:pgMar w:left="1440" w:top="513" w:right="1440" w:bottom="1440" w:gutter="0" w:footer="0" w:header="0"/>
          <w:type w:val="continuous"/>
        </w:sectPr>
      </w:pPr>
    </w:p>
    <w:p>
      <w:pPr>
        <w:ind w:left="60" w:right="339" w:firstLine="427"/>
        <w:spacing w:after="0" w:line="329" w:lineRule="auto"/>
        <w:rPr>
          <w:sz w:val="20"/>
          <w:szCs w:val="20"/>
          <w:color w:val="auto"/>
        </w:rPr>
      </w:pPr>
      <w:r>
        <w:rPr>
          <w:rFonts w:ascii="Times New Roman" w:cs="Times New Roman" w:eastAsia="Times New Roman" w:hAnsi="Times New Roman"/>
          <w:sz w:val="18"/>
          <w:szCs w:val="18"/>
          <w:color w:val="auto"/>
        </w:rPr>
        <w:t>Substantially all amounts reclassified out of “Accumulated comprehensive loss, net of tax”, to operating expenses during fiscal 2025, 2024, and 2023 related to net periodic pension costs as discussed further in Note 10.</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41" w:lineRule="exact"/>
        <w:rPr>
          <w:sz w:val="20"/>
          <w:szCs w:val="20"/>
          <w:color w:val="auto"/>
        </w:rPr>
      </w:pPr>
    </w:p>
    <w:p>
      <w:pPr>
        <w:ind w:left="60" w:right="79" w:firstLine="427"/>
        <w:spacing w:after="0" w:line="305" w:lineRule="auto"/>
        <w:rPr>
          <w:sz w:val="20"/>
          <w:szCs w:val="20"/>
          <w:color w:val="auto"/>
        </w:rPr>
      </w:pPr>
      <w:r>
        <w:rPr>
          <w:rFonts w:ascii="Times New Roman" w:cs="Times New Roman" w:eastAsia="Times New Roman" w:hAnsi="Times New Roman"/>
          <w:sz w:val="18"/>
          <w:szCs w:val="18"/>
          <w:color w:val="auto"/>
        </w:rPr>
        <w:t>In August 2024, the Company’s Board of Directors approved an increase in the Company’s existing share repurchase plan. With this increase, the Company is authorized to repurchase up to an aggregate of $600 million of common stock. During fiscal 2025, the Company repurchased 5.9 million shares under existing programs for a total cost of $301.4 million, excluding excise tax. As of June 28, 2025, the Company had $364.1 million remaining under its increased share repurchase authorization.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Common stock dividend</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fiscal 2025, the Company paid dividends of $1.32 per common share and $113.3 million in total.</w:t>
      </w:r>
    </w:p>
    <w:p>
      <w:pPr>
        <w:spacing w:after="0" w:line="262" w:lineRule="exact"/>
        <w:rPr>
          <w:sz w:val="20"/>
          <w:szCs w:val="20"/>
          <w:color w:val="auto"/>
        </w:rPr>
      </w:pPr>
    </w:p>
    <w:p>
      <w:pPr>
        <w:ind w:left="480" w:right="7539" w:hanging="430"/>
        <w:spacing w:after="0" w:line="541" w:lineRule="auto"/>
        <w:tabs>
          <w:tab w:leader="none" w:pos="233"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Working capital </w:t>
      </w:r>
      <w:r>
        <w:rPr>
          <w:rFonts w:ascii="Times New Roman" w:cs="Times New Roman" w:eastAsia="Times New Roman" w:hAnsi="Times New Roman"/>
          <w:sz w:val="17"/>
          <w:szCs w:val="17"/>
          <w:b w:val="1"/>
          <w:bCs w:val="1"/>
          <w:i w:val="1"/>
          <w:iCs w:val="1"/>
          <w:color w:val="auto"/>
        </w:rPr>
        <w:t>Receivables</w:t>
      </w:r>
    </w:p>
    <w:p>
      <w:pPr>
        <w:ind w:left="4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Company’s receivables and allowance for credit losses were as follows: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29,</w:t>
            </w:r>
          </w:p>
        </w:tc>
      </w:tr>
      <w:tr>
        <w:trPr>
          <w:trHeight w:val="245"/>
        </w:trPr>
        <w:tc>
          <w:tcPr>
            <w:tcW w:w="6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r>
      <w:tr>
        <w:trPr>
          <w:trHeight w:val="203"/>
        </w:trPr>
        <w:tc>
          <w:tcPr>
            <w:tcW w:w="6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4"/>
          </w:tcPr>
          <w:p>
            <w:pPr>
              <w:jc w:val="right"/>
              <w:ind w:right="7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4,435,645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4,499,691</w:t>
            </w:r>
          </w:p>
        </w:tc>
        <w:tc>
          <w:tcPr>
            <w:tcW w:w="20" w:type="dxa"/>
            <w:vAlign w:val="bottom"/>
          </w:tcPr>
          <w:p>
            <w:pPr>
              <w:spacing w:after="0"/>
              <w:rPr>
                <w:sz w:val="18"/>
                <w:szCs w:val="18"/>
                <w:color w:val="auto"/>
              </w:rPr>
            </w:pPr>
          </w:p>
        </w:tc>
      </w:tr>
      <w:tr>
        <w:trPr>
          <w:trHeight w:val="234"/>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(108,195)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(108,504)</w:t>
            </w:r>
          </w:p>
        </w:tc>
        <w:tc>
          <w:tcPr>
            <w:tcW w:w="20" w:type="dxa"/>
            <w:vAlign w:val="bottom"/>
          </w:tcPr>
          <w:p>
            <w:pPr>
              <w:spacing w:after="0"/>
              <w:rPr>
                <w:sz w:val="20"/>
                <w:szCs w:val="20"/>
                <w:color w:val="auto"/>
              </w:rPr>
            </w:pPr>
          </w:p>
        </w:tc>
      </w:tr>
    </w:tbl>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had the following activity in the allowance for credit losses during fiscal 2025 and fiscal 2024:</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29,</w:t>
            </w:r>
          </w:p>
        </w:tc>
      </w:tr>
      <w:tr>
        <w:trPr>
          <w:trHeight w:val="245"/>
        </w:trPr>
        <w:tc>
          <w:tcPr>
            <w:tcW w:w="6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r>
      <w:tr>
        <w:trPr>
          <w:trHeight w:val="203"/>
        </w:trPr>
        <w:tc>
          <w:tcPr>
            <w:tcW w:w="6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4"/>
          </w:tcPr>
          <w:p>
            <w:pPr>
              <w:jc w:val="right"/>
              <w:ind w:right="7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112,843</w:t>
            </w:r>
          </w:p>
        </w:tc>
        <w:tc>
          <w:tcPr>
            <w:tcW w:w="20" w:type="dxa"/>
            <w:vAlign w:val="bottom"/>
          </w:tcPr>
          <w:p>
            <w:pPr>
              <w:spacing w:after="0"/>
              <w:rPr>
                <w:sz w:val="18"/>
                <w:szCs w:val="18"/>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Loss Provisions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20" w:type="dxa"/>
            <w:vAlign w:val="bottom"/>
          </w:tcPr>
          <w:p>
            <w:pPr>
              <w:spacing w:after="0"/>
              <w:rPr>
                <w:sz w:val="18"/>
                <w:szCs w:val="18"/>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 Loss Recoveries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Pr>
          <w:p>
            <w:pPr>
              <w:spacing w:after="0"/>
              <w:rPr>
                <w:sz w:val="18"/>
                <w:szCs w:val="18"/>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Write Offs</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(10,498)</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20" w:type="dxa"/>
            <w:vAlign w:val="bottom"/>
          </w:tcPr>
          <w:p>
            <w:pPr>
              <w:spacing w:after="0"/>
              <w:rPr>
                <w:sz w:val="18"/>
                <w:szCs w:val="18"/>
                <w:color w:val="auto"/>
              </w:rPr>
            </w:pPr>
          </w:p>
        </w:tc>
      </w:tr>
      <w:tr>
        <w:trPr>
          <w:trHeight w:val="236"/>
        </w:trPr>
        <w:tc>
          <w:tcPr>
            <w:tcW w:w="6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Effect and Other</w:t>
            </w: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0" w:type="dxa"/>
            <w:vAlign w:val="bottom"/>
          </w:tcPr>
          <w:p>
            <w:pPr>
              <w:spacing w:after="0"/>
              <w:rPr>
                <w:sz w:val="20"/>
                <w:szCs w:val="20"/>
                <w:color w:val="auto"/>
              </w:rPr>
            </w:pPr>
          </w:p>
        </w:tc>
      </w:tr>
      <w:tr>
        <w:trPr>
          <w:trHeight w:val="203"/>
        </w:trPr>
        <w:tc>
          <w:tcPr>
            <w:tcW w:w="6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Balance at end of the period</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108,195</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108,504</w:t>
            </w:r>
          </w:p>
        </w:tc>
        <w:tc>
          <w:tcPr>
            <w:tcW w:w="20" w:type="dxa"/>
            <w:vAlign w:val="bottom"/>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left="60" w:right="59" w:firstLine="427"/>
        <w:spacing w:after="0" w:line="313" w:lineRule="auto"/>
        <w:rPr>
          <w:sz w:val="20"/>
          <w:szCs w:val="20"/>
          <w:color w:val="auto"/>
        </w:rPr>
      </w:pPr>
      <w:r>
        <w:rPr>
          <w:rFonts w:ascii="Times New Roman" w:cs="Times New Roman" w:eastAsia="Times New Roman" w:hAnsi="Times New Roman"/>
          <w:sz w:val="18"/>
          <w:szCs w:val="18"/>
          <w:color w:val="auto"/>
        </w:rPr>
        <w:t>The Company’s inventories are primarily comprised of electronic components purchased from the Company’s suppliers, which are available for sale to customers in the normal course of the Company’s electronic component distribution business.</w:t>
      </w:r>
    </w:p>
    <w:p>
      <w:pPr>
        <w:spacing w:after="0" w:line="149" w:lineRule="exact"/>
        <w:rPr>
          <w:sz w:val="20"/>
          <w:szCs w:val="20"/>
          <w:color w:val="auto"/>
        </w:rPr>
      </w:pPr>
    </w:p>
    <w:p>
      <w:pPr>
        <w:jc w:val="both"/>
        <w:ind w:left="60" w:right="59" w:firstLine="427"/>
        <w:spacing w:after="0" w:line="303" w:lineRule="auto"/>
        <w:rPr>
          <w:sz w:val="20"/>
          <w:szCs w:val="20"/>
          <w:color w:val="auto"/>
        </w:rPr>
      </w:pPr>
      <w:r>
        <w:rPr>
          <w:rFonts w:ascii="Times New Roman" w:cs="Times New Roman" w:eastAsia="Times New Roman" w:hAnsi="Times New Roman"/>
          <w:sz w:val="18"/>
          <w:szCs w:val="18"/>
          <w:color w:val="auto"/>
        </w:rPr>
        <w:t>Classified within inventories are electronic components held for supply chain service engagements (components) where the Company is acting as an agent on behalf of a customer or in some cases the component supplier. Given that these supply chain services involve purchasing, warehousing and providing logistics services for components as part of the services, the Company classifies the underlying components within inventories on the consolidated balance sheets. Components held for supply chain services where the Company is acting as an agent represented approximately 6% and 7% of inventories as of June 28, 2025, and June 29, 2024, respectively.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Property, plant and equipment, net</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Property, plant and equipment are recorded at cost, less accumulated depreciation, and consist of the following: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2740" w:type="dxa"/>
            <w:vAlign w:val="bottom"/>
            <w:gridSpan w:val="4"/>
          </w:tcPr>
          <w:p>
            <w:pPr>
              <w:ind w:left="150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20" w:type="dxa"/>
            <w:vAlign w:val="bottom"/>
          </w:tcPr>
          <w:p>
            <w:pPr>
              <w:spacing w:after="0"/>
              <w:rPr>
                <w:sz w:val="20"/>
                <w:szCs w:val="20"/>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June 29, 2024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040" w:type="dxa"/>
            <w:vAlign w:val="bottom"/>
            <w:gridSpan w:val="3"/>
            <w:shd w:val="clear" w:color="auto" w:fill="000000"/>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6"/>
          </w:tcPr>
          <w:p>
            <w:pPr>
              <w:jc w:val="right"/>
              <w:ind w:right="59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258,653</w:t>
            </w:r>
          </w:p>
        </w:tc>
        <w:tc>
          <w:tcPr>
            <w:tcW w:w="2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Machinery, fixtures and equipment</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Information technology hardware and software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151,745</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138,757</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Depreciable property, plant and equipment, gross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1,609,834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(1,191,652)</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(1,144,018)</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Depreciable property, plant and equipment, net</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217,167</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227,622</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Property, plant and equipment, net</w:t>
            </w:r>
          </w:p>
        </w:tc>
        <w:tc>
          <w:tcPr>
            <w:tcW w:w="15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667,247</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568,169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79" w:firstLine="427"/>
        <w:spacing w:after="0" w:line="362" w:lineRule="auto"/>
        <w:rPr>
          <w:sz w:val="20"/>
          <w:szCs w:val="20"/>
          <w:color w:val="auto"/>
        </w:rPr>
      </w:pPr>
      <w:r>
        <w:rPr>
          <w:rFonts w:ascii="Times New Roman" w:cs="Times New Roman" w:eastAsia="Times New Roman" w:hAnsi="Times New Roman"/>
          <w:sz w:val="17"/>
          <w:szCs w:val="17"/>
          <w:color w:val="auto"/>
        </w:rPr>
        <w:t>Depreciation expense related to property, plant, and equipment, was $70.2 million, $83.6 million and $82.6 million in fiscal 2025, 2024, and 2023, respectively. Interest expense capitalized during fiscal 2025, 2024, and 2023 was not material.</w:t>
      </w:r>
    </w:p>
    <w:p>
      <w:pPr>
        <w:spacing w:after="0" w:line="203" w:lineRule="exact"/>
        <w:rPr>
          <w:sz w:val="20"/>
          <w:szCs w:val="20"/>
          <w:color w:val="auto"/>
        </w:rPr>
      </w:pPr>
    </w:p>
    <w:p>
      <w:pPr>
        <w:ind w:left="480" w:right="7879" w:hanging="430"/>
        <w:spacing w:after="0" w:line="541" w:lineRule="auto"/>
        <w:tabs>
          <w:tab w:leader="none" w:pos="233"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Goodwill </w:t>
      </w:r>
      <w:r>
        <w:rPr>
          <w:rFonts w:ascii="Times New Roman" w:cs="Times New Roman" w:eastAsia="Times New Roman" w:hAnsi="Times New Roman"/>
          <w:sz w:val="17"/>
          <w:szCs w:val="17"/>
          <w:i w:val="1"/>
          <w:iCs w:val="1"/>
          <w:color w:val="auto"/>
        </w:rPr>
        <w:t>Goodwill</w:t>
      </w: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change in goodwill balances by reportable segment for fiscal year 2025.</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Components</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Farnell</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(Thousands)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Carrying value at June 29, 2024 </w:t>
            </w:r>
            <w:r>
              <w:rPr>
                <w:rFonts w:ascii="Times New Roman" w:cs="Times New Roman" w:eastAsia="Times New Roman" w:hAnsi="Times New Roman"/>
                <w:sz w:val="25"/>
                <w:szCs w:val="25"/>
                <w:color w:val="auto"/>
                <w:vertAlign w:val="superscript"/>
              </w:rPr>
              <w:t>(1)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485,027</w:t>
            </w:r>
          </w:p>
        </w:tc>
        <w:tc>
          <w:tcPr>
            <w:tcW w:w="4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780,984</w:t>
            </w: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42,266</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56,047</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Carrying value at June 28, 2025 </w:t>
            </w:r>
            <w:r>
              <w:rPr>
                <w:rFonts w:ascii="Times New Roman" w:cs="Times New Roman" w:eastAsia="Times New Roman" w:hAnsi="Times New Roman"/>
                <w:sz w:val="25"/>
                <w:szCs w:val="25"/>
                <w:color w:val="auto"/>
                <w:vertAlign w:val="superscript"/>
              </w:rPr>
              <w:t>(1)</w:t>
            </w: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309,738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527,293</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837,031</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0D0D0D"/>
            </w:tcBorders>
          </w:tcPr>
          <w:p>
            <w:pPr>
              <w:spacing w:after="0"/>
              <w:rPr>
                <w:sz w:val="7"/>
                <w:szCs w:val="7"/>
                <w:color w:val="auto"/>
              </w:rPr>
            </w:pPr>
          </w:p>
        </w:tc>
        <w:tc>
          <w:tcPr>
            <w:tcW w:w="2220" w:type="dxa"/>
            <w:vAlign w:val="bottom"/>
            <w:tcBorders>
              <w:bottom w:val="single" w:sz="8" w:color="0D0D0D"/>
            </w:tcBorders>
          </w:tcPr>
          <w:p>
            <w:pPr>
              <w:spacing w:after="0"/>
              <w:rPr>
                <w:sz w:val="7"/>
                <w:szCs w:val="7"/>
                <w:color w:val="auto"/>
              </w:rPr>
            </w:pPr>
          </w:p>
        </w:tc>
        <w:tc>
          <w:tcPr>
            <w:tcW w:w="15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67" w:lineRule="exact"/>
        <w:rPr>
          <w:sz w:val="20"/>
          <w:szCs w:val="20"/>
          <w:color w:val="auto"/>
        </w:rPr>
      </w:pPr>
    </w:p>
    <w:p>
      <w:pPr>
        <w:ind w:left="300" w:hanging="250"/>
        <w:spacing w:after="0"/>
        <w:tabs>
          <w:tab w:leader="none" w:pos="30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6"/>
          <w:szCs w:val="16"/>
          <w:color w:val="auto"/>
        </w:rPr>
        <w:t>Includes accumulated impairment of $1,482,677 from prior fiscal years.</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21" w:lineRule="exact"/>
        <w:rPr>
          <w:rFonts w:ascii="Times New Roman" w:cs="Times New Roman" w:eastAsia="Times New Roman" w:hAnsi="Times New Roman"/>
          <w:sz w:val="12"/>
          <w:szCs w:val="12"/>
          <w:color w:val="auto"/>
        </w:rPr>
      </w:pPr>
    </w:p>
    <w:p>
      <w:pPr>
        <w:ind w:left="4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Short-term debt consists of the following (carrying balances in thousands):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2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29,</w:t>
            </w:r>
          </w:p>
        </w:tc>
      </w:tr>
      <w:tr>
        <w:trPr>
          <w:trHeight w:val="245"/>
        </w:trPr>
        <w:tc>
          <w:tcPr>
            <w:tcW w:w="5120" w:type="dxa"/>
            <w:vAlign w:val="bottom"/>
          </w:tcPr>
          <w:p>
            <w:pPr>
              <w:spacing w:after="0"/>
              <w:rPr>
                <w:sz w:val="21"/>
                <w:szCs w:val="21"/>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1"/>
                <w:szCs w:val="21"/>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1"/>
                <w:szCs w:val="21"/>
                <w:color w:val="auto"/>
              </w:rPr>
            </w:pPr>
          </w:p>
        </w:tc>
      </w:tr>
      <w:tr>
        <w:trPr>
          <w:trHeight w:val="210"/>
        </w:trPr>
        <w:tc>
          <w:tcPr>
            <w:tcW w:w="5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3"/>
          </w:tcPr>
          <w:p>
            <w:pPr>
              <w:jc w:val="right"/>
              <w:ind w:right="290"/>
              <w:spacing w:after="0" w:line="202" w:lineRule="exact"/>
              <w:rPr>
                <w:sz w:val="20"/>
                <w:szCs w:val="20"/>
                <w:color w:val="auto"/>
              </w:rPr>
            </w:pPr>
            <w:r>
              <w:rPr>
                <w:rFonts w:ascii="Times New Roman" w:cs="Times New Roman" w:eastAsia="Times New Roman" w:hAnsi="Times New Roman"/>
                <w:sz w:val="18"/>
                <w:szCs w:val="18"/>
                <w:b w:val="1"/>
                <w:bCs w:val="1"/>
                <w:color w:val="auto"/>
              </w:rPr>
              <w:t>Interest Rate</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Borders>
              <w:bottom w:val="single" w:sz="8" w:color="auto"/>
            </w:tcBorders>
            <w:gridSpan w:val="2"/>
          </w:tcPr>
          <w:p>
            <w:pPr>
              <w:spacing w:after="0"/>
              <w:rPr>
                <w:sz w:val="18"/>
                <w:szCs w:val="18"/>
                <w:color w:val="auto"/>
              </w:rPr>
            </w:pPr>
          </w:p>
        </w:tc>
        <w:tc>
          <w:tcPr>
            <w:tcW w:w="800" w:type="dxa"/>
            <w:vAlign w:val="bottom"/>
            <w:tcBorders>
              <w:bottom w:val="single" w:sz="8" w:color="auto"/>
            </w:tcBorders>
          </w:tcPr>
          <w:p>
            <w:pPr>
              <w:jc w:val="right"/>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88"/>
              </w:rPr>
              <w:t>Balance</w:t>
            </w:r>
          </w:p>
        </w:tc>
        <w:tc>
          <w:tcPr>
            <w:tcW w:w="60" w:type="dxa"/>
            <w:vAlign w:val="bottom"/>
            <w:tcBorders>
              <w:bottom w:val="single" w:sz="8" w:color="CCEEFF"/>
            </w:tcBorders>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$ 415,100</w:t>
            </w:r>
          </w:p>
        </w:tc>
        <w:tc>
          <w:tcPr>
            <w:tcW w:w="60" w:type="dxa"/>
            <w:vAlign w:val="bottom"/>
          </w:tcPr>
          <w:p>
            <w:pPr>
              <w:spacing w:after="0"/>
              <w:rPr>
                <w:sz w:val="18"/>
                <w:szCs w:val="18"/>
                <w:color w:val="auto"/>
              </w:rPr>
            </w:pPr>
          </w:p>
        </w:tc>
      </w:tr>
      <w:tr>
        <w:trPr>
          <w:trHeight w:val="23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short-term debt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87,284</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77,611</w:t>
            </w:r>
          </w:p>
        </w:tc>
        <w:tc>
          <w:tcPr>
            <w:tcW w:w="60" w:type="dxa"/>
            <w:vAlign w:val="bottom"/>
            <w:shd w:val="clear" w:color="auto" w:fill="CCEEFF"/>
          </w:tcPr>
          <w:p>
            <w:pPr>
              <w:spacing w:after="0"/>
              <w:rPr>
                <w:sz w:val="20"/>
                <w:szCs w:val="20"/>
                <w:color w:val="auto"/>
              </w:rPr>
            </w:pPr>
          </w:p>
        </w:tc>
      </w:tr>
      <w:tr>
        <w:trPr>
          <w:trHeight w:val="203"/>
        </w:trPr>
        <w:tc>
          <w:tcPr>
            <w:tcW w:w="5120" w:type="dxa"/>
            <w:vAlign w:val="bottom"/>
            <w:tcBorders>
              <w:top w:val="single" w:sz="8" w:color="CCEE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Short-term debt</w:t>
            </w:r>
          </w:p>
        </w:tc>
        <w:tc>
          <w:tcPr>
            <w:tcW w:w="9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87,284</w:t>
            </w: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$ 492,711</w:t>
            </w:r>
          </w:p>
        </w:tc>
        <w:tc>
          <w:tcPr>
            <w:tcW w:w="60" w:type="dxa"/>
            <w:vAlign w:val="bottom"/>
            <w:tcBorders>
              <w:top w:val="single" w:sz="8" w:color="CCEEFF"/>
            </w:tcBorders>
          </w:tcPr>
          <w:p>
            <w:pPr>
              <w:spacing w:after="0"/>
              <w:rPr>
                <w:sz w:val="17"/>
                <w:szCs w:val="17"/>
                <w:color w:val="auto"/>
              </w:rPr>
            </w:pPr>
          </w:p>
        </w:tc>
      </w:tr>
      <w:tr>
        <w:trPr>
          <w:trHeight w:val="20"/>
        </w:trPr>
        <w:tc>
          <w:tcPr>
            <w:tcW w:w="5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319" w:firstLine="427"/>
        <w:spacing w:after="0" w:line="313" w:lineRule="auto"/>
        <w:rPr>
          <w:sz w:val="20"/>
          <w:szCs w:val="20"/>
          <w:color w:val="auto"/>
        </w:rPr>
      </w:pPr>
      <w:r>
        <w:rPr>
          <w:rFonts w:ascii="Times New Roman" w:cs="Times New Roman" w:eastAsia="Times New Roman" w:hAnsi="Times New Roman"/>
          <w:sz w:val="18"/>
          <w:szCs w:val="18"/>
          <w:color w:val="auto"/>
        </w:rPr>
        <w:t>Other short-term debt consists of various committed and uncommitted lines of credit and other forms of bank debt with financial institutions utilized primarily to support the ongoing working capital requirements of the Company, including its foreign operations.</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Long-term debt consists of the following (carrying balances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June 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29,</w:t>
            </w:r>
          </w:p>
        </w:tc>
      </w:tr>
      <w:tr>
        <w:trPr>
          <w:trHeight w:val="245"/>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1"/>
                <w:szCs w:val="21"/>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ind w:left="2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680" w:type="dxa"/>
            <w:vAlign w:val="bottom"/>
            <w:tcBorders>
              <w:bottom w:val="single" w:sz="8" w:color="auto"/>
            </w:tcBorders>
          </w:tcPr>
          <w:p>
            <w:pPr>
              <w:jc w:val="right"/>
              <w:ind w:right="2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Rate</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60" w:type="dxa"/>
            <w:vAlign w:val="bottom"/>
            <w:tcBorders>
              <w:bottom w:val="single" w:sz="8" w:color="auto"/>
            </w:tcBorders>
            <w:gridSpan w:val="2"/>
          </w:tcPr>
          <w:p>
            <w:pPr>
              <w:spacing w:after="0"/>
              <w:rPr>
                <w:sz w:val="18"/>
                <w:szCs w:val="18"/>
                <w:color w:val="auto"/>
              </w:rPr>
            </w:pPr>
          </w:p>
        </w:tc>
        <w:tc>
          <w:tcPr>
            <w:tcW w:w="920" w:type="dxa"/>
            <w:vAlign w:val="bottom"/>
            <w:tcBorders>
              <w:bottom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Borders>
              <w:bottom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Accounts receivable securitization program (due December 2026)</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5.18 %</w:t>
            </w:r>
          </w:p>
        </w:tc>
        <w:tc>
          <w:tcPr>
            <w:tcW w:w="180" w:type="dxa"/>
            <w:vAlign w:val="bottom"/>
          </w:tcPr>
          <w:p>
            <w:pPr>
              <w:spacing w:after="0"/>
              <w:rPr>
                <w:sz w:val="18"/>
                <w:szCs w:val="18"/>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Credit Facility (due January 2030)</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5.46 %</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745,480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4.74 %</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notes due: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April 2026 </w:t>
            </w:r>
            <w:r>
              <w:rPr>
                <w:rFonts w:ascii="Times New Roman" w:cs="Times New Roman" w:eastAsia="Times New Roman" w:hAnsi="Times New Roman"/>
                <w:sz w:val="25"/>
                <w:szCs w:val="25"/>
                <w:color w:val="auto"/>
                <w:vertAlign w:val="superscript"/>
              </w:rPr>
              <w:t>(1)</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4.63 %</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March 2028</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6.25 %</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2031</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3.00 %</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6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51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June 2032</w:t>
            </w:r>
          </w:p>
        </w:tc>
        <w:tc>
          <w:tcPr>
            <w:tcW w:w="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5.50 %</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51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Long-term debt before discount and debt issuance costs</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2,583,561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2,418,228</w:t>
            </w:r>
          </w:p>
        </w:tc>
        <w:tc>
          <w:tcPr>
            <w:tcW w:w="6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and debt issuance costs – unamortized</w:t>
            </w:r>
          </w:p>
        </w:tc>
        <w:tc>
          <w:tcPr>
            <w:tcW w:w="7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(11,599)</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5120" w:type="dxa"/>
            <w:vAlign w:val="bottom"/>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Long-term debt</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2,574,729</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2,406,629</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3"/>
        </w:trPr>
        <w:tc>
          <w:tcPr>
            <w:tcW w:w="20" w:type="dxa"/>
            <w:vAlign w:val="bottom"/>
            <w:tcBorders>
              <w:bottom w:val="single" w:sz="8" w:color="0D0D0D"/>
            </w:tcBorders>
          </w:tcPr>
          <w:p>
            <w:pPr>
              <w:spacing w:after="0"/>
              <w:rPr>
                <w:sz w:val="10"/>
                <w:szCs w:val="10"/>
                <w:color w:val="auto"/>
              </w:rPr>
            </w:pPr>
          </w:p>
        </w:tc>
        <w:tc>
          <w:tcPr>
            <w:tcW w:w="2220" w:type="dxa"/>
            <w:vAlign w:val="bottom"/>
            <w:tcBorders>
              <w:bottom w:val="single" w:sz="8" w:color="0D0D0D"/>
            </w:tcBorders>
          </w:tcPr>
          <w:p>
            <w:pPr>
              <w:spacing w:after="0"/>
              <w:rPr>
                <w:sz w:val="10"/>
                <w:szCs w:val="10"/>
                <w:color w:val="auto"/>
              </w:rPr>
            </w:pPr>
          </w:p>
        </w:tc>
        <w:tc>
          <w:tcPr>
            <w:tcW w:w="2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r>
    </w:tbl>
    <w:p>
      <w:pPr>
        <w:spacing w:after="0" w:line="94" w:lineRule="exact"/>
        <w:rPr>
          <w:sz w:val="20"/>
          <w:szCs w:val="20"/>
          <w:color w:val="auto"/>
        </w:rPr>
      </w:pPr>
    </w:p>
    <w:p>
      <w:pPr>
        <w:ind w:left="380" w:right="159" w:hanging="330"/>
        <w:spacing w:after="0" w:line="215" w:lineRule="auto"/>
        <w:tabs>
          <w:tab w:leader="none" w:pos="38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As of June 28, 2025, the Company classified its $550 million of 4.63% Notes due April 2026 as long-term debt based on its ability and intent to refinance these notes on a long-term basis.</w:t>
      </w:r>
    </w:p>
    <w:p>
      <w:pPr>
        <w:spacing w:after="0" w:line="191" w:lineRule="exact"/>
        <w:rPr>
          <w:sz w:val="20"/>
          <w:szCs w:val="20"/>
          <w:color w:val="auto"/>
        </w:rPr>
      </w:pPr>
    </w:p>
    <w:p>
      <w:pPr>
        <w:ind w:left="60" w:right="79" w:firstLine="427"/>
        <w:spacing w:after="0" w:line="302" w:lineRule="auto"/>
        <w:rPr>
          <w:sz w:val="20"/>
          <w:szCs w:val="20"/>
          <w:color w:val="auto"/>
        </w:rPr>
      </w:pPr>
      <w:r>
        <w:rPr>
          <w:rFonts w:ascii="Times New Roman" w:cs="Times New Roman" w:eastAsia="Times New Roman" w:hAnsi="Times New Roman"/>
          <w:sz w:val="18"/>
          <w:szCs w:val="18"/>
          <w:color w:val="auto"/>
        </w:rPr>
        <w:t>In December 2024, the Company amended and extended for two years its trade accounts receivable securitization program (the “Securitization Program”) in the United States with a group of financial institutions which is due in December 2026. The Securitization Program allows the Company to transfer, on an ongoing revolving basis, an undivided interest in a designated pool of trade accounts receivable, to provide security or collateral for borrowings of up to $500.0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$813.9 million and $1.05 billion at June 28, 2025, and June 29, 2024, respectively. The Securitization Program contains certain covenants relating to the quality of the receivables sold.</w:t>
      </w:r>
    </w:p>
    <w:p>
      <w:pPr>
        <w:sectPr>
          <w:pgSz w:w="11900" w:h="16838" w:orient="portrait"/>
          <w:cols w:equalWidth="0" w:num="1">
            <w:col w:w="9019"/>
          </w:cols>
          <w:pgMar w:left="1440" w:top="513"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70" w:lineRule="exact"/>
        <w:rPr>
          <w:sz w:val="20"/>
          <w:szCs w:val="20"/>
          <w:color w:val="auto"/>
        </w:rPr>
      </w:pPr>
    </w:p>
    <w:p>
      <w:pPr>
        <w:ind w:left="60" w:right="419"/>
        <w:spacing w:after="0" w:line="329" w:lineRule="auto"/>
        <w:rPr>
          <w:sz w:val="20"/>
          <w:szCs w:val="20"/>
          <w:color w:val="auto"/>
        </w:rPr>
      </w:pPr>
      <w:r>
        <w:rPr>
          <w:rFonts w:ascii="Times New Roman" w:cs="Times New Roman" w:eastAsia="Times New Roman" w:hAnsi="Times New Roman"/>
          <w:sz w:val="18"/>
          <w:szCs w:val="18"/>
          <w:color w:val="auto"/>
        </w:rPr>
        <w:t>There were $500.0 million and $415.1 million borrowings outstanding under the Securitization Program as of June 28, 2025, and as of June 29, 2024, respectively.</w:t>
      </w:r>
    </w:p>
    <w:p>
      <w:pPr>
        <w:spacing w:after="0" w:line="121" w:lineRule="exact"/>
        <w:rPr>
          <w:sz w:val="20"/>
          <w:szCs w:val="20"/>
          <w:color w:val="auto"/>
        </w:rPr>
      </w:pPr>
    </w:p>
    <w:p>
      <w:pPr>
        <w:ind w:left="60" w:right="119" w:firstLine="427"/>
        <w:spacing w:after="0" w:line="304" w:lineRule="auto"/>
        <w:rPr>
          <w:sz w:val="20"/>
          <w:szCs w:val="20"/>
          <w:color w:val="auto"/>
        </w:rPr>
      </w:pPr>
      <w:r>
        <w:rPr>
          <w:rFonts w:ascii="Times New Roman" w:cs="Times New Roman" w:eastAsia="Times New Roman" w:hAnsi="Times New Roman"/>
          <w:sz w:val="18"/>
          <w:szCs w:val="18"/>
          <w:color w:val="auto"/>
        </w:rPr>
        <w:t>In January 2025, the Company amended and extended its five-year $1.50 billion revolving credit facility (the “Credit Facility”) with a syndicate of banks, which expires in January 2030. It consists of revolving credit facilities and the issuance of up to $200.0 million of letters of credit and up to $300.0 million of loans in certain approved currencies.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a financial covenant requiring the Company to maintain a minimum leverage ratio, which the Company was in compliance with as of June 28, 2025. At June 28, 2025, and June 29, 2024, there were $0.9 million in letters of credit issued under the Credit Facility.</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Aggregate debt maturities for the next five fiscal years and thereafter are as follows (in thousands):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3"/>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637,284</w:t>
            </w:r>
          </w:p>
        </w:tc>
        <w:tc>
          <w:tcPr>
            <w:tcW w:w="4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411,586</w:t>
            </w:r>
          </w:p>
        </w:tc>
        <w:tc>
          <w:tcPr>
            <w:tcW w:w="40" w:type="dxa"/>
            <w:vAlign w:val="bottom"/>
            <w:shd w:val="clear" w:color="auto" w:fill="CCEEFF"/>
          </w:tcPr>
          <w:p>
            <w:pPr>
              <w:spacing w:after="0"/>
              <w:rPr>
                <w:sz w:val="18"/>
                <w:szCs w:val="18"/>
                <w:color w:val="auto"/>
              </w:rPr>
            </w:pPr>
          </w:p>
        </w:tc>
      </w:tr>
      <w:tr>
        <w:trPr>
          <w:trHeight w:val="223"/>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621,975</w:t>
            </w:r>
          </w:p>
        </w:tc>
        <w:tc>
          <w:tcPr>
            <w:tcW w:w="40" w:type="dxa"/>
            <w:vAlign w:val="bottom"/>
            <w:tcBorders>
              <w:bottom w:val="single" w:sz="8" w:color="CCEEFF"/>
            </w:tcBorders>
          </w:tcPr>
          <w:p>
            <w:pPr>
              <w:spacing w:after="0"/>
              <w:rPr>
                <w:sz w:val="19"/>
                <w:szCs w:val="19"/>
                <w:color w:val="auto"/>
              </w:rPr>
            </w:pPr>
          </w:p>
        </w:tc>
      </w:tr>
      <w:tr>
        <w:trPr>
          <w:trHeight w:val="216"/>
        </w:trPr>
        <w:tc>
          <w:tcPr>
            <w:tcW w:w="7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2,670,845</w:t>
            </w:r>
          </w:p>
        </w:tc>
        <w:tc>
          <w:tcPr>
            <w:tcW w:w="40" w:type="dxa"/>
            <w:vAlign w:val="bottom"/>
            <w:shd w:val="clear" w:color="auto" w:fill="CCEEFF"/>
          </w:tcPr>
          <w:p>
            <w:pPr>
              <w:spacing w:after="0"/>
              <w:rPr>
                <w:sz w:val="18"/>
                <w:szCs w:val="18"/>
                <w:color w:val="auto"/>
              </w:rPr>
            </w:pPr>
          </w:p>
        </w:tc>
      </w:tr>
      <w:tr>
        <w:trPr>
          <w:trHeight w:val="223"/>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Discount and debt issuance costs – unamortized</w:t>
            </w:r>
          </w:p>
        </w:tc>
        <w:tc>
          <w:tcPr>
            <w:tcW w:w="1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(8,832)</w:t>
            </w:r>
          </w:p>
        </w:tc>
      </w:tr>
      <w:tr>
        <w:trPr>
          <w:trHeight w:val="216"/>
        </w:trPr>
        <w:tc>
          <w:tcPr>
            <w:tcW w:w="79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2,662,013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99" w:firstLine="427"/>
        <w:spacing w:after="0" w:line="309" w:lineRule="auto"/>
        <w:rPr>
          <w:sz w:val="20"/>
          <w:szCs w:val="20"/>
          <w:color w:val="auto"/>
        </w:rPr>
      </w:pPr>
      <w:r>
        <w:rPr>
          <w:rFonts w:ascii="Times New Roman" w:cs="Times New Roman" w:eastAsia="Times New Roman" w:hAnsi="Times New Roman"/>
          <w:sz w:val="18"/>
          <w:szCs w:val="18"/>
          <w:color w:val="auto"/>
        </w:rPr>
        <w:t>At June 28, 2025, the carrying value and fair value of the Company’s total debt was $2.66 billion and $2.65 billion, respectively. At June 29, 2024, the carrying value and fair value of the Company’s total debt was $2.90 billion and $2.85 billion, respectively. Fair value for the public notes was estimated based upon quoted market prices (Level 1) and, for other forms of debt, fair value approximates carrying value due to the market based variable nature of the interest rates on those debt facilities (Level 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Accrued expenses and other</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Accrued expenses and other consist of the following:</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36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June 28, 2025</w:t>
            </w:r>
          </w:p>
        </w:tc>
        <w:tc>
          <w:tcPr>
            <w:tcW w:w="180" w:type="dxa"/>
            <w:vAlign w:val="bottom"/>
          </w:tcPr>
          <w:p>
            <w:pPr>
              <w:spacing w:after="0"/>
              <w:rPr>
                <w:sz w:val="21"/>
                <w:szCs w:val="21"/>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29, 2024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ind w:left="4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(Thousands)</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3200" w:type="dxa"/>
            <w:vAlign w:val="bottom"/>
            <w:gridSpan w:val="2"/>
            <w:shd w:val="clear" w:color="auto" w:fill="CCEEFF"/>
          </w:tcPr>
          <w:p>
            <w:pPr>
              <w:ind w:left="29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208,723</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213,641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operating costs</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131,951</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184,007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and banking costs</w:t>
            </w: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49,324</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 costs</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12,409</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property, plant and equipment</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9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56,597</w:t>
            </w: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49,342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accrued expenses and other</w:t>
            </w:r>
          </w:p>
        </w:tc>
        <w:tc>
          <w:tcPr>
            <w:tcW w:w="2940" w:type="dxa"/>
            <w:vAlign w:val="bottom"/>
          </w:tcPr>
          <w:p>
            <w:pPr>
              <w:spacing w:after="0"/>
              <w:rPr>
                <w:sz w:val="17"/>
                <w:szCs w:val="17"/>
                <w:color w:val="auto"/>
              </w:rPr>
            </w:pPr>
          </w:p>
        </w:tc>
        <w:tc>
          <w:tcPr>
            <w:tcW w:w="2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497,154</w:t>
            </w:r>
          </w:p>
        </w:tc>
        <w:tc>
          <w:tcPr>
            <w:tcW w:w="180" w:type="dxa"/>
            <w:vAlign w:val="bottom"/>
          </w:tcPr>
          <w:p>
            <w:pPr>
              <w:spacing w:after="0"/>
              <w:rPr>
                <w:sz w:val="17"/>
                <w:szCs w:val="17"/>
                <w:color w:val="auto"/>
              </w:rPr>
            </w:pPr>
          </w:p>
        </w:tc>
        <w:tc>
          <w:tcPr>
            <w:tcW w:w="4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95"/>
              </w:rPr>
              <w:t>573,055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94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360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income tax expense (“tax provision”) are included in the table below.</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32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3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180" w:type="dxa"/>
            <w:vAlign w:val="bottom"/>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29, 2024</w:t>
            </w:r>
          </w:p>
        </w:tc>
        <w:tc>
          <w:tcPr>
            <w:tcW w:w="200" w:type="dxa"/>
            <w:vAlign w:val="bottom"/>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July 1, 2023</w:t>
            </w:r>
          </w:p>
        </w:tc>
        <w:tc>
          <w:tcPr>
            <w:tcW w:w="60" w:type="dxa"/>
            <w:vAlign w:val="bottom"/>
          </w:tcPr>
          <w:p>
            <w:pPr>
              <w:spacing w:after="0"/>
              <w:rPr>
                <w:sz w:val="19"/>
                <w:szCs w:val="19"/>
                <w:color w:val="auto"/>
              </w:rPr>
            </w:pPr>
          </w:p>
        </w:tc>
      </w:tr>
      <w:tr>
        <w:trPr>
          <w:trHeight w:val="203"/>
        </w:trPr>
        <w:tc>
          <w:tcPr>
            <w:tcW w:w="3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1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Federal</w:t>
            </w:r>
          </w:p>
        </w:tc>
        <w:tc>
          <w:tcPr>
            <w:tcW w:w="204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14,165</w:t>
            </w:r>
          </w:p>
        </w:tc>
        <w:tc>
          <w:tcPr>
            <w:tcW w:w="50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50,428</w:t>
            </w:r>
          </w:p>
        </w:tc>
        <w:tc>
          <w:tcPr>
            <w:tcW w:w="44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64,224</w:t>
            </w:r>
          </w:p>
        </w:tc>
        <w:tc>
          <w:tcPr>
            <w:tcW w:w="60" w:type="dxa"/>
            <w:vAlign w:val="bottom"/>
          </w:tcPr>
          <w:p>
            <w:pPr>
              <w:spacing w:after="0"/>
              <w:rPr>
                <w:sz w:val="18"/>
                <w:szCs w:val="18"/>
                <w:color w:val="auto"/>
              </w:rPr>
            </w:pPr>
          </w:p>
        </w:tc>
      </w:tr>
      <w:tr>
        <w:trPr>
          <w:trHeight w:val="216"/>
        </w:trPr>
        <w:tc>
          <w:tcPr>
            <w:tcW w:w="3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State and local</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60" w:type="dxa"/>
            <w:vAlign w:val="bottom"/>
            <w:shd w:val="clear" w:color="auto" w:fill="CCEEFF"/>
          </w:tcPr>
          <w:p>
            <w:pPr>
              <w:spacing w:after="0"/>
              <w:rPr>
                <w:sz w:val="18"/>
                <w:szCs w:val="18"/>
                <w:color w:val="auto"/>
              </w:rPr>
            </w:pPr>
          </w:p>
        </w:tc>
      </w:tr>
      <w:tr>
        <w:trPr>
          <w:trHeight w:val="223"/>
        </w:trPr>
        <w:tc>
          <w:tcPr>
            <w:tcW w:w="32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Foreign</w:t>
            </w:r>
          </w:p>
        </w:tc>
        <w:tc>
          <w:tcPr>
            <w:tcW w:w="17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90,637</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94,663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173,450</w:t>
            </w:r>
          </w:p>
        </w:tc>
        <w:tc>
          <w:tcPr>
            <w:tcW w:w="60" w:type="dxa"/>
            <w:vAlign w:val="bottom"/>
            <w:tcBorders>
              <w:bottom w:val="single" w:sz="8" w:color="CCEEFF"/>
            </w:tcBorders>
          </w:tcPr>
          <w:p>
            <w:pPr>
              <w:spacing w:after="0"/>
              <w:rPr>
                <w:sz w:val="19"/>
                <w:szCs w:val="19"/>
                <w:color w:val="auto"/>
              </w:rPr>
            </w:pPr>
          </w:p>
        </w:tc>
      </w:tr>
      <w:tr>
        <w:trPr>
          <w:trHeight w:val="236"/>
        </w:trPr>
        <w:tc>
          <w:tcPr>
            <w:tcW w:w="3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taxes</w:t>
            </w:r>
          </w:p>
        </w:tc>
        <w:tc>
          <w:tcPr>
            <w:tcW w:w="17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109,906</w:t>
            </w:r>
          </w:p>
        </w:tc>
        <w:tc>
          <w:tcPr>
            <w:tcW w:w="1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149,610</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245,539</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32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Deferred:</w:t>
            </w:r>
          </w:p>
        </w:tc>
        <w:tc>
          <w:tcPr>
            <w:tcW w:w="1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Federal</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(15,422)</w:t>
            </w:r>
          </w:p>
        </w:tc>
        <w:tc>
          <w:tcPr>
            <w:tcW w:w="60" w:type="dxa"/>
            <w:vAlign w:val="bottom"/>
            <w:shd w:val="clear" w:color="auto" w:fill="CCEEFF"/>
          </w:tcPr>
          <w:p>
            <w:pPr>
              <w:spacing w:after="0"/>
              <w:rPr>
                <w:sz w:val="18"/>
                <w:szCs w:val="18"/>
                <w:color w:val="auto"/>
              </w:rPr>
            </w:pPr>
          </w:p>
        </w:tc>
      </w:tr>
      <w:tr>
        <w:trPr>
          <w:trHeight w:val="216"/>
        </w:trPr>
        <w:tc>
          <w:tcPr>
            <w:tcW w:w="3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State and local</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60" w:type="dxa"/>
            <w:vAlign w:val="bottom"/>
          </w:tcPr>
          <w:p>
            <w:pPr>
              <w:spacing w:after="0"/>
              <w:rPr>
                <w:sz w:val="18"/>
                <w:szCs w:val="18"/>
                <w:color w:val="auto"/>
              </w:rPr>
            </w:pPr>
          </w:p>
        </w:tc>
      </w:tr>
      <w:tr>
        <w:trPr>
          <w:trHeight w:val="236"/>
        </w:trPr>
        <w:tc>
          <w:tcPr>
            <w:tcW w:w="32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w:t>
            </w:r>
          </w:p>
        </w:tc>
        <w:tc>
          <w:tcPr>
            <w:tcW w:w="17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(105,777)</w:t>
            </w:r>
          </w:p>
        </w:tc>
        <w:tc>
          <w:tcPr>
            <w:tcW w:w="1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(20,675)</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326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Total deferred taxes</w:t>
            </w:r>
          </w:p>
        </w:tc>
        <w:tc>
          <w:tcPr>
            <w:tcW w:w="17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(99,554)</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(16,046)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(33,491)</w:t>
            </w:r>
          </w:p>
        </w:tc>
        <w:tc>
          <w:tcPr>
            <w:tcW w:w="60" w:type="dxa"/>
            <w:vAlign w:val="bottom"/>
            <w:tcBorders>
              <w:bottom w:val="single" w:sz="8" w:color="CCEEFF"/>
            </w:tcBorders>
          </w:tcPr>
          <w:p>
            <w:pPr>
              <w:spacing w:after="0"/>
              <w:rPr>
                <w:sz w:val="18"/>
                <w:szCs w:val="18"/>
                <w:color w:val="auto"/>
              </w:rPr>
            </w:pPr>
          </w:p>
        </w:tc>
      </w:tr>
      <w:tr>
        <w:trPr>
          <w:trHeight w:val="216"/>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7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133,564</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212,048</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3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firstLine="427"/>
        <w:spacing w:after="0" w:line="307" w:lineRule="auto"/>
        <w:rPr>
          <w:sz w:val="20"/>
          <w:szCs w:val="20"/>
          <w:color w:val="auto"/>
        </w:rPr>
      </w:pPr>
      <w:r>
        <w:rPr>
          <w:rFonts w:ascii="Times New Roman" w:cs="Times New Roman" w:eastAsia="Times New Roman" w:hAnsi="Times New Roman"/>
          <w:sz w:val="18"/>
          <w:szCs w:val="18"/>
          <w:color w:val="auto"/>
        </w:rPr>
        <w:t>The tax provision is computed based upon income before income taxes from both U.S. and foreign operations. U.S. income before income taxes was $34.0 million, $186.6 million, and $250.8 million in fiscal 2025, 2024, and 2023, respectively, and foreign income before income taxes was $216.6 million, $445.6 million, and $732.1 million, in fiscal 2025, 2024, and 2023, respectively.</w:t>
      </w:r>
    </w:p>
    <w:p>
      <w:pPr>
        <w:spacing w:after="0" w:line="142" w:lineRule="exact"/>
        <w:rPr>
          <w:sz w:val="20"/>
          <w:szCs w:val="20"/>
          <w:color w:val="auto"/>
        </w:rPr>
      </w:pPr>
    </w:p>
    <w:p>
      <w:pPr>
        <w:ind w:left="60" w:right="119" w:firstLine="427"/>
        <w:spacing w:after="0" w:line="307" w:lineRule="auto"/>
        <w:rPr>
          <w:sz w:val="20"/>
          <w:szCs w:val="20"/>
          <w:color w:val="auto"/>
        </w:rPr>
      </w:pPr>
      <w:r>
        <w:rPr>
          <w:rFonts w:ascii="Times New Roman" w:cs="Times New Roman" w:eastAsia="Times New Roman" w:hAnsi="Times New Roman"/>
          <w:sz w:val="18"/>
          <w:szCs w:val="18"/>
          <w:color w:val="auto"/>
        </w:rPr>
        <w:t>On August 16, 2022, the U.S. government enacted the Inflation Reduction Act of 2022 (the "IRA"). The IRA includes various tax provisions, including a 15% corporate minimum income tax rate ("CAMT"). The CAMT is effective for tax periods beginning with fiscal 2024. The company has determined that there is no CAMT liability in fiscal 2025, but will continue to monitor.</w:t>
      </w:r>
    </w:p>
    <w:p>
      <w:pPr>
        <w:spacing w:after="0" w:line="156" w:lineRule="exact"/>
        <w:rPr>
          <w:sz w:val="20"/>
          <w:szCs w:val="20"/>
          <w:color w:val="auto"/>
        </w:rPr>
      </w:pPr>
    </w:p>
    <w:p>
      <w:pPr>
        <w:ind w:left="60" w:right="119" w:firstLine="427"/>
        <w:spacing w:after="0" w:line="305"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(the “OBBB”). The bill includes extensions of current tax provisions and makes many significant tax changes. Most of the provisions enacted by the OBBB takes effect in fiscal year 2026 while a few provisions were retroactive to fiscal 2025. The company expects no material adverse impact related to the OBBB; however, the Company will continue to monitor developments and evaluate any potential future impacts.</w:t>
      </w:r>
    </w:p>
    <w:p>
      <w:pPr>
        <w:spacing w:after="0" w:line="143" w:lineRule="exact"/>
        <w:rPr>
          <w:sz w:val="20"/>
          <w:szCs w:val="20"/>
          <w:color w:val="auto"/>
        </w:rPr>
      </w:pPr>
    </w:p>
    <w:p>
      <w:pPr>
        <w:ind w:left="60" w:right="299" w:firstLine="427"/>
        <w:spacing w:after="0" w:line="30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enacted a new global minimum tax framework known as Pillar Two. These rules have been agreed to by most OECD members. The OECD has since issued administrative guidance providing transition and safe harbor rules around the implementation of Pillar Two rules. The Company was subject to Pillar Two rules starting in fiscal 2025. As of June 28, 2025, Pillar Two taxes do not have a significant impact on the Company’s income tax expense. The Company is continuing to monitor the relevant developments and evaluate the potential impacts.</w:t>
      </w:r>
    </w:p>
    <w:p>
      <w:pPr>
        <w:spacing w:after="0" w:line="145" w:lineRule="exact"/>
        <w:rPr>
          <w:sz w:val="20"/>
          <w:szCs w:val="20"/>
          <w:color w:val="auto"/>
        </w:rPr>
      </w:pPr>
    </w:p>
    <w:p>
      <w:pPr>
        <w:ind w:left="60" w:right="699" w:firstLine="427"/>
        <w:spacing w:after="0" w:line="329" w:lineRule="auto"/>
        <w:rPr>
          <w:sz w:val="20"/>
          <w:szCs w:val="20"/>
          <w:color w:val="auto"/>
        </w:rPr>
      </w:pPr>
      <w:r>
        <w:rPr>
          <w:rFonts w:ascii="Times New Roman" w:cs="Times New Roman" w:eastAsia="Times New Roman" w:hAnsi="Times New Roman"/>
          <w:sz w:val="18"/>
          <w:szCs w:val="18"/>
          <w:color w:val="auto"/>
        </w:rPr>
        <w:t>The Company asserts that all its unremitted foreign earnings are permanently reinvested, and any unrecorded liabilities related to this assertion are not material.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Reconciliations of the U.S. federal statutory income tax rate to the effective income tax rates are as follows: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538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1000" w:type="dxa"/>
            <w:vAlign w:val="bottom"/>
            <w:tcBorders>
              <w:bottom w:val="single" w:sz="8" w:color="auto"/>
            </w:tcBorders>
          </w:tcPr>
          <w:p>
            <w:pPr>
              <w:spacing w:after="0"/>
              <w:rPr>
                <w:sz w:val="21"/>
                <w:szCs w:val="21"/>
                <w:color w:val="auto"/>
              </w:rPr>
            </w:pPr>
          </w:p>
        </w:tc>
      </w:tr>
      <w:tr>
        <w:trPr>
          <w:trHeight w:val="223"/>
        </w:trPr>
        <w:tc>
          <w:tcPr>
            <w:tcW w:w="538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June 29,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July 1, 2023</w:t>
            </w:r>
          </w:p>
        </w:tc>
      </w:tr>
      <w:tr>
        <w:trPr>
          <w:trHeight w:val="216"/>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21.0 %</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21.0 %</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on foreign income</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unrecognized tax benefit reserves</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Tax audit settlements</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tax attribute carryforwards</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Impact on foreign currency translation loss</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r>
      <w:tr>
        <w:trPr>
          <w:trHeight w:val="23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0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0.1</w:t>
            </w:r>
          </w:p>
        </w:tc>
      </w:tr>
      <w:tr>
        <w:trPr>
          <w:trHeight w:val="203"/>
        </w:trPr>
        <w:tc>
          <w:tcPr>
            <w:tcW w:w="53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Effective tax rate</w:t>
            </w:r>
          </w:p>
        </w:tc>
        <w:tc>
          <w:tcPr>
            <w:tcW w:w="106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4.1 %</w:t>
            </w:r>
          </w:p>
        </w:tc>
        <w:tc>
          <w:tcPr>
            <w:tcW w:w="200" w:type="dxa"/>
            <w:vAlign w:val="bottom"/>
          </w:tcPr>
          <w:p>
            <w:pPr>
              <w:spacing w:after="0"/>
              <w:rPr>
                <w:sz w:val="17"/>
                <w:szCs w:val="17"/>
                <w:color w:val="auto"/>
              </w:rPr>
            </w:pPr>
          </w:p>
        </w:tc>
        <w:tc>
          <w:tcPr>
            <w:tcW w:w="108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21.1 %</w:t>
            </w: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21.6 %</w:t>
            </w:r>
          </w:p>
        </w:tc>
      </w:tr>
      <w:tr>
        <w:trPr>
          <w:trHeight w:val="20"/>
        </w:trPr>
        <w:tc>
          <w:tcPr>
            <w:tcW w:w="5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39" w:firstLine="427"/>
        <w:spacing w:after="0" w:line="362" w:lineRule="auto"/>
        <w:rPr>
          <w:sz w:val="20"/>
          <w:szCs w:val="20"/>
          <w:color w:val="auto"/>
        </w:rPr>
      </w:pPr>
      <w:r>
        <w:rPr>
          <w:rFonts w:ascii="Times New Roman" w:cs="Times New Roman" w:eastAsia="Times New Roman" w:hAnsi="Times New Roman"/>
          <w:sz w:val="17"/>
          <w:szCs w:val="17"/>
          <w:color w:val="auto"/>
        </w:rPr>
        <w:t>Tax on foreign income represents the tax rate impact of the difference between foreign rates and the U.S. federal statutory rate applied to foreign income or loss and foreign income taxed in the U.S. at rates other than its statutory rate.</w:t>
      </w:r>
    </w:p>
    <w:p>
      <w:pPr>
        <w:spacing w:after="0" w:line="31" w:lineRule="exact"/>
        <w:rPr>
          <w:sz w:val="20"/>
          <w:szCs w:val="20"/>
          <w:color w:val="auto"/>
        </w:rPr>
      </w:pPr>
    </w:p>
    <w:p>
      <w:pPr>
        <w:ind w:left="60" w:right="219" w:firstLine="427"/>
        <w:spacing w:after="0" w:line="307" w:lineRule="auto"/>
        <w:rPr>
          <w:sz w:val="20"/>
          <w:szCs w:val="20"/>
          <w:color w:val="auto"/>
        </w:rPr>
      </w:pPr>
      <w:r>
        <w:rPr>
          <w:rFonts w:ascii="Times New Roman" w:cs="Times New Roman" w:eastAsia="Times New Roman" w:hAnsi="Times New Roman"/>
          <w:sz w:val="18"/>
          <w:szCs w:val="18"/>
          <w:color w:val="auto"/>
        </w:rPr>
        <w:t>Avnet’s effective tax rate on income before income taxes was 4.1% in fiscal 2025 as compared with an effective tax rate of 21.1% on fiscal 2024 income before income taxes. Included in the fiscal 2025 effective tax rate are tax benefit related to tax attribute carryforwards, tax expense related to the increase to valuation allowances against the deferred tax assets, tax audit settlements, and U.S. state taxes.</w:t>
      </w:r>
    </w:p>
    <w:p>
      <w:pPr>
        <w:spacing w:after="0" w:line="73" w:lineRule="exact"/>
        <w:rPr>
          <w:sz w:val="20"/>
          <w:szCs w:val="20"/>
          <w:color w:val="auto"/>
        </w:rPr>
      </w:pPr>
    </w:p>
    <w:p>
      <w:pPr>
        <w:ind w:left="60" w:right="99" w:firstLine="427"/>
        <w:spacing w:after="0" w:line="301" w:lineRule="auto"/>
        <w:rPr>
          <w:sz w:val="20"/>
          <w:szCs w:val="20"/>
          <w:color w:val="auto"/>
        </w:rPr>
      </w:pPr>
      <w:r>
        <w:rPr>
          <w:rFonts w:ascii="Times New Roman" w:cs="Times New Roman" w:eastAsia="Times New Roman" w:hAnsi="Times New Roman"/>
          <w:sz w:val="18"/>
          <w:szCs w:val="18"/>
          <w:color w:val="auto"/>
        </w:rPr>
        <w:t xml:space="preserve">The Company applies the guidance in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requires management to use its judgment to the appropriate weighting of all available evidence when assessing the need for the establishment or the release of valuation allowances. As part of this analysis, the Company examines all available evidence on a jurisdiction-by-jurisdiction basis and weighs the positive and negative evidence when determining the need for full or partial valuation allowances. The evidence considered for each jurisdiction includes, among other items: (i) the historic levels and types of income or losses over a range of time periods, which may extend beyond the most recent three fiscal years depending upon the historical volatility of income in an individual jurisdiction; (ii) expectations and risks associated with underlying estimates of future taxable income, including considering the historical trend of down-cycles in the Company’s served industries; (iii) jurisdictional specific limitations on the utilization of deferred tax assets, including when such assets expire; and (iv) prudent and feasible tax planning strategies.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60" w:right="539" w:firstLine="427"/>
        <w:spacing w:after="0" w:line="329" w:lineRule="auto"/>
        <w:rPr>
          <w:sz w:val="20"/>
          <w:szCs w:val="20"/>
          <w:color w:val="auto"/>
        </w:rPr>
      </w:pPr>
      <w:r>
        <w:rPr>
          <w:rFonts w:ascii="Times New Roman" w:cs="Times New Roman" w:eastAsia="Times New Roman" w:hAnsi="Times New Roman"/>
          <w:sz w:val="18"/>
          <w:szCs w:val="18"/>
          <w:color w:val="auto"/>
        </w:rPr>
        <w:t>The significant components of deferred tax assets and liabilities, included in “Other assets” on the consolidated balance sheets, are as follows: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2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29,</w:t>
            </w:r>
          </w:p>
        </w:tc>
      </w:tr>
      <w:tr>
        <w:trPr>
          <w:trHeight w:val="245"/>
        </w:trPr>
        <w:tc>
          <w:tcPr>
            <w:tcW w:w="68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r>
      <w:tr>
        <w:trPr>
          <w:trHeight w:val="203"/>
        </w:trPr>
        <w:tc>
          <w:tcPr>
            <w:tcW w:w="6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4"/>
          </w:tcPr>
          <w:p>
            <w:pPr>
              <w:jc w:val="right"/>
              <w:ind w:right="43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80" w:type="dxa"/>
            <w:vAlign w:val="bottom"/>
          </w:tcPr>
          <w:p>
            <w:pPr>
              <w:spacing w:after="0"/>
              <w:rPr>
                <w:sz w:val="17"/>
                <w:szCs w:val="17"/>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state and foreign net operating loss carry-forwards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264,043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207,087</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18,501</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 valuation</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51,581</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valuation</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18,417</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deductions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51,388</w:t>
            </w:r>
          </w:p>
        </w:tc>
        <w:tc>
          <w:tcPr>
            <w:tcW w:w="80" w:type="dxa"/>
            <w:vAlign w:val="bottom"/>
            <w:shd w:val="clear" w:color="auto" w:fill="CCEEFF"/>
          </w:tcPr>
          <w:p>
            <w:pPr>
              <w:spacing w:after="0"/>
              <w:rPr>
                <w:sz w:val="18"/>
                <w:szCs w:val="18"/>
                <w:color w:val="auto"/>
              </w:rPr>
            </w:pPr>
          </w:p>
        </w:tc>
      </w:tr>
      <w:tr>
        <w:trPr>
          <w:trHeight w:val="223"/>
        </w:trPr>
        <w:tc>
          <w:tcPr>
            <w:tcW w:w="6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Various accrued liabilities and other</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189,583</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103,346</w:t>
            </w:r>
          </w:p>
        </w:tc>
        <w:tc>
          <w:tcPr>
            <w:tcW w:w="80" w:type="dxa"/>
            <w:vAlign w:val="bottom"/>
            <w:tcBorders>
              <w:bottom w:val="single" w:sz="8" w:color="CCEEFF"/>
            </w:tcBorders>
          </w:tcPr>
          <w:p>
            <w:pPr>
              <w:spacing w:after="0"/>
              <w:rPr>
                <w:sz w:val="19"/>
                <w:szCs w:val="19"/>
                <w:color w:val="auto"/>
              </w:rPr>
            </w:pPr>
          </w:p>
        </w:tc>
      </w:tr>
      <w:tr>
        <w:trPr>
          <w:trHeight w:val="216"/>
        </w:trPr>
        <w:tc>
          <w:tcPr>
            <w:tcW w:w="6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469,342</w:t>
            </w:r>
          </w:p>
        </w:tc>
        <w:tc>
          <w:tcPr>
            <w:tcW w:w="80" w:type="dxa"/>
            <w:vAlign w:val="bottom"/>
            <w:shd w:val="clear" w:color="auto" w:fill="CCEEFF"/>
          </w:tcPr>
          <w:p>
            <w:pPr>
              <w:spacing w:after="0"/>
              <w:rPr>
                <w:sz w:val="18"/>
                <w:szCs w:val="18"/>
                <w:color w:val="auto"/>
              </w:rPr>
            </w:pPr>
          </w:p>
        </w:tc>
      </w:tr>
      <w:tr>
        <w:trPr>
          <w:trHeight w:val="223"/>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 valuation allowances</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(253,618)</w:t>
            </w: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(216,179)</w:t>
            </w:r>
          </w:p>
        </w:tc>
      </w:tr>
      <w:tr>
        <w:trPr>
          <w:trHeight w:val="216"/>
        </w:trPr>
        <w:tc>
          <w:tcPr>
            <w:tcW w:w="6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371,235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253,163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assets</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(47,222)</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(49,956)</w:t>
            </w:r>
          </w:p>
        </w:tc>
      </w:tr>
      <w:tr>
        <w:trPr>
          <w:trHeight w:val="203"/>
        </w:trPr>
        <w:tc>
          <w:tcPr>
            <w:tcW w:w="6820" w:type="dxa"/>
            <w:vAlign w:val="bottom"/>
            <w:tcBorders>
              <w:top w:val="single" w:sz="8" w:color="CCEEFF"/>
            </w:tcBorders>
          </w:tcPr>
          <w:p>
            <w:pPr>
              <w:ind w:left="120"/>
              <w:spacing w:after="0" w:line="203" w:lineRule="exact"/>
              <w:rPr>
                <w:sz w:val="20"/>
                <w:szCs w:val="20"/>
                <w:color w:val="auto"/>
              </w:rPr>
            </w:pPr>
            <w:r>
              <w:rPr>
                <w:rFonts w:ascii="Times New Roman" w:cs="Times New Roman" w:eastAsia="Times New Roman" w:hAnsi="Times New Roman"/>
                <w:sz w:val="18"/>
                <w:szCs w:val="18"/>
                <w:color w:val="auto"/>
              </w:rPr>
              <w:t>Net deferred tax assets</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324,013</w:t>
            </w: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203,207</w:t>
            </w:r>
          </w:p>
        </w:tc>
        <w:tc>
          <w:tcPr>
            <w:tcW w:w="80" w:type="dxa"/>
            <w:vAlign w:val="bottom"/>
            <w:tcBorders>
              <w:top w:val="single" w:sz="8" w:color="CCEEFF"/>
            </w:tcBorders>
          </w:tcPr>
          <w:p>
            <w:pPr>
              <w:spacing w:after="0"/>
              <w:rPr>
                <w:sz w:val="17"/>
                <w:szCs w:val="17"/>
                <w:color w:val="auto"/>
              </w:rPr>
            </w:pP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219" w:firstLine="427"/>
        <w:spacing w:after="0" w:line="362" w:lineRule="auto"/>
        <w:rPr>
          <w:sz w:val="20"/>
          <w:szCs w:val="20"/>
          <w:color w:val="auto"/>
        </w:rPr>
      </w:pPr>
      <w:r>
        <w:rPr>
          <w:rFonts w:ascii="Times New Roman" w:cs="Times New Roman" w:eastAsia="Times New Roman" w:hAnsi="Times New Roman"/>
          <w:sz w:val="17"/>
          <w:szCs w:val="17"/>
          <w:color w:val="auto"/>
        </w:rPr>
        <w:t>The change in valuation allowances in fiscal 2025 from fiscal 2024 was related to a $22.2 million increase resulting from true ups related to prior years, and a $15.2 million increase resulting from changing foreign exchange rates.</w:t>
      </w:r>
    </w:p>
    <w:p>
      <w:pPr>
        <w:spacing w:after="0" w:line="31" w:lineRule="exact"/>
        <w:rPr>
          <w:sz w:val="20"/>
          <w:szCs w:val="20"/>
          <w:color w:val="auto"/>
        </w:rPr>
      </w:pPr>
    </w:p>
    <w:p>
      <w:pPr>
        <w:ind w:left="60" w:right="99" w:firstLine="427"/>
        <w:spacing w:after="0" w:line="303" w:lineRule="auto"/>
        <w:rPr>
          <w:sz w:val="20"/>
          <w:szCs w:val="20"/>
          <w:color w:val="auto"/>
        </w:rPr>
      </w:pPr>
      <w:r>
        <w:rPr>
          <w:rFonts w:ascii="Times New Roman" w:cs="Times New Roman" w:eastAsia="Times New Roman" w:hAnsi="Times New Roman"/>
          <w:sz w:val="18"/>
          <w:szCs w:val="18"/>
          <w:color w:val="auto"/>
        </w:rPr>
        <w:t>As of June 28, 2025, the Company had net operating and capital loss carry-forwards of approximately $1.20 billion, of which $13.6 million will expire during fiscal 2026 and fiscal 2027, $209.9 million have expiration dates ranging from fiscal 2028 to fiscal 2044, and the remaining $976.5 million have no expiration date. A significant portion of these losses are not expected to be realized in the foreseeable future and have valuation allowances against them. The carrying value of the Company’s net operating and capital loss carry-forwards depends on the Company’s ability to generate sufficient future taxable income in certain tax jurisdictions.</w:t>
      </w:r>
    </w:p>
    <w:p>
      <w:pPr>
        <w:spacing w:after="0" w:line="93" w:lineRule="exact"/>
        <w:rPr>
          <w:sz w:val="20"/>
          <w:szCs w:val="20"/>
          <w:color w:val="auto"/>
        </w:rPr>
      </w:pPr>
    </w:p>
    <w:p>
      <w:pPr>
        <w:ind w:left="60" w:right="119" w:firstLine="427"/>
        <w:spacing w:after="0" w:line="303" w:lineRule="auto"/>
        <w:rPr>
          <w:sz w:val="20"/>
          <w:szCs w:val="20"/>
          <w:color w:val="auto"/>
        </w:rPr>
      </w:pPr>
      <w:r>
        <w:rPr>
          <w:rFonts w:ascii="Times New Roman" w:cs="Times New Roman" w:eastAsia="Times New Roman" w:hAnsi="Times New Roman"/>
          <w:sz w:val="18"/>
          <w:szCs w:val="18"/>
          <w:color w:val="auto"/>
        </w:rPr>
        <w:t>Estimated liabilities for unrecognized tax benefits are included in “Accrued expenses and other” and “Other liabilities” on the consolidated balance sheets. These contingent liabilities relate to various tax matters that result from uncertainties in the application of complex income tax regulations in the numerous jurisdictions in which the Company operates. As of June 28, 2025, unrecognized tax benefits were $120.5 million. The estimated liability for unrecognized tax benefits included accrued interest expense and penalties of $28.0 million and $29.6 million as of the end of fiscal 2025 and 2024, respectively.</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70" w:lineRule="exact"/>
        <w:rPr>
          <w:sz w:val="20"/>
          <w:szCs w:val="20"/>
          <w:color w:val="auto"/>
        </w:rPr>
      </w:pPr>
    </w:p>
    <w:p>
      <w:pPr>
        <w:ind w:left="60" w:right="259" w:firstLine="427"/>
        <w:spacing w:after="0" w:line="329" w:lineRule="auto"/>
        <w:rPr>
          <w:sz w:val="20"/>
          <w:szCs w:val="20"/>
          <w:color w:val="auto"/>
        </w:rPr>
      </w:pPr>
      <w:r>
        <w:rPr>
          <w:rFonts w:ascii="Times New Roman" w:cs="Times New Roman" w:eastAsia="Times New Roman" w:hAnsi="Times New Roman"/>
          <w:sz w:val="18"/>
          <w:szCs w:val="18"/>
          <w:color w:val="auto"/>
        </w:rPr>
        <w:t>Reconciliations of the beginning and ending liability balances for unrecognized tax benefits, excluding interest and penalties, are as follows:</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5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June 28, 2025</w:t>
            </w:r>
          </w:p>
        </w:tc>
        <w:tc>
          <w:tcPr>
            <w:tcW w:w="180" w:type="dxa"/>
            <w:vAlign w:val="bottom"/>
          </w:tcPr>
          <w:p>
            <w:pPr>
              <w:spacing w:after="0"/>
              <w:rPr>
                <w:sz w:val="21"/>
                <w:szCs w:val="21"/>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June 29, 2024</w:t>
            </w:r>
          </w:p>
        </w:tc>
        <w:tc>
          <w:tcPr>
            <w:tcW w:w="60" w:type="dxa"/>
            <w:vAlign w:val="bottom"/>
          </w:tcPr>
          <w:p>
            <w:pPr>
              <w:spacing w:after="0"/>
              <w:rPr>
                <w:sz w:val="21"/>
                <w:szCs w:val="21"/>
                <w:color w:val="auto"/>
              </w:rPr>
            </w:pPr>
          </w:p>
        </w:tc>
      </w:tr>
      <w:tr>
        <w:trPr>
          <w:trHeight w:val="203"/>
        </w:trPr>
        <w:tc>
          <w:tcPr>
            <w:tcW w:w="5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1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100,661</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102,841</w:t>
            </w:r>
          </w:p>
        </w:tc>
        <w:tc>
          <w:tcPr>
            <w:tcW w:w="6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taken in prior periods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tax positions taken in prior periods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6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taken in current period</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6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related to settlements with taxing authorities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6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Reductions related to the lapse of applicable statutes of limitations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60" w:type="dxa"/>
            <w:vAlign w:val="bottom"/>
          </w:tcPr>
          <w:p>
            <w:pPr>
              <w:spacing w:after="0"/>
              <w:rPr>
                <w:sz w:val="18"/>
                <w:szCs w:val="18"/>
                <w:color w:val="auto"/>
              </w:rPr>
            </w:pPr>
          </w:p>
        </w:tc>
      </w:tr>
      <w:tr>
        <w:trPr>
          <w:trHeight w:val="236"/>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related to foreign currency translation</w:t>
            </w:r>
          </w:p>
        </w:tc>
        <w:tc>
          <w:tcPr>
            <w:tcW w:w="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56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Balance at end of year</w:t>
            </w:r>
          </w:p>
        </w:tc>
        <w:tc>
          <w:tcPr>
            <w:tcW w:w="880" w:type="dxa"/>
            <w:vAlign w:val="bottom"/>
          </w:tcPr>
          <w:p>
            <w:pPr>
              <w:spacing w:after="0"/>
              <w:rPr>
                <w:sz w:val="17"/>
                <w:szCs w:val="17"/>
                <w:color w:val="auto"/>
              </w:rPr>
            </w:pPr>
          </w:p>
        </w:tc>
        <w:tc>
          <w:tcPr>
            <w:tcW w:w="2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92,578</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100,661</w:t>
            </w:r>
          </w:p>
        </w:tc>
        <w:tc>
          <w:tcPr>
            <w:tcW w:w="60" w:type="dxa"/>
            <w:vAlign w:val="bottom"/>
          </w:tcPr>
          <w:p>
            <w:pPr>
              <w:spacing w:after="0"/>
              <w:rPr>
                <w:sz w:val="17"/>
                <w:szCs w:val="17"/>
                <w:color w:val="auto"/>
              </w:rPr>
            </w:pPr>
          </w:p>
        </w:tc>
      </w:tr>
      <w:tr>
        <w:trPr>
          <w:trHeight w:val="20"/>
        </w:trPr>
        <w:tc>
          <w:tcPr>
            <w:tcW w:w="5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427"/>
        <w:spacing w:after="0" w:line="300" w:lineRule="auto"/>
        <w:rPr>
          <w:sz w:val="20"/>
          <w:szCs w:val="20"/>
          <w:color w:val="auto"/>
        </w:rPr>
      </w:pPr>
      <w:r>
        <w:rPr>
          <w:rFonts w:ascii="Times New Roman" w:cs="Times New Roman" w:eastAsia="Times New Roman" w:hAnsi="Times New Roman"/>
          <w:sz w:val="18"/>
          <w:szCs w:val="18"/>
          <w:color w:val="auto"/>
        </w:rPr>
        <w:t>The evaluation of uncertain income tax positions requires management to estimate the ability of the Company to sustain its position with applicable tax authorities and estimate the final benefit to the Company. If the actual outcomes differ from the Company’s estimates, there could be an impact on income tax expense in the period in which the position is settled, the applicable statutes of limitations expire, or new information becomes available, as the impact of these events are recognized in the period in which they occur. It is difficult to estimate the period in which the amount of a tax position will change as settlement may include administrative and legal proceedings beyond the Company’s control. The effects of settling tax positions with tax authorities and statute expirations may significantly impact the estimate for unrecognized tax benefits. Within the next twelve months, the Company estimates that approximately $13.2 million of these liabilities for unrecognized tax benefits will be settled by the expiration of the statutes of limitations or through settlements with the tax authorities. The cash payment related to the settlement of these contingencies is expected to be immaterial.</w:t>
      </w:r>
    </w:p>
    <w:p>
      <w:pPr>
        <w:spacing w:after="0" w:line="1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Company conducts business globally and consequently files income tax returns in numerous jurisdictions,</w:t>
      </w:r>
    </w:p>
    <w:p>
      <w:pPr>
        <w:spacing w:after="0" w:line="50" w:lineRule="exact"/>
        <w:rPr>
          <w:sz w:val="20"/>
          <w:szCs w:val="20"/>
          <w:color w:val="auto"/>
        </w:rPr>
      </w:pPr>
    </w:p>
    <w:p>
      <w:pPr>
        <w:jc w:val="both"/>
        <w:ind w:left="60" w:right="159"/>
        <w:spacing w:after="0" w:line="321" w:lineRule="auto"/>
        <w:rPr>
          <w:sz w:val="20"/>
          <w:szCs w:val="20"/>
          <w:color w:val="auto"/>
        </w:rPr>
      </w:pPr>
      <w:r>
        <w:rPr>
          <w:rFonts w:ascii="Times New Roman" w:cs="Times New Roman" w:eastAsia="Times New Roman" w:hAnsi="Times New Roman"/>
          <w:sz w:val="18"/>
          <w:szCs w:val="18"/>
          <w:color w:val="auto"/>
        </w:rPr>
        <w:t>including those listed in the following table. It is also routinely subject to audit in these and other countries. The Company is no longer subject to audit in its major jurisdictions for periods prior to fiscal 2016. The years remaining subject to audit, by major jurisdiction, are as follows:</w:t>
      </w:r>
    </w:p>
    <w:p>
      <w:pPr>
        <w:spacing w:after="0" w:line="43"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18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Fiscal Year</w:t>
            </w:r>
          </w:p>
        </w:tc>
      </w:tr>
      <w:tr>
        <w:trPr>
          <w:trHeight w:val="216"/>
        </w:trPr>
        <w:tc>
          <w:tcPr>
            <w:tcW w:w="6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(Federal and state)</w:t>
            </w:r>
          </w:p>
        </w:tc>
        <w:tc>
          <w:tcPr>
            <w:tcW w:w="1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 2017, 2019 - 2025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Taiwan</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2020 - 2025</w:t>
            </w:r>
          </w:p>
        </w:tc>
        <w:tc>
          <w:tcPr>
            <w:tcW w:w="6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2019 - 2025</w:t>
            </w:r>
          </w:p>
        </w:tc>
        <w:tc>
          <w:tcPr>
            <w:tcW w:w="6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2023 - 2025</w:t>
            </w:r>
          </w:p>
        </w:tc>
        <w:tc>
          <w:tcPr>
            <w:tcW w:w="6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2020 - 2025</w:t>
            </w:r>
          </w:p>
        </w:tc>
        <w:tc>
          <w:tcPr>
            <w:tcW w:w="6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Belgium</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2022 - 2025</w:t>
            </w:r>
          </w:p>
        </w:tc>
        <w:tc>
          <w:tcPr>
            <w:tcW w:w="6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2022 - 2025</w:t>
            </w:r>
          </w:p>
        </w:tc>
        <w:tc>
          <w:tcPr>
            <w:tcW w:w="60" w:type="dxa"/>
            <w:vAlign w:val="bottom"/>
            <w:shd w:val="clear" w:color="auto" w:fill="CCEEFF"/>
          </w:tcPr>
          <w:p>
            <w:pPr>
              <w:spacing w:after="0"/>
              <w:rPr>
                <w:sz w:val="18"/>
                <w:szCs w:val="18"/>
                <w:color w:val="auto"/>
              </w:rPr>
            </w:pPr>
          </w:p>
        </w:tc>
      </w:tr>
      <w:tr>
        <w:trPr>
          <w:trHeight w:val="234"/>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2018 - 2025</w:t>
            </w:r>
          </w:p>
        </w:tc>
        <w:tc>
          <w:tcPr>
            <w:tcW w:w="60" w:type="dxa"/>
            <w:vAlign w:val="bottom"/>
          </w:tcPr>
          <w:p>
            <w:pPr>
              <w:spacing w:after="0"/>
              <w:rPr>
                <w:sz w:val="20"/>
                <w:szCs w:val="20"/>
                <w:color w:val="auto"/>
              </w:rPr>
            </w:pPr>
          </w:p>
        </w:tc>
      </w:tr>
    </w:tbl>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Pension and retirement plans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Pension Plan</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has a noncontributory defined benefit pension plan that covers substantially all current or former U.S.</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Employees (the “Plan”).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60" w:right="579" w:firstLine="427"/>
        <w:spacing w:after="0" w:line="329" w:lineRule="auto"/>
        <w:rPr>
          <w:sz w:val="20"/>
          <w:szCs w:val="20"/>
          <w:color w:val="auto"/>
        </w:rPr>
      </w:pPr>
      <w:r>
        <w:rPr>
          <w:rFonts w:ascii="Times New Roman" w:cs="Times New Roman" w:eastAsia="Times New Roman" w:hAnsi="Times New Roman"/>
          <w:sz w:val="18"/>
          <w:szCs w:val="18"/>
          <w:color w:val="auto"/>
        </w:rPr>
        <w:t>The Plan meets the definition of a defined benefit plan and, as a result, the Company applies ASC 715 pension accounting to the Plan.</w:t>
      </w:r>
    </w:p>
    <w:p>
      <w:pPr>
        <w:spacing w:after="0" w:line="54" w:lineRule="exact"/>
        <w:rPr>
          <w:sz w:val="20"/>
          <w:szCs w:val="20"/>
          <w:color w:val="auto"/>
        </w:rPr>
      </w:pPr>
    </w:p>
    <w:p>
      <w:pPr>
        <w:ind w:left="60" w:right="359" w:firstLine="427"/>
        <w:spacing w:after="0" w:line="329" w:lineRule="auto"/>
        <w:rPr>
          <w:sz w:val="20"/>
          <w:szCs w:val="20"/>
          <w:color w:val="auto"/>
        </w:rPr>
      </w:pPr>
      <w:r>
        <w:rPr>
          <w:rFonts w:ascii="Times New Roman" w:cs="Times New Roman" w:eastAsia="Times New Roman" w:hAnsi="Times New Roman"/>
          <w:sz w:val="18"/>
          <w:szCs w:val="18"/>
          <w:color w:val="auto"/>
        </w:rPr>
        <w:t>The following table outlines changes in benefit obligations, plan assets, and the funded status of the Plan as of the end of fiscal 2025 and 2024:</w:t>
      </w:r>
    </w:p>
    <w:p>
      <w:pPr>
        <w:spacing w:after="0" w:line="3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5"/>
          </w:tcPr>
          <w:p>
            <w:pPr>
              <w:jc w:val="right"/>
              <w:ind w:right="41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benefit obligations: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Benefit obligations at beginning of year</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470,843</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Actuarial loss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Benefits paid</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(44,367)</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Benefit obligations at end of year</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473,980</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470,843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Changes in plan assets:</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480,705</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Benefits paid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Contributions</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477,558</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Funded status of the plan recognized as a non-current asset</w:t>
            </w:r>
          </w:p>
        </w:tc>
        <w:tc>
          <w:tcPr>
            <w:tcW w:w="2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80" w:type="dxa"/>
            <w:vAlign w:val="bottom"/>
            <w:gridSpan w:val="2"/>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3,578</w:t>
            </w:r>
          </w:p>
        </w:tc>
        <w:tc>
          <w:tcPr>
            <w:tcW w:w="18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9,862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Amounts recognized in accumulated other comprehensive loss: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Unrecognized net actuarial losses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199,856</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Unamortized prior service cost</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199,872</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185,304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Other changes in plan assets and benefit obligations recognized in other comprehensive</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65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actuarial loss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17,584</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net actuarial losses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12,358</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35,969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239" w:firstLine="427"/>
        <w:spacing w:after="0" w:line="313" w:lineRule="auto"/>
        <w:rPr>
          <w:sz w:val="20"/>
          <w:szCs w:val="20"/>
          <w:color w:val="auto"/>
        </w:rPr>
      </w:pPr>
      <w:r>
        <w:rPr>
          <w:rFonts w:ascii="Times New Roman" w:cs="Times New Roman" w:eastAsia="Times New Roman" w:hAnsi="Times New Roman"/>
          <w:sz w:val="18"/>
          <w:szCs w:val="18"/>
          <w:color w:val="auto"/>
        </w:rPr>
        <w:t>Included in “Accumulated other comprehensive loss” at June 28, 2025, is $199.9 million of net actuarial losses that have not yet been recognized in net periodic pension cost, of which $11.4 million is expected to be recognized as a component of net periodic pension cost during fiscal 2026.</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Assumptions used to calculate actuarial present values of benefit obligations are as follows:</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58"/>
        </w:trPr>
        <w:tc>
          <w:tcPr>
            <w:tcW w:w="714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7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5.5 %</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5.5 %</w:t>
            </w:r>
          </w:p>
        </w:tc>
      </w:tr>
    </w:tbl>
    <w:p>
      <w:pPr>
        <w:spacing w:after="0" w:line="184" w:lineRule="exact"/>
        <w:rPr>
          <w:sz w:val="20"/>
          <w:szCs w:val="20"/>
          <w:color w:val="auto"/>
        </w:rPr>
      </w:pPr>
    </w:p>
    <w:p>
      <w:pPr>
        <w:ind w:left="60" w:right="119" w:firstLine="427"/>
        <w:spacing w:after="0" w:line="307" w:lineRule="auto"/>
        <w:rPr>
          <w:sz w:val="20"/>
          <w:szCs w:val="20"/>
          <w:color w:val="auto"/>
        </w:rPr>
      </w:pPr>
      <w:r>
        <w:rPr>
          <w:rFonts w:ascii="Times New Roman" w:cs="Times New Roman" w:eastAsia="Times New Roman" w:hAnsi="Times New Roman"/>
          <w:sz w:val="18"/>
          <w:szCs w:val="18"/>
          <w:color w:val="auto"/>
        </w:rPr>
        <w:t>The discount rate selected by the Company for the Plan reflects the current rate at which the underlying liability could be settled at the measurement date as of June 28, 2025. The estimated discount rate in fiscal 2025 and fiscal 2024 was based on the spot yield curve approach, which applies the individual spot rates from a highly rated bond yield curve to each future year’s estimated cash flows.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weighted-average assumptions used to determine net benefit costs are as follows:</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58"/>
        </w:trPr>
        <w:tc>
          <w:tcPr>
            <w:tcW w:w="72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crediting rate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Components of net periodic pension cost for the Plan during the last three fiscal years are as follows:</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Years Ended</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June 28,</w:t>
            </w:r>
          </w:p>
        </w:tc>
        <w:tc>
          <w:tcPr>
            <w:tcW w:w="180" w:type="dxa"/>
            <w:vAlign w:val="bottom"/>
          </w:tcPr>
          <w:p>
            <w:pPr>
              <w:spacing w:after="0"/>
              <w:rPr>
                <w:sz w:val="16"/>
                <w:szCs w:val="16"/>
                <w:color w:val="auto"/>
              </w:rPr>
            </w:pPr>
          </w:p>
        </w:tc>
        <w:tc>
          <w:tcPr>
            <w:tcW w:w="940" w:type="dxa"/>
            <w:vAlign w:val="bottom"/>
            <w:gridSpan w:val="3"/>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July 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83"/>
              </w:rPr>
              <w:t>(Thousands)</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 within selling, general and administrative expenses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loss and other</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loss recognized due to benefit obligation settlement</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net periodic pension benefit within other expense, net</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periodic pension (benefit) cost</w:t>
            </w: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0" w:right="199" w:firstLine="427"/>
        <w:spacing w:after="0" w:line="329" w:lineRule="auto"/>
        <w:rPr>
          <w:sz w:val="20"/>
          <w:szCs w:val="20"/>
          <w:color w:val="auto"/>
        </w:rPr>
      </w:pPr>
      <w:r>
        <w:rPr>
          <w:rFonts w:ascii="Times New Roman" w:cs="Times New Roman" w:eastAsia="Times New Roman" w:hAnsi="Times New Roman"/>
          <w:sz w:val="18"/>
          <w:szCs w:val="18"/>
          <w:color w:val="auto"/>
        </w:rPr>
        <w:t>The Company made $8.0 million of contributions in fiscal 2025 and fiscal 2024 and expects to make approximately $8.0 million of contributions in fiscal 2026.</w:t>
      </w:r>
    </w:p>
    <w:p>
      <w:pPr>
        <w:spacing w:after="0" w:line="121" w:lineRule="exact"/>
        <w:rPr>
          <w:sz w:val="20"/>
          <w:szCs w:val="20"/>
          <w:color w:val="auto"/>
        </w:rPr>
      </w:pPr>
    </w:p>
    <w:p>
      <w:pPr>
        <w:ind w:left="60" w:right="739" w:firstLine="427"/>
        <w:spacing w:after="0" w:line="329" w:lineRule="auto"/>
        <w:rPr>
          <w:sz w:val="20"/>
          <w:szCs w:val="20"/>
          <w:color w:val="auto"/>
        </w:rPr>
      </w:pPr>
      <w:r>
        <w:rPr>
          <w:rFonts w:ascii="Times New Roman" w:cs="Times New Roman" w:eastAsia="Times New Roman" w:hAnsi="Times New Roman"/>
          <w:sz w:val="18"/>
          <w:szCs w:val="18"/>
          <w:color w:val="auto"/>
        </w:rPr>
        <w:t>Benefit payments are expected to be paid to Plan participants as follows for the next five fiscal years and the aggregate for the five years thereafter (in thousands):</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48,424</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37,071</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39,736</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40,566</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4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40,752</w:t>
            </w: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2031 through 2035</w:t>
            </w:r>
          </w:p>
        </w:tc>
        <w:tc>
          <w:tcPr>
            <w:tcW w:w="4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206,028</w:t>
            </w:r>
          </w:p>
        </w:tc>
      </w:tr>
    </w:tbl>
    <w:p>
      <w:pPr>
        <w:spacing w:after="0" w:line="1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Plan’s assets are held in trust and were invested as follows as of the measurement date at the end of fiscal 2025</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2024:</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9"/>
        </w:trPr>
        <w:tc>
          <w:tcPr>
            <w:tcW w:w="716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64 %</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69 %</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debt securities</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32 %</w:t>
            </w:r>
          </w:p>
        </w:tc>
        <w:tc>
          <w:tcPr>
            <w:tcW w:w="22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29 %</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4 %</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2 %</w:t>
            </w:r>
          </w:p>
        </w:tc>
      </w:tr>
    </w:tbl>
    <w:p>
      <w:pPr>
        <w:spacing w:after="0" w:line="184" w:lineRule="exact"/>
        <w:rPr>
          <w:sz w:val="20"/>
          <w:szCs w:val="20"/>
          <w:color w:val="auto"/>
        </w:rPr>
      </w:pPr>
    </w:p>
    <w:p>
      <w:pPr>
        <w:ind w:left="60" w:right="259" w:firstLine="427"/>
        <w:spacing w:after="0" w:line="313" w:lineRule="auto"/>
        <w:rPr>
          <w:sz w:val="20"/>
          <w:szCs w:val="20"/>
          <w:color w:val="auto"/>
        </w:rPr>
      </w:pPr>
      <w:r>
        <w:rPr>
          <w:rFonts w:ascii="Times New Roman" w:cs="Times New Roman" w:eastAsia="Times New Roman" w:hAnsi="Times New Roman"/>
          <w:sz w:val="18"/>
          <w:szCs w:val="18"/>
          <w:color w:val="auto"/>
        </w:rPr>
        <w:t>The general investment objectives of the Plan are to maximize returns through a diversified investment portfolio to earn annualized returns that exceed the long-term cost of funding the Plan’s pension obligations while maintaining reasonable and prudent levels of risk. The expected return on the Plan’s assets in fiscal 2026 is currently 8.0%, which is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60" w:right="59"/>
        <w:spacing w:after="0" w:line="301" w:lineRule="auto"/>
        <w:rPr>
          <w:sz w:val="20"/>
          <w:szCs w:val="20"/>
          <w:color w:val="auto"/>
        </w:rPr>
      </w:pPr>
      <w:r>
        <w:rPr>
          <w:rFonts w:ascii="Times New Roman" w:cs="Times New Roman" w:eastAsia="Times New Roman" w:hAnsi="Times New Roman"/>
          <w:sz w:val="18"/>
          <w:szCs w:val="18"/>
          <w:color w:val="auto"/>
        </w:rPr>
        <w:t>the average rate of earnings expected on the funds invested or to be invested to provide for the benefits included in the benefit obligation based upon the targeted investment allocations. In making this assumption, the Company evaluated expectations regarding future rates of return for the investment portfolio, along with the historical and expected distribution of investments by asset class and the historical rates of return for each of those asset classes. The mix of return seeking and fixed income investments is typically diversified. The Plan’s assets do not include any investments in Avnet common stock. As of June 28, 2025, the Company’s target allocation for the Plan’s investment portfolio is for return seeking investments to represent approximately 65% of the investment portfolio. The majority of the remaining investment portfolio is invested in fixed income investments, which typically have lower risks, but also lower returns.</w:t>
      </w:r>
    </w:p>
    <w:p>
      <w:pPr>
        <w:spacing w:after="0" w:line="1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the fair value of the Plan’s investments as of June 28, 2025:</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Net Asset Value</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2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w w:val="74"/>
              </w:rPr>
              <w:t>(Thousands)</w:t>
            </w: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17,880</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Return Seeking Investments: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147,890</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estate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74,747</w:t>
            </w: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High yield credit and bonds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84,857</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Investments: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government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113,401</w:t>
            </w:r>
          </w:p>
        </w:tc>
        <w:tc>
          <w:tcPr>
            <w:tcW w:w="100" w:type="dxa"/>
            <w:vAlign w:val="bottom"/>
            <w:shd w:val="clear" w:color="auto" w:fill="CCEEFF"/>
          </w:tcPr>
          <w:p>
            <w:pPr>
              <w:spacing w:after="0"/>
              <w:rPr>
                <w:sz w:val="18"/>
                <w:szCs w:val="18"/>
                <w:color w:val="auto"/>
              </w:rPr>
            </w:pPr>
          </w:p>
        </w:tc>
      </w:tr>
      <w:tr>
        <w:trPr>
          <w:trHeight w:val="223"/>
        </w:trPr>
        <w:tc>
          <w:tcPr>
            <w:tcW w:w="2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38,783</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38,783</w:t>
            </w:r>
          </w:p>
        </w:tc>
        <w:tc>
          <w:tcPr>
            <w:tcW w:w="100" w:type="dxa"/>
            <w:vAlign w:val="bottom"/>
            <w:tcBorders>
              <w:bottom w:val="single" w:sz="8" w:color="CCEEFF"/>
            </w:tcBorders>
          </w:tcPr>
          <w:p>
            <w:pPr>
              <w:spacing w:after="0"/>
              <w:rPr>
                <w:sz w:val="19"/>
                <w:szCs w:val="19"/>
                <w:color w:val="auto"/>
              </w:rPr>
            </w:pPr>
          </w:p>
        </w:tc>
      </w:tr>
      <w:tr>
        <w:trPr>
          <w:trHeight w:val="216"/>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459,678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477,558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ind w:left="60" w:right="259" w:firstLine="427"/>
        <w:spacing w:after="0" w:line="329" w:lineRule="auto"/>
        <w:rPr>
          <w:sz w:val="20"/>
          <w:szCs w:val="20"/>
          <w:color w:val="auto"/>
        </w:rPr>
      </w:pPr>
      <w:r>
        <w:rPr>
          <w:rFonts w:ascii="Times New Roman" w:cs="Times New Roman" w:eastAsia="Times New Roman" w:hAnsi="Times New Roman"/>
          <w:sz w:val="18"/>
          <w:szCs w:val="18"/>
          <w:color w:val="auto"/>
        </w:rPr>
        <w:t>Certain investments included in the table above are measured at fair value using the net asset value per share (or its equivalent) practical expedient and are not included in the three levels of the fair value hierarchy.</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the fair value of the Plan’s investments as of June 29, 2024:</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Net Asset Value</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2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w w:val="74"/>
              </w:rPr>
              <w:t>(Thousands)</w:t>
            </w: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Return Seeking Investments: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151,936</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estate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95,974</w:t>
            </w: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High yield credit and bonds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85,064</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Investments: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government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102,542</w:t>
            </w:r>
          </w:p>
        </w:tc>
        <w:tc>
          <w:tcPr>
            <w:tcW w:w="100" w:type="dxa"/>
            <w:vAlign w:val="bottom"/>
            <w:shd w:val="clear" w:color="auto" w:fill="CCEEFF"/>
          </w:tcPr>
          <w:p>
            <w:pPr>
              <w:spacing w:after="0"/>
              <w:rPr>
                <w:sz w:val="18"/>
                <w:szCs w:val="18"/>
                <w:color w:val="auto"/>
              </w:rPr>
            </w:pPr>
          </w:p>
        </w:tc>
      </w:tr>
      <w:tr>
        <w:trPr>
          <w:trHeight w:val="223"/>
        </w:trPr>
        <w:tc>
          <w:tcPr>
            <w:tcW w:w="2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36,603</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36,603</w:t>
            </w:r>
          </w:p>
        </w:tc>
        <w:tc>
          <w:tcPr>
            <w:tcW w:w="100" w:type="dxa"/>
            <w:vAlign w:val="bottom"/>
            <w:tcBorders>
              <w:bottom w:val="single" w:sz="8" w:color="CCEEFF"/>
            </w:tcBorders>
          </w:tcPr>
          <w:p>
            <w:pPr>
              <w:spacing w:after="0"/>
              <w:rPr>
                <w:sz w:val="19"/>
                <w:szCs w:val="19"/>
                <w:color w:val="auto"/>
              </w:rPr>
            </w:pPr>
          </w:p>
        </w:tc>
      </w:tr>
      <w:tr>
        <w:trPr>
          <w:trHeight w:val="216"/>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472,119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60" w:right="219" w:firstLine="427"/>
        <w:spacing w:after="0" w:line="329" w:lineRule="auto"/>
        <w:rPr>
          <w:sz w:val="20"/>
          <w:szCs w:val="20"/>
          <w:color w:val="auto"/>
        </w:rPr>
      </w:pPr>
      <w:r>
        <w:rPr>
          <w:rFonts w:ascii="Times New Roman" w:cs="Times New Roman" w:eastAsia="Times New Roman" w:hAnsi="Times New Roman"/>
          <w:sz w:val="18"/>
          <w:szCs w:val="18"/>
          <w:color w:val="auto"/>
        </w:rPr>
        <w:t>Each of these investments may be redeemed without restrictions in the normal course of business and there were no material unfunded commitments as of June 28, 2025.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lease cost related to the Company’s operating leases were as follows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29,</w:t>
            </w:r>
          </w:p>
        </w:tc>
        <w:tc>
          <w:tcPr>
            <w:tcW w:w="160" w:type="dxa"/>
            <w:vAlign w:val="bottom"/>
          </w:tcPr>
          <w:p>
            <w:pPr>
              <w:spacing w:after="0"/>
              <w:rPr>
                <w:sz w:val="16"/>
                <w:szCs w:val="16"/>
                <w:color w:val="auto"/>
              </w:rPr>
            </w:pPr>
          </w:p>
        </w:tc>
        <w:tc>
          <w:tcPr>
            <w:tcW w:w="76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July 1,</w:t>
            </w:r>
          </w:p>
        </w:tc>
      </w:tr>
      <w:tr>
        <w:trPr>
          <w:trHeight w:val="245"/>
        </w:trPr>
        <w:tc>
          <w:tcPr>
            <w:tcW w:w="59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67,478</w:t>
            </w:r>
          </w:p>
        </w:tc>
      </w:tr>
      <w:tr>
        <w:trPr>
          <w:trHeight w:val="22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21,422</w:t>
            </w:r>
          </w:p>
        </w:tc>
      </w:tr>
      <w:tr>
        <w:trPr>
          <w:trHeight w:val="216"/>
        </w:trPr>
        <w:tc>
          <w:tcPr>
            <w:tcW w:w="5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93,074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88,900</w:t>
            </w: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Future minimum operating lease payments as of June 28, 2025, are as follows (in thousands):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3"/>
              </w:rPr>
              <w:t>Fiscal Year</w:t>
            </w:r>
          </w:p>
        </w:tc>
        <w:tc>
          <w:tcPr>
            <w:tcW w:w="4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future operating lease payments</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380,514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imputed interest on operating lease liabilities</w:t>
            </w: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ind w:left="100"/>
              <w:spacing w:after="0" w:line="203"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215,696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Other information pertaining to operating leases consists of the following:</w:t>
            </w: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80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Years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June 28,</w:t>
            </w:r>
          </w:p>
        </w:tc>
        <w:tc>
          <w:tcPr>
            <w:tcW w:w="120" w:type="dxa"/>
            <w:vAlign w:val="bottom"/>
          </w:tcPr>
          <w:p>
            <w:pPr>
              <w:spacing w:after="0"/>
              <w:rPr>
                <w:sz w:val="16"/>
                <w:szCs w:val="16"/>
                <w:color w:val="auto"/>
              </w:rPr>
            </w:pPr>
          </w:p>
        </w:tc>
        <w:tc>
          <w:tcPr>
            <w:tcW w:w="940" w:type="dxa"/>
            <w:vAlign w:val="bottom"/>
            <w:gridSpan w:val="2"/>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140" w:type="dxa"/>
            <w:vAlign w:val="bottom"/>
          </w:tcPr>
          <w:p>
            <w:pPr>
              <w:spacing w:after="0"/>
              <w:rPr>
                <w:sz w:val="16"/>
                <w:szCs w:val="16"/>
                <w:color w:val="auto"/>
              </w:rPr>
            </w:pPr>
          </w:p>
        </w:tc>
        <w:tc>
          <w:tcPr>
            <w:tcW w:w="940" w:type="dxa"/>
            <w:vAlign w:val="bottom"/>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July 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Term and Discount Rate</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(in thousands)</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58,474</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58,111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assets obtained from new operating lease liabilities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92,647</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47,668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48,038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9" w:lineRule="exact"/>
        <w:rPr>
          <w:sz w:val="20"/>
          <w:szCs w:val="20"/>
          <w:color w:val="auto"/>
        </w:rPr>
      </w:pPr>
    </w:p>
    <w:p>
      <w:pPr>
        <w:ind w:left="60" w:right="119" w:firstLine="427"/>
        <w:spacing w:after="0" w:line="330" w:lineRule="auto"/>
        <w:rPr>
          <w:sz w:val="20"/>
          <w:szCs w:val="20"/>
          <w:color w:val="auto"/>
        </w:rPr>
      </w:pPr>
      <w:r>
        <w:rPr>
          <w:rFonts w:ascii="Times New Roman" w:cs="Times New Roman" w:eastAsia="Times New Roman" w:hAnsi="Times New Roman"/>
          <w:sz w:val="17"/>
          <w:szCs w:val="17"/>
          <w:color w:val="auto"/>
        </w:rPr>
        <w:t>The Company measures all stock-based payments at fair value and recognizes related expense within selling, general and administrative expenses in the consolidated statements of operations over the requisite service period (generally the vesting period). During fiscal 2025, 2024, and 2023, the Company recorded stock-based compensation expense of $36.4 million, $33.5 million, and $38.8 million, respectively, for all forms of stock-based compensation awards.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Stock plan</w:t>
      </w:r>
    </w:p>
    <w:p>
      <w:pPr>
        <w:spacing w:after="0" w:line="229" w:lineRule="exact"/>
        <w:rPr>
          <w:sz w:val="20"/>
          <w:szCs w:val="20"/>
          <w:color w:val="auto"/>
        </w:rPr>
      </w:pPr>
    </w:p>
    <w:p>
      <w:pPr>
        <w:ind w:left="60" w:right="139" w:firstLine="427"/>
        <w:spacing w:after="0" w:line="307" w:lineRule="auto"/>
        <w:rPr>
          <w:sz w:val="20"/>
          <w:szCs w:val="20"/>
          <w:color w:val="auto"/>
        </w:rPr>
      </w:pPr>
      <w:r>
        <w:rPr>
          <w:rFonts w:ascii="Times New Roman" w:cs="Times New Roman" w:eastAsia="Times New Roman" w:hAnsi="Times New Roman"/>
          <w:sz w:val="18"/>
          <w:szCs w:val="18"/>
          <w:color w:val="auto"/>
        </w:rPr>
        <w:t>At June 28, 2025, the Company had 4.7 million shares of common stock reserved for stock-based payments, which consisted of 0.8 million shares for unvested or unexercised stock options, 2.5 million shares available for stock-based awards under plans approved by shareholders, and 1.3 million shares for restricted stock units and performance share units granted but not yet vested.</w:t>
      </w:r>
    </w:p>
    <w:p>
      <w:pPr>
        <w:spacing w:after="0" w:line="15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0" w:right="699" w:firstLine="427"/>
        <w:spacing w:after="0" w:line="329" w:lineRule="auto"/>
        <w:rPr>
          <w:sz w:val="20"/>
          <w:szCs w:val="20"/>
          <w:color w:val="auto"/>
        </w:rPr>
      </w:pPr>
      <w:r>
        <w:rPr>
          <w:rFonts w:ascii="Times New Roman" w:cs="Times New Roman" w:eastAsia="Times New Roman" w:hAnsi="Times New Roman"/>
          <w:sz w:val="18"/>
          <w:szCs w:val="18"/>
          <w:color w:val="auto"/>
        </w:rPr>
        <w:t>There were no stock options granted in fiscal 2025 and 2024, and the stock-based compensation expense and unamortized stock-based compensation associated with stock options were not material.</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0" w:right="59" w:firstLine="427"/>
        <w:spacing w:after="0" w:line="305" w:lineRule="auto"/>
        <w:rPr>
          <w:sz w:val="20"/>
          <w:szCs w:val="20"/>
          <w:color w:val="auto"/>
        </w:rPr>
      </w:pPr>
      <w:r>
        <w:rPr>
          <w:rFonts w:ascii="Times New Roman" w:cs="Times New Roman" w:eastAsia="Times New Roman" w:hAnsi="Times New Roman"/>
          <w:sz w:val="18"/>
          <w:szCs w:val="18"/>
          <w:color w:val="auto"/>
        </w:rPr>
        <w:t>Delivery of restricted stock units, and the associated compensation expense, is recognized over the vesting period and is generally subject to the employee’s continued service to the Company, except for employees who are retirement eligible under the terms of the restricted stock units. As of June 28, 2025, 1.0 million shares previously awarded have not yet vested. Stock-based compensation expense associated with restricted stock units was $34.3 million, $32.6 million, and $30.5 million for fiscal years 2025, 2024, and 2023, respectively.</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summary of the changes in non-vested restricted stock units during fiscal 2025:</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6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Grant-Date</w:t>
            </w:r>
          </w:p>
        </w:tc>
      </w:tr>
      <w:tr>
        <w:trPr>
          <w:trHeight w:val="245"/>
        </w:trPr>
        <w:tc>
          <w:tcPr>
            <w:tcW w:w="646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restricted stock units at June 29, 2024</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1,084,587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12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(700,260)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20" w:type="dxa"/>
            <w:vAlign w:val="bottom"/>
            <w:shd w:val="clear" w:color="auto" w:fill="CCEEFF"/>
          </w:tcPr>
          <w:p>
            <w:pPr>
              <w:spacing w:after="0"/>
              <w:rPr>
                <w:sz w:val="18"/>
                <w:szCs w:val="18"/>
                <w:color w:val="auto"/>
              </w:rPr>
            </w:pPr>
          </w:p>
        </w:tc>
      </w:tr>
      <w:tr>
        <w:trPr>
          <w:trHeight w:val="223"/>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(44,591)</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120" w:type="dxa"/>
            <w:vAlign w:val="bottom"/>
            <w:tcBorders>
              <w:bottom w:val="single" w:sz="8" w:color="CCEEFF"/>
            </w:tcBorders>
          </w:tcPr>
          <w:p>
            <w:pPr>
              <w:spacing w:after="0"/>
              <w:rPr>
                <w:sz w:val="19"/>
                <w:szCs w:val="19"/>
                <w:color w:val="auto"/>
              </w:rPr>
            </w:pPr>
          </w:p>
        </w:tc>
      </w:tr>
      <w:tr>
        <w:trPr>
          <w:trHeight w:val="216"/>
        </w:trPr>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restricted stock units at June 28, 2025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1,043,756</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19" w:firstLine="427"/>
        <w:spacing w:after="0" w:line="338" w:lineRule="auto"/>
        <w:rPr>
          <w:sz w:val="20"/>
          <w:szCs w:val="20"/>
          <w:color w:val="auto"/>
        </w:rPr>
      </w:pPr>
      <w:r>
        <w:rPr>
          <w:rFonts w:ascii="Times New Roman" w:cs="Times New Roman" w:eastAsia="Times New Roman" w:hAnsi="Times New Roman"/>
          <w:sz w:val="17"/>
          <w:szCs w:val="17"/>
          <w:color w:val="auto"/>
        </w:rPr>
        <w:t>As of June 28, 2025, there was $21.4 million of total unrecognized compensation expense related to non-vested restricted stock units, which is expected to be recognized over a weighted-average period of 2.1 years. The total fair value of restricted stock units vested during fiscal 2025, 2024, and 2023, was $31.4 million, $31.0 million, and $28.6 million, respectively.</w:t>
      </w:r>
    </w:p>
    <w:p>
      <w:pPr>
        <w:spacing w:after="0" w:line="1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243" w:lineRule="exact"/>
        <w:rPr>
          <w:sz w:val="20"/>
          <w:szCs w:val="20"/>
          <w:color w:val="auto"/>
        </w:rPr>
      </w:pPr>
    </w:p>
    <w:p>
      <w:pPr>
        <w:ind w:left="60" w:right="139" w:firstLine="427"/>
        <w:spacing w:after="0" w:line="329" w:lineRule="auto"/>
        <w:rPr>
          <w:sz w:val="20"/>
          <w:szCs w:val="20"/>
          <w:color w:val="auto"/>
        </w:rPr>
      </w:pPr>
      <w:r>
        <w:rPr>
          <w:rFonts w:ascii="Times New Roman" w:cs="Times New Roman" w:eastAsia="Times New Roman" w:hAnsi="Times New Roman"/>
          <w:sz w:val="18"/>
          <w:szCs w:val="18"/>
          <w:color w:val="auto"/>
        </w:rPr>
        <w:t>The Company granted 0.2 million performance share units during fiscal 2025, 2024, and 2023. During fiscal 2025, 2024, and 2023, the stock-based compensation expense associated with the performance share units was not material.</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9" w:lineRule="exact"/>
        <w:rPr>
          <w:sz w:val="20"/>
          <w:szCs w:val="20"/>
          <w:color w:val="auto"/>
        </w:rPr>
      </w:pPr>
    </w:p>
    <w:p>
      <w:pPr>
        <w:ind w:left="60" w:right="479" w:firstLine="427"/>
        <w:spacing w:after="0" w:line="362" w:lineRule="auto"/>
        <w:rPr>
          <w:sz w:val="20"/>
          <w:szCs w:val="20"/>
          <w:color w:val="auto"/>
        </w:rPr>
      </w:pPr>
      <w:r>
        <w:rPr>
          <w:rFonts w:ascii="Times New Roman" w:cs="Times New Roman" w:eastAsia="Times New Roman" w:hAnsi="Times New Roman"/>
          <w:sz w:val="17"/>
          <w:szCs w:val="17"/>
          <w:color w:val="auto"/>
        </w:rPr>
        <w:t>From time to time, the Company may become a party to, or be otherwise involved in, various lawsuits, claims, investigations and other legal proceedings arising in the ordinary course of conducting its business. While litigation is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70" w:lineRule="exact"/>
        <w:rPr>
          <w:sz w:val="20"/>
          <w:szCs w:val="20"/>
          <w:color w:val="auto"/>
        </w:rPr>
      </w:pPr>
    </w:p>
    <w:p>
      <w:pPr>
        <w:ind w:left="60" w:right="179"/>
        <w:spacing w:after="0" w:line="329" w:lineRule="auto"/>
        <w:rPr>
          <w:sz w:val="20"/>
          <w:szCs w:val="20"/>
          <w:color w:val="auto"/>
        </w:rPr>
      </w:pPr>
      <w:r>
        <w:rPr>
          <w:rFonts w:ascii="Times New Roman" w:cs="Times New Roman" w:eastAsia="Times New Roman" w:hAnsi="Times New Roman"/>
          <w:sz w:val="18"/>
          <w:szCs w:val="18"/>
          <w:color w:val="auto"/>
        </w:rPr>
        <w:t>subject to inherent uncertainties, management does not anticipate that any such matters will have a material adverse effect on the Company’s financial condition, liquidity, or results of operations.</w:t>
      </w:r>
    </w:p>
    <w:p>
      <w:pPr>
        <w:spacing w:after="0" w:line="121" w:lineRule="exact"/>
        <w:rPr>
          <w:sz w:val="20"/>
          <w:szCs w:val="20"/>
          <w:color w:val="auto"/>
        </w:rPr>
      </w:pPr>
    </w:p>
    <w:p>
      <w:pPr>
        <w:ind w:left="60" w:right="139" w:firstLine="427"/>
        <w:spacing w:after="0" w:line="306" w:lineRule="auto"/>
        <w:rPr>
          <w:sz w:val="20"/>
          <w:szCs w:val="20"/>
          <w:color w:val="auto"/>
        </w:rPr>
      </w:pPr>
      <w:r>
        <w:rPr>
          <w:rFonts w:ascii="Times New Roman" w:cs="Times New Roman" w:eastAsia="Times New Roman" w:hAnsi="Times New Roman"/>
          <w:sz w:val="18"/>
          <w:szCs w:val="18"/>
          <w:color w:val="auto"/>
        </w:rPr>
        <w:t>The Company is also currently subject to various pending and potential legal matters and investigations relating to compliance with governmental laws and regulations. For certain of these matters, it is not possible to determine the ultimate outcome, and the Company cannot reasonably estimate the maximum potential exposure or the range of possible loss, particularly regarding matters in early stages.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45" w:lineRule="exact"/>
        <w:rPr>
          <w:sz w:val="20"/>
          <w:szCs w:val="20"/>
          <w:color w:val="auto"/>
        </w:rPr>
      </w:pPr>
    </w:p>
    <w:p>
      <w:pPr>
        <w:ind w:left="60" w:right="219" w:firstLine="427"/>
        <w:spacing w:after="0" w:line="313" w:lineRule="auto"/>
        <w:rPr>
          <w:sz w:val="20"/>
          <w:szCs w:val="20"/>
          <w:color w:val="auto"/>
        </w:rPr>
      </w:pPr>
      <w:r>
        <w:rPr>
          <w:rFonts w:ascii="Times New Roman" w:cs="Times New Roman" w:eastAsia="Times New Roman" w:hAnsi="Times New Roman"/>
          <w:sz w:val="18"/>
          <w:szCs w:val="18"/>
          <w:color w:val="auto"/>
        </w:rPr>
        <w:t>As of June 28, 2025, and June 29, 2024, the Company had aggregate undiscounted estimated liabilities of $9.6 million and $17.2 million, respectively, classified within accrued expenses and other for other compliance-related matters that were reasonably estimable as of such dates.</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Contingent Liability for Mexico Consumption Tax Audit</w:t>
      </w:r>
    </w:p>
    <w:p>
      <w:pPr>
        <w:spacing w:after="0" w:line="241" w:lineRule="exact"/>
        <w:rPr>
          <w:sz w:val="20"/>
          <w:szCs w:val="20"/>
          <w:color w:val="auto"/>
        </w:rPr>
      </w:pPr>
    </w:p>
    <w:p>
      <w:pPr>
        <w:ind w:left="60" w:right="119" w:firstLine="427"/>
        <w:spacing w:after="0" w:line="300" w:lineRule="auto"/>
        <w:rPr>
          <w:sz w:val="20"/>
          <w:szCs w:val="20"/>
          <w:color w:val="auto"/>
        </w:rPr>
      </w:pPr>
      <w:r>
        <w:rPr>
          <w:rFonts w:ascii="Times New Roman" w:cs="Times New Roman" w:eastAsia="Times New Roman" w:hAnsi="Times New Roman"/>
          <w:sz w:val="18"/>
          <w:szCs w:val="18"/>
          <w:color w:val="auto"/>
        </w:rPr>
        <w:t>The Company’s facilities in Mexico operate under the Mexican Maquiladora (IMMEX) program. This program provides for reduced tariffs and eased import regulations. In September 2023, the Mexican customs and tax authority (Servicio de Administracion Tributaria (SAT)) opened an audit related to the Company’s participation in the IMMEX program for the period January 11, 2019, to January 11, 2020. The SAT initially asserted that the Company’s subsidiary, Avnet de Mexico S.A. de C.V., has underpaid value-added taxes (VAT) and is also liable for inflationary and interest adjustments, fines, and penalties. The Company disputes the SAT’s assertion and is working to resolve the issue through various administrative, legal, and diplomatic channels. The SAT has not issued a final assessment. The Company is not able to predict the outcome of this matter with certainty, including the timing of any resolution and the amount of any assessment. However, based on information available as of the balance sheet date, it is probable that Avnet de Mexico will ultimately incur an assessment. Consequently, the Company recorded a net loss contingency of $43.4 million within “restructuring, integration and other expenses” in the Company’s consolidated statement of operations for fiscal year 2025. That amount is the Company’s best estimate of the losses from this matter and is subject to change based on the results of the SAT audit, the Company’s ability to recover VAT, and any administrative processes or legal appeals.</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Gain on Legal Settlements and Other</w:t>
      </w:r>
    </w:p>
    <w:p>
      <w:pPr>
        <w:spacing w:after="0" w:line="214" w:lineRule="exact"/>
        <w:rPr>
          <w:sz w:val="20"/>
          <w:szCs w:val="20"/>
          <w:color w:val="auto"/>
        </w:rPr>
      </w:pPr>
    </w:p>
    <w:p>
      <w:pPr>
        <w:ind w:left="60" w:right="99" w:firstLine="427"/>
        <w:spacing w:after="0" w:line="307" w:lineRule="auto"/>
        <w:rPr>
          <w:sz w:val="20"/>
          <w:szCs w:val="20"/>
          <w:color w:val="auto"/>
        </w:rPr>
      </w:pPr>
      <w:r>
        <w:rPr>
          <w:rFonts w:ascii="Times New Roman" w:cs="Times New Roman" w:eastAsia="Times New Roman" w:hAnsi="Times New Roman"/>
          <w:sz w:val="18"/>
          <w:szCs w:val="18"/>
          <w:color w:val="auto"/>
        </w:rPr>
        <w:t>During fiscal 2024, the Company recorded gains on legal settlements and other of $86.5 million in connection with the settlements of claims filed against certain manufacturers of capacitors. The Company received $90.7 million in cash, of which $86.5 million related to the gain recognized in fiscal 2024. Gains from legal settlements were classified as operating cash flows in the Company’s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tbl>
      <w:tblPr>
        <w:tblLayout w:type="fixed"/>
        <w:tblInd w:w="60" w:type="dxa"/>
        <w:tblCellMar>
          <w:top w:w="0" w:type="dxa"/>
          <w:left w:w="0" w:type="dxa"/>
          <w:bottom w:w="0" w:type="dxa"/>
          <w:right w:w="0" w:type="dxa"/>
        </w:tblCellMar>
      </w:tblPr>
      <w:tr>
        <w:trPr>
          <w:trHeight w:val="207"/>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4"/>
        </w:trPr>
        <w:tc>
          <w:tcPr>
            <w:tcW w:w="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70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8"/>
              </w:rPr>
              <w:t>AVNET, INC. AND SUBSIDIARIES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40" w:type="dxa"/>
            <w:vAlign w:val="bottom"/>
            <w:gridSpan w:val="8"/>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28,</w:t>
            </w:r>
          </w:p>
        </w:tc>
        <w:tc>
          <w:tcPr>
            <w:tcW w:w="180" w:type="dxa"/>
            <w:vAlign w:val="bottom"/>
          </w:tcPr>
          <w:p>
            <w:pPr>
              <w:spacing w:after="0"/>
              <w:rPr>
                <w:sz w:val="16"/>
                <w:szCs w:val="16"/>
                <w:color w:val="auto"/>
              </w:rPr>
            </w:pPr>
          </w:p>
        </w:tc>
        <w:tc>
          <w:tcPr>
            <w:tcW w:w="940" w:type="dxa"/>
            <w:vAlign w:val="bottom"/>
            <w:gridSpan w:val="3"/>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July 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0" w:type="dxa"/>
            <w:vAlign w:val="bottom"/>
            <w:gridSpan w:val="8"/>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240,217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498,699</w:t>
            </w:r>
          </w:p>
        </w:tc>
        <w:tc>
          <w:tcPr>
            <w:tcW w:w="1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770,828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47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for basic earnings per share</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effect of dilutive stock-based compensation awards</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for diluted earnings per share</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91,837</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93,368</w:t>
            </w:r>
          </w:p>
        </w:tc>
        <w:tc>
          <w:tcPr>
            <w:tcW w:w="0" w:type="dxa"/>
            <w:vAlign w:val="bottom"/>
          </w:tcPr>
          <w:p>
            <w:pPr>
              <w:spacing w:after="0"/>
              <w:rPr>
                <w:sz w:val="1"/>
                <w:szCs w:val="1"/>
                <w:color w:val="auto"/>
              </w:rPr>
            </w:pPr>
          </w:p>
        </w:tc>
      </w:tr>
      <w:tr>
        <w:trPr>
          <w:trHeight w:val="20"/>
        </w:trPr>
        <w:tc>
          <w:tcPr>
            <w:tcW w:w="5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gridSpan w:val="3"/>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2.78</w:t>
            </w:r>
          </w:p>
        </w:tc>
        <w:tc>
          <w:tcPr>
            <w:tcW w:w="18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gridSpan w:val="2"/>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Stock options excluded from earnings per share calculation due to an anti-dilutive</w:t>
            </w: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9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Additional cash flow information</w:t>
      </w:r>
    </w:p>
    <w:p>
      <w:pPr>
        <w:spacing w:after="0" w:line="243" w:lineRule="exact"/>
        <w:rPr>
          <w:sz w:val="20"/>
          <w:szCs w:val="20"/>
          <w:color w:val="auto"/>
        </w:rPr>
      </w:pPr>
    </w:p>
    <w:p>
      <w:pPr>
        <w:ind w:left="60" w:right="279" w:firstLine="427"/>
        <w:spacing w:after="0" w:line="329" w:lineRule="auto"/>
        <w:rPr>
          <w:sz w:val="20"/>
          <w:szCs w:val="20"/>
          <w:color w:val="auto"/>
        </w:rPr>
      </w:pPr>
      <w:r>
        <w:rPr>
          <w:rFonts w:ascii="Times New Roman" w:cs="Times New Roman" w:eastAsia="Times New Roman" w:hAnsi="Times New Roman"/>
          <w:sz w:val="18"/>
          <w:szCs w:val="18"/>
          <w:color w:val="auto"/>
        </w:rPr>
        <w:t>The “Other, net” component of non-cash and other reconciling items within operating activities in the consolidated statements of cash flows consisted of the following during the last three fiscal years: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8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June 29,</w:t>
            </w:r>
          </w:p>
        </w:tc>
        <w:tc>
          <w:tcPr>
            <w:tcW w:w="1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July 1,</w:t>
            </w:r>
          </w:p>
        </w:tc>
      </w:tr>
      <w:tr>
        <w:trPr>
          <w:trHeight w:val="245"/>
        </w:trPr>
        <w:tc>
          <w:tcPr>
            <w:tcW w:w="22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03"/>
        </w:trPr>
        <w:tc>
          <w:tcPr>
            <w:tcW w:w="22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74"/>
              </w:rPr>
              <w:t>(Thousands)</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16,798</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Periodic pension cost (benefit)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30,424</w:t>
            </w:r>
          </w:p>
        </w:tc>
        <w:tc>
          <w:tcPr>
            <w:tcW w:w="100" w:type="dxa"/>
            <w:vAlign w:val="bottom"/>
          </w:tcPr>
          <w:p>
            <w:pPr>
              <w:spacing w:after="0"/>
              <w:rPr>
                <w:sz w:val="18"/>
                <w:szCs w:val="18"/>
                <w:color w:val="auto"/>
              </w:rPr>
            </w:pPr>
          </w:p>
        </w:tc>
      </w:tr>
      <w:tr>
        <w:trPr>
          <w:trHeight w:val="23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shd w:val="clear" w:color="auto" w:fill="CCEEFF"/>
          </w:tcPr>
          <w:p>
            <w:pPr>
              <w:spacing w:after="0"/>
              <w:rPr>
                <w:sz w:val="20"/>
                <w:szCs w:val="20"/>
                <w:color w:val="auto"/>
              </w:rPr>
            </w:pPr>
          </w:p>
        </w:tc>
      </w:tr>
      <w:tr>
        <w:trPr>
          <w:trHeight w:val="203"/>
        </w:trPr>
        <w:tc>
          <w:tcPr>
            <w:tcW w:w="626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25,942</w:t>
            </w:r>
          </w:p>
        </w:tc>
        <w:tc>
          <w:tcPr>
            <w:tcW w:w="180" w:type="dxa"/>
            <w:vAlign w:val="bottom"/>
            <w:tcBorders>
              <w:top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$ 15,800</w:t>
            </w: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52,142</w:t>
            </w:r>
          </w:p>
        </w:tc>
        <w:tc>
          <w:tcPr>
            <w:tcW w:w="100" w:type="dxa"/>
            <w:vAlign w:val="bottom"/>
            <w:tcBorders>
              <w:top w:val="single" w:sz="8" w:color="CCEEFF"/>
            </w:tcBorders>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
        </w:trPr>
        <w:tc>
          <w:tcPr>
            <w:tcW w:w="2240" w:type="dxa"/>
            <w:vAlign w:val="bottom"/>
            <w:tcBorders>
              <w:bottom w:val="single" w:sz="8" w:color="0D0D0D"/>
            </w:tcBorders>
          </w:tcPr>
          <w:p>
            <w:pPr>
              <w:spacing w:after="0"/>
              <w:rPr>
                <w:sz w:val="4"/>
                <w:szCs w:val="4"/>
                <w:color w:val="auto"/>
              </w:rPr>
            </w:pPr>
          </w:p>
        </w:tc>
        <w:tc>
          <w:tcPr>
            <w:tcW w:w="4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32" w:lineRule="exact"/>
        <w:rPr>
          <w:sz w:val="20"/>
          <w:szCs w:val="20"/>
          <w:color w:val="auto"/>
        </w:rPr>
      </w:pPr>
    </w:p>
    <w:p>
      <w:pPr>
        <w:ind w:left="200" w:hanging="150"/>
        <w:spacing w:after="0"/>
        <w:tabs>
          <w:tab w:leader="none" w:pos="20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Included net loss recognized due to benefit obligation settlement of $37,350 in fiscal 2023</w:t>
      </w:r>
      <w:r>
        <w:rPr>
          <w:rFonts w:ascii="Times New Roman" w:cs="Times New Roman" w:eastAsia="Times New Roman" w:hAnsi="Times New Roman"/>
          <w:sz w:val="13"/>
          <w:szCs w:val="13"/>
          <w:color w:val="auto"/>
        </w:rPr>
        <w:t>.</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Non-cash investing and financing activities and supplemental cash flow information were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7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June 28,</w:t>
            </w:r>
          </w:p>
        </w:tc>
        <w:tc>
          <w:tcPr>
            <w:tcW w:w="180" w:type="dxa"/>
            <w:vAlign w:val="bottom"/>
          </w:tcPr>
          <w:p>
            <w:pPr>
              <w:spacing w:after="0"/>
              <w:rPr>
                <w:sz w:val="16"/>
                <w:szCs w:val="16"/>
                <w:color w:val="auto"/>
              </w:rPr>
            </w:pPr>
          </w:p>
        </w:tc>
        <w:tc>
          <w:tcPr>
            <w:tcW w:w="920" w:type="dxa"/>
            <w:vAlign w:val="bottom"/>
            <w:gridSpan w:val="3"/>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July 1,</w:t>
            </w:r>
          </w:p>
        </w:tc>
        <w:tc>
          <w:tcPr>
            <w:tcW w:w="2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79"/>
              </w:rPr>
              <w:t>(Thousands)</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expenditures incurred but not paid</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16,538</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20,451</w:t>
            </w:r>
          </w:p>
        </w:tc>
        <w:tc>
          <w:tcPr>
            <w:tcW w:w="1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28,771</w:t>
            </w:r>
          </w:p>
        </w:tc>
        <w:tc>
          <w:tcPr>
            <w:tcW w:w="2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Unsettled share repurchases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287,592</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351,374</w:t>
            </w:r>
          </w:p>
        </w:tc>
        <w:tc>
          <w:tcPr>
            <w:tcW w:w="1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261,586</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 payments, net</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245,995</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208,585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216,780</w:t>
            </w:r>
          </w:p>
        </w:tc>
        <w:tc>
          <w:tcPr>
            <w:tcW w:w="20" w:type="dxa"/>
            <w:vAlign w:val="bottom"/>
            <w:shd w:val="clear" w:color="auto" w:fill="CCEEFF"/>
          </w:tcPr>
          <w:p>
            <w:pPr>
              <w:spacing w:after="0"/>
              <w:rPr>
                <w:sz w:val="18"/>
                <w:szCs w:val="18"/>
                <w:color w:val="auto"/>
              </w:rPr>
            </w:pPr>
          </w:p>
        </w:tc>
      </w:tr>
      <w:tr>
        <w:trPr>
          <w:trHeight w:val="715"/>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6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70" w:lineRule="exact"/>
        <w:rPr>
          <w:sz w:val="20"/>
          <w:szCs w:val="20"/>
          <w:color w:val="auto"/>
        </w:rPr>
      </w:pPr>
    </w:p>
    <w:p>
      <w:pPr>
        <w:ind w:left="60" w:right="339" w:firstLine="427"/>
        <w:spacing w:after="0" w:line="362" w:lineRule="auto"/>
        <w:rPr>
          <w:sz w:val="20"/>
          <w:szCs w:val="20"/>
          <w:color w:val="auto"/>
        </w:rPr>
      </w:pPr>
      <w:r>
        <w:rPr>
          <w:rFonts w:ascii="Times New Roman" w:cs="Times New Roman" w:eastAsia="Times New Roman" w:hAnsi="Times New Roman"/>
          <w:sz w:val="17"/>
          <w:szCs w:val="17"/>
          <w:color w:val="auto"/>
        </w:rPr>
        <w:t>The Company includes book overdrafts as part of accounts payable on its consolidated balance sheets and reflects changes in such balances as part of cash flows from operating activities in its consolidated statements of cash flows.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229" w:lineRule="exact"/>
        <w:rPr>
          <w:sz w:val="20"/>
          <w:szCs w:val="20"/>
          <w:color w:val="auto"/>
        </w:rPr>
      </w:pPr>
    </w:p>
    <w:p>
      <w:pPr>
        <w:ind w:left="60" w:right="259" w:firstLine="427"/>
        <w:spacing w:after="0" w:line="309" w:lineRule="auto"/>
        <w:rPr>
          <w:sz w:val="20"/>
          <w:szCs w:val="20"/>
          <w:color w:val="auto"/>
        </w:rPr>
      </w:pPr>
      <w:r>
        <w:rPr>
          <w:rFonts w:ascii="Times New Roman" w:cs="Times New Roman" w:eastAsia="Times New Roman" w:hAnsi="Times New Roman"/>
          <w:sz w:val="18"/>
          <w:szCs w:val="18"/>
          <w:color w:val="auto"/>
        </w:rPr>
        <w:t>Avnet has two primary operating groups — Electronic Components (“EC”) and Farnell (“Farnell”). Both operating groups have operations in each of the three major economic regions of the world: (i) the Americas, (ii) EMEA, and (iii) Asia. Each operating group has its own management team, who manage various functions within each operating group. Each operating group also has distinct financial reporting to the executive level, which informs operating decisions, strategic planning, and resource allocation for the Company as a whole.</w:t>
      </w:r>
    </w:p>
    <w:p>
      <w:pPr>
        <w:spacing w:after="0" w:line="139" w:lineRule="exact"/>
        <w:rPr>
          <w:sz w:val="20"/>
          <w:szCs w:val="20"/>
          <w:color w:val="auto"/>
        </w:rPr>
      </w:pPr>
    </w:p>
    <w:p>
      <w:pPr>
        <w:ind w:left="60" w:right="119" w:firstLine="427"/>
        <w:spacing w:after="0" w:line="301" w:lineRule="auto"/>
        <w:rPr>
          <w:sz w:val="20"/>
          <w:szCs w:val="20"/>
          <w:color w:val="auto"/>
        </w:rPr>
      </w:pPr>
      <w:r>
        <w:rPr>
          <w:rFonts w:ascii="Times New Roman" w:cs="Times New Roman" w:eastAsia="Times New Roman" w:hAnsi="Times New Roman"/>
          <w:sz w:val="18"/>
          <w:szCs w:val="18"/>
          <w:color w:val="auto"/>
        </w:rPr>
        <w:t>Avnet’s EC operating group primarily supports high and medium-volume customers. It markets, sells, and distributes electronic components from many of the world’s leading electronic component manufacturers, including semiconductors, IP&amp;E components (interconnect, passive and electromechanical components), and other integrated and embedded components. EC serves a variety of markets ranging from industrial to automotive to defense and aerospace. It offers an array of customer support options throughout the entire product lifecycle, including both turnkey and customized design, supply chain, programming, logistics, and post-sales services. Within the EC operating group for 2025, net sales of approximately $17.00 billion consist of semiconductor products, approximately $3.30 billion consist of interconnect, passive, and electromechanical components, and approximately $371.8 million consist of computers, and approximately $85.6 million consists of other products and services.</w:t>
      </w:r>
    </w:p>
    <w:p>
      <w:pPr>
        <w:spacing w:after="0" w:line="161" w:lineRule="exact"/>
        <w:rPr>
          <w:sz w:val="20"/>
          <w:szCs w:val="20"/>
          <w:color w:val="auto"/>
        </w:rPr>
      </w:pPr>
    </w:p>
    <w:p>
      <w:pPr>
        <w:ind w:left="60" w:right="99" w:firstLine="427"/>
        <w:spacing w:after="0" w:line="301" w:lineRule="auto"/>
        <w:rPr>
          <w:sz w:val="20"/>
          <w:szCs w:val="20"/>
          <w:color w:val="auto"/>
        </w:rPr>
      </w:pPr>
      <w:r>
        <w:rPr>
          <w:rFonts w:ascii="Times New Roman" w:cs="Times New Roman" w:eastAsia="Times New Roman" w:hAnsi="Times New Roman"/>
          <w:sz w:val="18"/>
          <w:szCs w:val="18"/>
          <w:color w:val="auto"/>
        </w:rPr>
        <w:t>Avnet’s Farnell operating group primarily supports lower-volume customers that need electronic components quickly to develop, prototype, and test their products. It distributes a comprehensive portfolio of kits, tools, electronic components, industrial automation components, and test and measurement products to both engineers and entrepreneurs, primarily through an e-commerce channel. Farnell also distributes new product introductions for its suppliers across their various product categories. Within the Farnell operating group for 2025, net sales of approximately $206.9 million consists of semiconductor products, approximately $680.3 million consists of interconnect, passive, and electromechanical components, approximately $157.0 million consists of single-board computers, and approximately $401.6 million consists of other products and services, including test and measurement and maintenance, repair, and operations products.</w:t>
      </w:r>
    </w:p>
    <w:p>
      <w:pPr>
        <w:spacing w:after="0" w:line="151" w:lineRule="exact"/>
        <w:rPr>
          <w:sz w:val="20"/>
          <w:szCs w:val="20"/>
          <w:color w:val="auto"/>
        </w:rPr>
      </w:pPr>
    </w:p>
    <w:p>
      <w:pPr>
        <w:ind w:left="60" w:right="139" w:firstLine="427"/>
        <w:spacing w:after="0" w:line="306" w:lineRule="auto"/>
        <w:rPr>
          <w:sz w:val="20"/>
          <w:szCs w:val="20"/>
          <w:color w:val="auto"/>
        </w:rPr>
      </w:pPr>
      <w:r>
        <w:rPr>
          <w:rFonts w:ascii="Times New Roman" w:cs="Times New Roman" w:eastAsia="Times New Roman" w:hAnsi="Times New Roman"/>
          <w:sz w:val="18"/>
          <w:szCs w:val="18"/>
          <w:color w:val="auto"/>
        </w:rPr>
        <w:t>The Company has identified its Chief Executive Officer (“CEO”) as the chief operating decision maker (“CODM”). The CODM evaluates the performance of both reportable segments based on operating income. Sales, net gross profit, and operating expenses are also monitored closely. This information is used to monitor operating margins, measure segment profitability, allocate resources, and make budgeting and forecasting decisions about the reportable segments. The CODM also uses these measures to monitor trends in year over year performance comparisons, sequential quarter performance comparisons, and to compare actual results to forecasts.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tbl>
      <w:tblPr>
        <w:tblLayout w:type="fixed"/>
        <w:tblInd w:w="40" w:type="dxa"/>
        <w:tblCellMar>
          <w:top w:w="0" w:type="dxa"/>
          <w:left w:w="0" w:type="dxa"/>
          <w:bottom w:w="0" w:type="dxa"/>
          <w:right w:w="0" w:type="dxa"/>
        </w:tblCellMar>
      </w:tblPr>
      <w:tr>
        <w:trPr>
          <w:trHeight w:val="207"/>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980" w:type="dxa"/>
            <w:vAlign w:val="bottom"/>
            <w:gridSpan w:val="4"/>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AVNET, INC. AND SUBSIDIARIES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40" w:type="dxa"/>
            <w:vAlign w:val="bottom"/>
            <w:gridSpan w:val="7"/>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Years Ended</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90"/>
              <w:spacing w:after="0" w:line="154" w:lineRule="exact"/>
              <w:rPr>
                <w:sz w:val="20"/>
                <w:szCs w:val="20"/>
                <w:color w:val="auto"/>
              </w:rPr>
            </w:pPr>
            <w:r>
              <w:rPr>
                <w:rFonts w:ascii="Times New Roman" w:cs="Times New Roman" w:eastAsia="Times New Roman" w:hAnsi="Times New Roman"/>
                <w:sz w:val="17"/>
                <w:szCs w:val="17"/>
                <w:b w:val="1"/>
                <w:bCs w:val="1"/>
                <w:color w:val="auto"/>
              </w:rPr>
              <w:t>June 28,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30"/>
              <w:spacing w:after="0" w:line="154" w:lineRule="exact"/>
              <w:rPr>
                <w:sz w:val="20"/>
                <w:szCs w:val="20"/>
                <w:color w:val="auto"/>
              </w:rPr>
            </w:pPr>
            <w:r>
              <w:rPr>
                <w:rFonts w:ascii="Times New Roman" w:cs="Times New Roman" w:eastAsia="Times New Roman" w:hAnsi="Times New Roman"/>
                <w:sz w:val="17"/>
                <w:szCs w:val="17"/>
                <w:b w:val="1"/>
                <w:bCs w:val="1"/>
                <w:color w:val="auto"/>
              </w:rPr>
              <w:t>June 29,</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190"/>
              <w:spacing w:after="0" w:line="154" w:lineRule="exact"/>
              <w:rPr>
                <w:sz w:val="20"/>
                <w:szCs w:val="20"/>
                <w:color w:val="auto"/>
              </w:rPr>
            </w:pPr>
            <w:r>
              <w:rPr>
                <w:rFonts w:ascii="Times New Roman" w:cs="Times New Roman" w:eastAsia="Times New Roman" w:hAnsi="Times New Roman"/>
                <w:sz w:val="17"/>
                <w:szCs w:val="17"/>
                <w:b w:val="1"/>
                <w:bCs w:val="1"/>
                <w:color w:val="auto"/>
              </w:rPr>
              <w:t>July 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(Millions)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Sales:</w:t>
            </w: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color w:val="auto"/>
              </w:rPr>
              <w:t>Electronic Components</w:t>
            </w:r>
          </w:p>
        </w:tc>
        <w:tc>
          <w:tcPr>
            <w:tcW w:w="1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20,755.0</w:t>
            </w:r>
          </w:p>
        </w:tc>
        <w:tc>
          <w:tcPr>
            <w:tcW w:w="3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22,160.0</w:t>
            </w:r>
          </w:p>
        </w:tc>
        <w:tc>
          <w:tcPr>
            <w:tcW w:w="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24,802.6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Borders>
              <w:bottom w:val="single" w:sz="8" w:color="CCEEFF"/>
            </w:tcBorders>
            <w:gridSpan w:val="2"/>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Farnell</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1,445.8</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1,597.1</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1,734.3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22,200.8</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23,757.1</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26,536.9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6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Significant Segment Expenses and Operating Income:</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color w:val="auto"/>
              </w:rPr>
              <w:t>Electronic Components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Gross profit</w:t>
            </w:r>
          </w:p>
        </w:tc>
        <w:tc>
          <w:tcPr>
            <w:tcW w:w="12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2,008.3</w:t>
            </w:r>
          </w:p>
        </w:tc>
        <w:tc>
          <w:tcPr>
            <w:tcW w:w="3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2,312.4</w:t>
            </w:r>
          </w:p>
        </w:tc>
        <w:tc>
          <w:tcPr>
            <w:tcW w:w="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2,612.4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bottom w:val="single" w:sz="8" w:color="CCEEFF"/>
            </w:tcBorders>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1,300.1</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1,364.9</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1,432.8</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Electronic Components operating income</w:t>
            </w: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708.2</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947.5</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1,179.6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Farnell</w:t>
            </w: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Gross profit</w:t>
            </w:r>
          </w:p>
        </w:tc>
        <w:tc>
          <w:tcPr>
            <w:tcW w:w="1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376.7</w:t>
            </w:r>
          </w:p>
        </w:tc>
        <w:tc>
          <w:tcPr>
            <w:tcW w:w="3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454.0</w:t>
            </w:r>
          </w:p>
        </w:tc>
        <w:tc>
          <w:tcPr>
            <w:tcW w:w="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569.8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Borders>
              <w:bottom w:val="single" w:sz="8" w:color="CCEEFF"/>
            </w:tcBorders>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343.8</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389.2</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404.3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gridSpan w:val="2"/>
          </w:tcPr>
          <w:p>
            <w:pPr>
              <w:ind w:left="320"/>
              <w:spacing w:after="0" w:line="176" w:lineRule="exact"/>
              <w:rPr>
                <w:sz w:val="20"/>
                <w:szCs w:val="20"/>
                <w:color w:val="auto"/>
              </w:rPr>
            </w:pPr>
            <w:r>
              <w:rPr>
                <w:rFonts w:ascii="Times New Roman" w:cs="Times New Roman" w:eastAsia="Times New Roman" w:hAnsi="Times New Roman"/>
                <w:sz w:val="18"/>
                <w:szCs w:val="18"/>
                <w:color w:val="auto"/>
              </w:rPr>
              <w:t>Premier Farnell operating income</w:t>
            </w:r>
          </w:p>
        </w:tc>
        <w:tc>
          <w:tcPr>
            <w:tcW w:w="1080" w:type="dxa"/>
            <w:vAlign w:val="bottom"/>
          </w:tcPr>
          <w:p>
            <w:pPr>
              <w:spacing w:after="0"/>
              <w:rPr>
                <w:sz w:val="15"/>
                <w:szCs w:val="15"/>
                <w:color w:val="auto"/>
              </w:rPr>
            </w:pP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32.8</w:t>
            </w:r>
          </w:p>
        </w:tc>
        <w:tc>
          <w:tcPr>
            <w:tcW w:w="220" w:type="dxa"/>
            <w:vAlign w:val="bottom"/>
          </w:tcPr>
          <w:p>
            <w:pPr>
              <w:spacing w:after="0"/>
              <w:rPr>
                <w:sz w:val="15"/>
                <w:szCs w:val="15"/>
                <w:color w:val="auto"/>
              </w:rPr>
            </w:pP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64.8</w:t>
            </w:r>
          </w:p>
        </w:tc>
        <w:tc>
          <w:tcPr>
            <w:tcW w:w="24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165.5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Borders>
              <w:bottom w:val="single" w:sz="8" w:color="CCEEFF"/>
            </w:tcBorders>
            <w:gridSpan w:val="2"/>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Total reportable segment operating income</w:t>
            </w:r>
          </w:p>
        </w:tc>
        <w:tc>
          <w:tcPr>
            <w:tcW w:w="1080" w:type="dxa"/>
            <w:vAlign w:val="bottom"/>
          </w:tcPr>
          <w:p>
            <w:pPr>
              <w:spacing w:after="0"/>
              <w:rPr>
                <w:sz w:val="15"/>
                <w:szCs w:val="15"/>
                <w:color w:val="auto"/>
              </w:rPr>
            </w:pP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741.0</w:t>
            </w:r>
          </w:p>
        </w:tc>
        <w:tc>
          <w:tcPr>
            <w:tcW w:w="220" w:type="dxa"/>
            <w:vAlign w:val="bottom"/>
          </w:tcPr>
          <w:p>
            <w:pPr>
              <w:spacing w:after="0"/>
              <w:rPr>
                <w:sz w:val="15"/>
                <w:szCs w:val="15"/>
                <w:color w:val="auto"/>
              </w:rPr>
            </w:pP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1,012.4</w:t>
            </w:r>
          </w:p>
        </w:tc>
        <w:tc>
          <w:tcPr>
            <w:tcW w:w="24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1,345.1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color w:val="auto"/>
              </w:rPr>
              <w:t>Corporate</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Corporate expenses</w:t>
            </w:r>
          </w:p>
        </w:tc>
        <w:tc>
          <w:tcPr>
            <w:tcW w:w="12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(116.9)</w:t>
            </w:r>
          </w:p>
        </w:tc>
        <w:tc>
          <w:tcPr>
            <w:tcW w:w="3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(112.3)</w:t>
            </w:r>
          </w:p>
        </w:tc>
        <w:tc>
          <w:tcPr>
            <w:tcW w:w="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(124.2)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(108.3)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Borders>
              <w:bottom w:val="single" w:sz="8" w:color="CCEEFF"/>
            </w:tcBorders>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Amortization of acquired intangible assets and other</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CEEFF"/>
            </w:tcBorders>
            <w:gridSpan w:val="2"/>
          </w:tcPr>
          <w:p>
            <w:pPr>
              <w:ind w:left="320"/>
              <w:spacing w:after="0" w:line="176" w:lineRule="exact"/>
              <w:rPr>
                <w:sz w:val="20"/>
                <w:szCs w:val="20"/>
                <w:color w:val="auto"/>
              </w:rPr>
            </w:pPr>
            <w:r>
              <w:rPr>
                <w:rFonts w:ascii="Times New Roman" w:cs="Times New Roman" w:eastAsia="Times New Roman" w:hAnsi="Times New Roman"/>
                <w:sz w:val="18"/>
                <w:szCs w:val="18"/>
                <w:color w:val="auto"/>
              </w:rPr>
              <w:t>Total Avnet operating income</w:t>
            </w: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514.3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844.4</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1,186.8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Assets: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Electronic Components</w:t>
            </w:r>
          </w:p>
        </w:tc>
        <w:tc>
          <w:tcPr>
            <w:tcW w:w="12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9,984.9</w:t>
            </w:r>
          </w:p>
        </w:tc>
        <w:tc>
          <w:tcPr>
            <w:tcW w:w="3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10,162.8</w:t>
            </w:r>
          </w:p>
        </w:tc>
        <w:tc>
          <w:tcPr>
            <w:tcW w:w="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10,375.4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color w:val="auto"/>
              </w:rPr>
              <w:t>Farnell</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1,742.4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1,707.9</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1,659.0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Borders>
              <w:bottom w:val="single" w:sz="8" w:color="CCEEFF"/>
            </w:tcBorders>
            <w:gridSpan w:val="2"/>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Corporate</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391.2</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338.4</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442.8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12,118.6</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12,209.1</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12,477.2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6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Capital expenditures:</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color w:val="auto"/>
              </w:rPr>
              <w:t>Electronic Components</w:t>
            </w:r>
          </w:p>
        </w:tc>
        <w:tc>
          <w:tcPr>
            <w:tcW w:w="1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90.6</w:t>
            </w:r>
          </w:p>
        </w:tc>
        <w:tc>
          <w:tcPr>
            <w:tcW w:w="3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176.5</w:t>
            </w:r>
          </w:p>
        </w:tc>
        <w:tc>
          <w:tcPr>
            <w:tcW w:w="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153.4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Farnell</w:t>
            </w: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21.4</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49.9</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bottom w:val="single" w:sz="8" w:color="CCEEFF"/>
            </w:tcBorders>
            <w:gridSpan w:val="2"/>
          </w:tcPr>
          <w:p>
            <w:pPr>
              <w:ind w:left="100"/>
              <w:spacing w:after="0" w:line="189" w:lineRule="exact"/>
              <w:rPr>
                <w:sz w:val="20"/>
                <w:szCs w:val="20"/>
                <w:color w:val="auto"/>
              </w:rPr>
            </w:pPr>
            <w:r>
              <w:rPr>
                <w:rFonts w:ascii="Times New Roman" w:cs="Times New Roman" w:eastAsia="Times New Roman" w:hAnsi="Times New Roman"/>
                <w:sz w:val="18"/>
                <w:szCs w:val="18"/>
                <w:color w:val="auto"/>
              </w:rPr>
              <w:t>Corporate</w:t>
            </w: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35.5</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147.5</w:t>
            </w: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226.5</w:t>
            </w: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194.7</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Depreciation &amp; amortization expense:</w:t>
            </w: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16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Electronic Components</w:t>
            </w:r>
          </w:p>
        </w:tc>
        <w:tc>
          <w:tcPr>
            <w:tcW w:w="12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51.7</w:t>
            </w:r>
          </w:p>
        </w:tc>
        <w:tc>
          <w:tcPr>
            <w:tcW w:w="3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60.6</w:t>
            </w:r>
          </w:p>
        </w:tc>
        <w:tc>
          <w:tcPr>
            <w:tcW w:w="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63.6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color w:val="auto"/>
              </w:rPr>
              <w:t>Farnell</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Borders>
              <w:bottom w:val="single" w:sz="8" w:color="CCEEFF"/>
            </w:tcBorders>
            <w:gridSpan w:val="2"/>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Corporate</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71.6</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86.7</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88.6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6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Sales, by geographic area:</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color w:val="auto"/>
              </w:rPr>
              <w:t>Americas</w:t>
            </w:r>
          </w:p>
        </w:tc>
        <w:tc>
          <w:tcPr>
            <w:tcW w:w="1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5,300.0</w:t>
            </w:r>
          </w:p>
        </w:tc>
        <w:tc>
          <w:tcPr>
            <w:tcW w:w="3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5,919.2</w:t>
            </w:r>
          </w:p>
        </w:tc>
        <w:tc>
          <w:tcPr>
            <w:tcW w:w="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6,807.7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EMEA</w:t>
            </w: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6,409.6</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8,395.0</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9,229.4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bottom w:val="single" w:sz="8" w:color="CCEEFF"/>
            </w:tcBorders>
            <w:gridSpan w:val="2"/>
          </w:tcPr>
          <w:p>
            <w:pPr>
              <w:ind w:left="100"/>
              <w:spacing w:after="0" w:line="189" w:lineRule="exact"/>
              <w:rPr>
                <w:sz w:val="20"/>
                <w:szCs w:val="20"/>
                <w:color w:val="auto"/>
              </w:rPr>
            </w:pPr>
            <w:r>
              <w:rPr>
                <w:rFonts w:ascii="Times New Roman" w:cs="Times New Roman" w:eastAsia="Times New Roman" w:hAnsi="Times New Roman"/>
                <w:sz w:val="18"/>
                <w:szCs w:val="18"/>
                <w:color w:val="auto"/>
              </w:rPr>
              <w:t>Asia</w:t>
            </w: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10,491.2</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9,442.9</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10,499.8</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22,200.8</w:t>
            </w: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23,757.1</w:t>
            </w: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26,536.9</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Property, plant and equipment, net, by geographic area:</w:t>
            </w: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16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Americas</w:t>
            </w:r>
          </w:p>
        </w:tc>
        <w:tc>
          <w:tcPr>
            <w:tcW w:w="12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154.9</w:t>
            </w:r>
          </w:p>
        </w:tc>
        <w:tc>
          <w:tcPr>
            <w:tcW w:w="3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109.7</w:t>
            </w:r>
          </w:p>
        </w:tc>
        <w:tc>
          <w:tcPr>
            <w:tcW w:w="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105.3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color w:val="auto"/>
              </w:rPr>
              <w:t>EMEA</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489.7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435.3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310.9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Borders>
              <w:bottom w:val="single" w:sz="8" w:color="CCEEFF"/>
            </w:tcBorders>
            <w:gridSpan w:val="2"/>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Asia</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22.6</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23.2</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667.2</w:t>
            </w:r>
          </w:p>
        </w:tc>
        <w:tc>
          <w:tcPr>
            <w:tcW w:w="2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568.2</w:t>
            </w:r>
          </w:p>
        </w:tc>
        <w:tc>
          <w:tcPr>
            <w:tcW w:w="24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441.6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Sales by country are as follows: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5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28,</w:t>
            </w:r>
          </w:p>
        </w:tc>
        <w:tc>
          <w:tcPr>
            <w:tcW w:w="200" w:type="dxa"/>
            <w:vAlign w:val="bottom"/>
          </w:tcPr>
          <w:p>
            <w:pPr>
              <w:spacing w:after="0"/>
              <w:rPr>
                <w:sz w:val="16"/>
                <w:szCs w:val="16"/>
                <w:color w:val="auto"/>
              </w:rPr>
            </w:pPr>
          </w:p>
        </w:tc>
        <w:tc>
          <w:tcPr>
            <w:tcW w:w="11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29,</w:t>
            </w:r>
          </w:p>
        </w:tc>
        <w:tc>
          <w:tcPr>
            <w:tcW w:w="200" w:type="dxa"/>
            <w:vAlign w:val="bottom"/>
          </w:tcPr>
          <w:p>
            <w:pPr>
              <w:spacing w:after="0"/>
              <w:rPr>
                <w:sz w:val="16"/>
                <w:szCs w:val="16"/>
                <w:color w:val="auto"/>
              </w:rPr>
            </w:pPr>
          </w:p>
        </w:tc>
        <w:tc>
          <w:tcPr>
            <w:tcW w:w="10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July 1,</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(Millions)</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Taiwan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4,676.1</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4,032.4</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 (including Hong Kong)</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4,151.8</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5,030.8</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5,623.8</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80" w:type="dxa"/>
            <w:vAlign w:val="bottom"/>
            <w:tcBorders>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foreign</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17,184.4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18,231.2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20,191.7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5,016.4</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5,525.9</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6,345.2</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22,200.8</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23,757.1</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26,536.9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Property, plant and equipment, net, by country are as follows:</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28,</w:t>
            </w:r>
          </w:p>
        </w:tc>
        <w:tc>
          <w:tcPr>
            <w:tcW w:w="200" w:type="dxa"/>
            <w:vAlign w:val="bottom"/>
          </w:tcPr>
          <w:p>
            <w:pPr>
              <w:spacing w:after="0"/>
              <w:rPr>
                <w:sz w:val="16"/>
                <w:szCs w:val="16"/>
                <w:color w:val="auto"/>
              </w:rPr>
            </w:pPr>
          </w:p>
        </w:tc>
        <w:tc>
          <w:tcPr>
            <w:tcW w:w="11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29,</w:t>
            </w:r>
          </w:p>
        </w:tc>
        <w:tc>
          <w:tcPr>
            <w:tcW w:w="200" w:type="dxa"/>
            <w:vAlign w:val="bottom"/>
          </w:tcPr>
          <w:p>
            <w:pPr>
              <w:spacing w:after="0"/>
              <w:rPr>
                <w:sz w:val="16"/>
                <w:szCs w:val="16"/>
                <w:color w:val="auto"/>
              </w:rPr>
            </w:pPr>
          </w:p>
        </w:tc>
        <w:tc>
          <w:tcPr>
            <w:tcW w:w="10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July 1,</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(Millions)</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80" w:type="dxa"/>
            <w:vAlign w:val="bottom"/>
            <w:tcBorders>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foreign</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520.2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461.1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339.7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667.2</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568.2</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Restructuring expenses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2025</w:t>
      </w:r>
    </w:p>
    <w:p>
      <w:pPr>
        <w:spacing w:after="0" w:line="229" w:lineRule="exact"/>
        <w:rPr>
          <w:sz w:val="20"/>
          <w:szCs w:val="20"/>
          <w:color w:val="auto"/>
        </w:rPr>
      </w:pPr>
    </w:p>
    <w:p>
      <w:pPr>
        <w:ind w:left="60" w:right="99" w:firstLine="427"/>
        <w:spacing w:after="0" w:line="321" w:lineRule="auto"/>
        <w:rPr>
          <w:sz w:val="20"/>
          <w:szCs w:val="20"/>
          <w:color w:val="auto"/>
        </w:rPr>
      </w:pPr>
      <w:r>
        <w:rPr>
          <w:rFonts w:ascii="Times New Roman" w:cs="Times New Roman" w:eastAsia="Times New Roman" w:hAnsi="Times New Roman"/>
          <w:sz w:val="18"/>
          <w:szCs w:val="18"/>
          <w:color w:val="auto"/>
        </w:rPr>
        <w:t>During fiscal 2025, the Company incurred restructuring expenses primarily related to headcount reductions including from the planned closure of certain distribution centers intended to reduce future selling, general and administrative expenses. The following table presents the activity incurred during fiscal 2025:</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2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10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Exit Costs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Impairments</w:t>
            </w:r>
          </w:p>
        </w:tc>
        <w:tc>
          <w:tcPr>
            <w:tcW w:w="180" w:type="dxa"/>
            <w:vAlign w:val="bottom"/>
          </w:tcPr>
          <w:p>
            <w:pPr>
              <w:spacing w:after="0"/>
              <w:rPr>
                <w:sz w:val="21"/>
                <w:szCs w:val="21"/>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0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top w:val="single" w:sz="8" w:color="auto"/>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 restructuring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56,106</w:t>
            </w:r>
          </w:p>
        </w:tc>
        <w:tc>
          <w:tcPr>
            <w:tcW w:w="0" w:type="dxa"/>
            <w:vAlign w:val="bottom"/>
          </w:tcPr>
          <w:p>
            <w:pPr>
              <w:spacing w:after="0"/>
              <w:rPr>
                <w:sz w:val="1"/>
                <w:szCs w:val="1"/>
                <w:color w:val="auto"/>
              </w:rPr>
            </w:pPr>
          </w:p>
        </w:tc>
      </w:tr>
      <w:tr>
        <w:trPr>
          <w:trHeight w:val="216"/>
        </w:trPr>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(11,515)</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(5,318)</w:t>
            </w: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amounts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(14,904)</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(3,044)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(19,422)</w:t>
            </w:r>
          </w:p>
        </w:tc>
        <w:tc>
          <w:tcPr>
            <w:tcW w:w="0" w:type="dxa"/>
            <w:vAlign w:val="bottom"/>
          </w:tcPr>
          <w:p>
            <w:pPr>
              <w:spacing w:after="0"/>
              <w:rPr>
                <w:sz w:val="1"/>
                <w:szCs w:val="1"/>
                <w:color w:val="auto"/>
              </w:rPr>
            </w:pPr>
          </w:p>
        </w:tc>
      </w:tr>
      <w:tr>
        <w:trPr>
          <w:trHeight w:val="198"/>
        </w:trPr>
        <w:tc>
          <w:tcPr>
            <w:tcW w:w="31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Other, principally foreign currency</w:t>
            </w:r>
          </w:p>
        </w:tc>
        <w:tc>
          <w:tcPr>
            <w:tcW w:w="100" w:type="dxa"/>
            <w:vAlign w:val="bottom"/>
          </w:tcPr>
          <w:p>
            <w:pPr>
              <w:spacing w:after="0"/>
              <w:rPr>
                <w:sz w:val="17"/>
                <w:szCs w:val="17"/>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7"/>
                <w:szCs w:val="17"/>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8"/>
        </w:trPr>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translation</w:t>
            </w: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28,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60" w:right="119" w:firstLine="427"/>
        <w:spacing w:after="0" w:line="307" w:lineRule="auto"/>
        <w:rPr>
          <w:sz w:val="20"/>
          <w:szCs w:val="20"/>
          <w:color w:val="auto"/>
        </w:rPr>
      </w:pPr>
      <w:r>
        <w:rPr>
          <w:rFonts w:ascii="Times New Roman" w:cs="Times New Roman" w:eastAsia="Times New Roman" w:hAnsi="Times New Roman"/>
          <w:sz w:val="18"/>
          <w:szCs w:val="18"/>
          <w:color w:val="auto"/>
        </w:rPr>
        <w:t>Severance expense recorded in fiscal 2025 related to the reduction, or planned reduction, of over 400 employees, primarily in operations, distribution centers, and business support functions. Of the $56.1 million in restructuring expenses recorded in fiscal 2025, $26.8 million related to EC, $29.1 million related to Farnell, and $0.2 million related to Corporate. The Company expects most of the remaining severance amounts to be paid by the end of December 2025.</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2024</w:t>
      </w:r>
    </w:p>
    <w:p>
      <w:pPr>
        <w:spacing w:after="0" w:line="243" w:lineRule="exact"/>
        <w:rPr>
          <w:sz w:val="20"/>
          <w:szCs w:val="20"/>
          <w:color w:val="auto"/>
        </w:rPr>
      </w:pPr>
    </w:p>
    <w:p>
      <w:pPr>
        <w:ind w:left="60" w:right="339" w:firstLine="427"/>
        <w:spacing w:after="0" w:line="307" w:lineRule="auto"/>
        <w:rPr>
          <w:sz w:val="20"/>
          <w:szCs w:val="20"/>
          <w:color w:val="auto"/>
        </w:rPr>
      </w:pPr>
      <w:r>
        <w:rPr>
          <w:rFonts w:ascii="Times New Roman" w:cs="Times New Roman" w:eastAsia="Times New Roman" w:hAnsi="Times New Roman"/>
          <w:sz w:val="18"/>
          <w:szCs w:val="18"/>
          <w:color w:val="auto"/>
        </w:rPr>
        <w:t>During fiscal 2024, the Company incurred restructuring expenses primarily related headcount reductions from the planned closure of certain distribution centers intended to reduce future operating expenses. The Company expects the majority of the remaining amounts to be paid by the end of 2025. The following table presents the activity during fiscal 2025 related to the remaining restructuring liabilities established during fiscal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at June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-119380</wp:posOffset>
            </wp:positionV>
            <wp:extent cx="564896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Changes in estimates, net</w:t>
      </w:r>
    </w:p>
    <w:p>
      <w:pPr>
        <w:spacing w:after="0" w:line="9" w:lineRule="exact"/>
        <w:rPr>
          <w:sz w:val="20"/>
          <w:szCs w:val="20"/>
          <w:color w:val="auto"/>
        </w:rPr>
      </w:pPr>
    </w:p>
    <w:p>
      <w:pPr>
        <w:ind w:left="60" w:right="2580" w:firstLine="108"/>
        <w:spacing w:after="0" w:line="307" w:lineRule="auto"/>
        <w:rPr>
          <w:sz w:val="20"/>
          <w:szCs w:val="20"/>
          <w:color w:val="auto"/>
        </w:rPr>
      </w:pPr>
      <w:r>
        <w:rPr>
          <w:rFonts w:ascii="Times New Roman" w:cs="Times New Roman" w:eastAsia="Times New Roman" w:hAnsi="Times New Roman"/>
          <w:sz w:val="18"/>
          <w:szCs w:val="18"/>
          <w:color w:val="auto"/>
        </w:rPr>
        <w:t>Other, principally foreign currency translation Balance at June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-189865</wp:posOffset>
            </wp:positionV>
            <wp:extent cx="564896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Severance</w:t>
            </w:r>
          </w:p>
        </w:tc>
      </w:tr>
      <w:tr>
        <w:trPr>
          <w:trHeight w:val="198"/>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ind w:right="530"/>
              <w:spacing w:after="0" w:line="198" w:lineRule="exact"/>
              <w:rPr>
                <w:sz w:val="20"/>
                <w:szCs w:val="20"/>
                <w:color w:val="auto"/>
              </w:rPr>
            </w:pPr>
            <w:r>
              <w:rPr>
                <w:rFonts w:ascii="Times New Roman" w:cs="Times New Roman" w:eastAsia="Times New Roman" w:hAnsi="Times New Roman"/>
                <w:sz w:val="18"/>
                <w:szCs w:val="18"/>
                <w:b w:val="1"/>
                <w:bCs w:val="1"/>
                <w:color w:val="auto"/>
              </w:rPr>
              <w:t>(Thousands)</w:t>
            </w:r>
          </w:p>
        </w:tc>
      </w:tr>
      <w:tr>
        <w:trPr>
          <w:trHeight w:val="216"/>
        </w:trPr>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23,838</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(15,737)</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(6,044)</w:t>
            </w:r>
          </w:p>
        </w:tc>
      </w:tr>
      <w:tr>
        <w:trPr>
          <w:trHeight w:val="241"/>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ectPr>
          <w:pgSz w:w="11900" w:h="16838" w:orient="portrait"/>
          <w:cols w:equalWidth="0" w:num="2">
            <w:col w:w="6060" w:space="720"/>
            <w:col w:w="223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0" w:right="1539" w:hanging="426"/>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89" w:lineRule="exact"/>
        <w:rPr>
          <w:sz w:val="20"/>
          <w:szCs w:val="20"/>
          <w:color w:val="auto"/>
        </w:rPr>
      </w:pPr>
    </w:p>
    <w:p>
      <w:pPr>
        <w:ind w:left="60" w:right="79" w:firstLine="427"/>
        <w:spacing w:after="0" w:line="253" w:lineRule="auto"/>
        <w:rPr>
          <w:sz w:val="20"/>
          <w:szCs w:val="20"/>
          <w:color w:val="auto"/>
        </w:rPr>
      </w:pPr>
      <w:r>
        <w:rPr>
          <w:rFonts w:ascii="Times New Roman" w:cs="Times New Roman" w:eastAsia="Times New Roman" w:hAnsi="Times New Roman"/>
          <w:sz w:val="18"/>
          <w:szCs w:val="18"/>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report on Form 10-K. Based on such evaluation, the Chief Executive Officer and Chief Financial Officer have concluded that, as of the end of the period covered by this report on Form 10-K,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9" w:lineRule="exact"/>
        <w:rPr>
          <w:sz w:val="20"/>
          <w:szCs w:val="20"/>
          <w:color w:val="auto"/>
        </w:rPr>
      </w:pPr>
    </w:p>
    <w:p>
      <w:pPr>
        <w:ind w:left="60" w:right="59" w:firstLine="427"/>
        <w:spacing w:after="0" w:line="253" w:lineRule="auto"/>
        <w:rPr>
          <w:sz w:val="20"/>
          <w:szCs w:val="20"/>
          <w:color w:val="auto"/>
        </w:rPr>
      </w:pPr>
      <w:r>
        <w:rPr>
          <w:rFonts w:ascii="Times New Roman" w:cs="Times New Roman" w:eastAsia="Times New Roman" w:hAnsi="Times New Roman"/>
          <w:sz w:val="18"/>
          <w:szCs w:val="18"/>
          <w:color w:val="auto"/>
        </w:rPr>
        <w:t xml:space="preserve">The Company’s management, including its Chief Executive Officer and Chief Financial Officer,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Because of inherent limitations, internal control over financial reporting may not prevent or detect misstatements. Also, controls may become inadequate because of changes in conditions, or the degree of compliance with policies or procedures may deteriorate. Management conducted an evaluation of the effectiveness of the Company’s internal control over financial reporting as of June 28, 2025. In making this assessment, management used the 2013 framework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issued by the Committee of Sponsoring Organizations of the Treadway Commission and concluded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Company maintained effective internal control over financial reporting as of June 28, 2025.</w:t>
      </w:r>
    </w:p>
    <w:p>
      <w:pPr>
        <w:spacing w:after="0" w:line="151" w:lineRule="exact"/>
        <w:rPr>
          <w:sz w:val="20"/>
          <w:szCs w:val="20"/>
          <w:color w:val="auto"/>
        </w:rPr>
      </w:pPr>
    </w:p>
    <w:p>
      <w:pPr>
        <w:jc w:val="both"/>
        <w:ind w:left="60" w:right="439" w:firstLine="427"/>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KPMG LLP, has audited the effectiveness of the Company’s internal controls over financial reporting as of June 28, 2025, as stated in its audit report which is included herein.</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left="60" w:right="499" w:firstLine="427"/>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2025, there were no changes to the Company’s internal control over financial reporting (as defined in Rules 13a-15(f) and 15(d)-15(f) of the Exchange Act) that have materially affected, or are reasonably likely to materially affect, the Company’s internal control over financial reporting.</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31" w:lineRule="exact"/>
        <w:rPr>
          <w:sz w:val="20"/>
          <w:szCs w:val="20"/>
          <w:color w:val="auto"/>
        </w:rPr>
      </w:pPr>
    </w:p>
    <w:p>
      <w:pPr>
        <w:ind w:left="60" w:right="259" w:firstLine="427"/>
        <w:spacing w:after="0" w:line="263" w:lineRule="auto"/>
        <w:rPr>
          <w:sz w:val="20"/>
          <w:szCs w:val="20"/>
          <w:color w:val="auto"/>
        </w:rPr>
      </w:pPr>
      <w:r>
        <w:rPr>
          <w:rFonts w:ascii="Times New Roman" w:cs="Times New Roman" w:eastAsia="Times New Roman" w:hAnsi="Times New Roman"/>
          <w:sz w:val="18"/>
          <w:szCs w:val="18"/>
          <w:color w:val="auto"/>
        </w:rPr>
        <w:t>During the three months ended June 28, 2025, no director or officer of the Company adopted or terminated a “Rule 10b5-1 trading arrangement” or “non-Rule 10b5-1 trading arrangement,” as each term is defined in Item 408(a) of Regulation S-K.</w:t>
      </w: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31" w:lineRule="exact"/>
        <w:rPr>
          <w:sz w:val="20"/>
          <w:szCs w:val="20"/>
          <w:color w:val="auto"/>
        </w:rPr>
      </w:pPr>
    </w:p>
    <w:p>
      <w:pPr>
        <w:ind w:left="60" w:right="339" w:firstLine="427"/>
        <w:spacing w:after="0" w:line="259" w:lineRule="auto"/>
        <w:rPr>
          <w:sz w:val="20"/>
          <w:szCs w:val="20"/>
          <w:color w:val="auto"/>
        </w:rPr>
      </w:pPr>
      <w:r>
        <w:rPr>
          <w:rFonts w:ascii="Times New Roman" w:cs="Times New Roman" w:eastAsia="Times New Roman" w:hAnsi="Times New Roman"/>
          <w:sz w:val="18"/>
          <w:szCs w:val="18"/>
          <w:color w:val="auto"/>
        </w:rPr>
        <w:t>The Company has adopted an Insider Trading Policy governing the purchase, sale, and other dispositions of the Company’s securities by its directors, officers, employees, and designated contractors, as well as by the Company itself. The Company believes that the policy is reasonably designed to promote compliance with applicable law and exchange listing standards regarding insider trading. A copy of the policy is filed as Exhibit 19.1 to the Annual Report.</w:t>
      </w:r>
    </w:p>
    <w:p>
      <w:pPr>
        <w:spacing w:after="0" w:line="182" w:lineRule="exact"/>
        <w:rPr>
          <w:sz w:val="20"/>
          <w:szCs w:val="20"/>
          <w:color w:val="auto"/>
        </w:rPr>
      </w:pPr>
    </w:p>
    <w:p>
      <w:pPr>
        <w:ind w:left="60" w:right="79" w:firstLine="427"/>
        <w:spacing w:after="0" w:line="282" w:lineRule="auto"/>
        <w:rPr>
          <w:sz w:val="20"/>
          <w:szCs w:val="20"/>
          <w:color w:val="auto"/>
        </w:rPr>
      </w:pPr>
      <w:r>
        <w:rPr>
          <w:rFonts w:ascii="Times New Roman" w:cs="Times New Roman" w:eastAsia="Times New Roman" w:hAnsi="Times New Roman"/>
          <w:sz w:val="18"/>
          <w:szCs w:val="18"/>
          <w:color w:val="auto"/>
        </w:rPr>
        <w:t>Other information called for by Item 10 is incorporated in this Report by reference to the Company’s definitive proxy statement relating to the Annual Meeting of Stockholders scheduled to be held on November 21, 2025.</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31" w:lineRule="exact"/>
        <w:rPr>
          <w:sz w:val="20"/>
          <w:szCs w:val="20"/>
          <w:color w:val="auto"/>
        </w:rPr>
      </w:pPr>
    </w:p>
    <w:p>
      <w:pPr>
        <w:ind w:left="60" w:right="219" w:firstLine="427"/>
        <w:spacing w:after="0" w:line="276" w:lineRule="auto"/>
        <w:rPr>
          <w:sz w:val="20"/>
          <w:szCs w:val="20"/>
          <w:color w:val="auto"/>
        </w:rPr>
      </w:pPr>
      <w:r>
        <w:rPr>
          <w:rFonts w:ascii="Times New Roman" w:cs="Times New Roman" w:eastAsia="Times New Roman" w:hAnsi="Times New Roman"/>
          <w:sz w:val="18"/>
          <w:szCs w:val="18"/>
          <w:color w:val="auto"/>
        </w:rPr>
        <w:t>The information called for by Item 11 is incorporated in this Report by reference to the Company’s definitive proxy statement relating to the Annual Meeting of Stockholders scheduled to be held on November 21, 2025.</w:t>
      </w: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54" w:lineRule="exact"/>
        <w:rPr>
          <w:sz w:val="20"/>
          <w:szCs w:val="20"/>
          <w:color w:val="auto"/>
        </w:rPr>
      </w:pPr>
    </w:p>
    <w:p>
      <w:pPr>
        <w:ind w:left="60" w:right="219" w:firstLine="427"/>
        <w:spacing w:after="0" w:line="329" w:lineRule="auto"/>
        <w:rPr>
          <w:sz w:val="20"/>
          <w:szCs w:val="20"/>
          <w:color w:val="auto"/>
        </w:rPr>
      </w:pPr>
      <w:r>
        <w:rPr>
          <w:rFonts w:ascii="Times New Roman" w:cs="Times New Roman" w:eastAsia="Times New Roman" w:hAnsi="Times New Roman"/>
          <w:sz w:val="18"/>
          <w:szCs w:val="18"/>
          <w:color w:val="auto"/>
        </w:rPr>
        <w:t>The information called for by Item 12 is incorporated in this Report by reference to the Company’s definitive proxy statement relating to the Annual Meeting of Stockholders scheduled to be held on November 21, 2025.</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54" w:lineRule="exact"/>
        <w:rPr>
          <w:sz w:val="20"/>
          <w:szCs w:val="20"/>
          <w:color w:val="auto"/>
        </w:rPr>
      </w:pPr>
    </w:p>
    <w:p>
      <w:pPr>
        <w:ind w:left="60" w:right="219" w:firstLine="427"/>
        <w:spacing w:after="0" w:line="329" w:lineRule="auto"/>
        <w:rPr>
          <w:sz w:val="20"/>
          <w:szCs w:val="20"/>
          <w:color w:val="auto"/>
        </w:rPr>
      </w:pPr>
      <w:r>
        <w:rPr>
          <w:rFonts w:ascii="Times New Roman" w:cs="Times New Roman" w:eastAsia="Times New Roman" w:hAnsi="Times New Roman"/>
          <w:sz w:val="18"/>
          <w:szCs w:val="18"/>
          <w:color w:val="auto"/>
        </w:rPr>
        <w:t>The information called for by Item 13 is incorporated in this Report by reference to the Company’s definitive proxy statement relating to the Annual Meeting of Shareholders scheduled to be held on November 21, 2025.</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54" w:lineRule="exact"/>
        <w:rPr>
          <w:sz w:val="20"/>
          <w:szCs w:val="20"/>
          <w:color w:val="auto"/>
        </w:rPr>
      </w:pPr>
    </w:p>
    <w:p>
      <w:pPr>
        <w:ind w:left="60" w:right="219" w:firstLine="427"/>
        <w:spacing w:after="0" w:line="329" w:lineRule="auto"/>
        <w:rPr>
          <w:sz w:val="20"/>
          <w:szCs w:val="20"/>
          <w:color w:val="auto"/>
        </w:rPr>
      </w:pPr>
      <w:r>
        <w:rPr>
          <w:rFonts w:ascii="Times New Roman" w:cs="Times New Roman" w:eastAsia="Times New Roman" w:hAnsi="Times New Roman"/>
          <w:sz w:val="18"/>
          <w:szCs w:val="18"/>
          <w:color w:val="auto"/>
        </w:rPr>
        <w:t>The information called for by Item 14 is incorporated in this Report by reference to the Company’s definitive proxy statement relating to the Annual Meeting of Stockholders scheduled to be held on November 21, 2025.</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financial statements and supplementary data are listed in the index included under Item 8 of this Report.</w:t>
      </w:r>
    </w:p>
    <w:p>
      <w:pPr>
        <w:spacing w:after="0" w:line="2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exhibits listed below are filed as part of this report.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3.1</w:t>
      </w:r>
    </w:p>
    <w:p>
      <w:pPr>
        <w:spacing w:after="0" w:line="200" w:lineRule="exact"/>
        <w:rPr>
          <w:sz w:val="20"/>
          <w:szCs w:val="20"/>
          <w:color w:val="auto"/>
        </w:rPr>
      </w:pPr>
    </w:p>
    <w:p>
      <w:pPr>
        <w:spacing w:after="0" w:line="2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99"/>
        <w:spacing w:after="0" w:line="282" w:lineRule="auto"/>
        <w:rPr>
          <w:rFonts w:ascii="Times New Roman" w:cs="Times New Roman" w:eastAsia="Times New Roman" w:hAnsi="Times New Roman"/>
          <w:sz w:val="18"/>
          <w:szCs w:val="18"/>
          <w:u w:val="single" w:color="auto"/>
          <w:color w:val="0000EE"/>
        </w:rPr>
      </w:pPr>
      <w:hyperlink r:id="rId90">
        <w:r>
          <w:rPr>
            <w:rFonts w:ascii="Times New Roman" w:cs="Times New Roman" w:eastAsia="Times New Roman" w:hAnsi="Times New Roman"/>
            <w:sz w:val="18"/>
            <w:szCs w:val="18"/>
            <w:u w:val="single" w:color="auto"/>
            <w:color w:val="0000EE"/>
          </w:rPr>
          <w:t>Restated Certificate of Incorporation of the Company (incorporated herein by reference to Exhibit 3(i) to the</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Company’s Current Report on Form 8-K filed on February 12, 2001).</w:t>
        </w:r>
      </w:hyperlink>
    </w:p>
    <w:p>
      <w:pPr>
        <w:spacing w:after="0" w:line="189" w:lineRule="exact"/>
        <w:rPr>
          <w:sz w:val="20"/>
          <w:szCs w:val="20"/>
          <w:color w:val="auto"/>
        </w:rPr>
      </w:pPr>
    </w:p>
    <w:p>
      <w:pPr>
        <w:ind w:right="79"/>
        <w:spacing w:after="0" w:line="329" w:lineRule="auto"/>
        <w:rPr>
          <w:rFonts w:ascii="Times New Roman" w:cs="Times New Roman" w:eastAsia="Times New Roman" w:hAnsi="Times New Roman"/>
          <w:sz w:val="18"/>
          <w:szCs w:val="18"/>
          <w:u w:val="single" w:color="auto"/>
          <w:color w:val="0000EE"/>
        </w:rPr>
      </w:pPr>
      <w:hyperlink r:id="rId91">
        <w:r>
          <w:rPr>
            <w:rFonts w:ascii="Times New Roman" w:cs="Times New Roman" w:eastAsia="Times New Roman" w:hAnsi="Times New Roman"/>
            <w:sz w:val="18"/>
            <w:szCs w:val="18"/>
            <w:u w:val="single" w:color="auto"/>
            <w:color w:val="0000EE"/>
          </w:rPr>
          <w:t>By-laws of the Company, as amended May 22, 2023 (incorporated herein by reference to Exhibit 3.1 to the</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Company’s Current Report on Form 8-K filed on May 24, 2023).</w:t>
        </w:r>
      </w:hyperlink>
    </w:p>
    <w:p>
      <w:pPr>
        <w:spacing w:after="0" w:line="200" w:lineRule="exact"/>
        <w:rPr>
          <w:sz w:val="20"/>
          <w:szCs w:val="20"/>
          <w:color w:val="auto"/>
        </w:rPr>
      </w:pPr>
    </w:p>
    <w:p>
      <w:pPr>
        <w:sectPr>
          <w:pgSz w:w="11900" w:h="16838" w:orient="portrait"/>
          <w:cols w:equalWidth="0" w:num="2">
            <w:col w:w="600" w:space="520"/>
            <w:col w:w="7899"/>
          </w:cols>
          <w:pgMar w:left="1440" w:top="513" w:right="1440" w:bottom="1440" w:gutter="0" w:footer="0" w:header="0"/>
          <w:type w:val="continuous"/>
        </w:sect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20" w:right="419" w:hanging="746"/>
        <w:spacing w:after="0" w:line="282"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93">
        <w:r>
          <w:rPr>
            <w:rFonts w:ascii="Times New Roman" w:cs="Times New Roman" w:eastAsia="Times New Roman" w:hAnsi="Times New Roman"/>
            <w:sz w:val="18"/>
            <w:szCs w:val="18"/>
            <w:u w:val="single" w:color="auto"/>
            <w:color w:val="0000EE"/>
          </w:rPr>
          <w:t>Description of Registrant’s Securities (incorporated herein by reference to Exhibit 4.1 to the Company’s</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Annual Report on Form 10-K filed on August 15, 2019).</w:t>
        </w:r>
      </w:hyperlink>
    </w:p>
    <w:p>
      <w:pPr>
        <w:spacing w:after="0" w:line="162" w:lineRule="exact"/>
        <w:rPr>
          <w:sz w:val="20"/>
          <w:szCs w:val="20"/>
          <w:color w:val="auto"/>
        </w:rPr>
      </w:pPr>
    </w:p>
    <w:p>
      <w:pPr>
        <w:ind w:left="1120" w:right="339" w:hanging="746"/>
        <w:spacing w:after="0" w:line="261"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94">
        <w:r>
          <w:rPr>
            <w:rFonts w:ascii="Times New Roman" w:cs="Times New Roman" w:eastAsia="Times New Roman" w:hAnsi="Times New Roman"/>
            <w:sz w:val="18"/>
            <w:szCs w:val="18"/>
            <w:u w:val="single" w:color="auto"/>
            <w:color w:val="0000EE"/>
          </w:rPr>
          <w:t>Indenture dated as of June 22, 2010, between the Company and Computershare Trust Company, National</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Association as successor to and Wells Fargo Bank, National Association, as Trustee, providing for the</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issuance of Debt Securities in one or more series (incorporated herein by reference to Exhibit 4.1 to the</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Company’s Current Report on Form 8-K filed on June 22, 2010).</w:t>
        </w:r>
      </w:hyperlink>
    </w:p>
    <w:p>
      <w:pPr>
        <w:spacing w:after="0" w:line="193" w:lineRule="exact"/>
        <w:rPr>
          <w:rFonts w:ascii="Times New Roman" w:cs="Times New Roman" w:eastAsia="Times New Roman" w:hAnsi="Times New Roman"/>
          <w:sz w:val="18"/>
          <w:szCs w:val="18"/>
          <w:u w:val="single" w:color="auto"/>
          <w:color w:val="0000EE"/>
        </w:rPr>
      </w:pPr>
    </w:p>
    <w:p>
      <w:pPr>
        <w:ind w:left="1120" w:right="239" w:hanging="746"/>
        <w:spacing w:after="0" w:line="282"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95">
        <w:r>
          <w:rPr>
            <w:rFonts w:ascii="Times New Roman" w:cs="Times New Roman" w:eastAsia="Times New Roman" w:hAnsi="Times New Roman"/>
            <w:sz w:val="18"/>
            <w:szCs w:val="18"/>
            <w:u w:val="single" w:color="auto"/>
            <w:color w:val="0000EE"/>
          </w:rPr>
          <w:t>Form of Officers’ Certificate establishing the terms of the 4.625% Notes due 2026 (incorporated herein by</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reference to Exhibit 4.1 to the Company’s Current Report on Form 8-K filed on March 22, 2016).</w:t>
        </w:r>
      </w:hyperlink>
    </w:p>
    <w:p>
      <w:pPr>
        <w:spacing w:after="0" w:line="175" w:lineRule="exact"/>
        <w:rPr>
          <w:sz w:val="20"/>
          <w:szCs w:val="20"/>
          <w:color w:val="auto"/>
        </w:rPr>
      </w:pPr>
    </w:p>
    <w:p>
      <w:pPr>
        <w:jc w:val="center"/>
        <w:ind w:left="1600" w:right="220"/>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4.4      </w:t>
      </w:r>
      <w:hyperlink r:id="rId96">
        <w:r>
          <w:rPr>
            <w:rFonts w:ascii="Times New Roman" w:cs="Times New Roman" w:eastAsia="Times New Roman" w:hAnsi="Times New Roman"/>
            <w:sz w:val="18"/>
            <w:szCs w:val="18"/>
            <w:u w:val="single" w:color="auto"/>
            <w:color w:val="0000EE"/>
          </w:rPr>
          <w:t>Form of Officer’s Certificate setting forth the terms of the 3.00% Notes due 2031 (incorporated herein by</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EE"/>
          </w:rPr>
          <w:t>reference to Exhibit 4.1 to the Company’s Current Report on Form 8-K filed on May 5, 2021).</w:t>
        </w:r>
      </w:hyperlink>
    </w:p>
    <w:p>
      <w:pPr>
        <w:spacing w:after="0" w:line="162" w:lineRule="exact"/>
        <w:rPr>
          <w:sz w:val="20"/>
          <w:szCs w:val="20"/>
          <w:color w:val="auto"/>
        </w:rPr>
      </w:pPr>
    </w:p>
    <w:p>
      <w:pPr>
        <w:jc w:val="center"/>
        <w:ind w:left="1600" w:right="220"/>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4.5      </w:t>
      </w:r>
      <w:hyperlink r:id="rId97">
        <w:r>
          <w:rPr>
            <w:rFonts w:ascii="Times New Roman" w:cs="Times New Roman" w:eastAsia="Times New Roman" w:hAnsi="Times New Roman"/>
            <w:sz w:val="18"/>
            <w:szCs w:val="18"/>
            <w:u w:val="single" w:color="auto"/>
            <w:color w:val="0000EE"/>
          </w:rPr>
          <w:t>Form of Officer’s Certificate setting forth the terms of the 5.50% Notes due 2032 (incorporated herein by</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EE"/>
          </w:rPr>
          <w:t>reference to Exhibit 4.1 to the Company’s Current Report on Form 8-K filed on May 16, 2022).</w:t>
        </w:r>
      </w:hyperlink>
    </w:p>
    <w:p>
      <w:pPr>
        <w:spacing w:after="0" w:line="189" w:lineRule="exact"/>
        <w:rPr>
          <w:sz w:val="20"/>
          <w:szCs w:val="20"/>
          <w:color w:val="auto"/>
        </w:rPr>
      </w:pPr>
    </w:p>
    <w:p>
      <w:pPr>
        <w:ind w:left="1120" w:right="319" w:hanging="746"/>
        <w:spacing w:after="0" w:line="282"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98">
        <w:r>
          <w:rPr>
            <w:rFonts w:ascii="Times New Roman" w:cs="Times New Roman" w:eastAsia="Times New Roman" w:hAnsi="Times New Roman"/>
            <w:sz w:val="18"/>
            <w:szCs w:val="18"/>
            <w:u w:val="single" w:color="auto"/>
            <w:color w:val="0000EE"/>
          </w:rPr>
          <w:t>Form of Officers’ Certificate setting forth the terms of the 6.25% Notes due 2028 (incorporated herein by</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reference to Exhibit 4.1 to the Company’s Current Report on Form 8-K filed on March 8, 2023).</w:t>
        </w:r>
      </w:hyperlink>
    </w:p>
    <w:p>
      <w:pPr>
        <w:spacing w:after="0" w:line="189" w:lineRule="exact"/>
        <w:rPr>
          <w:sz w:val="20"/>
          <w:szCs w:val="20"/>
          <w:color w:val="auto"/>
        </w:rPr>
      </w:pPr>
    </w:p>
    <w:p>
      <w:pPr>
        <w:ind w:left="1120" w:right="139"/>
        <w:spacing w:after="0" w:line="261" w:lineRule="auto"/>
        <w:rPr>
          <w:sz w:val="20"/>
          <w:szCs w:val="20"/>
          <w:color w:val="auto"/>
        </w:rPr>
      </w:pPr>
      <w:r>
        <w:rPr>
          <w:rFonts w:ascii="Times New Roman" w:cs="Times New Roman" w:eastAsia="Times New Roman" w:hAnsi="Times New Roman"/>
          <w:sz w:val="18"/>
          <w:szCs w:val="18"/>
          <w:color w:val="auto"/>
        </w:rPr>
        <w:t>Note: The total amount of securities authorized under any other instrument that defines the rights of holders of the Company’s long-term debt does not exceed 10% of the total assets of the Company and its subsidiaries on a consolidated basis. Therefore, these instruments are not required to be filed as exhibits to this Report. The Company agrees to furnish copies of such instruments to the Commission upon request.</w:t>
      </w:r>
    </w:p>
    <w:p>
      <w:pPr>
        <w:spacing w:after="0" w:line="18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Executive Compensation Plans and Arrangements</w:t>
      </w:r>
    </w:p>
    <w:p>
      <w:pPr>
        <w:spacing w:after="0" w:line="229" w:lineRule="exact"/>
        <w:rPr>
          <w:sz w:val="20"/>
          <w:szCs w:val="20"/>
          <w:color w:val="auto"/>
        </w:rPr>
      </w:pPr>
    </w:p>
    <w:p>
      <w:pPr>
        <w:ind w:left="1120" w:right="99" w:hanging="791"/>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99">
        <w:r>
          <w:rPr>
            <w:rFonts w:ascii="Times New Roman" w:cs="Times New Roman" w:eastAsia="Times New Roman" w:hAnsi="Times New Roman"/>
            <w:sz w:val="18"/>
            <w:szCs w:val="18"/>
            <w:u w:val="single" w:color="auto"/>
            <w:color w:val="0000EE"/>
          </w:rPr>
          <w:t>Letter Agreement between the Company and Philip R. Gallagher as Chief Executive Officer dated</w:t>
        </w:r>
      </w:hyperlink>
      <w:r>
        <w:rPr>
          <w:rFonts w:ascii="Times New Roman" w:cs="Times New Roman" w:eastAsia="Times New Roman" w:hAnsi="Times New Roman"/>
          <w:sz w:val="18"/>
          <w:szCs w:val="18"/>
          <w:u w:val="single" w:color="auto"/>
          <w:color w:val="0000EE"/>
        </w:rPr>
        <w:t xml:space="preserve"> </w:t>
      </w:r>
      <w:hyperlink r:id="rId99">
        <w:r>
          <w:rPr>
            <w:rFonts w:ascii="Times New Roman" w:cs="Times New Roman" w:eastAsia="Times New Roman" w:hAnsi="Times New Roman"/>
            <w:sz w:val="18"/>
            <w:szCs w:val="18"/>
            <w:u w:val="single" w:color="auto"/>
            <w:color w:val="0000EE"/>
          </w:rPr>
          <w:t>November 17, 2020 (incorporated herein by reference to Exhibit 10.2 to the Company’s Quarterly Report on</w:t>
        </w:r>
      </w:hyperlink>
      <w:r>
        <w:rPr>
          <w:rFonts w:ascii="Times New Roman" w:cs="Times New Roman" w:eastAsia="Times New Roman" w:hAnsi="Times New Roman"/>
          <w:sz w:val="18"/>
          <w:szCs w:val="18"/>
          <w:u w:val="single" w:color="auto"/>
          <w:color w:val="0000EE"/>
        </w:rPr>
        <w:t xml:space="preserve"> </w:t>
      </w:r>
      <w:hyperlink r:id="rId99">
        <w:r>
          <w:rPr>
            <w:rFonts w:ascii="Times New Roman" w:cs="Times New Roman" w:eastAsia="Times New Roman" w:hAnsi="Times New Roman"/>
            <w:sz w:val="18"/>
            <w:szCs w:val="18"/>
            <w:u w:val="single" w:color="auto"/>
            <w:color w:val="0000EE"/>
          </w:rPr>
          <w:t>Form 10-Q filed on January 29, 2021).</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120" w:right="119" w:hanging="791"/>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00">
        <w:r>
          <w:rPr>
            <w:rFonts w:ascii="Times New Roman" w:cs="Times New Roman" w:eastAsia="Times New Roman" w:hAnsi="Times New Roman"/>
            <w:sz w:val="18"/>
            <w:szCs w:val="18"/>
            <w:u w:val="single" w:color="auto"/>
            <w:color w:val="0000EE"/>
          </w:rPr>
          <w:t>Letter Agreement between the Company and Kenneth Jacobson as Chief Financial Officer dated August 30,</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2022 (incorporated herein by reference to Exhibit 10.2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on September 6, 2022).</w:t>
        </w:r>
      </w:hyperlink>
    </w:p>
    <w:p>
      <w:pPr>
        <w:spacing w:after="0" w:line="203" w:lineRule="exact"/>
        <w:rPr>
          <w:rFonts w:ascii="Times New Roman" w:cs="Times New Roman" w:eastAsia="Times New Roman" w:hAnsi="Times New Roman"/>
          <w:sz w:val="18"/>
          <w:szCs w:val="18"/>
          <w:u w:val="single" w:color="auto"/>
          <w:color w:val="0000EE"/>
        </w:rPr>
      </w:pPr>
    </w:p>
    <w:p>
      <w:pPr>
        <w:ind w:left="1120" w:right="279" w:hanging="791"/>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01">
        <w:r>
          <w:rPr>
            <w:rFonts w:ascii="Times New Roman" w:cs="Times New Roman" w:eastAsia="Times New Roman" w:hAnsi="Times New Roman"/>
            <w:sz w:val="18"/>
            <w:szCs w:val="18"/>
            <w:u w:val="single" w:color="auto"/>
            <w:color w:val="0000EE"/>
          </w:rPr>
          <w:t>Form of Letter Agreement between the Company and Ken Arnold, Max Chan, Michael McCoy, Elizabeth</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McMullen, and Dave Youngblood (incorporated herein by reference to Exhibit 10.2 to the Company’s</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Annual Report on Form 10-K filed on August 17, 2017).</w:t>
        </w:r>
      </w:hyperlink>
    </w:p>
    <w:p>
      <w:pPr>
        <w:spacing w:after="0" w:line="203" w:lineRule="exact"/>
        <w:rPr>
          <w:rFonts w:ascii="Times New Roman" w:cs="Times New Roman" w:eastAsia="Times New Roman" w:hAnsi="Times New Roman"/>
          <w:sz w:val="18"/>
          <w:szCs w:val="18"/>
          <w:u w:val="single" w:color="auto"/>
          <w:color w:val="0000EE"/>
        </w:rPr>
      </w:pPr>
    </w:p>
    <w:p>
      <w:pPr>
        <w:ind w:left="1120" w:right="119" w:hanging="791"/>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02">
        <w:r>
          <w:rPr>
            <w:rFonts w:ascii="Times New Roman" w:cs="Times New Roman" w:eastAsia="Times New Roman" w:hAnsi="Times New Roman"/>
            <w:sz w:val="18"/>
            <w:szCs w:val="18"/>
            <w:u w:val="single" w:color="auto"/>
            <w:color w:val="0000EE"/>
          </w:rPr>
          <w:t>Form of Change of Control Agreement between the Company and Philip Gallagher, Kenneth Jacobson, Ken</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Arnold, Max Chan, Michael McCoy, Elizabeth McMullen, and Dave Youngblood (incorporated herein by</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reference to Exhibit 10.3 to the Company’s Current Report on Form 8-K filed on February 15, 2011).</w:t>
        </w:r>
      </w:hyperlink>
    </w:p>
    <w:p>
      <w:pPr>
        <w:spacing w:after="0" w:line="176" w:lineRule="exact"/>
        <w:rPr>
          <w:rFonts w:ascii="Times New Roman" w:cs="Times New Roman" w:eastAsia="Times New Roman" w:hAnsi="Times New Roman"/>
          <w:sz w:val="18"/>
          <w:szCs w:val="18"/>
          <w:u w:val="single" w:color="auto"/>
          <w:color w:val="0000EE"/>
        </w:rPr>
      </w:pPr>
    </w:p>
    <w:p>
      <w:pPr>
        <w:ind w:left="1120" w:right="219" w:hanging="791"/>
        <w:spacing w:after="0" w:line="312"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03">
        <w:r>
          <w:rPr>
            <w:rFonts w:ascii="Times New Roman" w:cs="Times New Roman" w:eastAsia="Times New Roman" w:hAnsi="Times New Roman"/>
            <w:sz w:val="17"/>
            <w:szCs w:val="17"/>
            <w:u w:val="single" w:color="auto"/>
            <w:color w:val="0000EE"/>
          </w:rPr>
          <w:t>Form of Indemnity Agreement between the Company and its directors and officers (incorporated herein by</w:t>
        </w:r>
      </w:hyperlink>
      <w:r>
        <w:rPr>
          <w:rFonts w:ascii="Times New Roman" w:cs="Times New Roman" w:eastAsia="Times New Roman" w:hAnsi="Times New Roman"/>
          <w:sz w:val="17"/>
          <w:szCs w:val="17"/>
          <w:u w:val="single" w:color="auto"/>
          <w:color w:val="0000EE"/>
        </w:rPr>
        <w:t xml:space="preserve"> </w:t>
      </w:r>
      <w:hyperlink r:id="rId103">
        <w:r>
          <w:rPr>
            <w:rFonts w:ascii="Times New Roman" w:cs="Times New Roman" w:eastAsia="Times New Roman" w:hAnsi="Times New Roman"/>
            <w:sz w:val="17"/>
            <w:szCs w:val="17"/>
            <w:u w:val="single" w:color="auto"/>
            <w:color w:val="0000EE"/>
          </w:rPr>
          <w:t>reference to Exhibit 10.1 to the Company’s Quarterly Report on Form 10-Q filed on November 3, 2023).</w:t>
        </w:r>
      </w:hyperlink>
    </w:p>
    <w:p>
      <w:pPr>
        <w:spacing w:after="0" w:line="153" w:lineRule="exact"/>
        <w:rPr>
          <w:sz w:val="20"/>
          <w:szCs w:val="20"/>
          <w:color w:val="auto"/>
        </w:rPr>
      </w:pPr>
    </w:p>
    <w:p>
      <w:pPr>
        <w:jc w:val="center"/>
        <w:ind w:left="60" w:right="219"/>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10.6     </w:t>
      </w:r>
      <w:hyperlink r:id="rId104">
        <w:r>
          <w:rPr>
            <w:rFonts w:ascii="Times New Roman" w:cs="Times New Roman" w:eastAsia="Times New Roman" w:hAnsi="Times New Roman"/>
            <w:sz w:val="18"/>
            <w:szCs w:val="18"/>
            <w:u w:val="single" w:color="auto"/>
            <w:color w:val="0000EE"/>
          </w:rPr>
          <w:t>Avnet Executive Severance Plan (Effective as of August 10, 2017) (incorporated herein by reference to</w:t>
        </w:r>
      </w:hyperlink>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EE"/>
          </w:rPr>
          <w:t>Exhibit 10.1 to the Company’s Quarterly Report on Form 10-Q filed on October 30, 2017).</w:t>
        </w:r>
      </w:hyperlink>
    </w:p>
    <w:p>
      <w:pPr>
        <w:spacing w:after="0" w:line="175" w:lineRule="exact"/>
        <w:rPr>
          <w:sz w:val="20"/>
          <w:szCs w:val="20"/>
          <w:color w:val="auto"/>
        </w:rPr>
      </w:pPr>
    </w:p>
    <w:p>
      <w:pPr>
        <w:ind w:left="1120" w:right="579" w:hanging="791"/>
        <w:spacing w:after="0" w:line="312"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05">
        <w:r>
          <w:rPr>
            <w:rFonts w:ascii="Times New Roman" w:cs="Times New Roman" w:eastAsia="Times New Roman" w:hAnsi="Times New Roman"/>
            <w:sz w:val="17"/>
            <w:szCs w:val="17"/>
            <w:u w:val="single" w:color="auto"/>
            <w:color w:val="0000EE"/>
          </w:rPr>
          <w:t>Avnet Supplemental Executive Officers’ Retirement Plan (2013 Restatement) (incorporated herein by</w:t>
        </w:r>
      </w:hyperlink>
      <w:r>
        <w:rPr>
          <w:rFonts w:ascii="Times New Roman" w:cs="Times New Roman" w:eastAsia="Times New Roman" w:hAnsi="Times New Roman"/>
          <w:sz w:val="17"/>
          <w:szCs w:val="17"/>
          <w:u w:val="single" w:color="auto"/>
          <w:color w:val="0000EE"/>
        </w:rPr>
        <w:t xml:space="preserve"> </w:t>
      </w:r>
      <w:hyperlink r:id="rId105">
        <w:r>
          <w:rPr>
            <w:rFonts w:ascii="Times New Roman" w:cs="Times New Roman" w:eastAsia="Times New Roman" w:hAnsi="Times New Roman"/>
            <w:sz w:val="17"/>
            <w:szCs w:val="17"/>
            <w:u w:val="single" w:color="auto"/>
            <w:color w:val="0000EE"/>
          </w:rPr>
          <w:t>reference to Exhibit 10.13 to the Company’s Annual Report on Form 10-K filed on August 9, 2013).</w:t>
        </w:r>
      </w:hyperlink>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20" w:right="679" w:hanging="791"/>
        <w:spacing w:after="0" w:line="282"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07">
        <w:r>
          <w:rPr>
            <w:rFonts w:ascii="Times New Roman" w:cs="Times New Roman" w:eastAsia="Times New Roman" w:hAnsi="Times New Roman"/>
            <w:sz w:val="18"/>
            <w:szCs w:val="18"/>
            <w:u w:val="single" w:color="auto"/>
            <w:color w:val="0000EE"/>
          </w:rPr>
          <w:t>Avnet Restoration Plan (2013 Restatement) (incorporated herein by reference to Exhibit 10.14 to the</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Company’s Annual Report on Form 10-K filed on August 9, 2013).</w:t>
        </w:r>
      </w:hyperlink>
    </w:p>
    <w:p>
      <w:pPr>
        <w:spacing w:after="0" w:line="162" w:lineRule="exact"/>
        <w:rPr>
          <w:sz w:val="20"/>
          <w:szCs w:val="20"/>
          <w:color w:val="auto"/>
        </w:rPr>
      </w:pPr>
    </w:p>
    <w:p>
      <w:pPr>
        <w:ind w:left="1120" w:right="279" w:hanging="791"/>
        <w:spacing w:after="0" w:line="261"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08">
        <w:r>
          <w:rPr>
            <w:rFonts w:ascii="Times New Roman" w:cs="Times New Roman" w:eastAsia="Times New Roman" w:hAnsi="Times New Roman"/>
            <w:sz w:val="18"/>
            <w:szCs w:val="18"/>
            <w:u w:val="single" w:color="auto"/>
            <w:color w:val="0000EE"/>
          </w:rPr>
          <w:t>Avnet, Inc. 2016 Stock Compensation and Incentive Plan (Amended and Restated Effective as of May 8,</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2018). (incorporated herein by reference to Exhibit 10.12 to the Company’s Annual Report on Form 10-K</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filed on August 17, 2018). Refer to Exhibit 10.12, above, for the form of awards under the 2016 Stock</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Compensation and Incentive Plan.</w:t>
        </w:r>
      </w:hyperlink>
    </w:p>
    <w:p>
      <w:pPr>
        <w:spacing w:after="0" w:line="180" w:lineRule="exact"/>
        <w:rPr>
          <w:rFonts w:ascii="Times New Roman" w:cs="Times New Roman" w:eastAsia="Times New Roman" w:hAnsi="Times New Roman"/>
          <w:sz w:val="18"/>
          <w:szCs w:val="18"/>
          <w:u w:val="single" w:color="auto"/>
          <w:color w:val="0000EE"/>
        </w:rPr>
      </w:pPr>
    </w:p>
    <w:p>
      <w:pPr>
        <w:ind w:left="1120" w:right="219" w:hanging="836"/>
        <w:spacing w:after="0" w:line="282"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09">
        <w:r>
          <w:rPr>
            <w:rFonts w:ascii="Times New Roman" w:cs="Times New Roman" w:eastAsia="Times New Roman" w:hAnsi="Times New Roman"/>
            <w:sz w:val="18"/>
            <w:szCs w:val="18"/>
            <w:u w:val="single" w:color="auto"/>
            <w:color w:val="0000EE"/>
          </w:rPr>
          <w:t>Avnet, Inc. 2021 Stock Compensation and Incentive Plan (incorporated herein by reference to Exhibit 10.2</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to the Company’s Quarterly Report on Form 10-Q filed on April 29, 2022).</w:t>
        </w:r>
      </w:hyperlink>
    </w:p>
    <w:p>
      <w:pPr>
        <w:spacing w:after="0" w:line="162" w:lineRule="exact"/>
        <w:rPr>
          <w:sz w:val="20"/>
          <w:szCs w:val="20"/>
          <w:color w:val="auto"/>
        </w:rPr>
      </w:pPr>
    </w:p>
    <w:p>
      <w:pPr>
        <w:ind w:left="28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10">
        <w:r>
          <w:rPr>
            <w:rFonts w:ascii="Times New Roman" w:cs="Times New Roman" w:eastAsia="Times New Roman" w:hAnsi="Times New Roman"/>
            <w:sz w:val="17"/>
            <w:szCs w:val="17"/>
            <w:u w:val="single" w:color="auto"/>
            <w:color w:val="0000EE"/>
          </w:rPr>
          <w:t>Avnet, Inc. 2021 Stock Compensation and Incentive Plan:</w:t>
        </w:r>
      </w:hyperlink>
    </w:p>
    <w:p>
      <w:pPr>
        <w:spacing w:after="0" w:line="27" w:lineRule="exact"/>
        <w:rPr>
          <w:sz w:val="20"/>
          <w:szCs w:val="20"/>
          <w:color w:val="auto"/>
        </w:rPr>
      </w:pPr>
    </w:p>
    <w:p>
      <w:pPr>
        <w:ind w:left="1360" w:hanging="243"/>
        <w:spacing w:after="0"/>
        <w:tabs>
          <w:tab w:leader="none" w:pos="1360" w:val="left"/>
        </w:tabs>
        <w:numPr>
          <w:ilvl w:val="0"/>
          <w:numId w:val="19"/>
        </w:numPr>
        <w:rPr>
          <w:rFonts w:ascii="Times New Roman" w:cs="Times New Roman" w:eastAsia="Times New Roman" w:hAnsi="Times New Roman"/>
          <w:sz w:val="18"/>
          <w:szCs w:val="18"/>
          <w:u w:val="single" w:color="auto"/>
          <w:color w:val="0000EE"/>
        </w:rPr>
      </w:pPr>
      <w:hyperlink r:id="rId110">
        <w:r>
          <w:rPr>
            <w:rFonts w:ascii="Times New Roman" w:cs="Times New Roman" w:eastAsia="Times New Roman" w:hAnsi="Times New Roman"/>
            <w:sz w:val="18"/>
            <w:szCs w:val="18"/>
            <w:u w:val="single" w:color="auto"/>
            <w:color w:val="0000EE"/>
          </w:rPr>
          <w:t>Form of Award Letter for Restricted Stock Unit Award</w:t>
        </w:r>
      </w:hyperlink>
    </w:p>
    <w:p>
      <w:pPr>
        <w:spacing w:after="0" w:line="9" w:lineRule="exact"/>
        <w:rPr>
          <w:rFonts w:ascii="Times New Roman" w:cs="Times New Roman" w:eastAsia="Times New Roman" w:hAnsi="Times New Roman"/>
          <w:sz w:val="18"/>
          <w:szCs w:val="18"/>
          <w:u w:val="single" w:color="auto"/>
          <w:color w:val="0000EE"/>
        </w:rPr>
      </w:pPr>
    </w:p>
    <w:p>
      <w:pPr>
        <w:ind w:left="1380" w:hanging="263"/>
        <w:spacing w:after="0"/>
        <w:tabs>
          <w:tab w:leader="none" w:pos="1380" w:val="left"/>
        </w:tabs>
        <w:numPr>
          <w:ilvl w:val="0"/>
          <w:numId w:val="19"/>
        </w:numPr>
        <w:rPr>
          <w:rFonts w:ascii="Times New Roman" w:cs="Times New Roman" w:eastAsia="Times New Roman" w:hAnsi="Times New Roman"/>
          <w:sz w:val="18"/>
          <w:szCs w:val="18"/>
          <w:u w:val="single" w:color="auto"/>
          <w:color w:val="0000EE"/>
        </w:rPr>
      </w:pPr>
      <w:hyperlink r:id="rId111">
        <w:r>
          <w:rPr>
            <w:rFonts w:ascii="Times New Roman" w:cs="Times New Roman" w:eastAsia="Times New Roman" w:hAnsi="Times New Roman"/>
            <w:sz w:val="18"/>
            <w:szCs w:val="18"/>
            <w:u w:val="single" w:color="auto"/>
            <w:color w:val="0000EE"/>
          </w:rPr>
          <w:t>Form of Award Letter for Performance Stock Unit Award</w:t>
        </w:r>
      </w:hyperlink>
    </w:p>
    <w:p>
      <w:pPr>
        <w:spacing w:after="0" w:line="9" w:lineRule="exact"/>
        <w:rPr>
          <w:rFonts w:ascii="Times New Roman" w:cs="Times New Roman" w:eastAsia="Times New Roman" w:hAnsi="Times New Roman"/>
          <w:sz w:val="18"/>
          <w:szCs w:val="18"/>
          <w:u w:val="single" w:color="auto"/>
          <w:color w:val="0000EE"/>
        </w:rPr>
      </w:pPr>
    </w:p>
    <w:p>
      <w:pPr>
        <w:ind w:left="1360" w:hanging="243"/>
        <w:spacing w:after="0"/>
        <w:tabs>
          <w:tab w:leader="none" w:pos="1360" w:val="left"/>
        </w:tabs>
        <w:numPr>
          <w:ilvl w:val="0"/>
          <w:numId w:val="19"/>
        </w:numPr>
        <w:rPr>
          <w:rFonts w:ascii="Times New Roman" w:cs="Times New Roman" w:eastAsia="Times New Roman" w:hAnsi="Times New Roman"/>
          <w:sz w:val="18"/>
          <w:szCs w:val="18"/>
          <w:u w:val="single" w:color="auto"/>
          <w:color w:val="0000EE"/>
        </w:rPr>
      </w:pPr>
      <w:hyperlink r:id="rId112">
        <w:r>
          <w:rPr>
            <w:rFonts w:ascii="Times New Roman" w:cs="Times New Roman" w:eastAsia="Times New Roman" w:hAnsi="Times New Roman"/>
            <w:sz w:val="18"/>
            <w:szCs w:val="18"/>
            <w:u w:val="single" w:color="auto"/>
            <w:color w:val="0000EE"/>
          </w:rPr>
          <w:t>Form of Award Letter for Nonqualified Stock Option Award</w:t>
        </w:r>
      </w:hyperlink>
    </w:p>
    <w:p>
      <w:pPr>
        <w:spacing w:after="0" w:line="9" w:lineRule="exact"/>
        <w:rPr>
          <w:rFonts w:ascii="Times New Roman" w:cs="Times New Roman" w:eastAsia="Times New Roman" w:hAnsi="Times New Roman"/>
          <w:sz w:val="18"/>
          <w:szCs w:val="18"/>
          <w:u w:val="single" w:color="auto"/>
          <w:color w:val="0000EE"/>
        </w:rPr>
      </w:pPr>
    </w:p>
    <w:p>
      <w:pPr>
        <w:ind w:left="1120" w:right="119"/>
        <w:spacing w:after="0" w:line="260" w:lineRule="auto"/>
        <w:rPr>
          <w:rFonts w:ascii="Times New Roman" w:cs="Times New Roman" w:eastAsia="Times New Roman" w:hAnsi="Times New Roman"/>
          <w:sz w:val="18"/>
          <w:szCs w:val="18"/>
          <w:u w:val="single" w:color="auto"/>
          <w:color w:val="0000EE"/>
        </w:rPr>
      </w:pPr>
      <w:hyperlink r:id="rId112">
        <w:r>
          <w:rPr>
            <w:rFonts w:ascii="Times New Roman" w:cs="Times New Roman" w:eastAsia="Times New Roman" w:hAnsi="Times New Roman"/>
            <w:sz w:val="18"/>
            <w:szCs w:val="18"/>
            <w:color w:val="0000EE"/>
          </w:rPr>
          <w:t>(incorporated herein by reference to Exhibit 10.3 to the Company’s Quarterly Report on Form 10-Q filed on</w:t>
        </w:r>
      </w:hyperlink>
      <w:r>
        <w:rPr>
          <w:rFonts w:ascii="Times New Roman" w:cs="Times New Roman" w:eastAsia="Times New Roman" w:hAnsi="Times New Roman"/>
          <w:sz w:val="18"/>
          <w:szCs w:val="18"/>
          <w:color w:val="0000EE"/>
        </w:rPr>
        <w:t xml:space="preserve"> </w:t>
      </w:r>
      <w:hyperlink r:id="rId112">
        <w:r>
          <w:rPr>
            <w:rFonts w:ascii="Times New Roman" w:cs="Times New Roman" w:eastAsia="Times New Roman" w:hAnsi="Times New Roman"/>
            <w:sz w:val="18"/>
            <w:szCs w:val="18"/>
            <w:u w:val="single" w:color="auto"/>
            <w:color w:val="0000EE"/>
          </w:rPr>
          <w:t>April 29,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-172720</wp:posOffset>
            </wp:positionV>
            <wp:extent cx="49403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4940300" cy="8890"/>
                    </a:xfrm>
                    <a:prstGeom prst="rect">
                      <a:avLst/>
                    </a:prstGeom>
                    <a:noFill/>
                  </pic:spPr>
                </pic:pic>
              </a:graphicData>
            </a:graphic>
          </wp:anchor>
        </w:drawing>
      </w:r>
    </w:p>
    <w:p>
      <w:pPr>
        <w:spacing w:after="0" w:line="161" w:lineRule="exact"/>
        <w:rPr>
          <w:sz w:val="20"/>
          <w:szCs w:val="20"/>
          <w:color w:val="auto"/>
        </w:rPr>
      </w:pPr>
    </w:p>
    <w:p>
      <w:pPr>
        <w:jc w:val="both"/>
        <w:ind w:left="1120" w:right="159" w:hanging="836"/>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14">
        <w:r>
          <w:rPr>
            <w:rFonts w:ascii="Times New Roman" w:cs="Times New Roman" w:eastAsia="Times New Roman" w:hAnsi="Times New Roman"/>
            <w:sz w:val="18"/>
            <w:szCs w:val="18"/>
            <w:u w:val="single" w:color="auto"/>
            <w:color w:val="0000EE"/>
          </w:rPr>
          <w:t>Avnet, Inc. Deferred Compensation Plan for Outside Directors (Amended and Restated Effective as of May</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8, 2018) (incorporated herein by reference to Exhibit 10.5 to the Company’s Annual Report on Form 10-K</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filed on August 17, 2018).</w:t>
        </w:r>
      </w:hyperlink>
    </w:p>
    <w:p>
      <w:pPr>
        <w:spacing w:after="0" w:line="172" w:lineRule="exact"/>
        <w:rPr>
          <w:rFonts w:ascii="Times New Roman" w:cs="Times New Roman" w:eastAsia="Times New Roman" w:hAnsi="Times New Roman"/>
          <w:sz w:val="18"/>
          <w:szCs w:val="18"/>
          <w:u w:val="single" w:color="auto"/>
          <w:color w:val="0000EE"/>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Bank Agreements</w:t>
      </w:r>
    </w:p>
    <w:p>
      <w:pPr>
        <w:spacing w:after="0" w:line="229" w:lineRule="exact"/>
        <w:rPr>
          <w:rFonts w:ascii="Times New Roman" w:cs="Times New Roman" w:eastAsia="Times New Roman" w:hAnsi="Times New Roman"/>
          <w:sz w:val="18"/>
          <w:szCs w:val="18"/>
          <w:u w:val="single" w:color="auto"/>
          <w:color w:val="0000EE"/>
        </w:rPr>
      </w:pPr>
    </w:p>
    <w:p>
      <w:pPr>
        <w:ind w:left="280"/>
        <w:spacing w:after="0"/>
        <w:tabs>
          <w:tab w:leader="none" w:pos="110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7"/>
          <w:szCs w:val="17"/>
          <w:color w:val="auto"/>
        </w:rPr>
        <w:t>Securitization Program</w:t>
      </w:r>
    </w:p>
    <w:p>
      <w:pPr>
        <w:spacing w:after="0" w:line="225" w:lineRule="exact"/>
        <w:rPr>
          <w:rFonts w:ascii="Times New Roman" w:cs="Times New Roman" w:eastAsia="Times New Roman" w:hAnsi="Times New Roman"/>
          <w:sz w:val="18"/>
          <w:szCs w:val="18"/>
          <w:u w:val="single" w:color="auto"/>
          <w:color w:val="0000EE"/>
        </w:rPr>
      </w:pPr>
    </w:p>
    <w:p>
      <w:pPr>
        <w:ind w:left="1120" w:right="139" w:hanging="3"/>
        <w:spacing w:after="0" w:line="266" w:lineRule="auto"/>
        <w:tabs>
          <w:tab w:leader="none" w:pos="1365" w:val="left"/>
        </w:tabs>
        <w:numPr>
          <w:ilvl w:val="0"/>
          <w:numId w:val="20"/>
        </w:numPr>
        <w:rPr>
          <w:rFonts w:ascii="Times New Roman" w:cs="Times New Roman" w:eastAsia="Times New Roman" w:hAnsi="Times New Roman"/>
          <w:sz w:val="18"/>
          <w:szCs w:val="18"/>
          <w:u w:val="single" w:color="auto"/>
          <w:color w:val="0000EE"/>
        </w:rPr>
      </w:pPr>
      <w:hyperlink r:id="rId115">
        <w:r>
          <w:rPr>
            <w:rFonts w:ascii="Times New Roman" w:cs="Times New Roman" w:eastAsia="Times New Roman" w:hAnsi="Times New Roman"/>
            <w:sz w:val="18"/>
            <w:szCs w:val="18"/>
            <w:u w:val="single" w:color="auto"/>
            <w:color w:val="0000EE"/>
          </w:rPr>
          <w:t>Receivables Sale Agreement: (1) Second Amended and Restated Receivables Sale Agreement, dated</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August 16, 2018, between Avnet, Inc. and Avnet Receivables Corporation (incorporated herein by reference</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to Exhibit 10.2 to the Company’s Current Report on Form 8-K filed on August 17, 2018).</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120" w:right="319" w:hanging="3"/>
        <w:spacing w:after="0" w:line="266" w:lineRule="auto"/>
        <w:tabs>
          <w:tab w:leader="none" w:pos="1375" w:val="left"/>
        </w:tabs>
        <w:numPr>
          <w:ilvl w:val="0"/>
          <w:numId w:val="21"/>
        </w:numPr>
        <w:rPr>
          <w:rFonts w:ascii="Times New Roman" w:cs="Times New Roman" w:eastAsia="Times New Roman" w:hAnsi="Times New Roman"/>
          <w:sz w:val="18"/>
          <w:szCs w:val="18"/>
          <w:u w:val="single" w:color="auto"/>
          <w:color w:val="0000EE"/>
        </w:rPr>
      </w:pPr>
      <w:hyperlink r:id="rId116">
        <w:r>
          <w:rPr>
            <w:rFonts w:ascii="Times New Roman" w:cs="Times New Roman" w:eastAsia="Times New Roman" w:hAnsi="Times New Roman"/>
            <w:sz w:val="18"/>
            <w:szCs w:val="18"/>
            <w:u w:val="single" w:color="auto"/>
            <w:color w:val="0000EE"/>
          </w:rPr>
          <w:t>Amendment No. 1 to the Second Amended and Restated Receivables Sale Agreement, dated July 31,</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2020, among Avnet, Inc. and Avnet Receivables Corporation (incorporated herein by reference to Exhibit</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10.2 to the Company’s Current Report on Form 8-K filed on August 6, 2020).</w:t>
        </w:r>
      </w:hyperlink>
    </w:p>
    <w:p>
      <w:pPr>
        <w:spacing w:after="0" w:line="176" w:lineRule="exact"/>
        <w:rPr>
          <w:rFonts w:ascii="Times New Roman" w:cs="Times New Roman" w:eastAsia="Times New Roman" w:hAnsi="Times New Roman"/>
          <w:sz w:val="18"/>
          <w:szCs w:val="18"/>
          <w:u w:val="single" w:color="auto"/>
          <w:color w:val="0000EE"/>
        </w:rPr>
      </w:pPr>
    </w:p>
    <w:p>
      <w:pPr>
        <w:ind w:left="1120" w:right="179" w:hanging="3"/>
        <w:spacing w:after="0" w:line="261" w:lineRule="auto"/>
        <w:tabs>
          <w:tab w:leader="none" w:pos="1375" w:val="left"/>
        </w:tabs>
        <w:numPr>
          <w:ilvl w:val="0"/>
          <w:numId w:val="22"/>
        </w:numPr>
        <w:rPr>
          <w:rFonts w:ascii="Times New Roman" w:cs="Times New Roman" w:eastAsia="Times New Roman" w:hAnsi="Times New Roman"/>
          <w:sz w:val="18"/>
          <w:szCs w:val="18"/>
          <w:u w:val="single" w:color="auto"/>
          <w:color w:val="0000EE"/>
        </w:rPr>
      </w:pPr>
      <w:hyperlink r:id="rId117">
        <w:r>
          <w:rPr>
            <w:rFonts w:ascii="Times New Roman" w:cs="Times New Roman" w:eastAsia="Times New Roman" w:hAnsi="Times New Roman"/>
            <w:sz w:val="18"/>
            <w:szCs w:val="18"/>
            <w:u w:val="single" w:color="auto"/>
            <w:color w:val="0000EE"/>
          </w:rPr>
          <w:t>Receivables Purchase Agreement: (1) Fourth Amended and Restated Receivables Purchase Agreement,</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dated August 16, 2018, among Avnet, Inc., Avnet Receivables Corporation, the companies and financial</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institutions party thereto and Wells Fargo Bank, N.A., as agent (incorporated herein by reference to Exhibit</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10.1 to the Company’s Current Report on Form 8-K filed on August 17, 2018).</w:t>
        </w:r>
      </w:hyperlink>
    </w:p>
    <w:p>
      <w:pPr>
        <w:spacing w:after="0" w:line="180" w:lineRule="exact"/>
        <w:rPr>
          <w:rFonts w:ascii="Times New Roman" w:cs="Times New Roman" w:eastAsia="Times New Roman" w:hAnsi="Times New Roman"/>
          <w:sz w:val="18"/>
          <w:szCs w:val="18"/>
          <w:u w:val="single" w:color="auto"/>
          <w:color w:val="0000EE"/>
        </w:rPr>
      </w:pPr>
    </w:p>
    <w:p>
      <w:pPr>
        <w:ind w:left="1120" w:right="139" w:hanging="3"/>
        <w:spacing w:after="0" w:line="261" w:lineRule="auto"/>
        <w:tabs>
          <w:tab w:leader="none" w:pos="1375" w:val="left"/>
        </w:tabs>
        <w:numPr>
          <w:ilvl w:val="0"/>
          <w:numId w:val="23"/>
        </w:numPr>
        <w:rPr>
          <w:rFonts w:ascii="Times New Roman" w:cs="Times New Roman" w:eastAsia="Times New Roman" w:hAnsi="Times New Roman"/>
          <w:sz w:val="18"/>
          <w:szCs w:val="18"/>
          <w:u w:val="single" w:color="auto"/>
          <w:color w:val="0000EE"/>
        </w:rPr>
      </w:pPr>
      <w:hyperlink r:id="rId118">
        <w:r>
          <w:rPr>
            <w:rFonts w:ascii="Times New Roman" w:cs="Times New Roman" w:eastAsia="Times New Roman" w:hAnsi="Times New Roman"/>
            <w:sz w:val="18"/>
            <w:szCs w:val="18"/>
            <w:u w:val="single" w:color="auto"/>
            <w:color w:val="0000EE"/>
          </w:rPr>
          <w:t>Amendment No. 1 to Fourth Amended and Restated Receivables Purchase Agreement, dated February</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28, 2020, among Avnet, Inc., Avnet Receivables Corporation, the companies and financial institutions party</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thereto and Wells Fargo Bank, N.A., as agent (incorporated herein by reference to Exhibit 10.1 to the</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Company’s Annual Report on Form 10-Q filed on May 1, 2020).</w:t>
        </w:r>
      </w:hyperlink>
    </w:p>
    <w:p>
      <w:pPr>
        <w:spacing w:after="0" w:line="179" w:lineRule="exact"/>
        <w:rPr>
          <w:rFonts w:ascii="Times New Roman" w:cs="Times New Roman" w:eastAsia="Times New Roman" w:hAnsi="Times New Roman"/>
          <w:sz w:val="18"/>
          <w:szCs w:val="18"/>
          <w:u w:val="single" w:color="auto"/>
          <w:color w:val="0000EE"/>
        </w:rPr>
      </w:pPr>
    </w:p>
    <w:p>
      <w:pPr>
        <w:ind w:left="1120" w:right="79" w:hanging="3"/>
        <w:spacing w:after="0" w:line="261" w:lineRule="auto"/>
        <w:tabs>
          <w:tab w:leader="none" w:pos="1375" w:val="left"/>
        </w:tabs>
        <w:numPr>
          <w:ilvl w:val="0"/>
          <w:numId w:val="23"/>
        </w:numPr>
        <w:rPr>
          <w:rFonts w:ascii="Times New Roman" w:cs="Times New Roman" w:eastAsia="Times New Roman" w:hAnsi="Times New Roman"/>
          <w:sz w:val="18"/>
          <w:szCs w:val="18"/>
          <w:u w:val="single" w:color="auto"/>
          <w:color w:val="0000EE"/>
        </w:rPr>
      </w:pPr>
      <w:hyperlink r:id="rId119">
        <w:r>
          <w:rPr>
            <w:rFonts w:ascii="Times New Roman" w:cs="Times New Roman" w:eastAsia="Times New Roman" w:hAnsi="Times New Roman"/>
            <w:sz w:val="18"/>
            <w:szCs w:val="18"/>
            <w:u w:val="single" w:color="auto"/>
            <w:color w:val="0000EE"/>
          </w:rPr>
          <w:t>Amendment No. 2 to the Fourth Amended and Restated Receivables Purchase Agreement, dated July 31,</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2020, among Avnet, Inc., Avnet Receivables Corporation, Wells Fargo Bank, N.A., as agent, and the</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companies and financial institutions party thereto (incorporated herein by reference to Exhibit 10.1 to the</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Company’s Current Report on Form 8-K filed on August 6, 2020).</w:t>
        </w:r>
      </w:hyperlink>
    </w:p>
    <w:p>
      <w:pPr>
        <w:spacing w:after="0" w:line="179" w:lineRule="exact"/>
        <w:rPr>
          <w:rFonts w:ascii="Times New Roman" w:cs="Times New Roman" w:eastAsia="Times New Roman" w:hAnsi="Times New Roman"/>
          <w:sz w:val="18"/>
          <w:szCs w:val="18"/>
          <w:u w:val="single" w:color="auto"/>
          <w:color w:val="0000EE"/>
        </w:rPr>
      </w:pPr>
    </w:p>
    <w:p>
      <w:pPr>
        <w:ind w:left="1120" w:right="79" w:hanging="3"/>
        <w:spacing w:after="0" w:line="261" w:lineRule="auto"/>
        <w:tabs>
          <w:tab w:leader="none" w:pos="1375" w:val="left"/>
        </w:tabs>
        <w:numPr>
          <w:ilvl w:val="0"/>
          <w:numId w:val="23"/>
        </w:numPr>
        <w:rPr>
          <w:rFonts w:ascii="Times New Roman" w:cs="Times New Roman" w:eastAsia="Times New Roman" w:hAnsi="Times New Roman"/>
          <w:sz w:val="18"/>
          <w:szCs w:val="18"/>
          <w:u w:val="single" w:color="auto"/>
          <w:color w:val="0000EE"/>
        </w:rPr>
      </w:pPr>
      <w:hyperlink r:id="rId120">
        <w:r>
          <w:rPr>
            <w:rFonts w:ascii="Times New Roman" w:cs="Times New Roman" w:eastAsia="Times New Roman" w:hAnsi="Times New Roman"/>
            <w:sz w:val="18"/>
            <w:szCs w:val="18"/>
            <w:u w:val="single" w:color="auto"/>
            <w:color w:val="0000EE"/>
          </w:rPr>
          <w:t>Amendment No. 3 to the Fourth Amended and Restated Receivables Purchase Agreement, dated July 30,</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2021, among Avnet, Inc., Avnet Receivables Corporation, Wells Fargo Bank, N.A., as agent, and the</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companies and financial institutions party thereto (incorporated herein by reference to Exhibit 10.18B4 to</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the Company’s Annual Report on Form 10-K filed on August 12, 2022).</w:t>
        </w:r>
      </w:hyperlink>
    </w:p>
    <w:p>
      <w:pPr>
        <w:sectPr>
          <w:pgSz w:w="11900" w:h="16838" w:orient="portrait"/>
          <w:cols w:equalWidth="0" w:num="1">
            <w:col w:w="9019"/>
          </w:cols>
          <w:pgMar w:left="1440" w:top="513" w:right="1440" w:bottom="1440" w:gutter="0" w:footer="0" w:header="0"/>
        </w:sectPr>
      </w:pPr>
    </w:p>
    <w:p>
      <w:pPr>
        <w:spacing w:after="0" w:line="396"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20" w:right="119" w:hanging="3"/>
        <w:spacing w:after="0" w:line="261" w:lineRule="auto"/>
        <w:tabs>
          <w:tab w:leader="none" w:pos="1375" w:val="left"/>
        </w:tabs>
        <w:numPr>
          <w:ilvl w:val="0"/>
          <w:numId w:val="24"/>
        </w:numPr>
        <w:rPr>
          <w:rFonts w:ascii="Times New Roman" w:cs="Times New Roman" w:eastAsia="Times New Roman" w:hAnsi="Times New Roman"/>
          <w:sz w:val="18"/>
          <w:szCs w:val="18"/>
          <w:u w:val="single" w:color="auto"/>
          <w:color w:val="0000EE"/>
        </w:rPr>
      </w:pPr>
      <w:hyperlink r:id="rId122">
        <w:r>
          <w:rPr>
            <w:rFonts w:ascii="Times New Roman" w:cs="Times New Roman" w:eastAsia="Times New Roman" w:hAnsi="Times New Roman"/>
            <w:sz w:val="18"/>
            <w:szCs w:val="18"/>
            <w:u w:val="single" w:color="auto"/>
            <w:color w:val="0000EE"/>
          </w:rPr>
          <w:t>Amendment No. 4 to the Fourth Amended and Restated Receivables Purchase Agreement, dated August</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16, 2021, among Avnet, Inc., Avnet Receivables Corporation, Wells Fargo Bank, N.A., as agent, and the</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companies and financial institutions party thereto (incorporated herein by reference to Exhibit 10.1 to the</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Company’s Current Report on Form 8-K filed on August 18, 2021).</w:t>
        </w:r>
      </w:hyperlink>
    </w:p>
    <w:p>
      <w:pPr>
        <w:spacing w:after="0" w:line="179" w:lineRule="exact"/>
        <w:rPr>
          <w:rFonts w:ascii="Times New Roman" w:cs="Times New Roman" w:eastAsia="Times New Roman" w:hAnsi="Times New Roman"/>
          <w:sz w:val="18"/>
          <w:szCs w:val="18"/>
          <w:u w:val="single" w:color="auto"/>
          <w:color w:val="0000EE"/>
        </w:rPr>
      </w:pPr>
    </w:p>
    <w:p>
      <w:pPr>
        <w:ind w:left="1120" w:right="79" w:hanging="3"/>
        <w:spacing w:after="0" w:line="261" w:lineRule="auto"/>
        <w:tabs>
          <w:tab w:leader="none" w:pos="1375" w:val="left"/>
        </w:tabs>
        <w:numPr>
          <w:ilvl w:val="0"/>
          <w:numId w:val="24"/>
        </w:numPr>
        <w:rPr>
          <w:rFonts w:ascii="Times New Roman" w:cs="Times New Roman" w:eastAsia="Times New Roman" w:hAnsi="Times New Roman"/>
          <w:sz w:val="18"/>
          <w:szCs w:val="18"/>
          <w:u w:val="single" w:color="auto"/>
          <w:color w:val="0000EE"/>
        </w:rPr>
      </w:pPr>
      <w:hyperlink r:id="rId123">
        <w:r>
          <w:rPr>
            <w:rFonts w:ascii="Times New Roman" w:cs="Times New Roman" w:eastAsia="Times New Roman" w:hAnsi="Times New Roman"/>
            <w:sz w:val="18"/>
            <w:szCs w:val="18"/>
            <w:u w:val="single" w:color="auto"/>
            <w:color w:val="0000EE"/>
          </w:rPr>
          <w:t>Amendment No. 5 to the Fourth Amended and Restated Receivables Purchase Agreement, dated January</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10, 2022, among Avnet, Inc., Avnet Receivables Corporation, Wells Fargo Bank, N.A., as agent, and the</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companies and financial institutions party thereto (incorporated herein by reference to Exhibit 10.1 to the</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Company’s Quarterly Report on Form 10-Q filed on April 29, 2022).</w:t>
        </w:r>
      </w:hyperlink>
    </w:p>
    <w:p>
      <w:pPr>
        <w:spacing w:after="0" w:line="179" w:lineRule="exact"/>
        <w:rPr>
          <w:rFonts w:ascii="Times New Roman" w:cs="Times New Roman" w:eastAsia="Times New Roman" w:hAnsi="Times New Roman"/>
          <w:sz w:val="18"/>
          <w:szCs w:val="18"/>
          <w:u w:val="single" w:color="auto"/>
          <w:color w:val="0000EE"/>
        </w:rPr>
      </w:pPr>
    </w:p>
    <w:p>
      <w:pPr>
        <w:ind w:left="1120" w:right="179" w:hanging="3"/>
        <w:spacing w:after="0" w:line="261" w:lineRule="auto"/>
        <w:tabs>
          <w:tab w:leader="none" w:pos="1375" w:val="left"/>
        </w:tabs>
        <w:numPr>
          <w:ilvl w:val="0"/>
          <w:numId w:val="24"/>
        </w:numPr>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Amendment No. 6 to the Fourth Amended and Restated Receivables Purchase Agreement, dated</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December 16, 2022, among Avnet, Inc., Avnet Receivables Corporation, Wells Fargo Bank, N.A., as agent,</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and the companies and financial institutions party thereto (incorporated herein by reference to Exhibit 10.1</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to the Company’s Current Report on Form 8-K filed on December 21, 2022).</w:t>
        </w:r>
      </w:hyperlink>
    </w:p>
    <w:p>
      <w:pPr>
        <w:spacing w:after="0" w:line="179" w:lineRule="exact"/>
        <w:rPr>
          <w:rFonts w:ascii="Times New Roman" w:cs="Times New Roman" w:eastAsia="Times New Roman" w:hAnsi="Times New Roman"/>
          <w:sz w:val="18"/>
          <w:szCs w:val="18"/>
          <w:u w:val="single" w:color="auto"/>
          <w:color w:val="0000EE"/>
        </w:rPr>
      </w:pPr>
    </w:p>
    <w:p>
      <w:pPr>
        <w:ind w:left="1120" w:right="299" w:hanging="3"/>
        <w:spacing w:after="0" w:line="261" w:lineRule="auto"/>
        <w:tabs>
          <w:tab w:leader="none" w:pos="1375" w:val="left"/>
        </w:tabs>
        <w:numPr>
          <w:ilvl w:val="0"/>
          <w:numId w:val="24"/>
        </w:numPr>
        <w:rPr>
          <w:rFonts w:ascii="Times New Roman" w:cs="Times New Roman" w:eastAsia="Times New Roman" w:hAnsi="Times New Roman"/>
          <w:sz w:val="18"/>
          <w:szCs w:val="18"/>
          <w:u w:val="single" w:color="auto"/>
          <w:color w:val="0000EE"/>
        </w:rPr>
      </w:pPr>
      <w:hyperlink r:id="rId125">
        <w:r>
          <w:rPr>
            <w:rFonts w:ascii="Times New Roman" w:cs="Times New Roman" w:eastAsia="Times New Roman" w:hAnsi="Times New Roman"/>
            <w:sz w:val="18"/>
            <w:szCs w:val="18"/>
            <w:u w:val="single" w:color="auto"/>
            <w:color w:val="0000EE"/>
          </w:rPr>
          <w:t>Amendment No. 7 to the Fourth Amended and Restated Receivables Purchase Agreement, dated May</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12, 2023, among Avnet, Inc., Avnet Receivables Corporation, Wells Fargo Bank, N.A., as agent, and the</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companies and financial institutions party thereto (incorporated herein by reference to Exhibit 10.17B8 to</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the Company’s Annual Report on Form 10-K filed on August 18, 2023).</w:t>
        </w:r>
      </w:hyperlink>
    </w:p>
    <w:p>
      <w:pPr>
        <w:spacing w:after="0" w:line="179" w:lineRule="exact"/>
        <w:rPr>
          <w:rFonts w:ascii="Times New Roman" w:cs="Times New Roman" w:eastAsia="Times New Roman" w:hAnsi="Times New Roman"/>
          <w:sz w:val="18"/>
          <w:szCs w:val="18"/>
          <w:u w:val="single" w:color="auto"/>
          <w:color w:val="0000EE"/>
        </w:rPr>
      </w:pPr>
    </w:p>
    <w:p>
      <w:pPr>
        <w:ind w:left="1120" w:right="259" w:hanging="3"/>
        <w:spacing w:after="0" w:line="261" w:lineRule="auto"/>
        <w:tabs>
          <w:tab w:leader="none" w:pos="1375" w:val="left"/>
        </w:tabs>
        <w:numPr>
          <w:ilvl w:val="0"/>
          <w:numId w:val="24"/>
        </w:numPr>
        <w:rPr>
          <w:rFonts w:ascii="Times New Roman" w:cs="Times New Roman" w:eastAsia="Times New Roman" w:hAnsi="Times New Roman"/>
          <w:sz w:val="18"/>
          <w:szCs w:val="18"/>
          <w:u w:val="single" w:color="auto"/>
          <w:color w:val="0000EE"/>
        </w:rPr>
      </w:pPr>
      <w:hyperlink r:id="rId126">
        <w:r>
          <w:rPr>
            <w:rFonts w:ascii="Times New Roman" w:cs="Times New Roman" w:eastAsia="Times New Roman" w:hAnsi="Times New Roman"/>
            <w:sz w:val="18"/>
            <w:szCs w:val="18"/>
            <w:u w:val="single" w:color="auto"/>
            <w:color w:val="0000EE"/>
          </w:rPr>
          <w:t>Amendment No. 8 to the Fourth Amended and Restated Receivables Purchase Agreement, dated</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December 6, 2024, among Avnet, Inc., Avnet Receivables Corporation, Wells Fargo Bank, N.A. as agent,</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and the financial institutions and companies party thereto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Company’s Current Report on Form 8-K filed on December 12, 2024).</w:t>
        </w:r>
      </w:hyperlink>
    </w:p>
    <w:p>
      <w:pPr>
        <w:spacing w:after="0" w:line="180" w:lineRule="exact"/>
        <w:rPr>
          <w:rFonts w:ascii="Times New Roman" w:cs="Times New Roman" w:eastAsia="Times New Roman" w:hAnsi="Times New Roman"/>
          <w:sz w:val="18"/>
          <w:szCs w:val="18"/>
          <w:u w:val="single" w:color="auto"/>
          <w:color w:val="0000EE"/>
        </w:rPr>
      </w:pPr>
    </w:p>
    <w:p>
      <w:pPr>
        <w:ind w:left="280"/>
        <w:spacing w:after="0"/>
        <w:tabs>
          <w:tab w:leader="none" w:pos="110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7"/>
          <w:szCs w:val="17"/>
          <w:color w:val="auto"/>
        </w:rPr>
        <w:t>Credit Facility</w:t>
      </w:r>
    </w:p>
    <w:p>
      <w:pPr>
        <w:spacing w:after="0" w:line="225" w:lineRule="exact"/>
        <w:rPr>
          <w:rFonts w:ascii="Times New Roman" w:cs="Times New Roman" w:eastAsia="Times New Roman" w:hAnsi="Times New Roman"/>
          <w:sz w:val="18"/>
          <w:szCs w:val="18"/>
          <w:u w:val="single" w:color="auto"/>
          <w:color w:val="0000EE"/>
        </w:rPr>
      </w:pPr>
    </w:p>
    <w:p>
      <w:pPr>
        <w:ind w:left="1120" w:right="119"/>
        <w:spacing w:after="0" w:line="258" w:lineRule="auto"/>
        <w:rPr>
          <w:rFonts w:ascii="Times New Roman" w:cs="Times New Roman" w:eastAsia="Times New Roman" w:hAnsi="Times New Roman"/>
          <w:sz w:val="18"/>
          <w:szCs w:val="18"/>
          <w:u w:val="single" w:color="auto"/>
          <w:color w:val="0000EE"/>
        </w:rPr>
      </w:pPr>
      <w:hyperlink r:id="rId127">
        <w:r>
          <w:rPr>
            <w:rFonts w:ascii="Times New Roman" w:cs="Times New Roman" w:eastAsia="Times New Roman" w:hAnsi="Times New Roman"/>
            <w:sz w:val="18"/>
            <w:szCs w:val="18"/>
            <w:u w:val="single" w:color="auto"/>
            <w:color w:val="0000EE"/>
          </w:rPr>
          <w:t>Third Amended and Restated Credit Agreement, dated January 17, 2025, among Avnet, Inc.; Avnet Holding</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Europe BV; Bank of America, N.A. as administrative agent, swing line lender, and letter of credit issuer;</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BNP Paribas, JPMorgan Chase Bank, N.A., MUFG Bank, Ltd., The Bank of Nova Scotia and Trust Bank as</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co-syndication agents; and various other lenders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Company’s Current Report on Form 8-K filed on January 22, 2025).</w:t>
        </w:r>
      </w:hyperlink>
    </w:p>
    <w:p>
      <w:pPr>
        <w:spacing w:after="0" w:line="183" w:lineRule="exact"/>
        <w:rPr>
          <w:rFonts w:ascii="Times New Roman" w:cs="Times New Roman" w:eastAsia="Times New Roman" w:hAnsi="Times New Roman"/>
          <w:sz w:val="18"/>
          <w:szCs w:val="18"/>
          <w:u w:val="single" w:color="auto"/>
          <w:color w:val="0000EE"/>
        </w:rPr>
      </w:pPr>
    </w:p>
    <w:p>
      <w:pPr>
        <w:ind w:left="1120" w:right="339" w:hanging="836"/>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28">
        <w:r>
          <w:rPr>
            <w:rFonts w:ascii="Times New Roman" w:cs="Times New Roman" w:eastAsia="Times New Roman" w:hAnsi="Times New Roman"/>
            <w:sz w:val="18"/>
            <w:szCs w:val="18"/>
            <w:u w:val="single" w:color="auto"/>
            <w:color w:val="0000EE"/>
          </w:rPr>
          <w:t>Credit Agreement dated July 1, 2025, among Avnet Holding Europe BV as borrower, Avnet, Inc. as</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guarantor, Bank of America, N.A. as administrative agent, and each lender party thereto (incorporated by</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reference to Exhibit 10.1 to the Company’s Current Report on Form 8-K filed on July 3, 2025).</w:t>
        </w:r>
      </w:hyperlink>
    </w:p>
    <w:p>
      <w:pPr>
        <w:spacing w:after="0" w:line="176" w:lineRule="exact"/>
        <w:rPr>
          <w:rFonts w:ascii="Times New Roman" w:cs="Times New Roman" w:eastAsia="Times New Roman" w:hAnsi="Times New Roman"/>
          <w:sz w:val="18"/>
          <w:szCs w:val="18"/>
          <w:u w:val="single" w:color="auto"/>
          <w:color w:val="0000EE"/>
        </w:rPr>
      </w:pPr>
    </w:p>
    <w:p>
      <w:pPr>
        <w:ind w:left="1120" w:right="779" w:hanging="791"/>
        <w:spacing w:after="0" w:line="282"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19.1</w:t>
      </w:r>
      <w:r>
        <w:rPr>
          <w:sz w:val="20"/>
          <w:szCs w:val="20"/>
          <w:color w:val="auto"/>
        </w:rPr>
        <w:tab/>
      </w:r>
      <w:hyperlink r:id="rId129">
        <w:r>
          <w:rPr>
            <w:rFonts w:ascii="Times New Roman" w:cs="Times New Roman" w:eastAsia="Times New Roman" w:hAnsi="Times New Roman"/>
            <w:sz w:val="18"/>
            <w:szCs w:val="18"/>
            <w:u w:val="single" w:color="auto"/>
            <w:color w:val="0000EE"/>
          </w:rPr>
          <w:t>Insider Trading Policy, updated as of June 1, 2024 (incorporated by reference to Exhibit 19.1 to the</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Company’s Annual Report on Form 10-K filed on August 14, 2024).</w:t>
        </w:r>
      </w:hyperlink>
    </w:p>
    <w:p>
      <w:pPr>
        <w:spacing w:after="0" w:line="162" w:lineRule="exact"/>
        <w:rPr>
          <w:sz w:val="20"/>
          <w:szCs w:val="20"/>
          <w:color w:val="auto"/>
        </w:rPr>
      </w:pPr>
    </w:p>
    <w:p>
      <w:pPr>
        <w:ind w:left="320"/>
        <w:spacing w:after="0"/>
        <w:tabs>
          <w:tab w:leader="none" w:pos="900" w:val="left"/>
        </w:tabs>
        <w:rPr>
          <w:sz w:val="20"/>
          <w:szCs w:val="20"/>
          <w:color w:val="auto"/>
        </w:rPr>
      </w:pPr>
      <w:r>
        <w:rPr>
          <w:rFonts w:ascii="Times New Roman" w:cs="Times New Roman" w:eastAsia="Times New Roman" w:hAnsi="Times New Roman"/>
          <w:sz w:val="18"/>
          <w:szCs w:val="18"/>
          <w:color w:val="auto"/>
        </w:rPr>
        <w:t>21.1</w:t>
        <w:tab/>
        <w:t xml:space="preserve">* </w:t>
      </w:r>
      <w:r>
        <w:rPr>
          <w:rFonts w:ascii="Times New Roman" w:cs="Times New Roman" w:eastAsia="Times New Roman" w:hAnsi="Times New Roman"/>
          <w:sz w:val="18"/>
          <w:szCs w:val="18"/>
          <w:u w:val="single" w:color="auto"/>
          <w:color w:val="0000EE"/>
        </w:rPr>
        <w:t>List of subsidiaries of the Company as of June 28, 2025.</w:t>
      </w:r>
    </w:p>
    <w:p>
      <w:pPr>
        <w:spacing w:after="0" w:line="225" w:lineRule="exact"/>
        <w:rPr>
          <w:sz w:val="20"/>
          <w:szCs w:val="20"/>
          <w:color w:val="auto"/>
        </w:rPr>
      </w:pPr>
    </w:p>
    <w:p>
      <w:pPr>
        <w:ind w:left="320"/>
        <w:spacing w:after="0"/>
        <w:tabs>
          <w:tab w:leader="none" w:pos="900" w:val="left"/>
        </w:tabs>
        <w:rPr>
          <w:sz w:val="20"/>
          <w:szCs w:val="20"/>
          <w:color w:val="auto"/>
        </w:rPr>
      </w:pPr>
      <w:r>
        <w:rPr>
          <w:rFonts w:ascii="Times New Roman" w:cs="Times New Roman" w:eastAsia="Times New Roman" w:hAnsi="Times New Roman"/>
          <w:sz w:val="18"/>
          <w:szCs w:val="18"/>
          <w:color w:val="auto"/>
        </w:rPr>
        <w:t>23.1</w:t>
        <w:tab/>
        <w:t xml:space="preserve">* </w:t>
      </w:r>
      <w:r>
        <w:rPr>
          <w:rFonts w:ascii="Times New Roman" w:cs="Times New Roman" w:eastAsia="Times New Roman" w:hAnsi="Times New Roman"/>
          <w:sz w:val="18"/>
          <w:szCs w:val="18"/>
          <w:u w:val="single" w:color="auto"/>
          <w:color w:val="0000EE"/>
        </w:rPr>
        <w:t>Consent of KPMG LLP.</w:t>
      </w:r>
    </w:p>
    <w:p>
      <w:pPr>
        <w:spacing w:after="0" w:line="225" w:lineRule="exact"/>
        <w:rPr>
          <w:sz w:val="20"/>
          <w:szCs w:val="20"/>
          <w:color w:val="auto"/>
        </w:rPr>
      </w:pPr>
    </w:p>
    <w:p>
      <w:pPr>
        <w:ind w:left="320"/>
        <w:spacing w:after="0"/>
        <w:tabs>
          <w:tab w:leader="none" w:pos="900" w:val="left"/>
        </w:tabs>
        <w:rPr>
          <w:sz w:val="20"/>
          <w:szCs w:val="20"/>
          <w:color w:val="auto"/>
        </w:rPr>
      </w:pPr>
      <w:r>
        <w:rPr>
          <w:rFonts w:ascii="Times New Roman" w:cs="Times New Roman" w:eastAsia="Times New Roman" w:hAnsi="Times New Roman"/>
          <w:sz w:val="18"/>
          <w:szCs w:val="18"/>
          <w:color w:val="auto"/>
        </w:rPr>
        <w:t>24.1</w:t>
        <w:tab/>
        <w:t xml:space="preserve">* </w:t>
      </w:r>
      <w:r>
        <w:rPr>
          <w:rFonts w:ascii="Times New Roman" w:cs="Times New Roman" w:eastAsia="Times New Roman" w:hAnsi="Times New Roman"/>
          <w:sz w:val="18"/>
          <w:szCs w:val="18"/>
          <w:u w:val="single" w:color="auto"/>
          <w:color w:val="0000EE"/>
        </w:rPr>
        <w:t>Power of Attorney (incorporated by reference to the signature page of this Annual Report on Form 10-K).</w:t>
      </w:r>
    </w:p>
    <w:p>
      <w:pPr>
        <w:spacing w:after="0" w:line="225" w:lineRule="exact"/>
        <w:rPr>
          <w:sz w:val="20"/>
          <w:szCs w:val="20"/>
          <w:color w:val="auto"/>
        </w:rPr>
      </w:pPr>
    </w:p>
    <w:p>
      <w:pPr>
        <w:ind w:left="320"/>
        <w:spacing w:after="0"/>
        <w:tabs>
          <w:tab w:leader="none" w:pos="900" w:val="left"/>
        </w:tabs>
        <w:rPr>
          <w:sz w:val="20"/>
          <w:szCs w:val="20"/>
          <w:color w:val="auto"/>
        </w:rPr>
      </w:pPr>
      <w:r>
        <w:rPr>
          <w:rFonts w:ascii="Times New Roman" w:cs="Times New Roman" w:eastAsia="Times New Roman" w:hAnsi="Times New Roman"/>
          <w:sz w:val="18"/>
          <w:szCs w:val="18"/>
          <w:color w:val="auto"/>
        </w:rPr>
        <w:t>31.1</w:t>
        <w:tab/>
        <w:t xml:space="preserve">* </w:t>
      </w:r>
      <w:r>
        <w:rPr>
          <w:rFonts w:ascii="Times New Roman" w:cs="Times New Roman" w:eastAsia="Times New Roman" w:hAnsi="Times New Roman"/>
          <w:sz w:val="18"/>
          <w:szCs w:val="18"/>
          <w:u w:val="single" w:color="auto"/>
          <w:color w:val="0000EE"/>
        </w:rPr>
        <w:t>Certification of Chief Executive Officer pursuant to Section 302 of the Sarbanes-Oxley Act of 2002.</w:t>
      </w:r>
    </w:p>
    <w:p>
      <w:pPr>
        <w:spacing w:after="0" w:line="225" w:lineRule="exact"/>
        <w:rPr>
          <w:sz w:val="20"/>
          <w:szCs w:val="20"/>
          <w:color w:val="auto"/>
        </w:rPr>
      </w:pPr>
    </w:p>
    <w:p>
      <w:pPr>
        <w:ind w:left="320"/>
        <w:spacing w:after="0"/>
        <w:tabs>
          <w:tab w:leader="none" w:pos="900" w:val="left"/>
        </w:tabs>
        <w:rPr>
          <w:sz w:val="20"/>
          <w:szCs w:val="20"/>
          <w:color w:val="auto"/>
        </w:rPr>
      </w:pPr>
      <w:r>
        <w:rPr>
          <w:rFonts w:ascii="Times New Roman" w:cs="Times New Roman" w:eastAsia="Times New Roman" w:hAnsi="Times New Roman"/>
          <w:sz w:val="18"/>
          <w:szCs w:val="18"/>
          <w:color w:val="auto"/>
        </w:rPr>
        <w:t>31.2</w:t>
        <w:tab/>
        <w:t xml:space="preserve">* </w:t>
      </w:r>
      <w:r>
        <w:rPr>
          <w:rFonts w:ascii="Times New Roman" w:cs="Times New Roman" w:eastAsia="Times New Roman" w:hAnsi="Times New Roman"/>
          <w:sz w:val="18"/>
          <w:szCs w:val="18"/>
          <w:u w:val="single" w:color="auto"/>
          <w:color w:val="0000EE"/>
        </w:rPr>
        <w:t>Certification of Chief Financial Officer pursuant to Section 302 of the Sarbanes-Oxley Act of 2002.</w:t>
      </w:r>
    </w:p>
    <w:p>
      <w:pPr>
        <w:spacing w:after="0" w:line="225" w:lineRule="exact"/>
        <w:rPr>
          <w:sz w:val="20"/>
          <w:szCs w:val="20"/>
          <w:color w:val="auto"/>
        </w:rPr>
      </w:pPr>
    </w:p>
    <w:p>
      <w:pPr>
        <w:ind w:left="320"/>
        <w:spacing w:after="0"/>
        <w:tabs>
          <w:tab w:leader="none" w:pos="9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Certification pursuant to Section 906 of the Sarbanes-Oxley Act of 2002.</w:t>
      </w:r>
    </w:p>
    <w:p>
      <w:pPr>
        <w:spacing w:after="0" w:line="225" w:lineRule="exact"/>
        <w:rPr>
          <w:sz w:val="20"/>
          <w:szCs w:val="20"/>
          <w:color w:val="auto"/>
        </w:rPr>
      </w:pPr>
    </w:p>
    <w:p>
      <w:pPr>
        <w:ind w:left="320"/>
        <w:spacing w:after="0"/>
        <w:tabs>
          <w:tab w:leader="none" w:pos="90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Certification pursuant to Section 906 of the Sarbanes-Oxley Act of 2002.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20" w:right="219" w:hanging="791"/>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97.1</w:t>
      </w:r>
      <w:r>
        <w:rPr>
          <w:sz w:val="20"/>
          <w:szCs w:val="20"/>
          <w:color w:val="auto"/>
        </w:rPr>
        <w:tab/>
      </w:r>
      <w:hyperlink r:id="rId131">
        <w:r>
          <w:rPr>
            <w:rFonts w:ascii="Times New Roman" w:cs="Times New Roman" w:eastAsia="Times New Roman" w:hAnsi="Times New Roman"/>
            <w:sz w:val="18"/>
            <w:szCs w:val="18"/>
            <w:u w:val="single" w:color="auto"/>
            <w:color w:val="0000EE"/>
          </w:rPr>
          <w:t>Amended and Restated Incentive-Based Compensation Recoupment Policy, effective as of July 1, 2023</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(incorporated by reference to Exhibit 97.1 to the Company’s Annual Report on Form 10-K filed on August</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14, 2024).</w:t>
        </w:r>
      </w:hyperlink>
    </w:p>
    <w:p>
      <w:pPr>
        <w:spacing w:after="0" w:line="176" w:lineRule="exact"/>
        <w:rPr>
          <w:rFonts w:ascii="Times New Roman" w:cs="Times New Roman" w:eastAsia="Times New Roman" w:hAnsi="Times New Roman"/>
          <w:sz w:val="18"/>
          <w:szCs w:val="18"/>
          <w:u w:val="single" w:color="auto"/>
          <w:color w:val="0000EE"/>
        </w:rPr>
      </w:pPr>
    </w:p>
    <w:p>
      <w:pPr>
        <w:ind w:left="180"/>
        <w:spacing w:after="0"/>
        <w:rPr>
          <w:sz w:val="20"/>
          <w:szCs w:val="20"/>
          <w:color w:val="auto"/>
        </w:rPr>
      </w:pPr>
      <w:r>
        <w:rPr>
          <w:rFonts w:ascii="Times New Roman" w:cs="Times New Roman" w:eastAsia="Times New Roman" w:hAnsi="Times New Roman"/>
          <w:sz w:val="18"/>
          <w:szCs w:val="18"/>
          <w:color w:val="auto"/>
        </w:rPr>
        <w:t>101.INS  * Inline XBRL Instance Document.</w:t>
      </w:r>
    </w:p>
    <w:p>
      <w:pPr>
        <w:spacing w:after="0" w:line="225" w:lineRule="exact"/>
        <w:rPr>
          <w:rFonts w:ascii="Times New Roman" w:cs="Times New Roman" w:eastAsia="Times New Roman" w:hAnsi="Times New Roman"/>
          <w:sz w:val="18"/>
          <w:szCs w:val="18"/>
          <w:u w:val="single" w:color="auto"/>
          <w:color w:val="0000EE"/>
        </w:rPr>
      </w:pPr>
    </w:p>
    <w:p>
      <w:pPr>
        <w:ind w:left="160"/>
        <w:spacing w:after="0"/>
        <w:rPr>
          <w:sz w:val="20"/>
          <w:szCs w:val="20"/>
          <w:color w:val="auto"/>
        </w:rPr>
      </w:pPr>
      <w:r>
        <w:rPr>
          <w:rFonts w:ascii="Times New Roman" w:cs="Times New Roman" w:eastAsia="Times New Roman" w:hAnsi="Times New Roman"/>
          <w:sz w:val="18"/>
          <w:szCs w:val="18"/>
          <w:color w:val="auto"/>
        </w:rPr>
        <w:t>101.SCH * Inline XBRL Taxonomy Extension Schema Document.</w:t>
      </w:r>
    </w:p>
    <w:p>
      <w:pPr>
        <w:spacing w:after="0" w:line="225" w:lineRule="exact"/>
        <w:rPr>
          <w:rFonts w:ascii="Times New Roman" w:cs="Times New Roman" w:eastAsia="Times New Roman" w:hAnsi="Times New Roman"/>
          <w:sz w:val="18"/>
          <w:szCs w:val="18"/>
          <w:u w:val="single" w:color="auto"/>
          <w:color w:val="0000EE"/>
        </w:rPr>
      </w:pPr>
    </w:p>
    <w:p>
      <w:pPr>
        <w:ind w:left="140"/>
        <w:spacing w:after="0"/>
        <w:rPr>
          <w:sz w:val="20"/>
          <w:szCs w:val="20"/>
          <w:color w:val="auto"/>
        </w:rPr>
      </w:pPr>
      <w:r>
        <w:rPr>
          <w:rFonts w:ascii="Times New Roman" w:cs="Times New Roman" w:eastAsia="Times New Roman" w:hAnsi="Times New Roman"/>
          <w:sz w:val="18"/>
          <w:szCs w:val="18"/>
          <w:color w:val="auto"/>
        </w:rPr>
        <w:t>101.CAL * Inline XBRL Taxonomy Extension Calculation Linkbase Document.</w:t>
      </w:r>
    </w:p>
    <w:p>
      <w:pPr>
        <w:spacing w:after="0" w:line="225" w:lineRule="exact"/>
        <w:rPr>
          <w:rFonts w:ascii="Times New Roman" w:cs="Times New Roman" w:eastAsia="Times New Roman" w:hAnsi="Times New Roman"/>
          <w:sz w:val="18"/>
          <w:szCs w:val="18"/>
          <w:u w:val="single" w:color="auto"/>
          <w:color w:val="0000EE"/>
        </w:rPr>
      </w:pPr>
    </w:p>
    <w:p>
      <w:pPr>
        <w:ind w:left="140"/>
        <w:spacing w:after="0"/>
        <w:rPr>
          <w:sz w:val="20"/>
          <w:szCs w:val="20"/>
          <w:color w:val="auto"/>
        </w:rPr>
      </w:pPr>
      <w:r>
        <w:rPr>
          <w:rFonts w:ascii="Times New Roman" w:cs="Times New Roman" w:eastAsia="Times New Roman" w:hAnsi="Times New Roman"/>
          <w:sz w:val="18"/>
          <w:szCs w:val="18"/>
          <w:color w:val="auto"/>
        </w:rPr>
        <w:t>101.LAB * Inline XBRL Taxonomy Extension Label Linkbase Document.</w:t>
      </w:r>
    </w:p>
    <w:p>
      <w:pPr>
        <w:spacing w:after="0" w:line="225" w:lineRule="exact"/>
        <w:rPr>
          <w:rFonts w:ascii="Times New Roman" w:cs="Times New Roman" w:eastAsia="Times New Roman" w:hAnsi="Times New Roman"/>
          <w:sz w:val="18"/>
          <w:szCs w:val="18"/>
          <w:u w:val="single" w:color="auto"/>
          <w:color w:val="0000EE"/>
        </w:rPr>
      </w:pPr>
    </w:p>
    <w:p>
      <w:pPr>
        <w:ind w:left="160"/>
        <w:spacing w:after="0"/>
        <w:rPr>
          <w:sz w:val="20"/>
          <w:szCs w:val="20"/>
          <w:color w:val="auto"/>
        </w:rPr>
      </w:pPr>
      <w:r>
        <w:rPr>
          <w:rFonts w:ascii="Times New Roman" w:cs="Times New Roman" w:eastAsia="Times New Roman" w:hAnsi="Times New Roman"/>
          <w:sz w:val="18"/>
          <w:szCs w:val="18"/>
          <w:color w:val="auto"/>
        </w:rPr>
        <w:t>101.PRE * Inline XBRL Taxonomy Extension Presentation Linkbase Document.</w:t>
      </w:r>
    </w:p>
    <w:p>
      <w:pPr>
        <w:spacing w:after="0" w:line="225" w:lineRule="exact"/>
        <w:rPr>
          <w:rFonts w:ascii="Times New Roman" w:cs="Times New Roman" w:eastAsia="Times New Roman" w:hAnsi="Times New Roman"/>
          <w:sz w:val="18"/>
          <w:szCs w:val="18"/>
          <w:u w:val="single" w:color="auto"/>
          <w:color w:val="0000EE"/>
        </w:rPr>
      </w:pPr>
    </w:p>
    <w:p>
      <w:pPr>
        <w:ind w:left="160"/>
        <w:spacing w:after="0"/>
        <w:rPr>
          <w:sz w:val="20"/>
          <w:szCs w:val="20"/>
          <w:color w:val="auto"/>
        </w:rPr>
      </w:pPr>
      <w:r>
        <w:rPr>
          <w:rFonts w:ascii="Times New Roman" w:cs="Times New Roman" w:eastAsia="Times New Roman" w:hAnsi="Times New Roman"/>
          <w:sz w:val="18"/>
          <w:szCs w:val="18"/>
          <w:color w:val="auto"/>
        </w:rPr>
        <w:t>101.DEF * Inline XBRL Taxonomy Extension Definition Linkbase Document.</w:t>
      </w:r>
    </w:p>
    <w:p>
      <w:pPr>
        <w:spacing w:after="0" w:line="225" w:lineRule="exact"/>
        <w:rPr>
          <w:rFonts w:ascii="Times New Roman" w:cs="Times New Roman" w:eastAsia="Times New Roman" w:hAnsi="Times New Roman"/>
          <w:sz w:val="18"/>
          <w:szCs w:val="18"/>
          <w:u w:val="single" w:color="auto"/>
          <w:color w:val="0000EE"/>
        </w:rPr>
      </w:pPr>
    </w:p>
    <w:p>
      <w:pPr>
        <w:ind w:left="1120" w:right="899" w:hanging="773"/>
        <w:spacing w:after="0" w:line="282" w:lineRule="auto"/>
        <w:tabs>
          <w:tab w:leader="none" w:pos="91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Cover Page Interactive Data File (formatted as Inline XBRL with applicable taxonomy extension information contained in Exhibits 101).</w:t>
      </w:r>
    </w:p>
    <w:p>
      <w:pPr>
        <w:spacing w:after="0" w:line="391" w:lineRule="exact"/>
        <w:rPr>
          <w:rFonts w:ascii="Times New Roman" w:cs="Times New Roman" w:eastAsia="Times New Roman" w:hAnsi="Times New Roman"/>
          <w:sz w:val="18"/>
          <w:szCs w:val="18"/>
          <w:color w:val="auto"/>
        </w:rPr>
      </w:pPr>
    </w:p>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25" w:lineRule="exact"/>
        <w:rPr>
          <w:rFonts w:ascii="Times New Roman" w:cs="Times New Roman" w:eastAsia="Times New Roman" w:hAnsi="Times New Roman"/>
          <w:sz w:val="18"/>
          <w:szCs w:val="18"/>
          <w:color w:val="auto"/>
        </w:rPr>
      </w:pPr>
    </w:p>
    <w:p>
      <w:pPr>
        <w:ind w:left="520" w:hanging="37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-470535</wp:posOffset>
            </wp:positionV>
            <wp:extent cx="141414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77" w:lineRule="exact"/>
        <w:rPr>
          <w:rFonts w:ascii="Times New Roman" w:cs="Times New Roman" w:eastAsia="Times New Roman" w:hAnsi="Times New Roman"/>
          <w:sz w:val="18"/>
          <w:szCs w:val="18"/>
          <w:u w:val="single" w:color="auto"/>
          <w:color w:val="0000EE"/>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54" w:lineRule="exact"/>
        <w:rPr>
          <w:rFonts w:ascii="Times New Roman" w:cs="Times New Roman" w:eastAsia="Times New Roman" w:hAnsi="Times New Roman"/>
          <w:sz w:val="18"/>
          <w:szCs w:val="18"/>
          <w:u w:val="single" w:color="auto"/>
          <w:color w:val="0000EE"/>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11"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June 28, 2025, June 29, 2024, and July 1, 2023</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300" w:type="dxa"/>
            <w:vAlign w:val="bottom"/>
          </w:tcPr>
          <w:p>
            <w:pPr>
              <w:spacing w:after="0"/>
              <w:rPr>
                <w:sz w:val="17"/>
                <w:szCs w:val="17"/>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Balance at</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Beginning of</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End of</w:t>
            </w:r>
          </w:p>
        </w:tc>
      </w:tr>
      <w:tr>
        <w:trPr>
          <w:trHeight w:val="225"/>
        </w:trPr>
        <w:tc>
          <w:tcPr>
            <w:tcW w:w="3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Account Description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6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60" w:type="dxa"/>
            <w:vAlign w:val="bottom"/>
          </w:tcPr>
          <w:p>
            <w:pPr>
              <w:spacing w:after="0"/>
              <w:rPr>
                <w:sz w:val="19"/>
                <w:szCs w:val="19"/>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Period</w:t>
            </w:r>
          </w:p>
        </w:tc>
      </w:tr>
      <w:tr>
        <w:trPr>
          <w:trHeight w:val="203"/>
        </w:trPr>
        <w:tc>
          <w:tcPr>
            <w:tcW w:w="20" w:type="dxa"/>
            <w:vAlign w:val="bottom"/>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top w:val="single" w:sz="8" w:color="auto"/>
            </w:tcBorders>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85"/>
              </w:rPr>
              <w:t>(Thousands)</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Fiscal 2025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108,504</w:t>
            </w:r>
          </w:p>
        </w:tc>
        <w:tc>
          <w:tcPr>
            <w:tcW w:w="3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3,503</w:t>
            </w:r>
          </w:p>
        </w:tc>
        <w:tc>
          <w:tcPr>
            <w:tcW w:w="4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left="152"/>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3"/>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   (3,812)(a)</w:t>
            </w:r>
          </w:p>
        </w:tc>
        <w:tc>
          <w:tcPr>
            <w:tcW w:w="9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108,195</w:t>
            </w:r>
          </w:p>
        </w:tc>
        <w:tc>
          <w:tcPr>
            <w:tcW w:w="60" w:type="dxa"/>
            <w:vAlign w:val="bottom"/>
          </w:tcPr>
          <w:p>
            <w:pPr>
              <w:spacing w:after="0"/>
              <w:rPr>
                <w:sz w:val="17"/>
                <w:szCs w:val="17"/>
                <w:color w:val="auto"/>
              </w:rPr>
            </w:pPr>
          </w:p>
        </w:tc>
      </w:tr>
      <w:tr>
        <w:trPr>
          <w:trHeight w:val="157"/>
        </w:trPr>
        <w:tc>
          <w:tcPr>
            <w:tcW w:w="20" w:type="dxa"/>
            <w:vAlign w:val="bottom"/>
          </w:tcPr>
          <w:p>
            <w:pPr>
              <w:spacing w:after="0"/>
              <w:rPr>
                <w:sz w:val="13"/>
                <w:szCs w:val="13"/>
                <w:color w:val="auto"/>
              </w:rPr>
            </w:pPr>
          </w:p>
        </w:tc>
        <w:tc>
          <w:tcPr>
            <w:tcW w:w="3080" w:type="dxa"/>
            <w:vAlign w:val="bottom"/>
            <w:gridSpan w:val="2"/>
            <w:shd w:val="clear" w:color="auto" w:fill="CCEEFF"/>
          </w:tcPr>
          <w:p>
            <w:pPr>
              <w:ind w:left="100"/>
              <w:spacing w:after="0" w:line="157" w:lineRule="exact"/>
              <w:rPr>
                <w:sz w:val="20"/>
                <w:szCs w:val="20"/>
                <w:color w:val="auto"/>
              </w:rPr>
            </w:pPr>
            <w:r>
              <w:rPr>
                <w:rFonts w:ascii="Times New Roman" w:cs="Times New Roman" w:eastAsia="Times New Roman" w:hAnsi="Times New Roman"/>
                <w:sz w:val="18"/>
                <w:szCs w:val="18"/>
                <w:color w:val="auto"/>
              </w:rPr>
              <w:t>Valuation allowance on tax loss carry-</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forwards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216,179</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22,238</w:t>
            </w:r>
          </w:p>
        </w:tc>
        <w:tc>
          <w:tcPr>
            <w:tcW w:w="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1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15,201 (c)</w:t>
            </w: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253,618</w:t>
            </w:r>
          </w:p>
        </w:tc>
        <w:tc>
          <w:tcPr>
            <w:tcW w:w="60" w:type="dxa"/>
            <w:vAlign w:val="bottom"/>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Fiscal 2024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112,843</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12,570</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152"/>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(16,909)(a)</w:t>
            </w:r>
          </w:p>
        </w:tc>
        <w:tc>
          <w:tcPr>
            <w:tcW w:w="9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108,504</w:t>
            </w:r>
          </w:p>
        </w:tc>
        <w:tc>
          <w:tcPr>
            <w:tcW w:w="60" w:type="dxa"/>
            <w:vAlign w:val="bottom"/>
            <w:shd w:val="clear" w:color="auto" w:fill="CCEEFF"/>
          </w:tcPr>
          <w:p>
            <w:pPr>
              <w:spacing w:after="0"/>
              <w:rPr>
                <w:sz w:val="17"/>
                <w:szCs w:val="17"/>
                <w:color w:val="auto"/>
              </w:rPr>
            </w:pPr>
          </w:p>
        </w:tc>
      </w:tr>
      <w:tr>
        <w:trPr>
          <w:trHeight w:val="157"/>
        </w:trPr>
        <w:tc>
          <w:tcPr>
            <w:tcW w:w="20" w:type="dxa"/>
            <w:vAlign w:val="bottom"/>
          </w:tcPr>
          <w:p>
            <w:pPr>
              <w:spacing w:after="0"/>
              <w:rPr>
                <w:sz w:val="13"/>
                <w:szCs w:val="13"/>
                <w:color w:val="auto"/>
              </w:rPr>
            </w:pPr>
          </w:p>
        </w:tc>
        <w:tc>
          <w:tcPr>
            <w:tcW w:w="308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8"/>
                <w:szCs w:val="18"/>
                <w:color w:val="auto"/>
              </w:rPr>
              <w:t>Valuation allowance on tax loss carry-</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forwards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207,744</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10,462</w:t>
            </w:r>
          </w:p>
        </w:tc>
        <w:tc>
          <w:tcPr>
            <w:tcW w:w="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102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(2,027)(c)</w:t>
            </w:r>
          </w:p>
        </w:tc>
        <w:tc>
          <w:tcPr>
            <w:tcW w:w="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216,179</w:t>
            </w:r>
          </w:p>
        </w:tc>
        <w:tc>
          <w:tcPr>
            <w:tcW w:w="6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Fiscal 2023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113,902</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16,798</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left="152"/>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(17,857)(a)</w:t>
            </w:r>
          </w:p>
        </w:tc>
        <w:tc>
          <w:tcPr>
            <w:tcW w:w="9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112,843</w:t>
            </w:r>
          </w:p>
        </w:tc>
        <w:tc>
          <w:tcPr>
            <w:tcW w:w="60" w:type="dxa"/>
            <w:vAlign w:val="bottom"/>
          </w:tcPr>
          <w:p>
            <w:pPr>
              <w:spacing w:after="0"/>
              <w:rPr>
                <w:sz w:val="17"/>
                <w:szCs w:val="17"/>
                <w:color w:val="auto"/>
              </w:rPr>
            </w:pPr>
          </w:p>
        </w:tc>
      </w:tr>
      <w:tr>
        <w:trPr>
          <w:trHeight w:val="157"/>
        </w:trPr>
        <w:tc>
          <w:tcPr>
            <w:tcW w:w="20" w:type="dxa"/>
            <w:vAlign w:val="bottom"/>
          </w:tcPr>
          <w:p>
            <w:pPr>
              <w:spacing w:after="0"/>
              <w:rPr>
                <w:sz w:val="13"/>
                <w:szCs w:val="13"/>
                <w:color w:val="auto"/>
              </w:rPr>
            </w:pPr>
          </w:p>
        </w:tc>
        <w:tc>
          <w:tcPr>
            <w:tcW w:w="3080" w:type="dxa"/>
            <w:vAlign w:val="bottom"/>
            <w:gridSpan w:val="2"/>
            <w:shd w:val="clear" w:color="auto" w:fill="CCEEFF"/>
          </w:tcPr>
          <w:p>
            <w:pPr>
              <w:ind w:left="100"/>
              <w:spacing w:after="0" w:line="157" w:lineRule="exact"/>
              <w:rPr>
                <w:sz w:val="20"/>
                <w:szCs w:val="20"/>
                <w:color w:val="auto"/>
              </w:rPr>
            </w:pPr>
            <w:r>
              <w:rPr>
                <w:rFonts w:ascii="Times New Roman" w:cs="Times New Roman" w:eastAsia="Times New Roman" w:hAnsi="Times New Roman"/>
                <w:sz w:val="18"/>
                <w:szCs w:val="18"/>
                <w:color w:val="auto"/>
              </w:rPr>
              <w:t>Valuation allowance on tax loss carry-</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forwards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207,889</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102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(4,675)(c)</w:t>
            </w: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207,744</w:t>
            </w:r>
          </w:p>
        </w:tc>
        <w:tc>
          <w:tcPr>
            <w:tcW w:w="60" w:type="dxa"/>
            <w:vAlign w:val="bottom"/>
            <w:shd w:val="clear" w:color="auto" w:fill="CCEEFF"/>
          </w:tcPr>
          <w:p>
            <w:pPr>
              <w:spacing w:after="0"/>
              <w:rPr>
                <w:sz w:val="20"/>
                <w:szCs w:val="20"/>
                <w:color w:val="auto"/>
              </w:rPr>
            </w:pPr>
          </w:p>
        </w:tc>
      </w:tr>
      <w:tr>
        <w:trPr>
          <w:trHeight w:val="40"/>
        </w:trPr>
        <w:tc>
          <w:tcPr>
            <w:tcW w:w="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90" w:lineRule="exact"/>
        <w:rPr>
          <w:sz w:val="20"/>
          <w:szCs w:val="20"/>
          <w:color w:val="auto"/>
        </w:rPr>
      </w:pPr>
    </w:p>
    <w:p>
      <w:pPr>
        <w:ind w:left="380" w:right="319" w:hanging="330"/>
        <w:spacing w:after="0" w:line="328"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uncollectible receivables written off and the impact of changes in foreign currency rates during the fiscal year.</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impact of true ups related to prior years.</w:t>
      </w:r>
    </w:p>
    <w:p>
      <w:pPr>
        <w:spacing w:after="0" w:line="103" w:lineRule="exact"/>
        <w:rPr>
          <w:rFonts w:ascii="Times New Roman" w:cs="Times New Roman" w:eastAsia="Times New Roman" w:hAnsi="Times New Roman"/>
          <w:sz w:val="18"/>
          <w:szCs w:val="18"/>
          <w:color w:val="auto"/>
        </w:rPr>
      </w:pPr>
    </w:p>
    <w:p>
      <w:pPr>
        <w:ind w:left="340" w:hanging="290"/>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related to impact of foreign currency exchange on valuation allowances.</w:t>
      </w:r>
    </w:p>
    <w:p>
      <w:pPr>
        <w:spacing w:after="0" w:line="103" w:lineRule="exact"/>
        <w:rPr>
          <w:rFonts w:ascii="Times New Roman" w:cs="Times New Roman" w:eastAsia="Times New Roman" w:hAnsi="Times New Roman"/>
          <w:sz w:val="18"/>
          <w:szCs w:val="18"/>
          <w:color w:val="auto"/>
        </w:rPr>
      </w:pPr>
    </w:p>
    <w:p>
      <w:pPr>
        <w:ind w:left="340" w:hanging="290"/>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impact of current year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jc w:val="both"/>
        <w:ind w:left="60" w:right="59" w:firstLine="427"/>
        <w:spacing w:after="0" w:line="29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25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AVNET, INC.</w:t>
            </w:r>
          </w:p>
        </w:tc>
        <w:tc>
          <w:tcPr>
            <w:tcW w:w="3380" w:type="dxa"/>
            <w:vAlign w:val="bottom"/>
          </w:tcPr>
          <w:p>
            <w:pPr>
              <w:spacing w:after="0"/>
              <w:rPr>
                <w:sz w:val="20"/>
                <w:szCs w:val="20"/>
                <w:color w:val="auto"/>
              </w:rPr>
            </w:pP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15, 2025</w:t>
            </w:r>
          </w:p>
        </w:tc>
        <w:tc>
          <w:tcPr>
            <w:tcW w:w="25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 PHILIP R. GALLAGHER</w:t>
            </w:r>
          </w:p>
        </w:tc>
      </w:tr>
      <w:tr>
        <w:trPr>
          <w:trHeight w:val="27"/>
        </w:trPr>
        <w:tc>
          <w:tcPr>
            <w:tcW w:w="2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16"/>
        </w:trPr>
        <w:tc>
          <w:tcPr>
            <w:tcW w:w="2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rPr>
              <w:t>Philip R. Gallagher</w:t>
            </w:r>
          </w:p>
        </w:tc>
      </w:tr>
      <w:tr>
        <w:trPr>
          <w:trHeight w:val="236"/>
        </w:trPr>
        <w:tc>
          <w:tcPr>
            <w:tcW w:w="2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380" w:type="dxa"/>
            <w:vAlign w:val="bottom"/>
          </w:tcPr>
          <w:p>
            <w:pPr>
              <w:jc w:val="center"/>
              <w:ind w:right="770"/>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bl>
    <w:p>
      <w:pPr>
        <w:spacing w:after="0" w:line="238" w:lineRule="exact"/>
        <w:rPr>
          <w:sz w:val="20"/>
          <w:szCs w:val="20"/>
          <w:color w:val="auto"/>
        </w:rPr>
      </w:pPr>
    </w:p>
    <w:p>
      <w:pPr>
        <w:jc w:val="both"/>
        <w:ind w:left="60" w:right="59" w:firstLine="427"/>
        <w:spacing w:after="0" w:line="281" w:lineRule="auto"/>
        <w:rPr>
          <w:sz w:val="20"/>
          <w:szCs w:val="20"/>
          <w:color w:val="auto"/>
        </w:rPr>
      </w:pPr>
      <w:r>
        <w:rPr>
          <w:rFonts w:ascii="Times New Roman" w:cs="Times New Roman" w:eastAsia="Times New Roman" w:hAnsi="Times New Roman"/>
          <w:sz w:val="18"/>
          <w:szCs w:val="18"/>
          <w:color w:val="auto"/>
        </w:rPr>
        <w:t>Each person whose signature appears below hereby authorizes and appoints each of Phil R. Gallagher and Kenneth A. Jacobson his or her attorneys-in-fact, for him or her in all capacities, to sign any amendments to this Report, and to file the same, with exhibits thereto, and other documents in connection therewith, with the Securities and Exchange Commission, hereby ratifying and confirming all that said attorneys-in-fact, or their substitute, may do or cause to be done by virtue hereof.</w:t>
      </w:r>
    </w:p>
    <w:p>
      <w:pPr>
        <w:spacing w:after="0" w:line="152" w:lineRule="exact"/>
        <w:rPr>
          <w:sz w:val="20"/>
          <w:szCs w:val="20"/>
          <w:color w:val="auto"/>
        </w:rPr>
      </w:pPr>
    </w:p>
    <w:p>
      <w:pPr>
        <w:jc w:val="both"/>
        <w:ind w:left="60" w:right="59" w:firstLine="427"/>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August 15, 2025.</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320" w:type="dxa"/>
            <w:vAlign w:val="bottom"/>
          </w:tcPr>
          <w:p>
            <w:pPr>
              <w:spacing w:after="0"/>
              <w:rPr>
                <w:sz w:val="20"/>
                <w:szCs w:val="20"/>
                <w:color w:val="auto"/>
              </w:rPr>
            </w:pP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0" w:type="dxa"/>
            <w:vAlign w:val="bottom"/>
          </w:tcPr>
          <w:p>
            <w:pPr>
              <w:spacing w:after="0"/>
              <w:rPr>
                <w:sz w:val="1"/>
                <w:szCs w:val="1"/>
                <w:color w:val="auto"/>
              </w:rPr>
            </w:pPr>
          </w:p>
        </w:tc>
      </w:tr>
      <w:tr>
        <w:trPr>
          <w:trHeight w:val="250"/>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PHILIP R. GALLAGHER</w:t>
            </w:r>
          </w:p>
        </w:tc>
        <w:tc>
          <w:tcPr>
            <w:tcW w:w="320" w:type="dxa"/>
            <w:vAlign w:val="bottom"/>
          </w:tcPr>
          <w:p>
            <w:pPr>
              <w:spacing w:after="0"/>
              <w:rPr>
                <w:sz w:val="21"/>
                <w:szCs w:val="21"/>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0" w:type="dxa"/>
            <w:vAlign w:val="bottom"/>
          </w:tcPr>
          <w:p>
            <w:pPr>
              <w:spacing w:after="0"/>
              <w:rPr>
                <w:sz w:val="1"/>
                <w:szCs w:val="1"/>
                <w:color w:val="auto"/>
              </w:rPr>
            </w:pPr>
          </w:p>
        </w:tc>
      </w:tr>
      <w:tr>
        <w:trPr>
          <w:trHeight w:val="40"/>
        </w:trPr>
        <w:tc>
          <w:tcPr>
            <w:tcW w:w="4280" w:type="dxa"/>
            <w:vAlign w:val="bottom"/>
            <w:tcBorders>
              <w:bottom w:val="single" w:sz="8" w:color="auto"/>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Philip R. Gallagher</w:t>
            </w:r>
          </w:p>
        </w:tc>
        <w:tc>
          <w:tcPr>
            <w:tcW w:w="320" w:type="dxa"/>
            <w:vAlign w:val="bottom"/>
            <w:vMerge w:val="continue"/>
          </w:tcPr>
          <w:p>
            <w:pPr>
              <w:spacing w:after="0"/>
              <w:rPr>
                <w:sz w:val="19"/>
                <w:szCs w:val="19"/>
                <w:color w:val="auto"/>
              </w:rPr>
            </w:pPr>
          </w:p>
        </w:tc>
        <w:tc>
          <w:tcPr>
            <w:tcW w:w="4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RODNEY C. ADKINS</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Chair of the Board and 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Rodney C. Adkins</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BRENDA L. FREEMAN</w:t>
            </w:r>
          </w:p>
        </w:tc>
        <w:tc>
          <w:tcPr>
            <w:tcW w:w="320" w:type="dxa"/>
            <w:vAlign w:val="bottom"/>
          </w:tcPr>
          <w:p>
            <w:pPr>
              <w:spacing w:after="0"/>
              <w:rPr>
                <w:sz w:val="20"/>
                <w:szCs w:val="20"/>
                <w:color w:val="auto"/>
              </w:rPr>
            </w:pP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Brenda L. Freeman</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HELMUT GASSEL</w:t>
            </w:r>
          </w:p>
        </w:tc>
        <w:tc>
          <w:tcPr>
            <w:tcW w:w="320" w:type="dxa"/>
            <w:vAlign w:val="bottom"/>
          </w:tcPr>
          <w:p>
            <w:pPr>
              <w:spacing w:after="0"/>
              <w:rPr>
                <w:sz w:val="20"/>
                <w:szCs w:val="20"/>
                <w:color w:val="auto"/>
              </w:rPr>
            </w:pP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Helmut Gassel</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VIRGINIA HENKELS</w:t>
            </w:r>
          </w:p>
        </w:tc>
        <w:tc>
          <w:tcPr>
            <w:tcW w:w="320" w:type="dxa"/>
            <w:vAlign w:val="bottom"/>
          </w:tcPr>
          <w:p>
            <w:pPr>
              <w:spacing w:after="0"/>
              <w:rPr>
                <w:sz w:val="20"/>
                <w:szCs w:val="20"/>
                <w:color w:val="auto"/>
              </w:rPr>
            </w:pP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Virginia Henkels</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 ANN JENKINS</w:t>
            </w:r>
          </w:p>
        </w:tc>
        <w:tc>
          <w:tcPr>
            <w:tcW w:w="320" w:type="dxa"/>
            <w:vAlign w:val="bottom"/>
          </w:tcPr>
          <w:p>
            <w:pPr>
              <w:spacing w:after="0"/>
              <w:rPr>
                <w:sz w:val="20"/>
                <w:szCs w:val="20"/>
                <w:color w:val="auto"/>
              </w:rPr>
            </w:pP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Jo Ann Jenkins</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OLEG KHAYKIN</w:t>
            </w:r>
          </w:p>
        </w:tc>
        <w:tc>
          <w:tcPr>
            <w:tcW w:w="320" w:type="dxa"/>
            <w:vAlign w:val="bottom"/>
          </w:tcPr>
          <w:p>
            <w:pPr>
              <w:spacing w:after="0"/>
              <w:rPr>
                <w:sz w:val="20"/>
                <w:szCs w:val="20"/>
                <w:color w:val="auto"/>
              </w:rPr>
            </w:pP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Oleg Khaykin</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ERNEST MADDOCK</w:t>
            </w:r>
          </w:p>
        </w:tc>
        <w:tc>
          <w:tcPr>
            <w:tcW w:w="320" w:type="dxa"/>
            <w:vAlign w:val="bottom"/>
          </w:tcPr>
          <w:p>
            <w:pPr>
              <w:spacing w:after="0"/>
              <w:rPr>
                <w:sz w:val="23"/>
                <w:szCs w:val="23"/>
                <w:color w:val="auto"/>
              </w:rPr>
            </w:pP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Ernest Maddock</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AVID MODJTABAI</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Avid Modjtabai</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ADALIO T. SANCHEZ</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Adalio T. Sanchez</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KENNETH A. JACOBSON</w:t>
            </w:r>
          </w:p>
        </w:tc>
        <w:tc>
          <w:tcPr>
            <w:tcW w:w="320" w:type="dxa"/>
            <w:vAlign w:val="bottom"/>
          </w:tcPr>
          <w:p>
            <w:pPr>
              <w:spacing w:after="0"/>
              <w:rPr>
                <w:sz w:val="18"/>
                <w:szCs w:val="18"/>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0" w:type="dxa"/>
            <w:vAlign w:val="bottom"/>
          </w:tcPr>
          <w:p>
            <w:pPr>
              <w:spacing w:after="0"/>
              <w:rPr>
                <w:sz w:val="1"/>
                <w:szCs w:val="1"/>
                <w:color w:val="auto"/>
              </w:rPr>
            </w:pPr>
          </w:p>
        </w:tc>
      </w:tr>
      <w:tr>
        <w:trPr>
          <w:trHeight w:val="41"/>
        </w:trPr>
        <w:tc>
          <w:tcPr>
            <w:tcW w:w="4280" w:type="dxa"/>
            <w:vAlign w:val="bottom"/>
            <w:tcBorders>
              <w:bottom w:val="single" w:sz="8" w:color="auto"/>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Kenneth A. Jacobson</w:t>
            </w:r>
          </w:p>
        </w:tc>
        <w:tc>
          <w:tcPr>
            <w:tcW w:w="320" w:type="dxa"/>
            <w:vAlign w:val="bottom"/>
            <w:vMerge w:val="continue"/>
          </w:tcPr>
          <w:p>
            <w:pPr>
              <w:spacing w:after="0"/>
              <w:rPr>
                <w:sz w:val="19"/>
                <w:szCs w:val="19"/>
                <w:color w:val="auto"/>
              </w:rPr>
            </w:pPr>
          </w:p>
        </w:tc>
        <w:tc>
          <w:tcPr>
            <w:tcW w:w="4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tbl>
      <w:tblPr>
        <w:tblLayout w:type="fixed"/>
        <w:tblInd w:w="220" w:type="dxa"/>
        <w:tblCellMar>
          <w:top w:w="0" w:type="dxa"/>
          <w:left w:w="0" w:type="dxa"/>
          <w:bottom w:w="0" w:type="dxa"/>
          <w:right w:w="0" w:type="dxa"/>
        </w:tblCellMar>
      </w:tblPr>
      <w:tr>
        <w:trPr>
          <w:trHeight w:val="297"/>
        </w:trPr>
        <w:tc>
          <w:tcPr>
            <w:tcW w:w="6180" w:type="dxa"/>
            <w:vAlign w:val="bottom"/>
          </w:tcPr>
          <w:p>
            <w:pPr>
              <w:spacing w:after="0"/>
              <w:rPr>
                <w:sz w:val="24"/>
                <w:szCs w:val="24"/>
                <w:color w:val="auto"/>
              </w:rPr>
            </w:pPr>
          </w:p>
        </w:tc>
        <w:tc>
          <w:tcPr>
            <w:tcW w:w="2420" w:type="dxa"/>
            <w:vAlign w:val="bottom"/>
            <w:gridSpan w:val="2"/>
          </w:tcPr>
          <w:p>
            <w:pPr>
              <w:ind w:left="1200"/>
              <w:spacing w:after="0"/>
              <w:rPr>
                <w:sz w:val="20"/>
                <w:szCs w:val="20"/>
                <w:color w:val="auto"/>
              </w:rPr>
            </w:pPr>
            <w:r>
              <w:rPr>
                <w:rFonts w:ascii="Arial" w:cs="Arial" w:eastAsia="Arial" w:hAnsi="Arial"/>
                <w:sz w:val="22"/>
                <w:szCs w:val="22"/>
                <w:b w:val="1"/>
                <w:bCs w:val="1"/>
                <w:color w:val="auto"/>
                <w:w w:val="98"/>
              </w:rPr>
              <w:t>Exhibit 21.1</w:t>
            </w:r>
          </w:p>
        </w:tc>
        <w:tc>
          <w:tcPr>
            <w:tcW w:w="0" w:type="dxa"/>
            <w:vAlign w:val="bottom"/>
          </w:tcPr>
          <w:p>
            <w:pPr>
              <w:spacing w:after="0"/>
              <w:rPr>
                <w:sz w:val="1"/>
                <w:szCs w:val="1"/>
                <w:color w:val="auto"/>
              </w:rPr>
            </w:pPr>
          </w:p>
        </w:tc>
      </w:tr>
      <w:tr>
        <w:trPr>
          <w:trHeight w:val="486"/>
        </w:trPr>
        <w:tc>
          <w:tcPr>
            <w:tcW w:w="6180" w:type="dxa"/>
            <w:vAlign w:val="bottom"/>
          </w:tcPr>
          <w:p>
            <w:pPr>
              <w:ind w:left="3740"/>
              <w:spacing w:after="0"/>
              <w:rPr>
                <w:sz w:val="20"/>
                <w:szCs w:val="20"/>
                <w:color w:val="auto"/>
              </w:rPr>
            </w:pPr>
            <w:r>
              <w:rPr>
                <w:rFonts w:ascii="Arial" w:cs="Arial" w:eastAsia="Arial" w:hAnsi="Arial"/>
                <w:sz w:val="22"/>
                <w:szCs w:val="22"/>
                <w:b w:val="1"/>
                <w:bCs w:val="1"/>
                <w:color w:val="auto"/>
              </w:rPr>
              <w:t>Avnet, Inc.</w:t>
            </w: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180" w:type="dxa"/>
            <w:vAlign w:val="bottom"/>
          </w:tcPr>
          <w:p>
            <w:pPr>
              <w:ind w:left="2480"/>
              <w:spacing w:after="0"/>
              <w:rPr>
                <w:sz w:val="20"/>
                <w:szCs w:val="20"/>
                <w:color w:val="auto"/>
              </w:rPr>
            </w:pPr>
            <w:r>
              <w:rPr>
                <w:rFonts w:ascii="Arial" w:cs="Arial" w:eastAsia="Arial" w:hAnsi="Arial"/>
                <w:sz w:val="22"/>
                <w:szCs w:val="22"/>
                <w:b w:val="1"/>
                <w:bCs w:val="1"/>
                <w:color w:val="auto"/>
                <w:w w:val="99"/>
              </w:rPr>
              <w:t>Foreign and Domestic Subsidiaries</w:t>
            </w: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1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Company Name</w:t>
            </w:r>
          </w:p>
        </w:tc>
        <w:tc>
          <w:tcPr>
            <w:tcW w:w="2400" w:type="dxa"/>
            <w:vAlign w:val="bottom"/>
            <w:shd w:val="clear" w:color="auto" w:fill="C0C0C0"/>
          </w:tcPr>
          <w:p>
            <w:pPr>
              <w:ind w:left="80"/>
              <w:spacing w:after="0"/>
              <w:rPr>
                <w:sz w:val="20"/>
                <w:szCs w:val="20"/>
                <w:color w:val="auto"/>
              </w:rPr>
            </w:pPr>
            <w:r>
              <w:rPr>
                <w:rFonts w:ascii="Arial" w:cs="Arial" w:eastAsia="Arial" w:hAnsi="Arial"/>
                <w:sz w:val="18"/>
                <w:szCs w:val="18"/>
                <w:b w:val="1"/>
                <w:bCs w:val="1"/>
                <w:color w:val="auto"/>
              </w:rPr>
              <w:t>Country</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(Asia Pacific Holdings)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(Holdings) Ltd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(NZ)</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New Zealand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(Shanghai)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China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Asia Pte Ltd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Singapore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ASIC Israel Ltd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Israel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B.V.</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Bidco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Business Services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Components Israel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Israel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de Mexico, S.A. de C.V.</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Mexico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Delaware Holdings, Inc.</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Delaware LLC</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do Brasil Ltda.</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Brazil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DOO</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Serbia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Electronics Marketing (Australia) Pty Ltd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Australia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Electronics Technology (China)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China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Electronics Technology (Shenzhen)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China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Electronics Turkey İthalat İhracat Sanayi ve Ticaret Limited Şirketi</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Turkey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 Holdings (Japan) Kabushiki Kaisha</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Japan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 Sp. z.o.o.</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Poland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Elektronische Bauelemente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Austria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France</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France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Switzerland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Italy S.r.l.</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Italy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Ltd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Europe BV</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Europe TradeCo</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Finance International S.à r.l.</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Luxembourg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France S.A.S.</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France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Group Finance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Malta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Group Holdings LLC</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Holding Europe BV</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Holding South Africa (Pty)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South Africa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Holdings UK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Holdings, LLC</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Iberia S.L.U.</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Spain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India Private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India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Integrated Solutions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Integrated Solutions IC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International (Canada) Ltd.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Canada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International Holdings 1 BV</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International Holdings 2 BV</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5"/>
        </w:trPr>
        <w:tc>
          <w:tcPr>
            <w:tcW w:w="6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1" w:right="1440" w:bottom="1440" w:gutter="0" w:footer="0" w:header="0"/>
        </w:sectPr>
      </w:pPr>
    </w:p>
    <w:bookmarkStart w:id="78" w:name="page79"/>
    <w:bookmarkEnd w:id="78"/>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International Holdings UK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Kingdom</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International, LLC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Kabushiki Kaisha</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Japan</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Korea, Inc.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Korea, Republic of</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Ireland</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Logistics Bernburg GmbH &amp; Co. KG</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Germany</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Logistics GmbH</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Germany</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Malaysia Sdn Bhd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Malaysia</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Mexicana S. de R.L. de C.V.</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Mexico</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Nortec AB</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Sweden</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Nortec ApS</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Denmark</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Nortec AS</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Norway</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Nortec Oy</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Finland</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Overseas Holdings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Malta</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Philippines Pty Ltd., Inc.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Philippines</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Receivables Corporation</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SellCo B.V.</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Netherlands</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Services S. de R.L. de C.V.</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Mexico</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South Africa (Pty)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South Africa</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Sunrise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Hong Kong</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SUPPLY CHAIN SOLUTIONS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Ireland</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Technology (Thailand)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Thailand</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Technology Electronics Marketing (Taiwan) Co.,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Taiwan (Province of China)</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Technology Hong Kong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Hong Kong</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Technology Solutions (China)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China</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Technology Solutions (Tianjin)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China</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AVT Holdings LLC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Beijing Vanda Yunda IT Services Co.,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China</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Bell Microproducts Brazil Holdings, LLC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Bell Microproducts Mexico Shareholder, LLC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CELDIS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Kingdom</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CM Satellite Systems, Inc.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COMBINED PRECISION COMPONENTS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Kingdom</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Dragon Innovation (HK)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Hong Kong</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ApS</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Denmark</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EOOD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Bulgaria</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GmbH</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Germany</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Israel (2008)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Israel</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Kft</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Hungary</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Hong Kong</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OÜ</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Estonia</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S.r.l.</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Italy</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S.R.L.</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Romania</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s.r.o.</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Slovakia</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SAS</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France</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sp. z o.o.</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Poland</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Spain S.L.</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Spain</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spol. s r.o.</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Czech Republic</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Ticaret Limited Sirketi</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Turkey</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TOV</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Ukraine</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Druzba Za Posredovanje D.O.O.</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Slovenia</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Unipessoal Lda,</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Portugal</w:t>
            </w:r>
          </w:p>
        </w:tc>
      </w:tr>
      <w:tr>
        <w:trPr>
          <w:trHeight w:val="555"/>
        </w:trPr>
        <w:tc>
          <w:tcPr>
            <w:tcW w:w="5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9" w:right="1440" w:bottom="1440" w:gutter="0" w:footer="0" w:header="0"/>
        </w:sectPr>
      </w:pPr>
    </w:p>
    <w:bookmarkStart w:id="79" w:name="page80"/>
    <w:bookmarkEnd w:id="79"/>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Erste Holding GmbH &amp; Co. KG</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Germany</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Management GmbH</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Germany</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EBV-Elektronik GmbH</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Austria</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Electrolink (PTY) Ltd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South Africa</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Electron House (Overseas)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 14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 14 sp. zoo</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Poland</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Asia Pte. Ltd.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Singapore</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de Mexico, S. de R.L de C.V</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Mexico</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Electronics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Ireland</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Finance UK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Holding BV</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Netherlands</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India Pvt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India</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New Zealand</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Ltd.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Korea, Republic of</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Pte. Ltd.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Singapore</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Pty Ltd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Australia</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Sdn. Bhd.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Malaysia</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US Holdings Inc.</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S. de R.L. de C.V</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Mexico</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eluomeng Electronics (China) Co. Ltd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China</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Eluomeng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Hong Kong</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Eluomeng Limited Company</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Taiwan (Province of China)</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Erste TENVA Property BV</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Belgium</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(BELGIUM)</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Belgium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(FRANCE) SAS</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France</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(NETHERLANDS) B.V.</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Netherlands</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AG</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Switzerland</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COMPONENTS (IRELAND)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Ireland</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COMPONENTS AB</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Sweden</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COMPONENTS SL</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Spain</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DANMARK A/S</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Denmark</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GMBH</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Germany</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HOLDING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ITALIA SRL</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Italy</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Japan Godo Kaisha</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Japan</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OVERSEAS</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Import Holdings LLC</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INONE HOLDINGS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Kent One Corporation</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Memec Group Holdings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Memec Group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Memec Pty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Australia</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Mexico Holdings LLC</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Newark Corporation</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Newark Electronics Corporation</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OY FARNELL (FINLAND) AB</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Finland</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(SCOTLAND)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Canada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Canada</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Corp.</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PENSION FUNDING SCOTTISH LIMITED PARTNERSHIP</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555"/>
        </w:trPr>
        <w:tc>
          <w:tcPr>
            <w:tcW w:w="60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9" w:right="1440" w:bottom="1440" w:gutter="0" w:footer="0" w:header="0"/>
        </w:sectPr>
      </w:pPr>
    </w:p>
    <w:bookmarkStart w:id="80" w:name="page81"/>
    <w:bookmarkEnd w:id="80"/>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PENSION TRUSTEES LIMITED</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United Kingdom</w:t>
            </w:r>
          </w:p>
        </w:tc>
      </w:tr>
      <w:tr>
        <w:trPr>
          <w:trHeight w:val="210"/>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Properties Inc.</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United States</w:t>
            </w:r>
          </w:p>
        </w:tc>
      </w:tr>
      <w:tr>
        <w:trPr>
          <w:trHeight w:val="209"/>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UK LIMITED</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United Kingdom</w:t>
            </w:r>
          </w:p>
        </w:tc>
      </w:tr>
      <w:tr>
        <w:trPr>
          <w:trHeight w:val="209"/>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Priya Softweb Solutions Pvt. Ltd.</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India</w:t>
            </w:r>
          </w:p>
        </w:tc>
      </w:tr>
      <w:tr>
        <w:trPr>
          <w:trHeight w:val="209"/>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SEC International Holding Company II, L.L.C.</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United States</w:t>
            </w:r>
          </w:p>
        </w:tc>
      </w:tr>
      <w:tr>
        <w:trPr>
          <w:trHeight w:val="210"/>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Shanghai FR International Trading Co., Ltd.</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China</w:t>
            </w:r>
          </w:p>
        </w:tc>
      </w:tr>
      <w:tr>
        <w:trPr>
          <w:trHeight w:val="210"/>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Société Civile Immobilière du 22 rue de Dames</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France</w:t>
            </w:r>
          </w:p>
        </w:tc>
      </w:tr>
      <w:tr>
        <w:trPr>
          <w:trHeight w:val="209"/>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Softweb Solutions Inc.</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United States</w:t>
            </w:r>
          </w:p>
        </w:tc>
      </w:tr>
      <w:tr>
        <w:trPr>
          <w:trHeight w:val="209"/>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Telmil Electronics, Inc.</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United States</w:t>
            </w:r>
          </w:p>
        </w:tc>
      </w:tr>
      <w:tr>
        <w:trPr>
          <w:trHeight w:val="209"/>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Belgium BV</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Belgium</w:t>
            </w:r>
          </w:p>
        </w:tc>
      </w:tr>
      <w:tr>
        <w:trPr>
          <w:trHeight w:val="210"/>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Eschbach GmbH &amp; Co. KG</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Germany</w:t>
            </w:r>
          </w:p>
        </w:tc>
      </w:tr>
      <w:tr>
        <w:trPr>
          <w:trHeight w:val="210"/>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Financial Management BV</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Belgium</w:t>
            </w:r>
          </w:p>
        </w:tc>
      </w:tr>
      <w:tr>
        <w:trPr>
          <w:trHeight w:val="209"/>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GmbH</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Germany</w:t>
            </w:r>
          </w:p>
        </w:tc>
      </w:tr>
      <w:tr>
        <w:trPr>
          <w:trHeight w:val="210"/>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Holding Germany GmbH</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Germany</w:t>
            </w:r>
          </w:p>
        </w:tc>
      </w:tr>
      <w:tr>
        <w:trPr>
          <w:trHeight w:val="209"/>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INVESTMENTS BV</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Belgium</w:t>
            </w:r>
          </w:p>
        </w:tc>
      </w:tr>
      <w:tr>
        <w:trPr>
          <w:trHeight w:val="209"/>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Management GmbH</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Germany</w:t>
            </w:r>
          </w:p>
        </w:tc>
      </w:tr>
      <w:tr>
        <w:trPr>
          <w:trHeight w:val="210"/>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Tria Boards GmbH</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Germany</w:t>
            </w:r>
          </w:p>
        </w:tc>
      </w:tr>
      <w:tr>
        <w:trPr>
          <w:trHeight w:val="209"/>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Tria Boards Ltd.</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Malta</w:t>
            </w:r>
          </w:p>
        </w:tc>
      </w:tr>
      <w:tr>
        <w:trPr>
          <w:trHeight w:val="209"/>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Tria Systems GmbH</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Germany</w:t>
            </w:r>
          </w:p>
        </w:tc>
      </w:tr>
      <w:tr>
        <w:trPr>
          <w:trHeight w:val="209"/>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Tria Technologies GmbH</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Germany</w:t>
            </w:r>
          </w:p>
        </w:tc>
      </w:tr>
      <w:tr>
        <w:trPr>
          <w:trHeight w:val="209"/>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UAB "EBV Elektronik"</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Lithuania</w:t>
            </w:r>
          </w:p>
        </w:tc>
      </w:tr>
      <w:tr>
        <w:trPr>
          <w:trHeight w:val="210"/>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Vanda Computer System Integration (Shanghai) Company Limited</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China</w:t>
            </w:r>
          </w:p>
        </w:tc>
      </w:tr>
      <w:tr>
        <w:trPr>
          <w:trHeight w:val="210"/>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Venezuelan Partner B.V.</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Netherlands</w:t>
            </w:r>
          </w:p>
        </w:tc>
      </w:tr>
      <w:tr>
        <w:trPr>
          <w:trHeight w:val="209"/>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Witekio Corporation</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United States</w:t>
            </w:r>
          </w:p>
        </w:tc>
      </w:tr>
      <w:tr>
        <w:trPr>
          <w:trHeight w:val="209"/>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Witekio France SAS</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France</w:t>
            </w:r>
          </w:p>
        </w:tc>
      </w:tr>
      <w:tr>
        <w:trPr>
          <w:trHeight w:val="209"/>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Witekio GmbH</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Germany</w:t>
            </w:r>
          </w:p>
        </w:tc>
      </w:tr>
      <w:tr>
        <w:trPr>
          <w:trHeight w:val="210"/>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Witekio Holding</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France</w:t>
            </w:r>
          </w:p>
        </w:tc>
      </w:tr>
      <w:tr>
        <w:trPr>
          <w:trHeight w:val="210"/>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Witekio UK Limited</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United Kingdom</w:t>
            </w:r>
          </w:p>
        </w:tc>
      </w:tr>
      <w:tr>
        <w:trPr>
          <w:trHeight w:val="209"/>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YEL Electronics Hong Kong Limited</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Hong Kong</w:t>
            </w:r>
          </w:p>
        </w:tc>
      </w:tr>
      <w:tr>
        <w:trPr>
          <w:trHeight w:val="209"/>
        </w:trPr>
        <w:tc>
          <w:tcPr>
            <w:tcW w:w="550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ZWEITE TENVA Property GmbH Im Technologiepark</w:t>
            </w:r>
          </w:p>
        </w:tc>
        <w:tc>
          <w:tcPr>
            <w:tcW w:w="3080" w:type="dxa"/>
            <w:vAlign w:val="bottom"/>
            <w:tcBorders>
              <w:bottom w:val="single" w:sz="8" w:color="C0C0C0"/>
            </w:tcBorders>
          </w:tcPr>
          <w:p>
            <w:pPr>
              <w:ind w:left="760"/>
              <w:spacing w:after="0"/>
              <w:rPr>
                <w:sz w:val="20"/>
                <w:szCs w:val="20"/>
                <w:color w:val="auto"/>
              </w:rPr>
            </w:pPr>
            <w:r>
              <w:rPr>
                <w:rFonts w:ascii="Arial" w:cs="Arial" w:eastAsia="Arial" w:hAnsi="Arial"/>
                <w:sz w:val="16"/>
                <w:szCs w:val="16"/>
                <w:color w:val="auto"/>
              </w:rPr>
              <w:t>Germany</w:t>
            </w:r>
          </w:p>
        </w:tc>
      </w:tr>
      <w:tr>
        <w:trPr>
          <w:trHeight w:val="798"/>
        </w:trPr>
        <w:tc>
          <w:tcPr>
            <w:tcW w:w="55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9" w:right="1440" w:bottom="1440" w:gutter="0" w:footer="0" w:header="0"/>
        </w:sectPr>
      </w:pPr>
    </w:p>
    <w:bookmarkStart w:id="81" w:name="page82"/>
    <w:bookmarkEnd w:id="8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Avnet, Inc.:</w:t>
      </w:r>
    </w:p>
    <w:p>
      <w:pPr>
        <w:spacing w:after="0" w:line="207"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(Nos. 333-208009, 333-227100 and 333-262379) and Form S-8 (Nos. 333-262380, 333-228875 and 333-214887) of our report dated August 15, 2025, with respect to the consolidated financial statements of Avnet, Inc. and subsidiaries and the effectiveness of internal control over financial reporting.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August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4" w:right="1440" w:bottom="1440" w:gutter="0" w:footer="0" w:header="0"/>
        </w:sectPr>
      </w:pPr>
    </w:p>
    <w:bookmarkStart w:id="82" w:name="page83"/>
    <w:bookmarkEnd w:id="8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Philip R. Gallagher, certify that:</w:t>
      </w:r>
    </w:p>
    <w:p>
      <w:pPr>
        <w:spacing w:after="0" w:line="225" w:lineRule="exact"/>
        <w:rPr>
          <w:sz w:val="20"/>
          <w:szCs w:val="20"/>
          <w:color w:val="auto"/>
        </w:rPr>
      </w:pPr>
    </w:p>
    <w:p>
      <w:pPr>
        <w:ind w:left="620" w:hanging="327"/>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Avnet, Inc.;</w:t>
      </w:r>
    </w:p>
    <w:p>
      <w:pPr>
        <w:spacing w:after="0" w:line="225" w:lineRule="exact"/>
        <w:rPr>
          <w:rFonts w:ascii="Times New Roman" w:cs="Times New Roman" w:eastAsia="Times New Roman" w:hAnsi="Times New Roman"/>
          <w:sz w:val="18"/>
          <w:szCs w:val="18"/>
          <w:color w:val="auto"/>
        </w:rPr>
      </w:pPr>
    </w:p>
    <w:p>
      <w:pPr>
        <w:ind w:left="620" w:right="379" w:hanging="327"/>
        <w:spacing w:after="0" w:line="266" w:lineRule="auto"/>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20" w:right="259" w:hanging="327"/>
        <w:spacing w:after="0" w:line="266" w:lineRule="auto"/>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20" w:right="119" w:hanging="327"/>
        <w:spacing w:after="0" w:line="266" w:lineRule="auto"/>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260" w:right="119" w:hanging="319"/>
        <w:spacing w:after="0" w:line="261" w:lineRule="auto"/>
        <w:tabs>
          <w:tab w:leader="none" w:pos="12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260" w:right="79" w:hanging="319"/>
        <w:spacing w:after="0" w:line="261" w:lineRule="auto"/>
        <w:tabs>
          <w:tab w:leader="none" w:pos="12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260" w:right="259" w:hanging="319"/>
        <w:spacing w:after="0" w:line="266" w:lineRule="auto"/>
        <w:tabs>
          <w:tab w:leader="none" w:pos="12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260" w:right="99" w:hanging="319"/>
        <w:spacing w:after="0" w:line="261" w:lineRule="auto"/>
        <w:tabs>
          <w:tab w:leader="none" w:pos="12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620" w:right="439" w:hanging="327"/>
        <w:spacing w:after="0" w:line="266" w:lineRule="auto"/>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75" w:lineRule="exact"/>
        <w:rPr>
          <w:rFonts w:ascii="Times New Roman" w:cs="Times New Roman" w:eastAsia="Times New Roman" w:hAnsi="Times New Roman"/>
          <w:sz w:val="18"/>
          <w:szCs w:val="18"/>
          <w:color w:val="auto"/>
        </w:rPr>
      </w:pPr>
    </w:p>
    <w:p>
      <w:pPr>
        <w:ind w:left="1260" w:right="439" w:hanging="319"/>
        <w:spacing w:after="0" w:line="266" w:lineRule="auto"/>
        <w:tabs>
          <w:tab w:leader="none" w:pos="12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260" w:right="219" w:hanging="319"/>
        <w:spacing w:after="0" w:line="282" w:lineRule="auto"/>
        <w:tabs>
          <w:tab w:leader="none" w:pos="12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August 15, 2025</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PHILIP R. GALLAGHER</w:t>
      </w:r>
    </w:p>
    <w:p>
      <w:pPr>
        <w:spacing w:after="0" w:line="5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-127635</wp:posOffset>
            </wp:positionV>
            <wp:extent cx="28117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83" w:name="page84"/>
    <w:bookmarkEnd w:id="8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Kenneth A. Jacobson, certify that:</w:t>
      </w:r>
    </w:p>
    <w:p>
      <w:pPr>
        <w:spacing w:after="0" w:line="225" w:lineRule="exact"/>
        <w:rPr>
          <w:sz w:val="20"/>
          <w:szCs w:val="20"/>
          <w:color w:val="auto"/>
        </w:rPr>
      </w:pPr>
    </w:p>
    <w:p>
      <w:pPr>
        <w:ind w:left="620" w:hanging="327"/>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Avnet, Inc.;</w:t>
      </w:r>
    </w:p>
    <w:p>
      <w:pPr>
        <w:spacing w:after="0" w:line="225" w:lineRule="exact"/>
        <w:rPr>
          <w:rFonts w:ascii="Times New Roman" w:cs="Times New Roman" w:eastAsia="Times New Roman" w:hAnsi="Times New Roman"/>
          <w:sz w:val="18"/>
          <w:szCs w:val="18"/>
          <w:color w:val="auto"/>
        </w:rPr>
      </w:pPr>
    </w:p>
    <w:p>
      <w:pPr>
        <w:ind w:left="620" w:right="379" w:hanging="327"/>
        <w:spacing w:after="0" w:line="266" w:lineRule="auto"/>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20" w:right="259" w:hanging="327"/>
        <w:spacing w:after="0" w:line="266" w:lineRule="auto"/>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20" w:right="119" w:hanging="327"/>
        <w:spacing w:after="0" w:line="266" w:lineRule="auto"/>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40" w:right="79" w:hanging="318"/>
        <w:spacing w:after="0" w:line="261" w:lineRule="auto"/>
        <w:tabs>
          <w:tab w:leader="none" w:pos="13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40" w:right="179" w:hanging="318"/>
        <w:spacing w:after="0" w:line="261" w:lineRule="auto"/>
        <w:tabs>
          <w:tab w:leader="none" w:pos="13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340" w:right="179" w:hanging="318"/>
        <w:spacing w:after="0" w:line="266" w:lineRule="auto"/>
        <w:tabs>
          <w:tab w:leader="none" w:pos="13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40" w:right="139" w:hanging="318"/>
        <w:spacing w:after="0" w:line="261" w:lineRule="auto"/>
        <w:tabs>
          <w:tab w:leader="none" w:pos="13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620" w:right="439" w:hanging="327"/>
        <w:spacing w:after="0" w:line="266" w:lineRule="auto"/>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75" w:lineRule="exact"/>
        <w:rPr>
          <w:rFonts w:ascii="Times New Roman" w:cs="Times New Roman" w:eastAsia="Times New Roman" w:hAnsi="Times New Roman"/>
          <w:sz w:val="18"/>
          <w:szCs w:val="18"/>
          <w:color w:val="auto"/>
        </w:rPr>
      </w:pPr>
    </w:p>
    <w:p>
      <w:pPr>
        <w:ind w:left="1340" w:right="359" w:hanging="318"/>
        <w:spacing w:after="0" w:line="266" w:lineRule="auto"/>
        <w:tabs>
          <w:tab w:leader="none" w:pos="13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40" w:right="139" w:hanging="318"/>
        <w:spacing w:after="0" w:line="282" w:lineRule="auto"/>
        <w:tabs>
          <w:tab w:leader="none" w:pos="13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August 15, 2025</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KENNETH A. JACOBSON</w:t>
      </w:r>
    </w:p>
    <w:p>
      <w:pPr>
        <w:spacing w:after="0" w:line="5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-127635</wp:posOffset>
            </wp:positionV>
            <wp:extent cx="28460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84" w:name="page85"/>
    <w:bookmarkEnd w:id="8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connection with the Annual Report on Form 10-K for the year ended June 28, 2025 (the “Report”), I, Philip 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Gallagher, Chief Executive Officer of Avnet, Inc. (the “Company”) hereby certify that:</w:t>
      </w:r>
    </w:p>
    <w:p>
      <w:pPr>
        <w:spacing w:after="0" w:line="207" w:lineRule="exact"/>
        <w:rPr>
          <w:sz w:val="20"/>
          <w:szCs w:val="20"/>
          <w:color w:val="auto"/>
        </w:rPr>
      </w:pPr>
    </w:p>
    <w:p>
      <w:pPr>
        <w:ind w:left="1020" w:right="379" w:hanging="322"/>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1020" w:right="299" w:hanging="322"/>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August 15, 2025</w:t>
      </w:r>
    </w:p>
    <w:p>
      <w:pPr>
        <w:spacing w:after="0" w:line="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34290</wp:posOffset>
            </wp:positionV>
            <wp:extent cx="28289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4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Philip R. Gallagher</w:t>
      </w:r>
    </w:p>
    <w:p>
      <w:pPr>
        <w:spacing w:after="0" w:line="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4" w:right="1440" w:bottom="1440" w:gutter="0" w:footer="0" w:header="0"/>
        </w:sectPr>
      </w:pPr>
    </w:p>
    <w:bookmarkStart w:id="85" w:name="page86"/>
    <w:bookmarkEnd w:id="8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connection with the Annual Report on Form 10-K for the year ended June 28, 2025 (the “Report”), I, Kenneth 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Jacobson, Chief Financial Officer of Avnet, Inc. (the “Company”) hereby certify that:</w:t>
      </w:r>
    </w:p>
    <w:p>
      <w:pPr>
        <w:spacing w:after="0" w:line="207" w:lineRule="exact"/>
        <w:rPr>
          <w:sz w:val="20"/>
          <w:szCs w:val="20"/>
          <w:color w:val="auto"/>
        </w:rPr>
      </w:pPr>
    </w:p>
    <w:p>
      <w:pPr>
        <w:ind w:left="1020" w:right="379" w:hanging="322"/>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1020" w:right="299" w:hanging="322"/>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August 15, 2025</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KENNETH A. JACOBSON</w:t>
      </w:r>
    </w:p>
    <w:p>
      <w:pPr>
        <w:spacing w:after="0" w:line="5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-127635</wp:posOffset>
            </wp:positionV>
            <wp:extent cx="28460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3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480"/>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4"/>
    </w:lvl>
  </w:abstractNum>
  <w:abstractNum w:abstractNumId="14">
    <w:nsid w:val="2D1D5AE9"/>
    <w:multiLevelType w:val="hybridMultilevel"/>
    <w:lvl w:ilvl="0">
      <w:lvlJc w:val="left"/>
      <w:lvlText w:val="%1."/>
      <w:numFmt w:val="decimal"/>
      <w:start w:val="6"/>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decimal"/>
      <w:start w:val="2"/>
    </w:lvl>
  </w:abstractNum>
  <w:abstractNum w:abstractNumId="21">
    <w:nsid w:val="189A769B"/>
    <w:multiLevelType w:val="hybridMultilevel"/>
    <w:lvl w:ilvl="0">
      <w:lvlJc w:val="left"/>
      <w:lvlText w:val="(%1)"/>
      <w:numFmt w:val="lowerLetter"/>
      <w:start w:val="2"/>
    </w:lvl>
  </w:abstractNum>
  <w:abstractNum w:abstractNumId="22">
    <w:nsid w:val="54E49EB4"/>
    <w:multiLevelType w:val="hybridMultilevel"/>
    <w:lvl w:ilvl="0">
      <w:lvlJc w:val="left"/>
      <w:lvlText w:val="(%1)"/>
      <w:numFmt w:val="decimal"/>
      <w:start w:val="2"/>
    </w:lvl>
  </w:abstractNum>
  <w:abstractNum w:abstractNumId="23">
    <w:nsid w:val="71F32454"/>
    <w:multiLevelType w:val="hybridMultilevel"/>
    <w:lvl w:ilvl="0">
      <w:lvlJc w:val="left"/>
      <w:lvlText w:val="(%1)"/>
      <w:numFmt w:val="decimal"/>
      <w:start w:val="5"/>
    </w:lvl>
  </w:abstractNum>
  <w:abstractNum w:abstractNumId="24">
    <w:nsid w:val="2CA88611"/>
    <w:multiLevelType w:val="hybridMultilevel"/>
    <w:lvl w:ilvl="0">
      <w:lvlJc w:val="left"/>
      <w:lvlText w:val="*"/>
      <w:numFmt w:val="bullet"/>
      <w:start w:val="1"/>
    </w:lvl>
    <w:lvl w:ilvl="1">
      <w:lvlJc w:val="left"/>
      <w:lvlText w:val="%2"/>
      <w:numFmt w:val="decimal"/>
      <w:start w:val="104"/>
    </w:lvl>
  </w:abstractNum>
  <w:abstractNum w:abstractNumId="25">
    <w:nsid w:val="836C40E"/>
    <w:multiLevelType w:val="hybridMultilevel"/>
    <w:lvl w:ilvl="0">
      <w:lvlJc w:val="left"/>
      <w:lvlText w:val="**"/>
      <w:numFmt w:val="bullet"/>
      <w:start w:val="1"/>
    </w:lvl>
    <w:lvl w:ilvl="1">
      <w:lvlJc w:val="left"/>
      <w:lvlText w:val="%2"/>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2" Type="http://schemas.openxmlformats.org/officeDocument/2006/relationships/image" Target="media/image83.png"/><Relationship Id="rId106" Type="http://schemas.openxmlformats.org/officeDocument/2006/relationships/image" Target="media/image84.png"/><Relationship Id="rId113" Type="http://schemas.openxmlformats.org/officeDocument/2006/relationships/image" Target="media/image85.png"/><Relationship Id="rId121" Type="http://schemas.openxmlformats.org/officeDocument/2006/relationships/image" Target="media/image86.png"/><Relationship Id="rId130" Type="http://schemas.openxmlformats.org/officeDocument/2006/relationships/image" Target="media/image87.png"/><Relationship Id="rId132" Type="http://schemas.openxmlformats.org/officeDocument/2006/relationships/image" Target="media/image88.png"/><Relationship Id="rId133" Type="http://schemas.openxmlformats.org/officeDocument/2006/relationships/image" Target="media/image89.png"/><Relationship Id="rId134" Type="http://schemas.openxmlformats.org/officeDocument/2006/relationships/image" Target="media/image90.png"/><Relationship Id="rId135" Type="http://schemas.openxmlformats.org/officeDocument/2006/relationships/image" Target="media/image91.png"/><Relationship Id="rId136"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90" Type="http://schemas.openxmlformats.org/officeDocument/2006/relationships/hyperlink" Target="http://www.sec.gov/Archives/edgar/data/8858/000095015301000138/p64582ex3-i.txt" TargetMode="External"/><Relationship Id="rId91" Type="http://schemas.openxmlformats.org/officeDocument/2006/relationships/hyperlink" Target="https://www.sec.gov/Archives/edgar/data/8858/000110465923063702/tm2316137d1_ex3-1.htm" TargetMode="External"/><Relationship Id="rId93" Type="http://schemas.openxmlformats.org/officeDocument/2006/relationships/hyperlink" Target="https://www.sec.gov/Archives/edgar/data/8858/000000885819000035/avt-20190629ex41617fba7.htm" TargetMode="External"/><Relationship Id="rId94" Type="http://schemas.openxmlformats.org/officeDocument/2006/relationships/hyperlink" Target="http://www.sec.gov/Archives/edgar/data/8858/000129993310002436/exhibit2.htm" TargetMode="External"/><Relationship Id="rId95" Type="http://schemas.openxmlformats.org/officeDocument/2006/relationships/hyperlink" Target="http://www.sec.gov/Archives/edgar/data/8858/000119312516513440/d168900dex41.htm" TargetMode="External"/><Relationship Id="rId96" Type="http://schemas.openxmlformats.org/officeDocument/2006/relationships/hyperlink" Target="https://www.sec.gov/Archives/edgar/data/8858/000119312521151797/d402267dex41.htm" TargetMode="External"/><Relationship Id="rId97" Type="http://schemas.openxmlformats.org/officeDocument/2006/relationships/hyperlink" Target="https://www.sec.gov/Archives/edgar/data/8858/000119312522151688/d318193dex41.htm" TargetMode="External"/><Relationship Id="rId98" Type="http://schemas.openxmlformats.org/officeDocument/2006/relationships/hyperlink" Target="https://www.sec.gov/Archives/edgar/data/8858/000119312523064179/d472755dex41.htm" TargetMode="External"/><Relationship Id="rId99" Type="http://schemas.openxmlformats.org/officeDocument/2006/relationships/hyperlink" Target="https://www.sec.gov/Archives/edgar/data/0000008858/000000885821000011/avt-20210102ex1023253bd.htm" TargetMode="External"/><Relationship Id="rId100" Type="http://schemas.openxmlformats.org/officeDocument/2006/relationships/hyperlink" Target="https://www.sec.gov/Archives/edgar/data/8858/000110465922097851/tm2225127d1_ex10-2.htm" TargetMode="External"/><Relationship Id="rId101" Type="http://schemas.openxmlformats.org/officeDocument/2006/relationships/hyperlink" Target="http://www.sec.gov/Archives/edgar/data/8858/000000885817000057/avt-20170701ex10230ec10.htm" TargetMode="External"/><Relationship Id="rId102" Type="http://schemas.openxmlformats.org/officeDocument/2006/relationships/hyperlink" Target="https://www.sec.gov/Archives/edgar/data/8858/000129993311000487/exhibit3.htm" TargetMode="External"/><Relationship Id="rId103" Type="http://schemas.openxmlformats.org/officeDocument/2006/relationships/hyperlink" Target="https://www.sec.gov/Archives/edgar/data/8858/000000885823000039/avt-20230930xex10d1.htm" TargetMode="External"/><Relationship Id="rId104" Type="http://schemas.openxmlformats.org/officeDocument/2006/relationships/hyperlink" Target="http://www.sec.gov/Archives/edgar/data/8858/000000885817000072/avt-20170930ex10184795b.htm" TargetMode="External"/><Relationship Id="rId105" Type="http://schemas.openxmlformats.org/officeDocument/2006/relationships/hyperlink" Target="http://www.sec.gov/Archives/edgar/data/8858/000000885813000011/avt-20130629x10kxexh1013.htm" TargetMode="External"/><Relationship Id="rId107" Type="http://schemas.openxmlformats.org/officeDocument/2006/relationships/hyperlink" Target="http://www.sec.gov/Archives/edgar/data/8858/000000885813000011/avt-20130629x10kxexh1014.htm" TargetMode="External"/><Relationship Id="rId108" Type="http://schemas.openxmlformats.org/officeDocument/2006/relationships/hyperlink" Target="http://www.sec.gov/Archives/edgar/data/8858/000000885818000047/avt-20180630ex101299a27.htm" TargetMode="External"/><Relationship Id="rId109" Type="http://schemas.openxmlformats.org/officeDocument/2006/relationships/hyperlink" Target="https://www.sec.gov/Archives/edgar/data/8858/000000885822000020/avt-20220402ex1020aefc0.htm" TargetMode="External"/><Relationship Id="rId110" Type="http://schemas.openxmlformats.org/officeDocument/2006/relationships/hyperlink" Target="https://www.sec.gov/Archives/edgar/data/8858/000000885822000020/avt-20220402ex103a0fa69.htm" TargetMode="External"/><Relationship Id="rId111" Type="http://schemas.openxmlformats.org/officeDocument/2006/relationships/hyperlink" Target="https://www.sec.gov/Archives/edgar/data/8858/000000885822000020/avt-20220402ex103b06cca.htm" TargetMode="External"/><Relationship Id="rId112" Type="http://schemas.openxmlformats.org/officeDocument/2006/relationships/hyperlink" Target="https://www.sec.gov/Archives/edgar/data/8858/000000885822000020/avt-20220402ex103c6a540.htm" TargetMode="External"/><Relationship Id="rId114" Type="http://schemas.openxmlformats.org/officeDocument/2006/relationships/hyperlink" Target="http://www.sec.gov/Archives/edgar/data/8858/000000885818000047/avt-20180630ex105ad19f1.htm" TargetMode="External"/><Relationship Id="rId115" Type="http://schemas.openxmlformats.org/officeDocument/2006/relationships/hyperlink" Target="http://www.sec.gov/Archives/edgar/data/8858/000000885818000050/avt-20180816ex102b7d7a9.htm" TargetMode="External"/><Relationship Id="rId116" Type="http://schemas.openxmlformats.org/officeDocument/2006/relationships/hyperlink" Target="https://www.sec.gov/Archives/edgar/data/8858/000110465920091427/tm2026286d1_10-2.htm" TargetMode="External"/><Relationship Id="rId117" Type="http://schemas.openxmlformats.org/officeDocument/2006/relationships/hyperlink" Target="http://www.sec.gov/Archives/edgar/data/8858/000000885818000050/avt-20180816ex1013240f4.htm" TargetMode="External"/><Relationship Id="rId118" Type="http://schemas.openxmlformats.org/officeDocument/2006/relationships/hyperlink" Target="http://www.sec.gov/Archives/edgar/data/8858/000000885820000019/avt-20200328ex101018879.htm" TargetMode="External"/><Relationship Id="rId119" Type="http://schemas.openxmlformats.org/officeDocument/2006/relationships/hyperlink" Target="https://www.sec.gov/Archives/edgar/data/8858/000110465920091427/tm2026286d1_10-1.htm" TargetMode="External"/><Relationship Id="rId120" Type="http://schemas.openxmlformats.org/officeDocument/2006/relationships/hyperlink" Target="https://www.sec.gov/Archives/edgar/data/8858/000000885822000031/avt-20220702xex10d18b4.htm" TargetMode="External"/><Relationship Id="rId122" Type="http://schemas.openxmlformats.org/officeDocument/2006/relationships/hyperlink" Target="https://www.sec.gov/Archives/edgar/data/8858/000110465921107076/tm2125327d1_ex10-1.htm" TargetMode="External"/><Relationship Id="rId123" Type="http://schemas.openxmlformats.org/officeDocument/2006/relationships/hyperlink" Target="https://www.sec.gov/Archives/edgar/data/8858/000000885822000020/avt-20220402ex1013726ef.htm" TargetMode="External"/><Relationship Id="rId124" Type="http://schemas.openxmlformats.org/officeDocument/2006/relationships/hyperlink" Target="https://www.sec.gov/Archives/edgar/data/8858/000110465922128735/tm2233169d1_ex10-1.htm" TargetMode="External"/><Relationship Id="rId125" Type="http://schemas.openxmlformats.org/officeDocument/2006/relationships/hyperlink" Target="https://www.sec.gov/Archives/edgar/data/8858/000000885823000029/avt-20230701xex10d17b8.htm" TargetMode="External"/><Relationship Id="rId126" Type="http://schemas.openxmlformats.org/officeDocument/2006/relationships/hyperlink" Target="https://www.sec.gov/Archives/edgar/data/8858/000000885824000046/avt-20241206xex10d1.htm" TargetMode="External"/><Relationship Id="rId127" Type="http://schemas.openxmlformats.org/officeDocument/2006/relationships/hyperlink" Target="https://www.sec.gov/Archives/edgar/data/8858/000000885825000002/avt-20250117xex10d1.htm" TargetMode="External"/><Relationship Id="rId128" Type="http://schemas.openxmlformats.org/officeDocument/2006/relationships/hyperlink" Target="https://www.sec.gov/Archives/edgar/data/8858/000000885825000021/avt-20250701xex10d1.htm" TargetMode="External"/><Relationship Id="rId129" Type="http://schemas.openxmlformats.org/officeDocument/2006/relationships/hyperlink" Target="https://www.sec.gov/Archives/edgar/data/8858/000000885824000030/avt-20240629xex19d1.htm" TargetMode="External"/><Relationship Id="rId131" Type="http://schemas.openxmlformats.org/officeDocument/2006/relationships/hyperlink" Target="https://www.sec.gov/Archives/edgar/data/8858/000000885824000030/avt-20240629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2025-08-15T05:25:10Z</dcterms:created>
  <dcterms:modified xsi:type="dcterms:W3CDTF">2025-08-15T05:25:10Z</dcterms:modified>
</cp:coreProperties>
</file>