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3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April 1, 2023</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94615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5"/>
          <w:szCs w:val="35"/>
          <w:b w:val="1"/>
          <w:bCs w:val="1"/>
          <w:color w:val="auto"/>
        </w:rPr>
        <w:t>,</w:t>
      </w:r>
      <w:r>
        <w:rPr>
          <w:rFonts w:ascii="Arial" w:cs="Arial" w:eastAsia="Arial" w:hAnsi="Arial"/>
          <w:sz w:val="29"/>
          <w:szCs w:val="29"/>
          <w:b w:val="1"/>
          <w:bCs w:val="1"/>
          <w:color w:val="auto"/>
        </w:rPr>
        <w:t xml:space="preserve">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60"/>
          </w:cols>
          <w:pgMar w:left="860" w:top="665"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Arial" w:cs="Arial" w:eastAsia="Arial" w:hAnsi="Arial"/>
          <w:sz w:val="18"/>
          <w:szCs w:val="18"/>
          <w:b w:val="1"/>
          <w:bCs w:val="1"/>
          <w:color w:val="auto"/>
        </w:rPr>
        <w:t>New York</w:t>
      </w:r>
    </w:p>
    <w:p>
      <w:pPr>
        <w:jc w:val="center"/>
        <w:ind w:right="400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11-1890605</w:t>
      </w:r>
    </w:p>
    <w:p>
      <w:pPr>
        <w:jc w:val="center"/>
        <w:ind w:right="860"/>
        <w:spacing w:after="0" w:line="203" w:lineRule="auto"/>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5" w:right="879" w:bottom="1440" w:gutter="0" w:footer="0" w:header="0"/>
          <w:type w:val="continuous"/>
        </w:sectPr>
      </w:pP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85034</w:t>
      </w:r>
    </w:p>
    <w:p>
      <w:pPr>
        <w:jc w:val="center"/>
        <w:ind w:right="206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600" w:space="720"/>
            <w:col w:w="2840"/>
          </w:cols>
          <w:pgMar w:left="860" w:top="665" w:right="87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160"/>
          </w:cols>
          <w:pgMar w:left="860" w:top="665" w:right="8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90"/>
              </w:rPr>
              <w:t>Nasdaq Global Select Market</w:t>
            </w:r>
          </w:p>
        </w:tc>
      </w:tr>
      <w:tr>
        <w:trPr>
          <w:trHeight w:val="107"/>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Borders>
              <w:bottom w:val="single" w:sz="8" w:color="0D0D0D"/>
            </w:tcBorders>
          </w:tcPr>
          <w:p>
            <w:pPr>
              <w:spacing w:after="0"/>
              <w:rPr>
                <w:sz w:val="9"/>
                <w:szCs w:val="9"/>
                <w:color w:val="auto"/>
              </w:rPr>
            </w:pPr>
          </w:p>
        </w:tc>
        <w:tc>
          <w:tcPr>
            <w:tcW w:w="260" w:type="dxa"/>
            <w:vAlign w:val="bottom"/>
            <w:tcBorders>
              <w:bottom w:val="single" w:sz="8" w:color="0D0D0D"/>
            </w:tcBorders>
          </w:tcPr>
          <w:p>
            <w:pPr>
              <w:spacing w:after="0"/>
              <w:rPr>
                <w:sz w:val="9"/>
                <w:szCs w:val="9"/>
                <w:color w:val="auto"/>
              </w:rPr>
            </w:pPr>
          </w:p>
        </w:tc>
        <w:tc>
          <w:tcPr>
            <w:tcW w:w="380" w:type="dxa"/>
            <w:vAlign w:val="bottom"/>
            <w:tcBorders>
              <w:bottom w:val="single" w:sz="8" w:color="0D0D0D"/>
            </w:tcBorders>
          </w:tcPr>
          <w:p>
            <w:pPr>
              <w:spacing w:after="0"/>
              <w:rPr>
                <w:sz w:val="9"/>
                <w:szCs w:val="9"/>
                <w:color w:val="auto"/>
              </w:rPr>
            </w:pPr>
          </w:p>
        </w:tc>
        <w:tc>
          <w:tcPr>
            <w:tcW w:w="3800" w:type="dxa"/>
            <w:vAlign w:val="bottom"/>
          </w:tcPr>
          <w:p>
            <w:pPr>
              <w:spacing w:after="0"/>
              <w:rPr>
                <w:sz w:val="9"/>
                <w:szCs w:val="9"/>
                <w:color w:val="auto"/>
              </w:rPr>
            </w:pPr>
          </w:p>
        </w:tc>
      </w:tr>
    </w:tbl>
    <w:p>
      <w:pPr>
        <w:spacing w:after="0" w:line="161" w:lineRule="exact"/>
        <w:rPr>
          <w:sz w:val="24"/>
          <w:szCs w:val="24"/>
          <w:color w:val="auto"/>
        </w:rPr>
      </w:pPr>
    </w:p>
    <w:p>
      <w:pPr>
        <w:ind w:right="200"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right="560"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ind w:right="200" w:firstLine="42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5" w:right="879" w:bottom="1440" w:gutter="0" w:footer="0" w:header="0"/>
          <w:type w:val="continuous"/>
        </w:sectPr>
      </w:pPr>
    </w:p>
    <w:p>
      <w:pPr>
        <w:spacing w:after="0" w:line="5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020" w:space="720"/>
            <w:col w:w="3420"/>
          </w:cols>
          <w:pgMar w:left="860" w:top="665" w:right="879" w:bottom="1440" w:gutter="0" w:footer="0" w:header="0"/>
          <w:type w:val="continuous"/>
        </w:sectPr>
      </w:pPr>
    </w:p>
    <w:p>
      <w:pPr>
        <w:ind w:right="500" w:firstLine="427"/>
        <w:spacing w:after="0" w:line="23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right="120" w:firstLine="427"/>
        <w:spacing w:after="0" w:line="277" w:lineRule="auto"/>
        <w:rPr>
          <w:sz w:val="20"/>
          <w:szCs w:val="20"/>
          <w:color w:val="auto"/>
        </w:rPr>
      </w:pPr>
      <w:r>
        <w:rPr>
          <w:rFonts w:ascii="Arial" w:cs="Arial" w:eastAsia="Arial" w:hAnsi="Arial"/>
          <w:sz w:val="18"/>
          <w:szCs w:val="18"/>
          <w:color w:val="auto"/>
        </w:rPr>
        <w:t>As of April 29, 2023, the total number of shares outstanding of the registrant’s Common Stock was 91,399,349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91440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5"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27"/>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Arial" w:cs="Arial" w:eastAsia="Arial" w:hAnsi="Arial"/>
                <w:sz w:val="18"/>
                <w:szCs w:val="18"/>
                <w:color w:val="auto"/>
                <w:w w:val="97"/>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Arial" w:cs="Arial" w:eastAsia="Arial" w:hAnsi="Arial"/>
                <w:sz w:val="18"/>
                <w:szCs w:val="18"/>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4"/>
            <w:vMerge w:val="restart"/>
          </w:tcPr>
          <w:p>
            <w:pPr>
              <w:jc w:val="center"/>
              <w:ind w:right="2560"/>
              <w:spacing w:after="0"/>
              <w:rPr>
                <w:sz w:val="20"/>
                <w:szCs w:val="20"/>
                <w:color w:val="auto"/>
              </w:rPr>
            </w:pPr>
            <w:r>
              <w:rPr>
                <w:rFonts w:ascii="Arial" w:cs="Arial" w:eastAsia="Arial" w:hAnsi="Arial"/>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4"/>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Arial" w:cs="Arial" w:eastAsia="Arial" w:hAnsi="Arial"/>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Arial" w:cs="Arial" w:eastAsia="Arial" w:hAnsi="Arial"/>
                <w:sz w:val="18"/>
                <w:szCs w:val="18"/>
                <w:color w:val="0000EE"/>
              </w:rPr>
              <w:t>Consolidated Balance Sheets at April 1, 2023 and July 2, 2022</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2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Consolidated Statements of Operations for the third quarters and nine months ended April 1, 2023 and</w:t>
            </w:r>
          </w:p>
        </w:tc>
        <w:tc>
          <w:tcPr>
            <w:tcW w:w="24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24"/>
          </w:tcPr>
          <w:p>
            <w:pPr>
              <w:spacing w:after="0" w:line="196" w:lineRule="exact"/>
              <w:rPr>
                <w:sz w:val="20"/>
                <w:szCs w:val="20"/>
                <w:color w:val="auto"/>
              </w:rPr>
            </w:pPr>
            <w:r>
              <w:rPr>
                <w:rFonts w:ascii="Arial" w:cs="Arial" w:eastAsia="Arial" w:hAnsi="Arial"/>
                <w:sz w:val="18"/>
                <w:szCs w:val="18"/>
                <w:color w:val="0000EE"/>
              </w:rPr>
              <w:t>April 2, 2022</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9"/>
              </w:rPr>
              <w:t>Consolidated Statements of Comprehensive Income for the third quarters and nine months ended April</w:t>
            </w:r>
          </w:p>
        </w:tc>
        <w:tc>
          <w:tcPr>
            <w:tcW w:w="2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1, 2023 and April 2, 2022</w:t>
            </w:r>
          </w:p>
        </w:tc>
        <w:tc>
          <w:tcPr>
            <w:tcW w:w="5620" w:type="dxa"/>
            <w:vAlign w:val="bottom"/>
            <w:gridSpan w:val="1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Arial" w:cs="Arial" w:eastAsia="Arial" w:hAnsi="Arial"/>
                <w:sz w:val="18"/>
                <w:szCs w:val="18"/>
                <w:color w:val="0000EE"/>
                <w:w w:val="92"/>
              </w:rPr>
              <w:t>Consolidated Statements of Shareholders’ Equity for the third quarters and nine months ended April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2023 and April 2, 2022</w:t>
            </w:r>
          </w:p>
        </w:tc>
        <w:tc>
          <w:tcPr>
            <w:tcW w:w="5580" w:type="dxa"/>
            <w:vAlign w:val="bottom"/>
            <w:tcBorders>
              <w:top w:val="single" w:sz="8" w:color="0000EE"/>
            </w:tcBorders>
            <w:gridSpan w:val="16"/>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Consolidated Statements of Cash Flows for the nine months ended April 1, 2023 and April 2, 2022</w:t>
            </w:r>
          </w:p>
        </w:tc>
        <w:tc>
          <w:tcPr>
            <w:tcW w:w="4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Arial" w:cs="Arial" w:eastAsia="Arial" w:hAnsi="Arial"/>
                <w:sz w:val="18"/>
                <w:szCs w:val="18"/>
                <w:color w:val="0000EE"/>
              </w:rPr>
              <w:t>Notes to Consolidated Financial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Arial" w:cs="Arial" w:eastAsia="Arial" w:hAnsi="Arial"/>
                <w:sz w:val="18"/>
                <w:szCs w:val="18"/>
                <w:color w:val="0000EE"/>
              </w:rPr>
              <w:t>Item 4. 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color w:val="0000EE"/>
                <w:w w:val="96"/>
              </w:rPr>
              <w:t>PART II. OTHER INFORMATION</w:t>
            </w:r>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Item 1. Legal Proceedings</w:t>
            </w:r>
          </w:p>
        </w:tc>
        <w:tc>
          <w:tcPr>
            <w:tcW w:w="604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Item 1A. Risk Factors</w:t>
            </w:r>
          </w:p>
        </w:tc>
        <w:tc>
          <w:tcPr>
            <w:tcW w:w="63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Item 2. Unregistered Sales of Equity Securities and Use of Proceeds</w:t>
            </w:r>
          </w:p>
        </w:tc>
        <w:tc>
          <w:tcPr>
            <w:tcW w:w="302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Arial" w:cs="Arial" w:eastAsia="Arial" w:hAnsi="Arial"/>
                <w:sz w:val="18"/>
                <w:szCs w:val="18"/>
                <w:color w:val="0000EE"/>
              </w:rPr>
              <w:t>Item 6. Exhibits</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40" w:type="dxa"/>
            <w:vAlign w:val="bottom"/>
            <w:vMerge w:val="continue"/>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AVNET, INC. AND SUBSIDIARIES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April 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84"/>
              </w:rPr>
              <w:t>(Thousands,</w:t>
            </w:r>
          </w:p>
        </w:tc>
        <w:tc>
          <w:tcPr>
            <w:tcW w:w="180" w:type="dxa"/>
            <w:vAlign w:val="bottom"/>
          </w:tcPr>
          <w:p>
            <w:pPr>
              <w:spacing w:after="0"/>
              <w:rPr>
                <w:sz w:val="16"/>
                <w:szCs w:val="16"/>
                <w:color w:val="auto"/>
              </w:rPr>
            </w:pPr>
          </w:p>
        </w:tc>
        <w:tc>
          <w:tcPr>
            <w:tcW w:w="104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92"/>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4,670,636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232,956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10,443,538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400,320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222,852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271,694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210,731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12,109,310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10,388,532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40" w:type="dxa"/>
            <w:vAlign w:val="bottom"/>
            <w:shd w:val="clear" w:color="auto" w:fill="CCEEFF"/>
          </w:tcPr>
          <w:p>
            <w:pPr>
              <w:spacing w:after="0"/>
              <w:rPr>
                <w:sz w:val="17"/>
                <w:szCs w:val="17"/>
                <w:color w:val="auto"/>
              </w:rPr>
            </w:pPr>
          </w:p>
        </w:tc>
        <w:tc>
          <w:tcPr>
            <w:tcW w:w="5440" w:type="dxa"/>
            <w:vAlign w:val="bottom"/>
            <w:shd w:val="clear" w:color="auto" w:fill="CCEEFF"/>
          </w:tcPr>
          <w:p>
            <w:pPr>
              <w:jc w:val="center"/>
              <w:ind w:right="89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3,136,862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3,032,864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7,473,709</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6,195,772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Commitments and contingencies (Note 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91,414,383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and 95,701,630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3,249,912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(384,398)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4,635,601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4,192,760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12,109,310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10,388,532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Third Quarters Ended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April 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April 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gridSpan w:val="9"/>
          </w:tcPr>
          <w:p>
            <w:pPr>
              <w:ind w:left="800"/>
              <w:spacing w:after="0" w:line="202" w:lineRule="exact"/>
              <w:rPr>
                <w:sz w:val="20"/>
                <w:szCs w:val="20"/>
                <w:color w:val="auto"/>
              </w:rPr>
            </w:pPr>
            <w:r>
              <w:rPr>
                <w:rFonts w:ascii="Arial" w:cs="Arial" w:eastAsia="Arial" w:hAnsi="Arial"/>
                <w:sz w:val="18"/>
                <w:szCs w:val="18"/>
                <w:b w:val="1"/>
                <w:bCs w:val="1"/>
                <w:color w:val="auto"/>
                <w:w w:val="85"/>
              </w:rPr>
              <w:t>(Thousands, except per share amounts)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6,514,619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6,488,143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19,982,273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17,938,055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5,702,771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5,675,110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17,618,151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15,752,295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498,219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512,364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1,460,984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Russian-Ukraine conflict related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7"/>
              </w:rPr>
              <w:t>Restructuring, integration and other expenses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313,629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903,138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financing expenses,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legal settlements (Note 7)</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176,910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187,426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183,417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615,572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22"/>
                <w:szCs w:val="22"/>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91,436</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92,226</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8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92,456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99,486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93,616</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100,296</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3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0.87</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6"/>
              </w:rPr>
              <w:t>Third Quarters Ended</w:t>
            </w:r>
          </w:p>
        </w:tc>
        <w:tc>
          <w:tcPr>
            <w:tcW w:w="220" w:type="dxa"/>
            <w:vAlign w:val="bottom"/>
          </w:tcPr>
          <w:p>
            <w:pPr>
              <w:spacing w:after="0"/>
              <w:rPr>
                <w:sz w:val="20"/>
                <w:szCs w:val="20"/>
                <w:color w:val="auto"/>
              </w:rPr>
            </w:pPr>
          </w:p>
        </w:tc>
        <w:tc>
          <w:tcPr>
            <w:tcW w:w="18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9"/>
              </w:rPr>
              <w:t>Nine Months Ended</w:t>
            </w:r>
          </w:p>
        </w:tc>
      </w:tr>
      <w:tr>
        <w:trPr>
          <w:trHeight w:val="198"/>
        </w:trPr>
        <w:tc>
          <w:tcPr>
            <w:tcW w:w="4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April 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April 2,</w:t>
            </w:r>
          </w:p>
        </w:tc>
        <w:tc>
          <w:tcPr>
            <w:tcW w:w="220" w:type="dxa"/>
            <w:vAlign w:val="bottom"/>
          </w:tcPr>
          <w:p>
            <w:pPr>
              <w:spacing w:after="0"/>
              <w:rPr>
                <w:sz w:val="17"/>
                <w:szCs w:val="17"/>
                <w:color w:val="auto"/>
              </w:rPr>
            </w:pPr>
          </w:p>
        </w:tc>
        <w:tc>
          <w:tcPr>
            <w:tcW w:w="8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April 2,</w:t>
            </w:r>
          </w:p>
        </w:tc>
      </w:tr>
      <w:tr>
        <w:trPr>
          <w:trHeight w:val="241"/>
        </w:trPr>
        <w:tc>
          <w:tcPr>
            <w:tcW w:w="4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r>
      <w:tr>
        <w:trPr>
          <w:trHeight w:val="203"/>
        </w:trPr>
        <w:tc>
          <w:tcPr>
            <w:tcW w:w="4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right"/>
              <w:ind w:right="35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187,426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$ 615,572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445,556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(144,052)</w:t>
            </w:r>
          </w:p>
        </w:tc>
      </w:tr>
      <w:tr>
        <w:trPr>
          <w:trHeight w:val="216"/>
        </w:trPr>
        <w:tc>
          <w:tcPr>
            <w:tcW w:w="4320" w:type="dxa"/>
            <w:vAlign w:val="bottom"/>
          </w:tcPr>
          <w:p>
            <w:pPr>
              <w:ind w:left="100"/>
              <w:spacing w:after="0"/>
              <w:rPr>
                <w:sz w:val="20"/>
                <w:szCs w:val="20"/>
                <w:color w:val="auto"/>
              </w:rPr>
            </w:pPr>
            <w:r>
              <w:rPr>
                <w:rFonts w:ascii="Arial" w:cs="Arial" w:eastAsia="Arial" w:hAnsi="Arial"/>
                <w:sz w:val="18"/>
                <w:szCs w:val="18"/>
                <w:color w:val="auto"/>
              </w:rPr>
              <w:t>Cross-currency swap</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6"/>
        </w:trPr>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Pension adjustments, net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r>
      <w:tr>
        <w:trPr>
          <w:trHeight w:val="210"/>
        </w:trPr>
        <w:tc>
          <w:tcPr>
            <w:tcW w:w="4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comprehensive income (loss), net of tax</w:t>
            </w:r>
          </w:p>
        </w:tc>
        <w:tc>
          <w:tcPr>
            <w:tcW w:w="6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45,062</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(62,024)</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96,850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(132,020)</w:t>
            </w:r>
          </w:p>
        </w:tc>
      </w:tr>
      <w:tr>
        <w:trPr>
          <w:trHeight w:val="216"/>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232,488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121,393</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$ 712,422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313,536</w:t>
            </w: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Common</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Common</w:t>
            </w:r>
          </w:p>
        </w:tc>
        <w:tc>
          <w:tcPr>
            <w:tcW w:w="9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Additional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6"/>
              </w:rPr>
              <w:t>Other</w:t>
            </w:r>
          </w:p>
        </w:tc>
        <w:tc>
          <w:tcPr>
            <w:tcW w:w="220" w:type="dxa"/>
            <w:vAlign w:val="bottom"/>
          </w:tcPr>
          <w:p>
            <w:pPr>
              <w:spacing w:after="0"/>
              <w:rPr>
                <w:sz w:val="18"/>
                <w:szCs w:val="18"/>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Total</w:t>
            </w: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9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8"/>
              </w:rPr>
              <w:t>Paid-In</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7"/>
              </w:rPr>
              <w:t>Comprehensive</w:t>
            </w: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Shareholders’</w:t>
            </w:r>
          </w:p>
        </w:tc>
      </w:tr>
      <w:tr>
        <w:trPr>
          <w:trHeight w:val="231"/>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Amount</w:t>
            </w:r>
          </w:p>
        </w:tc>
        <w:tc>
          <w:tcPr>
            <w:tcW w:w="9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0"/>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Equity</w:t>
            </w:r>
          </w:p>
        </w:tc>
      </w:tr>
      <w:tr>
        <w:trPr>
          <w:trHeight w:val="203"/>
        </w:trPr>
        <w:tc>
          <w:tcPr>
            <w:tcW w:w="26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76"/>
              </w:rPr>
              <w:t>(Thousands)</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July 2, 2022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95,702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$ 95,702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$ 1,656,907</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$ 2,921,399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(481,248)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4,192,760</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184,261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184,261</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(191,797)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(191,797)</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(26,998)</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(26,998)</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(3,445)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(3,445)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(144,457)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(147,902)</w:t>
            </w:r>
          </w:p>
        </w:tc>
      </w:tr>
      <w:tr>
        <w:trPr>
          <w:trHeight w:val="223"/>
        </w:trPr>
        <w:tc>
          <w:tcPr>
            <w:tcW w:w="2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9,011</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October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92,329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92,329</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1,665,846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2,934,205</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(673,045)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4,019,335</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243,886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243,886</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243,585</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(26,307)</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(26,307)</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(1,629)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(1,629)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(62,795)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(64,424)</w:t>
            </w:r>
          </w:p>
        </w:tc>
      </w:tr>
      <w:tr>
        <w:trPr>
          <w:trHeight w:val="223"/>
        </w:trPr>
        <w:tc>
          <w:tcPr>
            <w:tcW w:w="2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13,553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13,588</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90,735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90,735</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1,679,399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3,088,989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(429,460)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4,429,663</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187,426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187,426</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45,062</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(26,503)</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(26,503)</w:t>
            </w:r>
          </w:p>
        </w:tc>
      </w:tr>
      <w:tr>
        <w:trPr>
          <w:trHeight w:val="23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03"/>
        </w:trPr>
        <w:tc>
          <w:tcPr>
            <w:tcW w:w="264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Balance, April 1, 2023</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91,414</w:t>
            </w: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$ 91,414</w:t>
            </w: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$ 1,678,673</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$ 3,249,912</w:t>
            </w: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(384,398)</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4,635,601</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50"/>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Common</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Common</w:t>
            </w:r>
          </w:p>
        </w:tc>
        <w:tc>
          <w:tcPr>
            <w:tcW w:w="9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3"/>
              </w:rPr>
              <w:t>Additional</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6"/>
              </w:rPr>
              <w:t>Other</w:t>
            </w:r>
          </w:p>
        </w:tc>
        <w:tc>
          <w:tcPr>
            <w:tcW w:w="220" w:type="dxa"/>
            <w:vAlign w:val="bottom"/>
          </w:tcPr>
          <w:p>
            <w:pPr>
              <w:spacing w:after="0"/>
              <w:rPr>
                <w:sz w:val="18"/>
                <w:szCs w:val="18"/>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Total</w:t>
            </w:r>
          </w:p>
        </w:tc>
      </w:tr>
      <w:tr>
        <w:trPr>
          <w:trHeight w:val="216"/>
        </w:trPr>
        <w:tc>
          <w:tcPr>
            <w:tcW w:w="264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Stock-</w:t>
            </w:r>
          </w:p>
        </w:tc>
        <w:tc>
          <w:tcPr>
            <w:tcW w:w="9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8"/>
              </w:rPr>
              <w:t>Paid-In</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7"/>
              </w:rPr>
              <w:t>Comprehensive</w:t>
            </w: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Shareholders’</w:t>
            </w:r>
          </w:p>
        </w:tc>
      </w:tr>
      <w:tr>
        <w:trPr>
          <w:trHeight w:val="231"/>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Amount</w:t>
            </w:r>
          </w:p>
        </w:tc>
        <w:tc>
          <w:tcPr>
            <w:tcW w:w="9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0"/>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Equity</w:t>
            </w:r>
          </w:p>
        </w:tc>
      </w:tr>
      <w:tr>
        <w:trPr>
          <w:trHeight w:val="203"/>
        </w:trPr>
        <w:tc>
          <w:tcPr>
            <w:tcW w:w="26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76"/>
              </w:rPr>
              <w:t>(Thousands)</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July 3, 2021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99,601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$ 99,601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$ 1,622,160</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$ 2,516,170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(153,747)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4,084,184</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111,318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111,318</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(25,024)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(25,024)</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(23,893)</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(23,893)</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(10,228)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(10,503)</w:t>
            </w:r>
          </w:p>
        </w:tc>
      </w:tr>
      <w:tr>
        <w:trPr>
          <w:trHeight w:val="223"/>
        </w:trPr>
        <w:tc>
          <w:tcPr>
            <w:tcW w:w="2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9,517</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October 2,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99,336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99,336</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1,631,667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2,593,367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(178,771)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4,145,599</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150,821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150,821</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(44,972)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(44,972)</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(23,749)</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(23,749)</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(34,421)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(35,342)</w:t>
            </w:r>
          </w:p>
        </w:tc>
      </w:tr>
      <w:tr>
        <w:trPr>
          <w:trHeight w:val="223"/>
        </w:trPr>
        <w:tc>
          <w:tcPr>
            <w:tcW w:w="2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10,869</w:t>
            </w: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January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98,430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98,430</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1,642,521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2,686,018</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(223,743)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4,203,226</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183,417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183,417</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(62,024)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(62,024)</w:t>
            </w:r>
          </w:p>
        </w:tc>
      </w:tr>
      <w:tr>
        <w:trPr>
          <w:trHeight w:val="216"/>
        </w:trPr>
        <w:tc>
          <w:tcPr>
            <w:tcW w:w="2640" w:type="dxa"/>
            <w:vAlign w:val="bottom"/>
          </w:tcPr>
          <w:p>
            <w:pPr>
              <w:ind w:left="20"/>
              <w:spacing w:after="0"/>
              <w:rPr>
                <w:sz w:val="20"/>
                <w:szCs w:val="20"/>
                <w:color w:val="auto"/>
              </w:rPr>
            </w:pPr>
            <w:r>
              <w:rPr>
                <w:rFonts w:ascii="Arial" w:cs="Arial" w:eastAsia="Arial" w:hAnsi="Arial"/>
                <w:sz w:val="17"/>
                <w:szCs w:val="17"/>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(25,612)</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(25,612)</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(44,031)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(45,132)</w:t>
            </w:r>
          </w:p>
        </w:tc>
      </w:tr>
      <w:tr>
        <w:trPr>
          <w:trHeight w:val="223"/>
        </w:trPr>
        <w:tc>
          <w:tcPr>
            <w:tcW w:w="264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7"/>
                <w:szCs w:val="17"/>
                <w:color w:val="auto"/>
              </w:rPr>
              <w:t>651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2,194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2,845</w:t>
            </w:r>
          </w:p>
        </w:tc>
      </w:tr>
      <w:tr>
        <w:trPr>
          <w:trHeight w:val="216"/>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April 2,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$ 97,980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$ 1,644,715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$ 2,799,792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(285,767)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4,256,720</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4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AVNET, INC. AND SUBSIDIARIES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615,572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Non-cash and other reconciling items: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operating lease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Other,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(net of effects from businesses acquired and divested):</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Receivables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(320,097)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(1,033,381)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628,822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Accrued expenses and other, net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Arial" w:cs="Arial" w:eastAsia="Arial" w:hAnsi="Arial"/>
                <w:sz w:val="18"/>
                <w:szCs w:val="18"/>
                <w:color w:val="auto"/>
              </w:rPr>
              <w:t>Net cash flows used for operating activities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(948,241)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Issuance of notes, net of discounts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Borrowings under accounts receivable securitization,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Borrowings under senior unsecured credit facility, net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Borrowings (repayments) under bank credit facilities and other debt,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Repurchases of common stock</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Dividends paid on common stock</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Arial" w:cs="Arial" w:eastAsia="Arial" w:hAnsi="Arial"/>
                <w:sz w:val="18"/>
                <w:szCs w:val="18"/>
                <w:color w:val="auto"/>
              </w:rPr>
              <w:t>Net cash flows provided by (used for) financing activities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1,122,447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Purchases of property, plant and equipment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8"/>
                <w:szCs w:val="18"/>
                <w:color w:val="auto"/>
              </w:rPr>
              <w:t>Proceeds from liquidation of Company owned life insurance policies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Arial" w:cs="Arial" w:eastAsia="Arial" w:hAnsi="Arial"/>
                <w:sz w:val="18"/>
                <w:szCs w:val="18"/>
                <w:color w:val="auto"/>
              </w:rPr>
              <w:t>Net cash flows (used) provided by investing activities</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(154,130)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increase (decrease)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at beginning of period</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at end of period</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vMerge w:val="restart"/>
          </w:tcPr>
          <w:p>
            <w:pPr>
              <w:jc w:val="center"/>
              <w:ind w:left="930"/>
              <w:spacing w:after="0"/>
              <w:rPr>
                <w:sz w:val="20"/>
                <w:szCs w:val="20"/>
                <w:color w:val="auto"/>
              </w:rPr>
            </w:pPr>
            <w:r>
              <w:rPr>
                <w:rFonts w:ascii="Arial" w:cs="Arial" w:eastAsia="Arial" w:hAnsi="Arial"/>
                <w:sz w:val="18"/>
                <w:szCs w:val="18"/>
                <w:color w:val="auto"/>
                <w:w w:val="88"/>
              </w:rPr>
              <w:t>See notes to consolidated financial statements.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6640" w:type="dxa"/>
            <w:vAlign w:val="bottom"/>
            <w:gridSpan w:val="3"/>
          </w:tcPr>
          <w:p>
            <w:pPr>
              <w:jc w:val="center"/>
              <w:ind w:left="2190"/>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40" w:right="59"/>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ind w:left="60" w:right="219" w:firstLine="427"/>
        <w:spacing w:after="0" w:line="257"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2022 balances to correspond to the fiscal 2023 consolidated financial statement presentation.</w:t>
      </w:r>
    </w:p>
    <w:p>
      <w:pPr>
        <w:spacing w:after="0" w:line="188" w:lineRule="exact"/>
        <w:rPr>
          <w:sz w:val="20"/>
          <w:szCs w:val="20"/>
          <w:color w:val="auto"/>
        </w:rPr>
      </w:pPr>
    </w:p>
    <w:p>
      <w:pPr>
        <w:ind w:left="60" w:right="299" w:firstLine="427"/>
        <w:spacing w:after="0" w:line="286" w:lineRule="auto"/>
        <w:rPr>
          <w:sz w:val="20"/>
          <w:szCs w:val="20"/>
          <w:color w:val="auto"/>
        </w:rPr>
      </w:pPr>
      <w:r>
        <w:rPr>
          <w:rFonts w:ascii="Arial" w:cs="Arial" w:eastAsia="Arial" w:hAnsi="Arial"/>
          <w:sz w:val="17"/>
          <w:szCs w:val="17"/>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65" w:lineRule="exact"/>
        <w:rPr>
          <w:sz w:val="20"/>
          <w:szCs w:val="20"/>
          <w:color w:val="auto"/>
        </w:rPr>
      </w:pPr>
    </w:p>
    <w:p>
      <w:pPr>
        <w:ind w:left="60" w:right="579" w:firstLine="427"/>
        <w:spacing w:after="0" w:line="311" w:lineRule="auto"/>
        <w:rPr>
          <w:sz w:val="20"/>
          <w:szCs w:val="20"/>
          <w:color w:val="auto"/>
        </w:rPr>
      </w:pPr>
      <w:r>
        <w:rPr>
          <w:rFonts w:ascii="Arial" w:cs="Arial" w:eastAsia="Arial" w:hAnsi="Arial"/>
          <w:sz w:val="16"/>
          <w:szCs w:val="16"/>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2, 2022.</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60" w:right="199" w:firstLine="427"/>
        <w:spacing w:after="0" w:line="293"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Contract Liabilities from Contracts with Customers </w:t>
      </w:r>
      <w:r>
        <w:rPr>
          <w:rFonts w:ascii="Arial" w:cs="Arial" w:eastAsia="Arial" w:hAnsi="Arial"/>
          <w:sz w:val="16"/>
          <w:szCs w:val="16"/>
          <w:color w:val="auto"/>
        </w:rPr>
        <w:t>(“ASU No. 2021-08”), which requires contract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liabilities acquired in a business combination to be recognized and measured by the acquirer on the acquisition date in accordance with Topic 606 as if it had originated the contracts. The Company’s early adoption of ASU 2021-08 at the beginning of fiscal year 2023 did not have an impact on the Company’s Consolidated Financial Statements as the Company did not have any business combinations in the first nine months of fiscal 2023.</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left="60" w:right="219" w:firstLine="427"/>
        <w:spacing w:after="0" w:line="291" w:lineRule="auto"/>
        <w:rPr>
          <w:sz w:val="20"/>
          <w:szCs w:val="20"/>
          <w:color w:val="auto"/>
        </w:rPr>
      </w:pPr>
      <w:r>
        <w:rPr>
          <w:rFonts w:ascii="Arial" w:cs="Arial" w:eastAsia="Arial" w:hAnsi="Arial"/>
          <w:sz w:val="16"/>
          <w:szCs w:val="16"/>
          <w:color w:val="auto"/>
        </w:rPr>
        <w:t xml:space="preserve">In September 2022, the FASB issued ASU No. 2022-04, </w:t>
      </w:r>
      <w:r>
        <w:rPr>
          <w:rFonts w:ascii="Arial" w:cs="Arial" w:eastAsia="Arial" w:hAnsi="Arial"/>
          <w:sz w:val="16"/>
          <w:szCs w:val="16"/>
          <w:i w:val="1"/>
          <w:iCs w:val="1"/>
          <w:color w:val="auto"/>
        </w:rPr>
        <w:t>Liabilities (subtopic 405-50): Supplier Finance Programs</w:t>
      </w:r>
      <w:r>
        <w:rPr>
          <w:rFonts w:ascii="Arial" w:cs="Arial" w:eastAsia="Arial" w:hAnsi="Arial"/>
          <w:sz w:val="16"/>
          <w:szCs w:val="16"/>
          <w:color w:val="auto"/>
        </w:rPr>
        <w:t xml:space="preserve"> (“ASU No. 2022-04”) to enhance the transparency of certain supplier finance programs to allow financial statement users to understand the effect on working capital, liquidity and cash flows. The new pronouncement requires qualitative and quantitative disclosure sufficient to enable users of the financial statements to understand the nature, activity during the period, changes from period to period and potential magnitude of such programs. The guidance is effective for the Company in the first quarter of fiscal 2024, except for the amendment on roll-forward information, which is effective in fiscal 2025. The Company is currently evaluating any impact from the adoption of this pronouncement.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Receivables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receivables and allowance for credit losses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1,</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r>
      <w:tr>
        <w:trPr>
          <w:trHeight w:val="241"/>
        </w:trPr>
        <w:tc>
          <w:tcPr>
            <w:tcW w:w="3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3"/>
        </w:trPr>
        <w:tc>
          <w:tcPr>
            <w:tcW w:w="3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4,780,858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4,414,904</w:t>
            </w:r>
          </w:p>
        </w:tc>
        <w:tc>
          <w:tcPr>
            <w:tcW w:w="20" w:type="dxa"/>
            <w:vAlign w:val="bottom"/>
          </w:tcPr>
          <w:p>
            <w:pPr>
              <w:spacing w:after="0"/>
              <w:rPr>
                <w:sz w:val="18"/>
                <w:szCs w:val="18"/>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(110,222)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(113,902)</w:t>
            </w:r>
          </w:p>
        </w:tc>
        <w:tc>
          <w:tcPr>
            <w:tcW w:w="20" w:type="dxa"/>
            <w:vAlign w:val="bottom"/>
          </w:tcPr>
          <w:p>
            <w:pPr>
              <w:spacing w:after="0"/>
              <w:rPr>
                <w:sz w:val="20"/>
                <w:szCs w:val="20"/>
                <w:color w:val="auto"/>
              </w:rPr>
            </w:pPr>
          </w:p>
        </w:tc>
      </w:tr>
      <w:tr>
        <w:trPr>
          <w:trHeight w:val="850"/>
        </w:trPr>
        <w:tc>
          <w:tcPr>
            <w:tcW w:w="3300" w:type="dxa"/>
            <w:vAlign w:val="bottom"/>
          </w:tcPr>
          <w:p>
            <w:pPr>
              <w:spacing w:after="0"/>
              <w:rPr>
                <w:sz w:val="24"/>
                <w:szCs w:val="24"/>
                <w:color w:val="auto"/>
              </w:rPr>
            </w:pPr>
          </w:p>
        </w:tc>
        <w:tc>
          <w:tcPr>
            <w:tcW w:w="3020" w:type="dxa"/>
            <w:vAlign w:val="bottom"/>
          </w:tcPr>
          <w:p>
            <w:pPr>
              <w:jc w:val="right"/>
              <w:ind w:right="17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139" w:firstLine="427"/>
        <w:spacing w:after="0" w:line="277" w:lineRule="auto"/>
        <w:rPr>
          <w:sz w:val="20"/>
          <w:szCs w:val="20"/>
          <w:color w:val="auto"/>
        </w:rPr>
      </w:pPr>
      <w:r>
        <w:rPr>
          <w:rFonts w:ascii="Arial" w:cs="Arial" w:eastAsia="Arial" w:hAnsi="Arial"/>
          <w:sz w:val="18"/>
          <w:szCs w:val="18"/>
          <w:color w:val="auto"/>
        </w:rPr>
        <w:t>The Company had the following activity in the allowance for credit losses during the first nine months of fiscal 2023 and fiscal 2022:</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w:t>
            </w:r>
          </w:p>
        </w:tc>
      </w:tr>
      <w:tr>
        <w:trPr>
          <w:trHeight w:val="241"/>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Provisions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21,746</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Russian-Ukraine conflict Credit Loss Provisions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Recoveries</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Write Offs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20" w:type="dxa"/>
            <w:vAlign w:val="bottom"/>
          </w:tcPr>
          <w:p>
            <w:pPr>
              <w:spacing w:after="0"/>
              <w:rPr>
                <w:sz w:val="18"/>
                <w:szCs w:val="18"/>
                <w:color w:val="auto"/>
              </w:rPr>
            </w:pPr>
          </w:p>
        </w:tc>
      </w:tr>
      <w:tr>
        <w:trPr>
          <w:trHeight w:val="223"/>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Effect and Other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20" w:type="dxa"/>
            <w:vAlign w:val="bottom"/>
          </w:tcPr>
          <w:p>
            <w:pPr>
              <w:spacing w:after="0"/>
              <w:rPr>
                <w:sz w:val="19"/>
                <w:szCs w:val="19"/>
                <w:color w:val="auto"/>
              </w:rPr>
            </w:pPr>
          </w:p>
        </w:tc>
      </w:tr>
      <w:tr>
        <w:trPr>
          <w:trHeight w:val="21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114,991</w:t>
            </w:r>
          </w:p>
        </w:tc>
        <w:tc>
          <w:tcPr>
            <w:tcW w:w="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399" w:firstLine="427"/>
        <w:spacing w:after="0" w:line="279" w:lineRule="auto"/>
        <w:rPr>
          <w:sz w:val="20"/>
          <w:szCs w:val="20"/>
          <w:color w:val="auto"/>
        </w:rPr>
      </w:pPr>
      <w:r>
        <w:rPr>
          <w:rFonts w:ascii="Arial" w:cs="Arial" w:eastAsia="Arial" w:hAnsi="Arial"/>
          <w:sz w:val="17"/>
          <w:szCs w:val="17"/>
          <w:color w:val="auto"/>
        </w:rPr>
        <w:t>During the first nine months of fiscal 2022, the Company incurred $26.3 million of expense, primarily related to $17.2 million of credit loss provisions associated with accounts receivable from Russian customers that were no longer considered collectible. The remaining $9.1 million of expenses were related to product write downs and other costs associated with the wind-down of the Company’s business operations in Russia and Ukraine.</w:t>
      </w:r>
    </w:p>
    <w:p>
      <w:pPr>
        <w:spacing w:after="0" w:line="140" w:lineRule="exact"/>
        <w:rPr>
          <w:sz w:val="20"/>
          <w:szCs w:val="20"/>
          <w:color w:val="auto"/>
        </w:rPr>
      </w:pPr>
    </w:p>
    <w:p>
      <w:pPr>
        <w:ind w:left="480" w:right="6459" w:hanging="430"/>
        <w:spacing w:after="0" w:line="503" w:lineRule="auto"/>
        <w:tabs>
          <w:tab w:leader="none" w:pos="2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48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change in goodwill by reportable segment for the nine months ended April 1, 2023.</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0"/>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2, 2022 </w:t>
            </w:r>
            <w:r>
              <w:rPr>
                <w:rFonts w:ascii="Arial" w:cs="Arial" w:eastAsia="Arial" w:hAnsi="Arial"/>
                <w:sz w:val="25"/>
                <w:szCs w:val="25"/>
                <w:color w:val="auto"/>
                <w:vertAlign w:val="superscript"/>
              </w:rPr>
              <w:t>(1)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467,307</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12,073</w:t>
            </w: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April 1, 2023 </w:t>
            </w:r>
            <w:r>
              <w:rPr>
                <w:rFonts w:ascii="Arial" w:cs="Arial" w:eastAsia="Arial" w:hAnsi="Arial"/>
                <w:sz w:val="25"/>
                <w:szCs w:val="25"/>
                <w:color w:val="auto"/>
                <w:vertAlign w:val="superscript"/>
              </w:rPr>
              <w:t>(1)</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475,246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770,906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hanging="250"/>
        <w:spacing w:after="0"/>
        <w:tabs>
          <w:tab w:leader="none" w:pos="300" w:val="left"/>
        </w:tabs>
        <w:numPr>
          <w:ilvl w:val="0"/>
          <w:numId w:val="4"/>
        </w:numPr>
        <w:rPr>
          <w:rFonts w:ascii="Arial" w:cs="Arial" w:eastAsia="Arial" w:hAnsi="Arial"/>
          <w:sz w:val="12"/>
          <w:szCs w:val="12"/>
          <w:color w:val="auto"/>
        </w:rPr>
      </w:pPr>
      <w:r>
        <w:rPr>
          <w:rFonts w:ascii="Arial" w:cs="Arial" w:eastAsia="Arial" w:hAnsi="Arial"/>
          <w:sz w:val="16"/>
          <w:szCs w:val="16"/>
          <w:color w:val="auto"/>
        </w:rPr>
        <w:t>Includes accumulated impairments of $1,482,677 from prior fiscal years.</w:t>
      </w:r>
    </w:p>
    <w:p>
      <w:pPr>
        <w:spacing w:after="0" w:line="122"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79" w:firstLine="427"/>
        <w:spacing w:after="0" w:line="259" w:lineRule="auto"/>
        <w:rPr>
          <w:sz w:val="20"/>
          <w:szCs w:val="20"/>
          <w:color w:val="auto"/>
        </w:rPr>
      </w:pPr>
      <w:r>
        <w:rPr>
          <w:rFonts w:ascii="Arial" w:cs="Arial" w:eastAsia="Arial" w:hAnsi="Arial"/>
          <w:sz w:val="18"/>
          <w:szCs w:val="18"/>
          <w:color w:val="auto"/>
        </w:rPr>
        <w:t>The net book value of intangible assets was $7.4 million as of April 1, 2023, which is not material to the consolidated financial statements. Intangible asset amortization expense was $0.9 million and $3.1 million for the third quarters of fiscal 2023 and 2022, respectively, and $5.2 million and $12.0 million for the first nine months of fiscal 2023 and 2022,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April 1,</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July 2,</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w:t>
            </w:r>
          </w:p>
        </w:tc>
        <w:tc>
          <w:tcPr>
            <w:tcW w:w="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July 2,</w:t>
            </w:r>
          </w:p>
        </w:tc>
      </w:tr>
      <w:tr>
        <w:trPr>
          <w:trHeight w:val="241"/>
        </w:trPr>
        <w:tc>
          <w:tcPr>
            <w:tcW w:w="502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50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ind w:left="380"/>
              <w:spacing w:after="0" w:line="202" w:lineRule="exact"/>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36"/>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short-term debt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2.09 %</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76,335</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$ 174,422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020" w:type="dxa"/>
            <w:vAlign w:val="bottom"/>
          </w:tcPr>
          <w:p>
            <w:pPr>
              <w:spacing w:after="0" w:line="203" w:lineRule="exact"/>
              <w:rPr>
                <w:sz w:val="20"/>
                <w:szCs w:val="20"/>
                <w:color w:val="auto"/>
              </w:rPr>
            </w:pPr>
            <w:r>
              <w:rPr>
                <w:rFonts w:ascii="Arial" w:cs="Arial" w:eastAsia="Arial" w:hAnsi="Arial"/>
                <w:sz w:val="18"/>
                <w:szCs w:val="18"/>
                <w:color w:val="auto"/>
              </w:rPr>
              <w:t>Short-term debt</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76,335</w:t>
            </w: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7"/>
              </w:rPr>
              <w:t>$ 174,422</w:t>
            </w:r>
          </w:p>
        </w:tc>
        <w:tc>
          <w:tcPr>
            <w:tcW w:w="6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59" w:firstLine="432"/>
        <w:spacing w:after="0" w:line="263" w:lineRule="auto"/>
        <w:rPr>
          <w:sz w:val="20"/>
          <w:szCs w:val="20"/>
          <w:color w:val="auto"/>
        </w:rPr>
      </w:pPr>
      <w:r>
        <w:rPr>
          <w:rFonts w:ascii="Arial" w:cs="Arial" w:eastAsia="Arial" w:hAnsi="Arial"/>
          <w:sz w:val="18"/>
          <w:szCs w:val="18"/>
          <w:color w:val="auto"/>
        </w:rPr>
        <w:t>Other short-term debt consists primarily of various committed and uncommitted lines of credit and other forms of bank debt with financial institutions utilized primarily to support the ongoing working capital requirements of the Company, including its foreign operations.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w:t>
            </w: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160" w:type="dxa"/>
            <w:vAlign w:val="bottom"/>
          </w:tcPr>
          <w:p>
            <w:pPr>
              <w:spacing w:after="0"/>
              <w:rPr>
                <w:sz w:val="20"/>
                <w:szCs w:val="20"/>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ind w:left="280"/>
              <w:spacing w:after="0" w:line="202" w:lineRule="exact"/>
              <w:rPr>
                <w:sz w:val="20"/>
                <w:szCs w:val="20"/>
                <w:color w:val="auto"/>
              </w:rPr>
            </w:pPr>
            <w:r>
              <w:rPr>
                <w:rFonts w:ascii="Arial" w:cs="Arial" w:eastAsia="Arial" w:hAnsi="Arial"/>
                <w:sz w:val="18"/>
                <w:szCs w:val="18"/>
                <w:b w:val="1"/>
                <w:bCs w:val="1"/>
                <w:color w:val="auto"/>
                <w:w w:val="89"/>
              </w:rPr>
              <w:t>Interest</w:t>
            </w:r>
          </w:p>
        </w:tc>
        <w:tc>
          <w:tcPr>
            <w:tcW w:w="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w w:val="97"/>
              </w:rPr>
              <w:t>Rate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50"/>
              <w:spacing w:after="0" w:line="202" w:lineRule="exact"/>
              <w:rPr>
                <w:sz w:val="20"/>
                <w:szCs w:val="20"/>
                <w:color w:val="auto"/>
              </w:rPr>
            </w:pPr>
            <w:r>
              <w:rPr>
                <w:rFonts w:ascii="Arial" w:cs="Arial" w:eastAsia="Arial" w:hAnsi="Arial"/>
                <w:sz w:val="18"/>
                <w:szCs w:val="18"/>
                <w:b w:val="1"/>
                <w:bCs w:val="1"/>
                <w:color w:val="auto"/>
                <w:w w:val="89"/>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w w:val="95"/>
              </w:rPr>
              <w:t>Accounts receivable securitization program (due December 2024)</w:t>
            </w:r>
          </w:p>
        </w:tc>
        <w:tc>
          <w:tcPr>
            <w:tcW w:w="700" w:type="dxa"/>
            <w:vAlign w:val="bottom"/>
          </w:tcPr>
          <w:p>
            <w:pPr>
              <w:ind w:left="160"/>
              <w:spacing w:after="0"/>
              <w:rPr>
                <w:sz w:val="20"/>
                <w:szCs w:val="20"/>
                <w:color w:val="auto"/>
              </w:rPr>
            </w:pPr>
            <w:r>
              <w:rPr>
                <w:rFonts w:ascii="Arial" w:cs="Arial" w:eastAsia="Arial" w:hAnsi="Arial"/>
                <w:sz w:val="18"/>
                <w:szCs w:val="18"/>
                <w:color w:val="auto"/>
                <w:w w:val="92"/>
              </w:rPr>
              <w:t>5.65 %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2.55 %</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558,800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297,800</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 (due August 2027)</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4.61 %</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Public notes due: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April 2026</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4.63 %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May 2031</w:t>
            </w:r>
          </w:p>
        </w:tc>
        <w:tc>
          <w:tcPr>
            <w:tcW w:w="700" w:type="dxa"/>
            <w:vAlign w:val="bottom"/>
          </w:tcPr>
          <w:p>
            <w:pPr>
              <w:ind w:left="160"/>
              <w:spacing w:after="0"/>
              <w:rPr>
                <w:sz w:val="20"/>
                <w:szCs w:val="20"/>
                <w:color w:val="auto"/>
              </w:rPr>
            </w:pPr>
            <w:r>
              <w:rPr>
                <w:rFonts w:ascii="Arial" w:cs="Arial" w:eastAsia="Arial" w:hAnsi="Arial"/>
                <w:sz w:val="18"/>
                <w:szCs w:val="18"/>
                <w:color w:val="auto"/>
                <w:w w:val="92"/>
              </w:rPr>
              <w:t>3.00 %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2032</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5.50 %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March 2028</w:t>
            </w:r>
          </w:p>
        </w:tc>
        <w:tc>
          <w:tcPr>
            <w:tcW w:w="700" w:type="dxa"/>
            <w:vAlign w:val="bottom"/>
          </w:tcPr>
          <w:p>
            <w:pPr>
              <w:ind w:left="160"/>
              <w:spacing w:after="0"/>
              <w:rPr>
                <w:sz w:val="20"/>
                <w:szCs w:val="20"/>
                <w:color w:val="auto"/>
              </w:rPr>
            </w:pPr>
            <w:r>
              <w:rPr>
                <w:rFonts w:ascii="Arial" w:cs="Arial" w:eastAsia="Arial" w:hAnsi="Arial"/>
                <w:sz w:val="18"/>
                <w:szCs w:val="18"/>
                <w:color w:val="auto"/>
                <w:w w:val="92"/>
              </w:rPr>
              <w:t>6.25 %</w:t>
            </w:r>
          </w:p>
        </w:tc>
        <w:tc>
          <w:tcPr>
            <w:tcW w:w="18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before discount and debt issuance costs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3,047,429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1,447,800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Discount and debt issuance costs – unamortized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(14,565)</w:t>
            </w: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(10,400)</w:t>
            </w:r>
          </w:p>
        </w:tc>
      </w:tr>
      <w:tr>
        <w:trPr>
          <w:trHeight w:val="216"/>
        </w:trPr>
        <w:tc>
          <w:tcPr>
            <w:tcW w:w="51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3,032,864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1,437,400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432"/>
        <w:spacing w:after="0" w:line="269" w:lineRule="auto"/>
        <w:rPr>
          <w:sz w:val="20"/>
          <w:szCs w:val="20"/>
          <w:color w:val="auto"/>
        </w:rPr>
      </w:pPr>
      <w:r>
        <w:rPr>
          <w:rFonts w:ascii="Arial" w:cs="Arial" w:eastAsia="Arial" w:hAnsi="Arial"/>
          <w:sz w:val="17"/>
          <w:szCs w:val="17"/>
          <w:color w:val="auto"/>
        </w:rPr>
        <w:t>In December 2022, the Company amended and extended for two years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$650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$1.21 billion and $1.12 billion at April 1, 2023, and July 2, 2022, respectively. The Securitization Program contains certain covenants relating to the quality of the receivables sold.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59" w:firstLine="427"/>
        <w:spacing w:after="0" w:line="253" w:lineRule="auto"/>
        <w:rPr>
          <w:sz w:val="20"/>
          <w:szCs w:val="20"/>
          <w:color w:val="auto"/>
        </w:rPr>
      </w:pPr>
      <w:r>
        <w:rPr>
          <w:rFonts w:ascii="Arial" w:cs="Arial" w:eastAsia="Arial" w:hAnsi="Arial"/>
          <w:sz w:val="18"/>
          <w:szCs w:val="18"/>
          <w:color w:val="auto"/>
        </w:rPr>
        <w:t>In 2022, the Company amended and extended its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April 1, 2023, and July 2, 2022, there were $1.0 million and $1.2 million, respectively,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April 1, 2023, and July 2, 2022.</w:t>
      </w:r>
    </w:p>
    <w:p>
      <w:pPr>
        <w:spacing w:after="0" w:line="196" w:lineRule="exact"/>
        <w:rPr>
          <w:sz w:val="20"/>
          <w:szCs w:val="20"/>
          <w:color w:val="auto"/>
        </w:rPr>
      </w:pPr>
    </w:p>
    <w:p>
      <w:pPr>
        <w:ind w:left="60" w:right="219" w:firstLine="432"/>
        <w:spacing w:after="0" w:line="259" w:lineRule="auto"/>
        <w:rPr>
          <w:sz w:val="20"/>
          <w:szCs w:val="20"/>
          <w:color w:val="auto"/>
        </w:rPr>
      </w:pPr>
      <w:r>
        <w:rPr>
          <w:rFonts w:ascii="Arial" w:cs="Arial" w:eastAsia="Arial" w:hAnsi="Arial"/>
          <w:sz w:val="18"/>
          <w:szCs w:val="18"/>
          <w:color w:val="auto"/>
        </w:rPr>
        <w:t>In March 2023, the Company issued $500.0 million in aggregate principal amount of 6.250% Notes due 2028. The related discount and issuance costs will be amortized to interest expense over the term of the notes and are not considered material to the consolidated financial statements. Interest is payable semi-annually, in arrears, in March and September, commencing September 2023.</w:t>
      </w:r>
    </w:p>
    <w:p>
      <w:pPr>
        <w:spacing w:after="0" w:line="187" w:lineRule="exact"/>
        <w:rPr>
          <w:sz w:val="20"/>
          <w:szCs w:val="20"/>
          <w:color w:val="auto"/>
        </w:rPr>
      </w:pPr>
    </w:p>
    <w:p>
      <w:pPr>
        <w:ind w:left="60" w:right="79" w:firstLine="427"/>
        <w:spacing w:after="0" w:line="257" w:lineRule="auto"/>
        <w:rPr>
          <w:sz w:val="20"/>
          <w:szCs w:val="20"/>
          <w:color w:val="auto"/>
        </w:rPr>
      </w:pPr>
      <w:r>
        <w:rPr>
          <w:rFonts w:ascii="Arial" w:cs="Arial" w:eastAsia="Arial" w:hAnsi="Arial"/>
          <w:sz w:val="18"/>
          <w:szCs w:val="18"/>
          <w:color w:val="auto"/>
        </w:rPr>
        <w:t>As of April 1, 2023, the carrying value and fair value of the Company’s total debt was $3.11 billion and $3.04 billion, respectively. At July 2, 2022, the carrying value and fair value of the Company’s total debt was $1.61 billion and $1.55 billion, respectively. Fair value for the public notes was estimated based upon quoted market prices (Level 1) and, for other forms of debt, fair value approximates carrying value due to the market based variable nature of the interest rates on those debt facilities (Level 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60" w:right="119" w:firstLine="427"/>
        <w:spacing w:after="0" w:line="259"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15 years. The Company’s equipment leases are primarily for automobiles and equipment and are not material to the consolidated financial statements.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8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Third Quarters Ended</w:t>
            </w:r>
          </w:p>
        </w:tc>
        <w:tc>
          <w:tcPr>
            <w:tcW w:w="100" w:type="dxa"/>
            <w:vAlign w:val="bottom"/>
          </w:tcPr>
          <w:p>
            <w:pPr>
              <w:spacing w:after="0"/>
              <w:rPr>
                <w:sz w:val="20"/>
                <w:szCs w:val="20"/>
                <w:color w:val="auto"/>
              </w:rPr>
            </w:pPr>
          </w:p>
        </w:tc>
        <w:tc>
          <w:tcPr>
            <w:tcW w:w="166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w:t>
            </w: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April 1,</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8"/>
              </w:rPr>
              <w:t>April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April 1,</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April 2,</w:t>
            </w:r>
          </w:p>
        </w:tc>
        <w:tc>
          <w:tcPr>
            <w:tcW w:w="20" w:type="dxa"/>
            <w:vAlign w:val="bottom"/>
          </w:tcPr>
          <w:p>
            <w:pPr>
              <w:spacing w:after="0"/>
              <w:rPr>
                <w:sz w:val="17"/>
                <w:szCs w:val="17"/>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1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52,196</w:t>
            </w:r>
          </w:p>
        </w:tc>
        <w:tc>
          <w:tcPr>
            <w:tcW w:w="20" w:type="dxa"/>
            <w:vAlign w:val="bottom"/>
          </w:tcPr>
          <w:p>
            <w:pPr>
              <w:spacing w:after="0"/>
              <w:rPr>
                <w:sz w:val="18"/>
                <w:szCs w:val="18"/>
                <w:color w:val="auto"/>
              </w:rPr>
            </w:pPr>
          </w:p>
        </w:tc>
      </w:tr>
      <w:tr>
        <w:trPr>
          <w:trHeight w:val="223"/>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20" w:type="dxa"/>
            <w:vAlign w:val="bottom"/>
          </w:tcPr>
          <w:p>
            <w:pPr>
              <w:spacing w:after="0"/>
              <w:rPr>
                <w:sz w:val="19"/>
                <w:szCs w:val="19"/>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140" w:type="dxa"/>
            <w:vAlign w:val="bottom"/>
            <w:gridSpan w:val="8"/>
          </w:tcPr>
          <w:p>
            <w:pPr>
              <w:ind w:left="420"/>
              <w:spacing w:after="0"/>
              <w:rPr>
                <w:sz w:val="20"/>
                <w:szCs w:val="20"/>
                <w:color w:val="auto"/>
              </w:rPr>
            </w:pPr>
            <w:r>
              <w:rPr>
                <w:rFonts w:ascii="Arial" w:cs="Arial" w:eastAsia="Arial" w:hAnsi="Arial"/>
                <w:sz w:val="18"/>
                <w:szCs w:val="18"/>
                <w:color w:val="auto"/>
                <w:w w:val="91"/>
              </w:rPr>
              <w:t>Future minimum operating lease payments as of April 1, 2023, are as follows (in thousands):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20" w:type="dxa"/>
            <w:vAlign w:val="bottom"/>
          </w:tcPr>
          <w:p>
            <w:pPr>
              <w:spacing w:after="0"/>
              <w:rPr>
                <w:sz w:val="18"/>
                <w:szCs w:val="18"/>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55,302</w:t>
            </w:r>
          </w:p>
        </w:tc>
        <w:tc>
          <w:tcPr>
            <w:tcW w:w="20" w:type="dxa"/>
            <w:vAlign w:val="bottom"/>
          </w:tcPr>
          <w:p>
            <w:pPr>
              <w:spacing w:after="0"/>
              <w:rPr>
                <w:sz w:val="18"/>
                <w:szCs w:val="18"/>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44,128</w:t>
            </w:r>
          </w:p>
        </w:tc>
        <w:tc>
          <w:tcPr>
            <w:tcW w:w="20" w:type="dxa"/>
            <w:vAlign w:val="bottom"/>
          </w:tcPr>
          <w:p>
            <w:pPr>
              <w:spacing w:after="0"/>
              <w:rPr>
                <w:sz w:val="18"/>
                <w:szCs w:val="18"/>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34,699</w:t>
            </w:r>
          </w:p>
        </w:tc>
        <w:tc>
          <w:tcPr>
            <w:tcW w:w="20" w:type="dxa"/>
            <w:vAlign w:val="bottom"/>
          </w:tcPr>
          <w:p>
            <w:pPr>
              <w:spacing w:after="0"/>
              <w:rPr>
                <w:sz w:val="18"/>
                <w:szCs w:val="18"/>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22,835</w:t>
            </w:r>
          </w:p>
        </w:tc>
        <w:tc>
          <w:tcPr>
            <w:tcW w:w="20" w:type="dxa"/>
            <w:vAlign w:val="bottom"/>
          </w:tcPr>
          <w:p>
            <w:pPr>
              <w:spacing w:after="0"/>
              <w:rPr>
                <w:sz w:val="18"/>
                <w:szCs w:val="18"/>
                <w:color w:val="auto"/>
              </w:rPr>
            </w:pPr>
          </w:p>
        </w:tc>
      </w:tr>
      <w:tr>
        <w:trPr>
          <w:trHeight w:val="223"/>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116,335</w:t>
            </w:r>
          </w:p>
        </w:tc>
        <w:tc>
          <w:tcPr>
            <w:tcW w:w="20" w:type="dxa"/>
            <w:vAlign w:val="bottom"/>
          </w:tcPr>
          <w:p>
            <w:pPr>
              <w:spacing w:after="0"/>
              <w:rPr>
                <w:sz w:val="19"/>
                <w:szCs w:val="19"/>
                <w:color w:val="auto"/>
              </w:rPr>
            </w:pPr>
          </w:p>
        </w:tc>
      </w:tr>
      <w:tr>
        <w:trPr>
          <w:trHeight w:val="21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290,655</w:t>
            </w:r>
          </w:p>
        </w:tc>
        <w:tc>
          <w:tcPr>
            <w:tcW w:w="20" w:type="dxa"/>
            <w:vAlign w:val="bottom"/>
          </w:tcPr>
          <w:p>
            <w:pPr>
              <w:spacing w:after="0"/>
              <w:rPr>
                <w:sz w:val="18"/>
                <w:szCs w:val="18"/>
                <w:color w:val="auto"/>
              </w:rPr>
            </w:pPr>
          </w:p>
        </w:tc>
      </w:tr>
      <w:tr>
        <w:trPr>
          <w:trHeight w:val="223"/>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imputed interest on operating lease liabilities</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(46,267)</w:t>
            </w:r>
          </w:p>
        </w:tc>
        <w:tc>
          <w:tcPr>
            <w:tcW w:w="20" w:type="dxa"/>
            <w:vAlign w:val="bottom"/>
          </w:tcPr>
          <w:p>
            <w:pPr>
              <w:spacing w:after="0"/>
              <w:rPr>
                <w:sz w:val="19"/>
                <w:szCs w:val="19"/>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20" w:type="dxa"/>
            <w:vAlign w:val="bottom"/>
          </w:tcPr>
          <w:p>
            <w:pPr>
              <w:ind w:left="44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6620" w:type="dxa"/>
            <w:vAlign w:val="bottom"/>
          </w:tcPr>
          <w:p>
            <w:pPr>
              <w:spacing w:after="0"/>
              <w:rPr>
                <w:sz w:val="24"/>
                <w:szCs w:val="24"/>
                <w:color w:val="auto"/>
              </w:rPr>
            </w:pPr>
          </w:p>
        </w:tc>
        <w:tc>
          <w:tcPr>
            <w:tcW w:w="22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6620" w:type="dxa"/>
            <w:vAlign w:val="bottom"/>
          </w:tcPr>
          <w:p>
            <w:pPr>
              <w:spacing w:after="0"/>
              <w:rPr>
                <w:sz w:val="17"/>
                <w:szCs w:val="17"/>
                <w:color w:val="auto"/>
              </w:rPr>
            </w:pPr>
          </w:p>
        </w:tc>
        <w:tc>
          <w:tcPr>
            <w:tcW w:w="120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8"/>
              </w:rPr>
              <w:t>April 1,</w:t>
            </w:r>
          </w:p>
        </w:tc>
        <w:tc>
          <w:tcPr>
            <w:tcW w:w="108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April 2,</w:t>
            </w:r>
          </w:p>
        </w:tc>
      </w:tr>
      <w:tr>
        <w:trPr>
          <w:trHeight w:val="241"/>
        </w:trPr>
        <w:tc>
          <w:tcPr>
            <w:tcW w:w="66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Operating Lease Term and Discount Rate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8.8</w:t>
            </w:r>
          </w:p>
        </w:tc>
      </w:tr>
      <w:tr>
        <w:trPr>
          <w:trHeight w:val="230"/>
        </w:trPr>
        <w:tc>
          <w:tcPr>
            <w:tcW w:w="662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ind w:left="600"/>
              <w:spacing w:after="0"/>
              <w:rPr>
                <w:sz w:val="20"/>
                <w:szCs w:val="20"/>
                <w:color w:val="auto"/>
              </w:rPr>
            </w:pPr>
            <w:r>
              <w:rPr>
                <w:rFonts w:ascii="Arial" w:cs="Arial" w:eastAsia="Arial" w:hAnsi="Arial"/>
                <w:sz w:val="18"/>
                <w:szCs w:val="18"/>
                <w:color w:val="auto"/>
                <w:w w:val="99"/>
              </w:rPr>
              <w:t>3.8 %</w:t>
            </w:r>
          </w:p>
        </w:tc>
        <w:tc>
          <w:tcPr>
            <w:tcW w:w="120" w:type="dxa"/>
            <w:vAlign w:val="bottom"/>
          </w:tcPr>
          <w:p>
            <w:pPr>
              <w:spacing w:after="0"/>
              <w:rPr>
                <w:sz w:val="20"/>
                <w:szCs w:val="20"/>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w w:val="99"/>
              </w:rPr>
              <w:t>3.8 %</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April 1,</w:t>
            </w:r>
          </w:p>
        </w:tc>
        <w:tc>
          <w:tcPr>
            <w:tcW w:w="160" w:type="dxa"/>
            <w:vAlign w:val="bottom"/>
          </w:tcPr>
          <w:p>
            <w:pPr>
              <w:spacing w:after="0"/>
              <w:rPr>
                <w:sz w:val="17"/>
                <w:szCs w:val="17"/>
                <w:color w:val="auto"/>
              </w:rPr>
            </w:pPr>
          </w:p>
        </w:tc>
        <w:tc>
          <w:tcPr>
            <w:tcW w:w="9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April 2,</w:t>
            </w:r>
          </w:p>
        </w:tc>
      </w:tr>
      <w:tr>
        <w:trPr>
          <w:trHeight w:val="241"/>
        </w:trPr>
        <w:tc>
          <w:tcPr>
            <w:tcW w:w="6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43,030</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43,109</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25,897</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ind w:left="60" w:right="99" w:firstLine="427"/>
        <w:spacing w:after="0" w:line="254" w:lineRule="auto"/>
        <w:rPr>
          <w:sz w:val="20"/>
          <w:szCs w:val="20"/>
          <w:color w:val="auto"/>
        </w:rPr>
      </w:pPr>
      <w:r>
        <w:rPr>
          <w:rFonts w:ascii="Arial" w:cs="Arial" w:eastAsia="Arial" w:hAnsi="Arial"/>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95" w:lineRule="exact"/>
        <w:rPr>
          <w:sz w:val="20"/>
          <w:szCs w:val="20"/>
          <w:color w:val="auto"/>
        </w:rPr>
      </w:pPr>
    </w:p>
    <w:p>
      <w:pPr>
        <w:ind w:left="60" w:right="59" w:firstLine="427"/>
        <w:spacing w:after="0" w:line="288" w:lineRule="auto"/>
        <w:rPr>
          <w:sz w:val="20"/>
          <w:szCs w:val="20"/>
          <w:color w:val="auto"/>
        </w:rPr>
      </w:pPr>
      <w:r>
        <w:rPr>
          <w:rFonts w:ascii="Arial" w:cs="Arial" w:eastAsia="Arial" w:hAnsi="Arial"/>
          <w:sz w:val="16"/>
          <w:szCs w:val="16"/>
          <w:color w:val="auto"/>
        </w:rPr>
        <w:t>The Company uses economic hedges to reduce this risk utilizing natural hedging (</w:t>
      </w:r>
      <w:r>
        <w:rPr>
          <w:rFonts w:ascii="Arial" w:cs="Arial" w:eastAsia="Arial" w:hAnsi="Arial"/>
          <w:sz w:val="16"/>
          <w:szCs w:val="16"/>
          <w:i w:val="1"/>
          <w:iCs w:val="1"/>
          <w:color w:val="auto"/>
        </w:rPr>
        <w:t>i.e.</w:t>
      </w:r>
      <w:r>
        <w:rPr>
          <w:rFonts w:ascii="Arial" w:cs="Arial" w:eastAsia="Arial" w:hAnsi="Arial"/>
          <w:sz w:val="16"/>
          <w:szCs w:val="16"/>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are based upon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68" w:lineRule="exact"/>
        <w:rPr>
          <w:sz w:val="20"/>
          <w:szCs w:val="20"/>
          <w:color w:val="auto"/>
        </w:rPr>
      </w:pPr>
    </w:p>
    <w:p>
      <w:pPr>
        <w:ind w:left="60" w:right="139" w:firstLine="427"/>
        <w:spacing w:after="0" w:line="271" w:lineRule="auto"/>
        <w:rPr>
          <w:sz w:val="20"/>
          <w:szCs w:val="20"/>
          <w:color w:val="auto"/>
        </w:rPr>
      </w:pPr>
      <w:r>
        <w:rPr>
          <w:rFonts w:ascii="Arial" w:cs="Arial" w:eastAsia="Arial" w:hAnsi="Arial"/>
          <w:sz w:val="17"/>
          <w:szCs w:val="17"/>
          <w:color w:val="auto"/>
        </w:rPr>
        <w:t>During the third quarter of fiscal 2023, the Company entered into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income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are based upon Level 2 criteria under the ASC 820 fair value hierarchy.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ind w:left="60" w:right="140" w:firstLine="427"/>
        <w:spacing w:after="0" w:line="263" w:lineRule="auto"/>
        <w:rPr>
          <w:sz w:val="20"/>
          <w:szCs w:val="20"/>
          <w:color w:val="auto"/>
        </w:rPr>
      </w:pPr>
      <w:r>
        <w:rPr>
          <w:rFonts w:ascii="Arial" w:cs="Arial" w:eastAsia="Arial" w:hAnsi="Arial"/>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184" w:lineRule="exact"/>
        <w:rPr>
          <w:sz w:val="20"/>
          <w:szCs w:val="20"/>
          <w:color w:val="auto"/>
        </w:rPr>
      </w:pPr>
    </w:p>
    <w:p>
      <w:pPr>
        <w:ind w:left="60" w:right="500" w:firstLine="427"/>
        <w:spacing w:after="0" w:line="277" w:lineRule="auto"/>
        <w:rPr>
          <w:sz w:val="20"/>
          <w:szCs w:val="20"/>
          <w:color w:val="auto"/>
        </w:rPr>
      </w:pPr>
      <w:r>
        <w:rPr>
          <w:rFonts w:ascii="Arial" w:cs="Arial" w:eastAsia="Arial" w:hAnsi="Arial"/>
          <w:sz w:val="18"/>
          <w:szCs w:val="18"/>
          <w:color w:val="auto"/>
        </w:rPr>
        <w:t>The locations and fair values of the Company’s derivative financial instruments in the Company’s Consolidated Balance Sheets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w:t>
            </w:r>
          </w:p>
        </w:tc>
        <w:tc>
          <w:tcPr>
            <w:tcW w:w="1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July 2,</w:t>
            </w:r>
          </w:p>
        </w:tc>
      </w:tr>
      <w:tr>
        <w:trPr>
          <w:trHeight w:val="241"/>
        </w:trPr>
        <w:tc>
          <w:tcPr>
            <w:tcW w:w="6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03"/>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4"/>
          </w:tcPr>
          <w:p>
            <w:pPr>
              <w:jc w:val="right"/>
              <w:ind w:right="510"/>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hedges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50,627</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24,907</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w:t>
            </w: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right="380" w:firstLine="427"/>
        <w:spacing w:after="0" w:line="277" w:lineRule="auto"/>
        <w:rPr>
          <w:sz w:val="20"/>
          <w:szCs w:val="20"/>
          <w:color w:val="auto"/>
        </w:rPr>
      </w:pPr>
      <w:r>
        <w:rPr>
          <w:rFonts w:ascii="Arial" w:cs="Arial" w:eastAsia="Arial" w:hAnsi="Arial"/>
          <w:sz w:val="18"/>
          <w:szCs w:val="18"/>
          <w:color w:val="auto"/>
        </w:rPr>
        <w:t>The locations of derivative financial instruments on the Company’s Consolidated Statements of Operations are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ind w:left="40"/>
              <w:spacing w:after="0"/>
              <w:rPr>
                <w:sz w:val="20"/>
                <w:szCs w:val="20"/>
                <w:color w:val="auto"/>
              </w:rPr>
            </w:pPr>
            <w:r>
              <w:rPr>
                <w:rFonts w:ascii="Arial" w:cs="Arial" w:eastAsia="Arial" w:hAnsi="Arial"/>
                <w:sz w:val="17"/>
                <w:szCs w:val="17"/>
                <w:b w:val="1"/>
                <w:bCs w:val="1"/>
                <w:color w:val="auto"/>
              </w:rPr>
              <w:t>Third Quarters Ended</w:t>
            </w:r>
          </w:p>
        </w:tc>
        <w:tc>
          <w:tcPr>
            <w:tcW w:w="160" w:type="dxa"/>
            <w:vAlign w:val="bottom"/>
          </w:tcPr>
          <w:p>
            <w:pPr>
              <w:spacing w:after="0"/>
              <w:rPr>
                <w:sz w:val="20"/>
                <w:szCs w:val="20"/>
                <w:color w:val="auto"/>
              </w:rPr>
            </w:pPr>
          </w:p>
        </w:tc>
        <w:tc>
          <w:tcPr>
            <w:tcW w:w="2020" w:type="dxa"/>
            <w:vAlign w:val="bottom"/>
            <w:gridSpan w:val="5"/>
          </w:tcPr>
          <w:p>
            <w:pPr>
              <w:ind w:left="200"/>
              <w:spacing w:after="0"/>
              <w:rPr>
                <w:sz w:val="20"/>
                <w:szCs w:val="20"/>
                <w:color w:val="auto"/>
              </w:rPr>
            </w:pPr>
            <w:r>
              <w:rPr>
                <w:rFonts w:ascii="Arial" w:cs="Arial" w:eastAsia="Arial" w:hAnsi="Arial"/>
                <w:sz w:val="17"/>
                <w:szCs w:val="17"/>
                <w:b w:val="1"/>
                <w:bCs w:val="1"/>
                <w:color w:val="auto"/>
              </w:rPr>
              <w:t>Nine Months Ended</w:t>
            </w:r>
          </w:p>
        </w:tc>
      </w:tr>
      <w:tr>
        <w:trPr>
          <w:trHeight w:val="208"/>
        </w:trPr>
        <w:tc>
          <w:tcPr>
            <w:tcW w:w="1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April 1,</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April 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April 1,</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April 2,</w:t>
            </w:r>
          </w:p>
        </w:tc>
        <w:tc>
          <w:tcPr>
            <w:tcW w:w="2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20"/>
                <w:szCs w:val="20"/>
                <w:color w:val="auto"/>
              </w:rPr>
            </w:pPr>
          </w:p>
        </w:tc>
      </w:tr>
      <w:tr>
        <w:trPr>
          <w:trHeight w:val="203"/>
        </w:trPr>
        <w:tc>
          <w:tcPr>
            <w:tcW w:w="15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0"/>
              </w:rPr>
              <w:t>(Thousands)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Economic hedges</w:t>
            </w:r>
          </w:p>
        </w:tc>
        <w:tc>
          <w:tcPr>
            <w:tcW w:w="3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(8,777)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(24,560)</w:t>
            </w:r>
          </w:p>
        </w:tc>
        <w:tc>
          <w:tcPr>
            <w:tcW w:w="20" w:type="dxa"/>
            <w:vAlign w:val="bottom"/>
          </w:tcPr>
          <w:p>
            <w:pPr>
              <w:spacing w:after="0"/>
              <w:rPr>
                <w:sz w:val="18"/>
                <w:szCs w:val="18"/>
                <w:color w:val="auto"/>
              </w:rPr>
            </w:pPr>
          </w:p>
        </w:tc>
      </w:tr>
      <w:tr>
        <w:trPr>
          <w:trHeight w:val="216"/>
        </w:trPr>
        <w:tc>
          <w:tcPr>
            <w:tcW w:w="1540" w:type="dxa"/>
            <w:vAlign w:val="bottom"/>
          </w:tcPr>
          <w:p>
            <w:pPr>
              <w:ind w:left="20"/>
              <w:spacing w:after="0"/>
              <w:rPr>
                <w:sz w:val="20"/>
                <w:szCs w:val="20"/>
                <w:color w:val="auto"/>
              </w:rPr>
            </w:pPr>
            <w:r>
              <w:rPr>
                <w:rFonts w:ascii="Arial" w:cs="Arial" w:eastAsia="Arial" w:hAnsi="Arial"/>
                <w:sz w:val="17"/>
                <w:szCs w:val="17"/>
                <w:color w:val="auto"/>
                <w:w w:val="94"/>
              </w:rPr>
              <w:t>Cross currency swap</w:t>
            </w:r>
          </w:p>
        </w:tc>
        <w:tc>
          <w:tcPr>
            <w:tcW w:w="3200" w:type="dxa"/>
            <w:vAlign w:val="bottom"/>
          </w:tcPr>
          <w:p>
            <w:pPr>
              <w:ind w:left="100"/>
              <w:spacing w:after="0"/>
              <w:rPr>
                <w:sz w:val="20"/>
                <w:szCs w:val="20"/>
                <w:color w:val="auto"/>
              </w:rPr>
            </w:pPr>
            <w:r>
              <w:rPr>
                <w:rFonts w:ascii="Arial" w:cs="Arial" w:eastAsia="Arial" w:hAnsi="Arial"/>
                <w:sz w:val="17"/>
                <w:szCs w:val="17"/>
                <w:color w:val="auto"/>
                <w:w w:val="99"/>
              </w:rPr>
              <w:t>Interest and other financing expense, net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(524)</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(524)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left="60" w:right="180"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ind w:left="60" w:right="80" w:firstLine="427"/>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92" w:lineRule="exact"/>
        <w:rPr>
          <w:sz w:val="20"/>
          <w:szCs w:val="20"/>
          <w:color w:val="auto"/>
        </w:rPr>
      </w:pPr>
    </w:p>
    <w:p>
      <w:pPr>
        <w:jc w:val="both"/>
        <w:ind w:left="60" w:right="380" w:firstLine="427"/>
        <w:spacing w:after="0" w:line="342" w:lineRule="auto"/>
        <w:rPr>
          <w:sz w:val="20"/>
          <w:szCs w:val="20"/>
          <w:color w:val="auto"/>
        </w:rPr>
      </w:pPr>
      <w:r>
        <w:rPr>
          <w:rFonts w:ascii="Arial" w:cs="Arial" w:eastAsia="Arial" w:hAnsi="Arial"/>
          <w:sz w:val="16"/>
          <w:szCs w:val="16"/>
          <w:color w:val="auto"/>
        </w:rPr>
        <w:t>As of April 1, 2023, and July 2, 2022, the Company had aggregate estimated liabilities of $14.7 million classified within accrued expenses and other for such compliance-related matters that were reasonably estimable as of such dates.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44" w:right="14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Gain on Legal Settlements</w:t>
      </w:r>
    </w:p>
    <w:p>
      <w:pPr>
        <w:spacing w:after="0" w:line="225" w:lineRule="exact"/>
        <w:rPr>
          <w:sz w:val="20"/>
          <w:szCs w:val="20"/>
          <w:color w:val="auto"/>
        </w:rPr>
      </w:pPr>
    </w:p>
    <w:p>
      <w:pPr>
        <w:ind w:left="60" w:right="219" w:firstLine="427"/>
        <w:spacing w:after="0" w:line="259" w:lineRule="auto"/>
        <w:rPr>
          <w:sz w:val="20"/>
          <w:szCs w:val="20"/>
          <w:color w:val="auto"/>
        </w:rPr>
      </w:pPr>
      <w:r>
        <w:rPr>
          <w:rFonts w:ascii="Arial" w:cs="Arial" w:eastAsia="Arial" w:hAnsi="Arial"/>
          <w:sz w:val="18"/>
          <w:szCs w:val="18"/>
          <w:color w:val="auto"/>
        </w:rPr>
        <w:t>During the second quarter of fiscal 2023, the Company recorded a gain on legal settlements of $61.7 million in connection with the settlement of claims filed against certain manufacturers of capacitors. As of April 1, 2023, the Company has received $51.2 million in cash related to these settlements, which were classified as operating cash flows in the Company’s Consolidated Statements of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60" w:right="859" w:firstLine="427"/>
        <w:spacing w:after="0" w:line="277" w:lineRule="auto"/>
        <w:rPr>
          <w:sz w:val="20"/>
          <w:szCs w:val="20"/>
          <w:color w:val="auto"/>
        </w:rPr>
      </w:pPr>
      <w:r>
        <w:rPr>
          <w:rFonts w:ascii="Arial" w:cs="Arial" w:eastAsia="Arial" w:hAnsi="Arial"/>
          <w:sz w:val="18"/>
          <w:szCs w:val="18"/>
          <w:color w:val="auto"/>
        </w:rPr>
        <w:t>The below discussion of the effective tax rate for the periods presented in the statements of operations is in comparison to the 21% U.S. statutory federal income tax rate.</w:t>
      </w:r>
    </w:p>
    <w:p>
      <w:pPr>
        <w:spacing w:after="0" w:line="170" w:lineRule="exact"/>
        <w:rPr>
          <w:sz w:val="20"/>
          <w:szCs w:val="20"/>
          <w:color w:val="auto"/>
        </w:rPr>
      </w:pPr>
    </w:p>
    <w:p>
      <w:pPr>
        <w:ind w:left="60" w:right="99" w:firstLine="427"/>
        <w:spacing w:after="0" w:line="291" w:lineRule="auto"/>
        <w:rPr>
          <w:sz w:val="20"/>
          <w:szCs w:val="20"/>
          <w:color w:val="auto"/>
        </w:rPr>
      </w:pPr>
      <w:r>
        <w:rPr>
          <w:rFonts w:ascii="Arial" w:cs="Arial" w:eastAsia="Arial" w:hAnsi="Arial"/>
          <w:sz w:val="16"/>
          <w:szCs w:val="16"/>
          <w:color w:val="auto"/>
        </w:rPr>
        <w:t>The Company’s effective tax rate on its income before taxes was 23.1% in the third quarter of fiscal 2023. During the third quarter of fiscal 2023, the Company’s effective tax rate was unfavorably impacted primarily by (i) U.S state taxes and</w:t>
      </w:r>
    </w:p>
    <w:p>
      <w:pPr>
        <w:ind w:left="60" w:right="179" w:hanging="10"/>
        <w:spacing w:after="0" w:line="260"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mix of income in higher tax jurisdictions, partially offset by (iii) decreases to unrecognized tax benefit reserves net of settlements.</w:t>
      </w:r>
    </w:p>
    <w:p>
      <w:pPr>
        <w:spacing w:after="0" w:line="185" w:lineRule="exact"/>
        <w:rPr>
          <w:sz w:val="20"/>
          <w:szCs w:val="20"/>
          <w:color w:val="auto"/>
        </w:rPr>
      </w:pPr>
    </w:p>
    <w:p>
      <w:pPr>
        <w:ind w:left="60" w:right="119" w:firstLine="427"/>
        <w:spacing w:after="0" w:line="263" w:lineRule="auto"/>
        <w:rPr>
          <w:sz w:val="20"/>
          <w:szCs w:val="20"/>
          <w:color w:val="auto"/>
        </w:rPr>
      </w:pPr>
      <w:r>
        <w:rPr>
          <w:rFonts w:ascii="Arial" w:cs="Arial" w:eastAsia="Arial" w:hAnsi="Arial"/>
          <w:sz w:val="18"/>
          <w:szCs w:val="18"/>
          <w:color w:val="auto"/>
        </w:rPr>
        <w:t>During the third quarter of fiscal 2022, the Company’s effective tax rate on its income before taxes was 26.0%. During the third quarter of fiscal 2022, the Company’s effective tax rate was unfavorably impacted primarily by the mix of income in higher tax jurisdictions.</w:t>
      </w:r>
    </w:p>
    <w:p>
      <w:pPr>
        <w:spacing w:after="0" w:line="184" w:lineRule="exact"/>
        <w:rPr>
          <w:sz w:val="20"/>
          <w:szCs w:val="20"/>
          <w:color w:val="auto"/>
        </w:rPr>
      </w:pPr>
    </w:p>
    <w:p>
      <w:pPr>
        <w:ind w:left="60" w:right="59" w:firstLine="427"/>
        <w:spacing w:after="0" w:line="259" w:lineRule="auto"/>
        <w:rPr>
          <w:sz w:val="20"/>
          <w:szCs w:val="20"/>
          <w:color w:val="auto"/>
        </w:rPr>
      </w:pPr>
      <w:r>
        <w:rPr>
          <w:rFonts w:ascii="Arial" w:cs="Arial" w:eastAsia="Arial" w:hAnsi="Arial"/>
          <w:sz w:val="18"/>
          <w:szCs w:val="18"/>
          <w:color w:val="auto"/>
        </w:rPr>
        <w:t>For the first nine months of fiscal 2023, the Company’s effective tax rate on its income before taxes was 22.3%. The effective tax rate for the first nine months of fiscal 2023 was unfavorably impacted primarily by (i) the mix of income in higher tax jurisdictions and (ii) U.S. state taxes, partially offset by (iii) decreases to unrecognized tax benefit reserves net of settlements.</w:t>
      </w:r>
    </w:p>
    <w:p>
      <w:pPr>
        <w:spacing w:after="0" w:line="187" w:lineRule="exact"/>
        <w:rPr>
          <w:sz w:val="20"/>
          <w:szCs w:val="20"/>
          <w:color w:val="auto"/>
        </w:rPr>
      </w:pPr>
    </w:p>
    <w:p>
      <w:pPr>
        <w:jc w:val="both"/>
        <w:ind w:left="60" w:right="159" w:firstLine="427"/>
        <w:spacing w:after="0" w:line="263" w:lineRule="auto"/>
        <w:rPr>
          <w:sz w:val="20"/>
          <w:szCs w:val="20"/>
          <w:color w:val="auto"/>
        </w:rPr>
      </w:pPr>
      <w:r>
        <w:rPr>
          <w:rFonts w:ascii="Arial" w:cs="Arial" w:eastAsia="Arial" w:hAnsi="Arial"/>
          <w:sz w:val="18"/>
          <w:szCs w:val="18"/>
          <w:color w:val="auto"/>
        </w:rPr>
        <w:t>During the first nine months of fiscal 2022, the Company’s effective tax rate on its income before taxes was 23.8%. The effective tax rate for the first nine months of fiscal 2022 was unfavorably impacted primarily by (i) the mix of income in higher tax jurisdictions and (ii) increases to valuation allowances.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 Components of net periodic pension cost for the Plan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9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5"/>
              </w:rPr>
              <w:t>Third Quarters Ended</w:t>
            </w:r>
          </w:p>
        </w:tc>
        <w:tc>
          <w:tcPr>
            <w:tcW w:w="10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Arial" w:cs="Arial" w:eastAsia="Arial" w:hAnsi="Arial"/>
                <w:sz w:val="18"/>
                <w:szCs w:val="18"/>
                <w:b w:val="1"/>
                <w:bCs w:val="1"/>
                <w:color w:val="auto"/>
                <w:w w:val="97"/>
              </w:rPr>
              <w:t>Nine Months Ended</w:t>
            </w:r>
          </w:p>
        </w:tc>
      </w:tr>
      <w:tr>
        <w:trPr>
          <w:trHeight w:val="198"/>
        </w:trPr>
        <w:tc>
          <w:tcPr>
            <w:tcW w:w="5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April 1,</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4"/>
              </w:rPr>
              <w:t>April 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April 1,</w:t>
            </w: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1"/>
              </w:rPr>
              <w:t>April 2,</w:t>
            </w:r>
          </w:p>
        </w:tc>
        <w:tc>
          <w:tcPr>
            <w:tcW w:w="20" w:type="dxa"/>
            <w:vAlign w:val="bottom"/>
          </w:tcPr>
          <w:p>
            <w:pPr>
              <w:spacing w:after="0"/>
              <w:rPr>
                <w:sz w:val="17"/>
                <w:szCs w:val="17"/>
                <w:color w:val="auto"/>
              </w:rPr>
            </w:pPr>
          </w:p>
        </w:tc>
      </w:tr>
      <w:tr>
        <w:trPr>
          <w:trHeight w:val="241"/>
        </w:trPr>
        <w:tc>
          <w:tcPr>
            <w:tcW w:w="5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3"/>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4"/>
          </w:tcPr>
          <w:p>
            <w:pPr>
              <w:jc w:val="right"/>
              <w:ind w:right="310"/>
              <w:spacing w:after="0" w:line="202" w:lineRule="exact"/>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20" w:type="dxa"/>
            <w:vAlign w:val="bottom"/>
          </w:tcPr>
          <w:p>
            <w:pPr>
              <w:spacing w:after="0"/>
              <w:rPr>
                <w:sz w:val="20"/>
                <w:szCs w:val="20"/>
                <w:color w:val="auto"/>
              </w:rPr>
            </w:pPr>
          </w:p>
        </w:tc>
      </w:tr>
      <w:tr>
        <w:trPr>
          <w:trHeight w:val="175"/>
        </w:trPr>
        <w:tc>
          <w:tcPr>
            <w:tcW w:w="5240" w:type="dxa"/>
            <w:vAlign w:val="bottom"/>
          </w:tcPr>
          <w:p>
            <w:pPr>
              <w:ind w:left="100"/>
              <w:spacing w:after="0" w:line="176" w:lineRule="exact"/>
              <w:rPr>
                <w:sz w:val="20"/>
                <w:szCs w:val="20"/>
                <w:color w:val="auto"/>
              </w:rPr>
            </w:pPr>
            <w:r>
              <w:rPr>
                <w:rFonts w:ascii="Arial" w:cs="Arial" w:eastAsia="Arial" w:hAnsi="Arial"/>
                <w:sz w:val="18"/>
                <w:szCs w:val="18"/>
                <w:color w:val="auto"/>
              </w:rPr>
              <w:t>Total net periodic pension cost within selling, general and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11,255</w:t>
            </w:r>
          </w:p>
        </w:tc>
        <w:tc>
          <w:tcPr>
            <w:tcW w:w="20" w:type="dxa"/>
            <w:vAlign w:val="bottom"/>
          </w:tcPr>
          <w:p>
            <w:pPr>
              <w:spacing w:after="0"/>
              <w:rPr>
                <w:sz w:val="20"/>
                <w:szCs w:val="20"/>
                <w:color w:val="auto"/>
              </w:rPr>
            </w:pPr>
          </w:p>
        </w:tc>
      </w:tr>
      <w:tr>
        <w:trPr>
          <w:trHeight w:val="216"/>
        </w:trPr>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11,841</w:t>
            </w:r>
          </w:p>
        </w:tc>
        <w:tc>
          <w:tcPr>
            <w:tcW w:w="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(36,645)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(36,852)</w:t>
            </w:r>
          </w:p>
        </w:tc>
        <w:tc>
          <w:tcPr>
            <w:tcW w:w="2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20" w:type="dxa"/>
            <w:vAlign w:val="bottom"/>
          </w:tcPr>
          <w:p>
            <w:pPr>
              <w:spacing w:after="0"/>
              <w:rPr>
                <w:sz w:val="20"/>
                <w:szCs w:val="20"/>
                <w:color w:val="auto"/>
              </w:rPr>
            </w:pPr>
          </w:p>
        </w:tc>
      </w:tr>
      <w:tr>
        <w:trPr>
          <w:trHeight w:val="203"/>
        </w:trPr>
        <w:tc>
          <w:tcPr>
            <w:tcW w:w="5240" w:type="dxa"/>
            <w:vAlign w:val="bottom"/>
          </w:tcPr>
          <w:p>
            <w:pPr>
              <w:ind w:left="100"/>
              <w:spacing w:after="0" w:line="203" w:lineRule="exact"/>
              <w:rPr>
                <w:sz w:val="20"/>
                <w:szCs w:val="20"/>
                <w:color w:val="auto"/>
              </w:rPr>
            </w:pPr>
            <w:r>
              <w:rPr>
                <w:rFonts w:ascii="Arial" w:cs="Arial" w:eastAsia="Arial" w:hAnsi="Arial"/>
                <w:sz w:val="18"/>
                <w:szCs w:val="18"/>
                <w:color w:val="auto"/>
                <w:w w:val="93"/>
              </w:rPr>
              <w:t>Total net periodic pension benefit within other income (expense), net</w:t>
            </w: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(4,915)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(4,251)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8"/>
              </w:rPr>
              <w:t>(14,743)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8"/>
              </w:rPr>
              <w:t>(12,751)</w:t>
            </w:r>
          </w:p>
        </w:tc>
        <w:tc>
          <w:tcPr>
            <w:tcW w:w="20" w:type="dxa"/>
            <w:vAlign w:val="bottom"/>
          </w:tcPr>
          <w:p>
            <w:pPr>
              <w:spacing w:after="0"/>
              <w:rPr>
                <w:sz w:val="17"/>
                <w:szCs w:val="17"/>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24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benefit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(5,732)</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(1,496)</w:t>
            </w:r>
          </w:p>
        </w:tc>
        <w:tc>
          <w:tcPr>
            <w:tcW w:w="20" w:type="dxa"/>
            <w:vAlign w:val="bottom"/>
            <w:tcBorders>
              <w:bottom w:val="single" w:sz="8" w:color="auto"/>
            </w:tcBorders>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379" w:firstLine="427"/>
        <w:spacing w:after="0" w:line="277" w:lineRule="auto"/>
        <w:rPr>
          <w:sz w:val="20"/>
          <w:szCs w:val="20"/>
          <w:color w:val="auto"/>
        </w:rPr>
      </w:pPr>
      <w:r>
        <w:rPr>
          <w:rFonts w:ascii="Arial" w:cs="Arial" w:eastAsia="Arial" w:hAnsi="Arial"/>
          <w:sz w:val="18"/>
          <w:szCs w:val="18"/>
          <w:color w:val="auto"/>
        </w:rPr>
        <w:t>The Company made $6.0 million of contributions during the first nine months of fiscal 2023 and expects to make additional contributions to the Plan of $2.0 million in the fourth quarter of fiscal 2023.</w:t>
      </w:r>
    </w:p>
    <w:p>
      <w:pPr>
        <w:spacing w:after="0" w:line="166" w:lineRule="exact"/>
        <w:rPr>
          <w:sz w:val="20"/>
          <w:szCs w:val="20"/>
          <w:color w:val="auto"/>
        </w:rPr>
      </w:pPr>
    </w:p>
    <w:p>
      <w:pPr>
        <w:ind w:left="480" w:right="6619" w:hanging="430"/>
        <w:spacing w:after="0" w:line="566" w:lineRule="auto"/>
        <w:tabs>
          <w:tab w:leader="none" w:pos="32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ind w:left="60" w:right="59" w:firstLine="427"/>
        <w:spacing w:after="0" w:line="277" w:lineRule="auto"/>
        <w:rPr>
          <w:sz w:val="20"/>
          <w:szCs w:val="20"/>
          <w:color w:val="auto"/>
        </w:rPr>
      </w:pPr>
      <w:r>
        <w:rPr>
          <w:rFonts w:ascii="Arial" w:cs="Arial" w:eastAsia="Arial" w:hAnsi="Arial"/>
          <w:sz w:val="18"/>
          <w:szCs w:val="18"/>
          <w:color w:val="auto"/>
        </w:rPr>
        <w:t>During the third quarter of fiscal 2023, the Company did not repurchase any shares under this program. As of April 1, 2023, the Company had $319.0 million remaining under its share repurchase authorization.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In February 2023, the Company’s Board of Directors approved a dividend of $0.29 per common share and dividend payments of $26.5 million were made in March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9019"/>
          </w:cols>
          <w:pgMar w:left="1440" w:top="544" w:right="1440" w:bottom="1440" w:gutter="0" w:footer="0" w:header="0"/>
        </w:sect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-121920</wp:posOffset>
            </wp:positionV>
            <wp:extent cx="56921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569214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56921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 average common shares for basic earnings per share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569214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 average common shares for diluted earnings per share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569214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ind w:left="280" w:hanging="258"/>
        <w:spacing w:after="0" w:line="260" w:lineRule="auto"/>
        <w:rPr>
          <w:sz w:val="20"/>
          <w:szCs w:val="20"/>
          <w:color w:val="auto"/>
        </w:rPr>
      </w:pPr>
      <w:r>
        <w:rPr>
          <w:rFonts w:ascii="Arial" w:cs="Arial" w:eastAsia="Arial" w:hAnsi="Arial"/>
          <w:sz w:val="18"/>
          <w:szCs w:val="18"/>
          <w:color w:val="auto"/>
        </w:rPr>
        <w:t>Stock options excluded from earnings per share calculation due to an anti-dilutive effect</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4"/>
              </w:rPr>
              <w:t>Third Quarters Ended</w:t>
            </w:r>
          </w:p>
        </w:tc>
        <w:tc>
          <w:tcPr>
            <w:tcW w:w="100" w:type="dxa"/>
            <w:vAlign w:val="bottom"/>
          </w:tcPr>
          <w:p>
            <w:pPr>
              <w:spacing w:after="0"/>
              <w:rPr>
                <w:sz w:val="20"/>
                <w:szCs w:val="20"/>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April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April 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4"/>
              </w:rPr>
              <w:t>April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4"/>
              </w:rPr>
              <w:t>April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5"/>
          </w:tcPr>
          <w:p>
            <w:pPr>
              <w:ind w:left="340"/>
              <w:spacing w:after="0"/>
              <w:rPr>
                <w:sz w:val="20"/>
                <w:szCs w:val="20"/>
                <w:color w:val="auto"/>
              </w:rPr>
            </w:pPr>
            <w:r>
              <w:rPr>
                <w:rFonts w:ascii="Arial" w:cs="Arial" w:eastAsia="Arial" w:hAnsi="Arial"/>
                <w:sz w:val="18"/>
                <w:szCs w:val="18"/>
                <w:b w:val="1"/>
                <w:bCs w:val="1"/>
                <w:color w:val="auto"/>
                <w:w w:val="83"/>
              </w:rPr>
              <w:t>(Thousands, except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per share</w:t>
            </w:r>
          </w:p>
        </w:tc>
        <w:tc>
          <w:tcPr>
            <w:tcW w:w="120" w:type="dxa"/>
            <w:vAlign w:val="bottom"/>
            <w:gridSpan w:val="2"/>
          </w:tcPr>
          <w:p>
            <w:pPr>
              <w:spacing w:after="0"/>
              <w:rPr>
                <w:sz w:val="20"/>
                <w:szCs w:val="20"/>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data)</w:t>
            </w:r>
          </w:p>
        </w:tc>
        <w:tc>
          <w:tcPr>
            <w:tcW w:w="0" w:type="dxa"/>
            <w:vAlign w:val="bottom"/>
          </w:tcPr>
          <w:p>
            <w:pPr>
              <w:spacing w:after="0"/>
              <w:rPr>
                <w:sz w:val="1"/>
                <w:szCs w:val="1"/>
                <w:color w:val="auto"/>
              </w:rPr>
            </w:pPr>
          </w:p>
        </w:tc>
      </w:tr>
      <w:tr>
        <w:trPr>
          <w:trHeight w:val="40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187,426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183,417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615,572</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445,556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91,436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98,659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99,486</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100,296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w:t>
            </w:r>
          </w:p>
        </w:tc>
        <w:tc>
          <w:tcPr>
            <w:tcW w:w="1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6.67</w:t>
            </w:r>
          </w:p>
        </w:tc>
        <w:tc>
          <w:tcPr>
            <w:tcW w:w="1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1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6.58</w:t>
            </w:r>
          </w:p>
        </w:tc>
        <w:tc>
          <w:tcPr>
            <w:tcW w:w="120" w:type="dxa"/>
            <w:vAlign w:val="bottom"/>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658" w:lineRule="exact"/>
        <w:rPr>
          <w:sz w:val="20"/>
          <w:szCs w:val="20"/>
          <w:color w:val="auto"/>
        </w:rPr>
      </w:pPr>
    </w:p>
    <w:p>
      <w:pPr>
        <w:sectPr>
          <w:pgSz w:w="11900" w:h="16838" w:orient="portrait"/>
          <w:cols w:equalWidth="0" w:num="2">
            <w:col w:w="4980" w:space="440"/>
            <w:col w:w="3599"/>
          </w:cols>
          <w:pgMar w:left="1440" w:top="544" w:right="1440" w:bottom="1440" w:gutter="0" w:footer="0" w:header="0"/>
          <w:type w:val="continuous"/>
        </w:sectPr>
      </w:pPr>
    </w:p>
    <w:p>
      <w:pPr>
        <w:spacing w:after="0" w:line="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1,</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April 2,</w:t>
            </w:r>
          </w:p>
        </w:tc>
        <w:tc>
          <w:tcPr>
            <w:tcW w:w="8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3"/>
        </w:trPr>
        <w:tc>
          <w:tcPr>
            <w:tcW w:w="4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4"/>
          </w:tcPr>
          <w:p>
            <w:pPr>
              <w:jc w:val="right"/>
              <w:ind w:right="550"/>
              <w:spacing w:after="0" w:line="202" w:lineRule="exact"/>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7"/>
                <w:szCs w:val="17"/>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21,322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5,393</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172,425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65,514</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payments, net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111,351</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Included in cash and cash equivalents as of April 1, 2023, and July 2, 2022, was $4.4 million and $5.4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Electronic Components (“EC”) and Farnell (“Farnell”) are the Company’s reportable segments (“operating groups”).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5"/>
              </w:rPr>
              <w:t>Third Quarters Ended</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April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April 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right"/>
              <w:ind w:right="43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Electronic Components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6,059,635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6,019,094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18,693,353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16,572,940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454,984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469,049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1,288,920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6,514,619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6,488,143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19,982,273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17,938,055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Electronic Components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305,244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869,206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69,817</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346,155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334,834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998,634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Russian-Ukraine conflict related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Amortization of acquired intangible assets and other</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313,629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80"/>
              <w:spacing w:after="0"/>
              <w:rPr>
                <w:sz w:val="20"/>
                <w:szCs w:val="20"/>
                <w:color w:val="auto"/>
              </w:rPr>
            </w:pPr>
            <w:r>
              <w:rPr>
                <w:rFonts w:ascii="Arial" w:cs="Arial" w:eastAsia="Arial" w:hAnsi="Arial"/>
                <w:sz w:val="18"/>
                <w:szCs w:val="18"/>
                <w:color w:val="auto"/>
              </w:rPr>
              <w:t>Americas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1,714,943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1,627,251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5,075,022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EMEA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2,393,406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2,185,728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6,778,823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Asia</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2,406,270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2,675,164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8,128,428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6,514,619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6,488,143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19,982,273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17,938,055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fiscal 2022 and prior, the Company incurred restructuring expenses related to various restructuring actions.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remaining restructuring liabilities established during fiscal 2022 and prior were not material as of April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2, 2022,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including COVID-19; competitive pressures among distributors of electronic components; an industry down-cycle in semiconductors, including supply shortages; relationships with key suppliers and allocations of products by suppliers, including increased non-cancellable/non-returnable orders; accounts receivable defaults; risks relating to the Company’s international sales and operations, including risks relating to the ability to repatriate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crisis, and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393" w:lineRule="exact"/>
        <w:rPr>
          <w:sz w:val="20"/>
          <w:szCs w:val="20"/>
          <w:color w:val="auto"/>
        </w:rPr>
      </w:pPr>
    </w:p>
    <w:p>
      <w:pPr>
        <w:ind w:left="60" w:right="279" w:firstLine="405"/>
        <w:spacing w:after="0" w:line="263"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79" w:firstLine="432"/>
        <w:spacing w:after="0" w:line="296" w:lineRule="auto"/>
        <w:rPr>
          <w:sz w:val="20"/>
          <w:szCs w:val="20"/>
          <w:color w:val="auto"/>
        </w:rPr>
      </w:pPr>
      <w:r>
        <w:rPr>
          <w:rFonts w:ascii="Arial" w:cs="Arial" w:eastAsia="Arial" w:hAnsi="Arial"/>
          <w:sz w:val="16"/>
          <w:szCs w:val="16"/>
          <w:color w:val="auto"/>
        </w:rPr>
        <w:t xml:space="preserve">For a description of the Company’s critical accounting policies and an understanding of Avnet and the significant factors that influenced the Company’s performance during the quarter ended April 1, 2023, this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Analysis of Financial Condition and Results of Operations </w:t>
      </w:r>
      <w:r>
        <w:rPr>
          <w:rFonts w:ascii="Arial" w:cs="Arial" w:eastAsia="Arial" w:hAnsi="Arial"/>
          <w:sz w:val="16"/>
          <w:szCs w:val="16"/>
          <w:color w:val="auto"/>
        </w:rPr>
        <w:t>(“MD&amp;A”) should be read in conjunction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including the related notes, appearing in Item 1 of this Quarterly Report on Form 10-Q, as well as the Company’s Annual Report on Form 10-K for the fiscal year ended July 2, 2022.</w:t>
      </w:r>
    </w:p>
    <w:p>
      <w:pPr>
        <w:spacing w:after="0" w:line="161" w:lineRule="exact"/>
        <w:rPr>
          <w:sz w:val="20"/>
          <w:szCs w:val="20"/>
          <w:color w:val="auto"/>
        </w:rPr>
      </w:pPr>
    </w:p>
    <w:p>
      <w:pPr>
        <w:ind w:left="60" w:right="139" w:firstLine="432"/>
        <w:spacing w:after="0" w:line="273" w:lineRule="auto"/>
        <w:rPr>
          <w:sz w:val="20"/>
          <w:szCs w:val="20"/>
          <w:color w:val="auto"/>
        </w:rPr>
      </w:pPr>
      <w:r>
        <w:rPr>
          <w:rFonts w:ascii="Arial" w:cs="Arial" w:eastAsia="Arial" w:hAnsi="Arial"/>
          <w:sz w:val="17"/>
          <w:szCs w:val="17"/>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78" w:lineRule="exact"/>
        <w:rPr>
          <w:sz w:val="20"/>
          <w:szCs w:val="20"/>
          <w:color w:val="auto"/>
        </w:rPr>
      </w:pPr>
    </w:p>
    <w:p>
      <w:pPr>
        <w:ind w:left="60" w:right="539" w:firstLine="432"/>
        <w:spacing w:after="0" w:line="342"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24" w:lineRule="exact"/>
        <w:rPr>
          <w:sz w:val="20"/>
          <w:szCs w:val="20"/>
          <w:color w:val="auto"/>
        </w:rPr>
      </w:pPr>
    </w:p>
    <w:p>
      <w:pPr>
        <w:ind w:left="720" w:right="9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income excluding (i) restructuring, integration and other expenses, (ii) Russian-Ukraine conflict related expenses, and (iii) amortization of acquired intangible assets is referred to as “adjusted operating income.”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2"/>
              </w:rPr>
              <w:t>Third Quarters Ended</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7"/>
              </w:rPr>
              <w:t>Nine Months Ended</w:t>
            </w:r>
          </w:p>
        </w:tc>
      </w:tr>
      <w:tr>
        <w:trPr>
          <w:trHeight w:val="198"/>
        </w:trPr>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8"/>
              </w:rPr>
              <w:t>April 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8"/>
              </w:rPr>
              <w:t>April 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April 2,</w:t>
            </w:r>
          </w:p>
        </w:tc>
      </w:tr>
      <w:tr>
        <w:trPr>
          <w:trHeight w:val="241"/>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r>
      <w:tr>
        <w:trPr>
          <w:trHeight w:val="203"/>
        </w:trPr>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tcPr>
          <w:p>
            <w:pPr>
              <w:jc w:val="right"/>
              <w:ind w:right="37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654,323</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5,272</w:t>
            </w:r>
          </w:p>
        </w:tc>
      </w:tr>
      <w:tr>
        <w:trPr>
          <w:trHeight w:val="216"/>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Russian-Ukraine conflict related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r>
      <w:tr>
        <w:trPr>
          <w:trHeight w:val="223"/>
        </w:trPr>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r>
      <w:tr>
        <w:trPr>
          <w:trHeight w:val="21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314,505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303,743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908,313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697,965</w:t>
            </w:r>
          </w:p>
        </w:tc>
      </w:tr>
      <w:tr>
        <w:trPr>
          <w:trHeight w:val="20"/>
        </w:trPr>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432"/>
        <w:spacing w:after="0" w:line="293" w:lineRule="auto"/>
        <w:rPr>
          <w:sz w:val="20"/>
          <w:szCs w:val="20"/>
          <w:color w:val="auto"/>
        </w:rPr>
      </w:pPr>
      <w:r>
        <w:rPr>
          <w:rFonts w:ascii="Arial" w:cs="Arial" w:eastAsia="Arial" w:hAnsi="Arial"/>
          <w:sz w:val="16"/>
          <w:szCs w:val="16"/>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60" w:right="159" w:firstLine="432"/>
        <w:spacing w:after="0" w:line="272" w:lineRule="auto"/>
        <w:rPr>
          <w:sz w:val="20"/>
          <w:szCs w:val="20"/>
          <w:color w:val="auto"/>
        </w:rPr>
      </w:pPr>
      <w:r>
        <w:rPr>
          <w:rFonts w:ascii="Arial" w:cs="Arial" w:eastAsia="Arial" w:hAnsi="Arial"/>
          <w:sz w:val="17"/>
          <w:szCs w:val="17"/>
          <w:color w:val="auto"/>
        </w:rPr>
        <w:t>Avnet, Inc., including its consolidated subsidiaries (collectively, the “Company” or “Avnet”), is a leading global technology distributor and solutions provider. Avnet has served customers’ evolving needs for an entire century. Avnet supports customers at each stage of a product’s lifecycle, from idea to design and from prototype to production. Avnet’s position at the center of the technology value chain enables it to accelerate the design and supply stages of product development so customers can realize revenue faster. Decade after decade, Avnet helps its customers and suppliers around the world realize the transformative possibilities of technology. Founded in 1921, the Company works with suppliers in every major technology segment to serve customers in more than 140 countries.</w:t>
      </w:r>
    </w:p>
    <w:p>
      <w:pPr>
        <w:spacing w:after="0" w:line="177" w:lineRule="exact"/>
        <w:rPr>
          <w:sz w:val="20"/>
          <w:szCs w:val="20"/>
          <w:color w:val="auto"/>
        </w:rPr>
      </w:pPr>
    </w:p>
    <w:p>
      <w:pPr>
        <w:ind w:left="60" w:right="59" w:firstLine="432"/>
        <w:spacing w:after="0" w:line="275" w:lineRule="auto"/>
        <w:rPr>
          <w:sz w:val="20"/>
          <w:szCs w:val="20"/>
          <w:color w:val="auto"/>
        </w:rPr>
      </w:pPr>
      <w:r>
        <w:rPr>
          <w:rFonts w:ascii="Arial" w:cs="Arial" w:eastAsia="Arial" w:hAnsi="Arial"/>
          <w:sz w:val="17"/>
          <w:szCs w:val="17"/>
          <w:color w:val="auto"/>
        </w:rPr>
        <w:t>Avnet has two primary operating groups — Electronic Components (“EC”) and Farnell (“Farnell”). Both operating groups have operations in each of the three major economic regions of the world: (i) the Americas, (ii) EMEA, and (iii) Asia. EC markets and sells (i) semiconductors, (ii) interconnect, passive and electromechanical devices, and (iii) integrated components, to a diverse customer base serving many end-markets. Farnell distributes electronic components and industrial products to a diverse customer base utilizing multi-channel sales and marketing resources.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left="60" w:right="239" w:firstLine="432"/>
        <w:spacing w:after="0" w:line="263" w:lineRule="auto"/>
        <w:rPr>
          <w:sz w:val="20"/>
          <w:szCs w:val="20"/>
          <w:color w:val="auto"/>
        </w:rPr>
      </w:pPr>
      <w:r>
        <w:rPr>
          <w:rFonts w:ascii="Arial" w:cs="Arial" w:eastAsia="Arial" w:hAnsi="Arial"/>
          <w:sz w:val="18"/>
          <w:szCs w:val="18"/>
          <w:color w:val="auto"/>
        </w:rPr>
        <w:t>Sales of $6.51 billion in the third quarter of fiscal 2023 were 0.4% higher than the prior year third quarter sales of $6.49 billion. Excluding the impact of changes in foreign currency, sales increased 3.4% as compared to sales in the prior year third quarter with both EC and Farnell contributing to the increase.</w:t>
      </w:r>
    </w:p>
    <w:p>
      <w:pPr>
        <w:spacing w:after="0" w:line="184" w:lineRule="exact"/>
        <w:rPr>
          <w:sz w:val="20"/>
          <w:szCs w:val="20"/>
          <w:color w:val="auto"/>
        </w:rPr>
      </w:pPr>
    </w:p>
    <w:p>
      <w:pPr>
        <w:ind w:left="60" w:right="119" w:firstLine="432"/>
        <w:spacing w:after="0" w:line="308" w:lineRule="auto"/>
        <w:rPr>
          <w:sz w:val="20"/>
          <w:szCs w:val="20"/>
          <w:color w:val="auto"/>
        </w:rPr>
      </w:pPr>
      <w:r>
        <w:rPr>
          <w:rFonts w:ascii="Arial" w:cs="Arial" w:eastAsia="Arial" w:hAnsi="Arial"/>
          <w:sz w:val="17"/>
          <w:szCs w:val="17"/>
          <w:color w:val="auto"/>
        </w:rPr>
        <w:t>Gross profit of $811.8 million and gross profit margin of 12.5% in the third quarter of fiscal 2023 were relatively flat compared to gross profit of $813.0 million and gross profit margin of 12.5% in the third quarter of fiscal 2022.</w:t>
      </w:r>
    </w:p>
    <w:p>
      <w:pPr>
        <w:spacing w:after="0" w:line="146" w:lineRule="exact"/>
        <w:rPr>
          <w:sz w:val="20"/>
          <w:szCs w:val="20"/>
          <w:color w:val="auto"/>
        </w:rPr>
      </w:pPr>
    </w:p>
    <w:p>
      <w:pPr>
        <w:ind w:left="60" w:right="259" w:firstLine="432"/>
        <w:spacing w:after="0" w:line="311" w:lineRule="auto"/>
        <w:rPr>
          <w:sz w:val="20"/>
          <w:szCs w:val="20"/>
          <w:color w:val="auto"/>
        </w:rPr>
      </w:pPr>
      <w:r>
        <w:rPr>
          <w:rFonts w:ascii="Arial" w:cs="Arial" w:eastAsia="Arial" w:hAnsi="Arial"/>
          <w:sz w:val="16"/>
          <w:szCs w:val="16"/>
          <w:color w:val="auto"/>
        </w:rPr>
        <w:t>Operating income of $313.6 million was $39.2 million or 14.3% higher than the prior year third quarter operating income of $274.4 million. Operating income margin was 4.8% in the third quarter of fiscal 2023, as compared to 4.2% in the third quarter of fiscal 2022, an increase of 58 basis points. The increase in operating income margin is primarily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result of the decrease in operating expenses including the impact of foreign currency due to the strengthening of the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Dollar compared to the prior year.</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left="60" w:right="139" w:firstLine="427"/>
        <w:spacing w:after="0" w:line="261" w:lineRule="auto"/>
        <w:rPr>
          <w:sz w:val="20"/>
          <w:szCs w:val="20"/>
          <w:color w:val="auto"/>
        </w:rPr>
      </w:pPr>
      <w:r>
        <w:rPr>
          <w:rFonts w:ascii="Arial" w:cs="Arial" w:eastAsia="Arial" w:hAnsi="Arial"/>
          <w:sz w:val="18"/>
          <w:szCs w:val="18"/>
          <w:color w:val="auto"/>
        </w:rPr>
        <w:t>The following table presents sales growth rates for the third quarter and first nine months of fiscal 2023 as compared to fiscal 2022 by geographic region and by operating group.</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900" w:type="dxa"/>
            <w:vAlign w:val="bottom"/>
            <w:gridSpan w:val="3"/>
          </w:tcPr>
          <w:p>
            <w:pPr>
              <w:ind w:left="320"/>
              <w:spacing w:after="0"/>
              <w:rPr>
                <w:sz w:val="20"/>
                <w:szCs w:val="20"/>
                <w:color w:val="auto"/>
              </w:rPr>
            </w:pPr>
            <w:r>
              <w:rPr>
                <w:rFonts w:ascii="Arial" w:cs="Arial" w:eastAsia="Arial" w:hAnsi="Arial"/>
                <w:sz w:val="18"/>
                <w:szCs w:val="18"/>
                <w:b w:val="1"/>
                <w:bCs w:val="1"/>
                <w:color w:val="auto"/>
              </w:rPr>
              <w:t>Quarter Ended</w:t>
            </w:r>
          </w:p>
        </w:tc>
        <w:tc>
          <w:tcPr>
            <w:tcW w:w="186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w w:val="99"/>
              </w:rPr>
              <w:t>Nine Months Ended</w:t>
            </w:r>
          </w:p>
        </w:tc>
      </w:tr>
      <w:tr>
        <w:trPr>
          <w:trHeight w:val="198"/>
        </w:trPr>
        <w:tc>
          <w:tcPr>
            <w:tcW w:w="5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4"/>
              </w:rPr>
              <w:t>Sales</w:t>
            </w: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0"/>
              </w:rPr>
              <w:t>Sales</w:t>
            </w:r>
          </w:p>
        </w:tc>
      </w:tr>
      <w:tr>
        <w:trPr>
          <w:trHeight w:val="216"/>
        </w:trPr>
        <w:tc>
          <w:tcPr>
            <w:tcW w:w="5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Year-Year %</w:t>
            </w:r>
          </w:p>
        </w:tc>
        <w:tc>
          <w:tcPr>
            <w:tcW w:w="8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5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Sales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5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Year-Year</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Constant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Year-Year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5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Currency</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5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17.1 %</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18.6 %</w:t>
            </w: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EMEA</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840" w:type="dxa"/>
            <w:vAlign w:val="bottom"/>
          </w:tcPr>
          <w:p>
            <w:pPr>
              <w:jc w:val="right"/>
              <w:ind w:right="155"/>
              <w:spacing w:after="0"/>
              <w:rPr>
                <w:sz w:val="20"/>
                <w:szCs w:val="20"/>
                <w:color w:val="auto"/>
              </w:rPr>
            </w:pPr>
            <w:r>
              <w:rPr>
                <w:rFonts w:ascii="Arial" w:cs="Arial" w:eastAsia="Arial" w:hAnsi="Arial"/>
                <w:sz w:val="16"/>
                <w:szCs w:val="16"/>
                <w:color w:val="auto"/>
              </w:rPr>
              <w:t>17.4</w:t>
            </w:r>
          </w:p>
        </w:tc>
        <w:tc>
          <w:tcPr>
            <w:tcW w:w="1020" w:type="dxa"/>
            <w:vAlign w:val="bottom"/>
          </w:tcPr>
          <w:p>
            <w:pPr>
              <w:jc w:val="right"/>
              <w:ind w:right="195"/>
              <w:spacing w:after="0"/>
              <w:rPr>
                <w:sz w:val="20"/>
                <w:szCs w:val="20"/>
                <w:color w:val="auto"/>
              </w:rPr>
            </w:pPr>
            <w:r>
              <w:rPr>
                <w:rFonts w:ascii="Arial" w:cs="Arial" w:eastAsia="Arial" w:hAnsi="Arial"/>
                <w:sz w:val="16"/>
                <w:szCs w:val="16"/>
                <w:color w:val="auto"/>
              </w:rPr>
              <w:t>30.6</w:t>
            </w: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6"/>
                <w:szCs w:val="16"/>
                <w:color w:val="auto"/>
              </w:rPr>
              <w:t>3.1</w:t>
            </w: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6"/>
                <w:szCs w:val="16"/>
                <w:color w:val="auto"/>
              </w:rPr>
              <w:t>6.1</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Avnet by operating group</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18.4 %</w:t>
            </w:r>
          </w:p>
        </w:tc>
      </w:tr>
      <w:tr>
        <w:trPr>
          <w:trHeight w:val="230"/>
        </w:trPr>
        <w:tc>
          <w:tcPr>
            <w:tcW w:w="5200" w:type="dxa"/>
            <w:vAlign w:val="bottom"/>
          </w:tcPr>
          <w:p>
            <w:pPr>
              <w:ind w:left="120"/>
              <w:spacing w:after="0"/>
              <w:rPr>
                <w:sz w:val="20"/>
                <w:szCs w:val="20"/>
                <w:color w:val="auto"/>
              </w:rPr>
            </w:pPr>
            <w:r>
              <w:rPr>
                <w:rFonts w:ascii="Arial" w:cs="Arial" w:eastAsia="Arial" w:hAnsi="Arial"/>
                <w:sz w:val="18"/>
                <w:szCs w:val="18"/>
                <w:color w:val="auto"/>
              </w:rPr>
              <w:t>Farnell</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6"/>
                <w:szCs w:val="16"/>
                <w:color w:val="auto"/>
              </w:rPr>
              <w:t>(5.6)</w:t>
            </w:r>
          </w:p>
        </w:tc>
        <w:tc>
          <w:tcPr>
            <w:tcW w:w="1020" w:type="dxa"/>
            <w:vAlign w:val="bottom"/>
          </w:tcPr>
          <w:p>
            <w:pPr>
              <w:jc w:val="right"/>
              <w:ind w:right="195"/>
              <w:spacing w:after="0"/>
              <w:rPr>
                <w:sz w:val="20"/>
                <w:szCs w:val="20"/>
                <w:color w:val="auto"/>
              </w:rPr>
            </w:pPr>
            <w:r>
              <w:rPr>
                <w:rFonts w:ascii="Arial" w:cs="Arial" w:eastAsia="Arial" w:hAnsi="Arial"/>
                <w:sz w:val="16"/>
                <w:szCs w:val="16"/>
                <w:color w:val="auto"/>
              </w:rPr>
              <w:t>1.0</w:t>
            </w:r>
          </w:p>
        </w:tc>
      </w:tr>
    </w:tbl>
    <w:p>
      <w:pPr>
        <w:spacing w:after="0" w:line="187" w:lineRule="exact"/>
        <w:rPr>
          <w:sz w:val="20"/>
          <w:szCs w:val="20"/>
          <w:color w:val="auto"/>
        </w:rPr>
      </w:pPr>
    </w:p>
    <w:p>
      <w:pPr>
        <w:ind w:left="60" w:right="279" w:firstLine="427"/>
        <w:spacing w:after="0" w:line="259" w:lineRule="auto"/>
        <w:rPr>
          <w:sz w:val="20"/>
          <w:szCs w:val="20"/>
          <w:color w:val="auto"/>
        </w:rPr>
      </w:pPr>
      <w:r>
        <w:rPr>
          <w:rFonts w:ascii="Arial" w:cs="Arial" w:eastAsia="Arial" w:hAnsi="Arial"/>
          <w:sz w:val="18"/>
          <w:szCs w:val="18"/>
          <w:color w:val="auto"/>
        </w:rPr>
        <w:t>Sales of $6.51 billion for the third quarter of fiscal 2023 were up $26.5 million or 0.4% from the prior year third quarter sales of $6.49 billion. Sales in constant currency in the third quarter of fiscal 2023 increased by 3.4% year over year, reflecting sales growth in the Americas and EMEA regions, offset by seasonal declines in Asia primarily due to the typical impact of the Lunar New Year holidays.</w:t>
      </w:r>
    </w:p>
    <w:p>
      <w:pPr>
        <w:spacing w:after="0" w:line="187" w:lineRule="exact"/>
        <w:rPr>
          <w:sz w:val="20"/>
          <w:szCs w:val="20"/>
          <w:color w:val="auto"/>
        </w:rPr>
      </w:pPr>
    </w:p>
    <w:p>
      <w:pPr>
        <w:ind w:left="60" w:right="179" w:firstLine="427"/>
        <w:spacing w:after="0" w:line="259" w:lineRule="auto"/>
        <w:rPr>
          <w:sz w:val="20"/>
          <w:szCs w:val="20"/>
          <w:color w:val="auto"/>
        </w:rPr>
      </w:pPr>
      <w:r>
        <w:rPr>
          <w:rFonts w:ascii="Arial" w:cs="Arial" w:eastAsia="Arial" w:hAnsi="Arial"/>
          <w:sz w:val="18"/>
          <w:szCs w:val="18"/>
          <w:color w:val="auto"/>
        </w:rPr>
        <w:t>EC sales of $6.06 billion in the third quarter of fiscal 2023 increased $40.5 million or 0.7% from the prior year third quarter sales of $6.02 billion. EC sales increased 3.5% year over year in constant currency. The increase in sales in the Company’s EC operating group is primarily due to overall stronger market demand and pricing for electronic components in the aerospace and defense, transportation, and industrial sectors.</w:t>
      </w:r>
    </w:p>
    <w:p>
      <w:pPr>
        <w:spacing w:after="0" w:line="187" w:lineRule="exact"/>
        <w:rPr>
          <w:sz w:val="20"/>
          <w:szCs w:val="20"/>
          <w:color w:val="auto"/>
        </w:rPr>
      </w:pPr>
    </w:p>
    <w:p>
      <w:pPr>
        <w:ind w:left="60" w:right="319" w:firstLine="427"/>
        <w:spacing w:after="0" w:line="263" w:lineRule="auto"/>
        <w:rPr>
          <w:sz w:val="20"/>
          <w:szCs w:val="20"/>
          <w:color w:val="auto"/>
        </w:rPr>
      </w:pPr>
      <w:r>
        <w:rPr>
          <w:rFonts w:ascii="Arial" w:cs="Arial" w:eastAsia="Arial" w:hAnsi="Arial"/>
          <w:sz w:val="18"/>
          <w:szCs w:val="18"/>
          <w:color w:val="auto"/>
        </w:rPr>
        <w:t>Farnell sales for the third quarter of fiscal 2023 were $455.0 million, a decrease of $14.1 million or 3.0% from the prior year third quarter sales of $469.0 million. Farnell sales in constant currency in the third quarter of fiscal 2023 increased by 1.4% year over year.</w:t>
      </w:r>
    </w:p>
    <w:p>
      <w:pPr>
        <w:spacing w:after="0" w:line="184" w:lineRule="exact"/>
        <w:rPr>
          <w:sz w:val="20"/>
          <w:szCs w:val="20"/>
          <w:color w:val="auto"/>
        </w:rPr>
      </w:pPr>
    </w:p>
    <w:p>
      <w:pPr>
        <w:ind w:left="60" w:right="119" w:firstLine="427"/>
        <w:spacing w:after="0" w:line="263" w:lineRule="auto"/>
        <w:rPr>
          <w:sz w:val="20"/>
          <w:szCs w:val="20"/>
          <w:color w:val="auto"/>
        </w:rPr>
      </w:pPr>
      <w:r>
        <w:rPr>
          <w:rFonts w:ascii="Arial" w:cs="Arial" w:eastAsia="Arial" w:hAnsi="Arial"/>
          <w:sz w:val="18"/>
          <w:szCs w:val="18"/>
          <w:color w:val="auto"/>
        </w:rPr>
        <w:t>Sales for the first nine months of fiscal 2023 were $19.98 billion, an increase of $2.04 billion as compared to sales of $17.94 billion for the first nine months of fiscal 2022, driven by strong demand across all regions in the EC operating group.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right="59" w:firstLine="432"/>
        <w:spacing w:after="0" w:line="293" w:lineRule="auto"/>
        <w:rPr>
          <w:sz w:val="20"/>
          <w:szCs w:val="20"/>
          <w:color w:val="auto"/>
        </w:rPr>
      </w:pPr>
      <w:r>
        <w:rPr>
          <w:rFonts w:ascii="Arial" w:cs="Arial" w:eastAsia="Arial" w:hAnsi="Arial"/>
          <w:sz w:val="16"/>
          <w:szCs w:val="16"/>
          <w:color w:val="auto"/>
        </w:rPr>
        <w:t>Gross profit for the third quarter of fiscal 2023 was $811.8 million, a decrease of $1.2 million or 0.2% from the third quarter of fiscal 2022 gross profit of $813.0 million. Gross profit margin of 12.5% was essentially flat with the third quarter of fiscal 2022. EC gross profit margin increased year over year primarily due to a higher percentage of sales coming from the higher-margin western regions. Sales in the higher gross profit margin western regions represented approximately 63% of sales in the third quarter of fiscal 2023 as compared to 59% during the third quarter of fiscal 2022. Farnell gross profit margin decreased year over year primarily driven by changes in market pricing and differences in product mix.</w:t>
      </w:r>
    </w:p>
    <w:p>
      <w:pPr>
        <w:spacing w:after="0" w:line="164" w:lineRule="exact"/>
        <w:rPr>
          <w:sz w:val="20"/>
          <w:szCs w:val="20"/>
          <w:color w:val="auto"/>
        </w:rPr>
      </w:pPr>
    </w:p>
    <w:p>
      <w:pPr>
        <w:ind w:left="60" w:right="379" w:firstLine="432"/>
        <w:spacing w:after="0" w:line="342" w:lineRule="auto"/>
        <w:rPr>
          <w:sz w:val="20"/>
          <w:szCs w:val="20"/>
          <w:color w:val="auto"/>
        </w:rPr>
      </w:pPr>
      <w:r>
        <w:rPr>
          <w:rFonts w:ascii="Arial" w:cs="Arial" w:eastAsia="Arial" w:hAnsi="Arial"/>
          <w:sz w:val="16"/>
          <w:szCs w:val="16"/>
          <w:color w:val="auto"/>
        </w:rPr>
        <w:t>Gross profit and gross profit margin were $2.36 billion and 11.8%, respectively, for the first nine months of fiscal 2023 as compared with $2.19 billion and 12.2%, respectively, for the first nine months of fiscal 2022. The decline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gross profit margin during the first nine months of fiscal 2023 compared to the first nine months of fiscal 2022 is primarily due to unfavorable changes in product and customer mix.</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left="60" w:right="299" w:firstLine="432"/>
        <w:spacing w:after="0" w:line="286" w:lineRule="auto"/>
        <w:rPr>
          <w:sz w:val="20"/>
          <w:szCs w:val="20"/>
          <w:color w:val="auto"/>
        </w:rPr>
      </w:pPr>
      <w:r>
        <w:rPr>
          <w:rFonts w:ascii="Arial" w:cs="Arial" w:eastAsia="Arial" w:hAnsi="Arial"/>
          <w:sz w:val="17"/>
          <w:szCs w:val="17"/>
          <w:color w:val="auto"/>
        </w:rPr>
        <w:t>Selling, general and administrative expenses (“SG&amp;A expenses”) were $498.2 million in the third quarter of fiscal 2023, a decrease of $14.1 million or 2.8% from the third quarter of fiscal 2022. The year-over-year decrease in SG&amp;A expenses was primarily a result of foreign currency translation from a strengthening U.S. Dollar.</w:t>
      </w:r>
    </w:p>
    <w:p>
      <w:pPr>
        <w:spacing w:after="0" w:line="165" w:lineRule="exact"/>
        <w:rPr>
          <w:sz w:val="20"/>
          <w:szCs w:val="20"/>
          <w:color w:val="auto"/>
        </w:rPr>
      </w:pPr>
    </w:p>
    <w:p>
      <w:pPr>
        <w:ind w:left="60" w:right="119" w:firstLine="427"/>
        <w:spacing w:after="0" w:line="257"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third quarter of fiscal 2023, SG&amp;A expenses were 7.7% of sales and 61.4% of gross profit, as compared with 7.9% and 63.0%, respectively, in the third quarter of fiscal 2022. The year-over-year decrease in SG&amp;A expense as a percentage of both sales and gross profit is primarily due to lower operating expenses and operating leverage realized with recent sales growth.</w:t>
      </w:r>
    </w:p>
    <w:p>
      <w:pPr>
        <w:spacing w:after="0" w:line="188" w:lineRule="exact"/>
        <w:rPr>
          <w:sz w:val="20"/>
          <w:szCs w:val="20"/>
          <w:color w:val="auto"/>
        </w:rPr>
      </w:pPr>
    </w:p>
    <w:p>
      <w:pPr>
        <w:ind w:left="60" w:right="99" w:firstLine="427"/>
        <w:spacing w:after="0" w:line="255" w:lineRule="auto"/>
        <w:rPr>
          <w:sz w:val="20"/>
          <w:szCs w:val="20"/>
          <w:color w:val="auto"/>
        </w:rPr>
      </w:pPr>
      <w:r>
        <w:rPr>
          <w:rFonts w:ascii="Arial" w:cs="Arial" w:eastAsia="Arial" w:hAnsi="Arial"/>
          <w:sz w:val="18"/>
          <w:szCs w:val="18"/>
          <w:color w:val="auto"/>
        </w:rPr>
        <w:t>SG&amp;A expenses for the first nine months of fiscal 2023 were $1.46 billion, or 7.3% of sales, as compared with $1.50 billion, or 8.4% of sales, in the first nine months of fiscal 2022. SG&amp;A expenses as a percentage of gross profit for the first nine months of fiscal 2023 were 61.8% as compared with 68.6% in the first nine months of fiscal 2022. The decrease in SG&amp;A expenses as a percentage of sales and gross profit is primarily due to operating leverage created from higher sales and from decreases in SG&amp;A expenses primarily due to foreign currency translation from the strengthening of the U.S. Dollar.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Russian-Ukraine Conflict Related Expenses</w:t>
      </w:r>
    </w:p>
    <w:p>
      <w:pPr>
        <w:spacing w:after="0" w:line="229" w:lineRule="exact"/>
        <w:rPr>
          <w:sz w:val="20"/>
          <w:szCs w:val="20"/>
          <w:color w:val="auto"/>
        </w:rPr>
      </w:pPr>
    </w:p>
    <w:p>
      <w:pPr>
        <w:jc w:val="both"/>
        <w:ind w:left="60" w:right="339" w:firstLine="427"/>
        <w:spacing w:after="0" w:line="301" w:lineRule="auto"/>
        <w:rPr>
          <w:sz w:val="20"/>
          <w:szCs w:val="20"/>
          <w:color w:val="auto"/>
        </w:rPr>
      </w:pPr>
      <w:r>
        <w:rPr>
          <w:rFonts w:ascii="Arial" w:cs="Arial" w:eastAsia="Arial" w:hAnsi="Arial"/>
          <w:sz w:val="16"/>
          <w:szCs w:val="16"/>
          <w:color w:val="auto"/>
        </w:rPr>
        <w:t>During the third quarter of fiscal 2022, the Company incurred $26.3 million of costs associated with the Russian-Ukraine conflict, primarily comprised of $17.2 million of expense for credit loss reserves for trade accounts receivable from Russian customers that are no longer considered collectible. The remaining expense is primarily related to product write-downs for Russia based customers and other Russian business operation wind-down costs.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ind w:left="60" w:right="139" w:firstLine="427"/>
        <w:spacing w:after="0" w:line="279" w:lineRule="auto"/>
        <w:rPr>
          <w:sz w:val="20"/>
          <w:szCs w:val="20"/>
          <w:color w:val="auto"/>
        </w:rPr>
      </w:pPr>
      <w:r>
        <w:rPr>
          <w:rFonts w:ascii="Arial" w:cs="Arial" w:eastAsia="Arial" w:hAnsi="Arial"/>
          <w:sz w:val="17"/>
          <w:szCs w:val="17"/>
          <w:color w:val="auto"/>
        </w:rPr>
        <w:t>Operating income for the third quarter of fiscal 2023 was $313.6 million, an increase of $39.2 million, from the third quarter of fiscal 2022 operating income of $274.4 million. The year-over-year increase in operating income was primarily driven by the increase in sales and lower SG&amp;A expenses. Adjusted operating income for the third quarter of fiscal 2023 was $314.5 million, an increase of $10.8 million or 3.5% from the third quarter of fiscal 2022.</w:t>
      </w:r>
    </w:p>
    <w:p>
      <w:pPr>
        <w:spacing w:after="0" w:line="171" w:lineRule="exact"/>
        <w:rPr>
          <w:sz w:val="20"/>
          <w:szCs w:val="20"/>
          <w:color w:val="auto"/>
        </w:rPr>
      </w:pPr>
    </w:p>
    <w:p>
      <w:pPr>
        <w:ind w:left="60" w:right="239" w:firstLine="427"/>
        <w:spacing w:after="0" w:line="301" w:lineRule="auto"/>
        <w:rPr>
          <w:sz w:val="20"/>
          <w:szCs w:val="20"/>
          <w:color w:val="auto"/>
        </w:rPr>
      </w:pPr>
      <w:r>
        <w:rPr>
          <w:rFonts w:ascii="Arial" w:cs="Arial" w:eastAsia="Arial" w:hAnsi="Arial"/>
          <w:sz w:val="16"/>
          <w:szCs w:val="16"/>
          <w:color w:val="auto"/>
        </w:rPr>
        <w:t>EC operating income margin increased 64 basis points year over year to 5.0% and Farnell operating income margin decreased 589 basis points year over year to 9.0%. EC’s improvement in operating income margin is a result of increased sales and lower overall SG&amp;A expenses year over year. The decrease in operating income margin at Farnell is primarily driven by a combination of lower sales and a lower gross profit margin, partially offset by lower operating expenses.</w:t>
      </w:r>
    </w:p>
    <w:p>
      <w:pPr>
        <w:spacing w:after="0" w:line="157" w:lineRule="exact"/>
        <w:rPr>
          <w:sz w:val="20"/>
          <w:szCs w:val="20"/>
          <w:color w:val="auto"/>
        </w:rPr>
      </w:pPr>
    </w:p>
    <w:p>
      <w:pPr>
        <w:jc w:val="both"/>
        <w:ind w:left="60" w:right="139" w:firstLine="427"/>
        <w:spacing w:after="0" w:line="287" w:lineRule="auto"/>
        <w:rPr>
          <w:sz w:val="20"/>
          <w:szCs w:val="20"/>
          <w:color w:val="auto"/>
        </w:rPr>
      </w:pPr>
      <w:r>
        <w:rPr>
          <w:rFonts w:ascii="Arial" w:cs="Arial" w:eastAsia="Arial" w:hAnsi="Arial"/>
          <w:sz w:val="16"/>
          <w:szCs w:val="16"/>
          <w:color w:val="auto"/>
        </w:rPr>
        <w:t>Operating income for the first nine months of fiscal 2023 was $903.1 million, an increase of $248.8 million from the first nine months of fiscal 2022 operating income of $654.3 million. The year-over-year increase in operating income was primarily driven by the increase in sales and lower SG&amp;A expenses, partially offset by a lower gross profit margin.</w:t>
      </w:r>
    </w:p>
    <w:p>
      <w:pPr>
        <w:spacing w:after="0" w:line="2"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Adjusted operating income for the first nine months of fiscal 2023 was $908.3 million, an increase of $210.3 million or 30.1% from the first nine months of fiscal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and Other Financing Expenses, Net</w:t>
      </w:r>
    </w:p>
    <w:p>
      <w:pPr>
        <w:spacing w:after="0" w:line="229" w:lineRule="exact"/>
        <w:rPr>
          <w:sz w:val="20"/>
          <w:szCs w:val="20"/>
          <w:color w:val="auto"/>
        </w:rPr>
      </w:pPr>
    </w:p>
    <w:p>
      <w:pPr>
        <w:ind w:left="60" w:right="119" w:firstLine="432"/>
        <w:spacing w:after="0" w:line="279" w:lineRule="auto"/>
        <w:rPr>
          <w:sz w:val="20"/>
          <w:szCs w:val="20"/>
          <w:color w:val="auto"/>
        </w:rPr>
      </w:pPr>
      <w:r>
        <w:rPr>
          <w:rFonts w:ascii="Arial" w:cs="Arial" w:eastAsia="Arial" w:hAnsi="Arial"/>
          <w:sz w:val="17"/>
          <w:szCs w:val="17"/>
          <w:color w:val="auto"/>
        </w:rPr>
        <w:t>Interest and other financing expenses in the third quarter of fiscal 2023 was $71.7 million, an increase of $45.8 million, as compared with interest and other financing expenses of $25.9 million in the third quarter of fiscal 2022. Interest and other financing expenses in the first nine months of fiscal 2023 was $175.8 million, an increase of $105.4 million, as compared with interest and other financing expenses of $70.4 million in the first nine months of fiscal 2022.</w:t>
      </w:r>
    </w:p>
    <w:p>
      <w:pPr>
        <w:sectPr>
          <w:pgSz w:w="11900" w:h="16838" w:orient="portrait"/>
          <w:cols w:equalWidth="0" w:num="1">
            <w:col w:w="9019"/>
          </w:cols>
          <w:pgMar w:left="1440" w:top="544"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119"/>
        <w:spacing w:after="0" w:line="311" w:lineRule="auto"/>
        <w:rPr>
          <w:sz w:val="20"/>
          <w:szCs w:val="20"/>
          <w:color w:val="auto"/>
        </w:rPr>
      </w:pPr>
      <w:r>
        <w:rPr>
          <w:rFonts w:ascii="Arial" w:cs="Arial" w:eastAsia="Arial" w:hAnsi="Arial"/>
          <w:sz w:val="16"/>
          <w:szCs w:val="16"/>
          <w:color w:val="252525"/>
        </w:rPr>
        <w:t>The increases in interest and other financing expenses in the third quarter and first nine months of fiscal 2023 compared to the third quarter and first nine months of fiscal 2022 is primarily a result of higher outstanding borrowings and increases in average borrowing rates during the first nine months of fiscal 2023 as compared to the first nine months of fiscal 2022.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2525"/>
        </w:rPr>
        <w:t>Gain on Legal Settlements</w:t>
      </w:r>
    </w:p>
    <w:p>
      <w:pPr>
        <w:spacing w:after="0" w:line="229"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During the first nine months of fiscal 2023, the Company recorded a gain on legal settlements of $61.7 million before tax, $47.2 million after tax, and $0.51 per share on a diluted basis, in connection with the settlement of claims filed against certain manufacturers of capacitors.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60" w:right="859" w:firstLine="427"/>
        <w:spacing w:after="0" w:line="277" w:lineRule="auto"/>
        <w:rPr>
          <w:sz w:val="20"/>
          <w:szCs w:val="20"/>
          <w:color w:val="auto"/>
        </w:rPr>
      </w:pPr>
      <w:r>
        <w:rPr>
          <w:rFonts w:ascii="Arial" w:cs="Arial" w:eastAsia="Arial" w:hAnsi="Arial"/>
          <w:sz w:val="18"/>
          <w:szCs w:val="18"/>
          <w:color w:val="auto"/>
        </w:rPr>
        <w:t>The below discussion of the effective tax rate for the periods presented in the statements of operations is in comparison to the 21% U.S. statutory federal income tax rate.</w:t>
      </w:r>
    </w:p>
    <w:p>
      <w:pPr>
        <w:spacing w:after="0" w:line="170" w:lineRule="exact"/>
        <w:rPr>
          <w:sz w:val="20"/>
          <w:szCs w:val="20"/>
          <w:color w:val="auto"/>
        </w:rPr>
      </w:pPr>
    </w:p>
    <w:p>
      <w:pPr>
        <w:ind w:left="60" w:right="99" w:firstLine="427"/>
        <w:spacing w:after="0" w:line="291" w:lineRule="auto"/>
        <w:rPr>
          <w:sz w:val="20"/>
          <w:szCs w:val="20"/>
          <w:color w:val="auto"/>
        </w:rPr>
      </w:pPr>
      <w:r>
        <w:rPr>
          <w:rFonts w:ascii="Arial" w:cs="Arial" w:eastAsia="Arial" w:hAnsi="Arial"/>
          <w:sz w:val="16"/>
          <w:szCs w:val="16"/>
          <w:color w:val="auto"/>
        </w:rPr>
        <w:t>The Company’s effective tax rate on its income before taxes was 23.1% in the third quarter of fiscal 2023. During the third quarter of fiscal 2023, the Company’s effective tax rate was unfavorably impacted primarily by (i) U.S state taxes and</w:t>
      </w:r>
    </w:p>
    <w:p>
      <w:pPr>
        <w:ind w:left="60" w:right="179" w:hanging="10"/>
        <w:spacing w:after="0" w:line="260" w:lineRule="auto"/>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income in higher tax jurisdictions, partially offset by (iii) decreases to unrecognized tax benefit reserves net of settlements.</w:t>
      </w:r>
    </w:p>
    <w:p>
      <w:pPr>
        <w:spacing w:after="0" w:line="185" w:lineRule="exact"/>
        <w:rPr>
          <w:sz w:val="20"/>
          <w:szCs w:val="20"/>
          <w:color w:val="auto"/>
        </w:rPr>
      </w:pPr>
    </w:p>
    <w:p>
      <w:pPr>
        <w:ind w:left="60" w:right="119" w:firstLine="427"/>
        <w:spacing w:after="0" w:line="263" w:lineRule="auto"/>
        <w:rPr>
          <w:sz w:val="20"/>
          <w:szCs w:val="20"/>
          <w:color w:val="auto"/>
        </w:rPr>
      </w:pPr>
      <w:r>
        <w:rPr>
          <w:rFonts w:ascii="Arial" w:cs="Arial" w:eastAsia="Arial" w:hAnsi="Arial"/>
          <w:sz w:val="18"/>
          <w:szCs w:val="18"/>
          <w:color w:val="auto"/>
        </w:rPr>
        <w:t>During the third quarter of fiscal 2022, the Company’s effective tax rate on its income before taxes was 26.0%. During the third quarter of fiscal 2022, the Company’s effective tax rate was unfavorably impacted primarily by the mix of income in higher tax jurisdictions.</w:t>
      </w:r>
    </w:p>
    <w:p>
      <w:pPr>
        <w:spacing w:after="0" w:line="184" w:lineRule="exact"/>
        <w:rPr>
          <w:sz w:val="20"/>
          <w:szCs w:val="20"/>
          <w:color w:val="auto"/>
        </w:rPr>
      </w:pPr>
    </w:p>
    <w:p>
      <w:pPr>
        <w:ind w:left="60" w:right="59" w:firstLine="427"/>
        <w:spacing w:after="0" w:line="259" w:lineRule="auto"/>
        <w:rPr>
          <w:sz w:val="20"/>
          <w:szCs w:val="20"/>
          <w:color w:val="auto"/>
        </w:rPr>
      </w:pPr>
      <w:r>
        <w:rPr>
          <w:rFonts w:ascii="Arial" w:cs="Arial" w:eastAsia="Arial" w:hAnsi="Arial"/>
          <w:sz w:val="18"/>
          <w:szCs w:val="18"/>
          <w:color w:val="auto"/>
        </w:rPr>
        <w:t>For the first nine months of fiscal 2023, the Company’s effective tax rate on its income before taxes was 22.3%. The effective tax rate for the first nine months of fiscal 2023 was unfavorably impacted primarily by (i) the mix of income in higher tax jurisdictions and (ii) U.S. state taxes, partially offset by (iii) decreases to unrecognized tax benefit reserves net of settlements.</w:t>
      </w:r>
    </w:p>
    <w:p>
      <w:pPr>
        <w:spacing w:after="0" w:line="187" w:lineRule="exact"/>
        <w:rPr>
          <w:sz w:val="20"/>
          <w:szCs w:val="20"/>
          <w:color w:val="auto"/>
        </w:rPr>
      </w:pPr>
    </w:p>
    <w:p>
      <w:pPr>
        <w:jc w:val="both"/>
        <w:ind w:left="60" w:right="159" w:firstLine="427"/>
        <w:spacing w:after="0" w:line="263" w:lineRule="auto"/>
        <w:rPr>
          <w:sz w:val="20"/>
          <w:szCs w:val="20"/>
          <w:color w:val="auto"/>
        </w:rPr>
      </w:pPr>
      <w:r>
        <w:rPr>
          <w:rFonts w:ascii="Arial" w:cs="Arial" w:eastAsia="Arial" w:hAnsi="Arial"/>
          <w:sz w:val="18"/>
          <w:szCs w:val="18"/>
          <w:color w:val="auto"/>
        </w:rPr>
        <w:t>During the first nine months of fiscal 2022, the Company’s effective tax rate on its income before taxes was 23.8%. The effective tax rate for the first nine months of fiscal 2022 was unfavorably impacted primarily by (i) the mix of income in higher tax jurisdictions and (ii) increases to valuation allowances.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15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third quarter of fiscal 2023 was $187.4 million, or $2.03 per share on a diluted basis, as compared with $183.4 million, or $1.84 per share on a diluted basis, in the third quarter of fiscal 2022.</w:t>
      </w:r>
    </w:p>
    <w:p>
      <w:pPr>
        <w:spacing w:after="0" w:line="184" w:lineRule="exact"/>
        <w:rPr>
          <w:sz w:val="20"/>
          <w:szCs w:val="20"/>
          <w:color w:val="auto"/>
        </w:rPr>
      </w:pPr>
    </w:p>
    <w:p>
      <w:pPr>
        <w:jc w:val="both"/>
        <w:ind w:left="60" w:right="21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nine months of fiscal 2023 was $615.6 million, or $6.58 per share on a diluted basis, as compared with $445.6 million, or $4.44 per share on a diluted basis, in the first nine months of fiscal 2022.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ind w:left="60" w:right="79" w:firstLine="432"/>
        <w:spacing w:after="0" w:line="301" w:lineRule="auto"/>
        <w:rPr>
          <w:sz w:val="20"/>
          <w:szCs w:val="20"/>
          <w:color w:val="auto"/>
        </w:rPr>
      </w:pPr>
      <w:r>
        <w:rPr>
          <w:rFonts w:ascii="Arial" w:cs="Arial" w:eastAsia="Arial" w:hAnsi="Arial"/>
          <w:sz w:val="16"/>
          <w:szCs w:val="16"/>
          <w:color w:val="auto"/>
        </w:rPr>
        <w:t>During the first nine months of fiscal 2023, the Company used $948.2 million of cash flow for operations compared to $19.4 million of cash used for operations in the first nine months of fiscal 2022. These operating cash flows were comprised of: (i) cash flow generated from net income, adjusted for the impact of non-cash and other items, which includes depreciation and amortization expenses, deferred income taxes, stock-based compensation expense,</w:t>
      </w:r>
    </w:p>
    <w:p>
      <w:pPr>
        <w:sectPr>
          <w:pgSz w:w="11900" w:h="16838" w:orient="portrait"/>
          <w:cols w:equalWidth="0" w:num="1">
            <w:col w:w="9019"/>
          </w:cols>
          <w:pgMar w:left="1440" w:top="544"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amortization of operating lease assets, and other non-cash items, and (ii) cash flows used for working capital and other, excluding cash and cash equivalents. Cash used for working capital and other was $1.70 billion during the first nine months of fiscal 2023, including increases in accounts receivable of $320.1 million, and in inventories of $1.03 billion both to support sales growth in the first nine months of fiscal 2023, and decreases in accounts payable of $331.4 million, and in accrued expenses and other of $11.0 million. Comparatively, cash used for working capital and other was $660.8 million during the first nine months of fiscal 2022, including increases in accounts receivable of $881.0 million and in inventories of $550.0 million, partially offset by increases in accounts payable of $628.8 million, and in accrued expenses and other of $141.4 million. Included in accrued liabilities and other, net is $51.2 million of cash received from a gain on legal settlements during the first nine months of fiscal 2023.</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ind w:left="60" w:right="179" w:firstLine="432"/>
        <w:spacing w:after="0" w:line="257" w:lineRule="auto"/>
        <w:rPr>
          <w:sz w:val="20"/>
          <w:szCs w:val="20"/>
          <w:color w:val="auto"/>
        </w:rPr>
      </w:pPr>
      <w:r>
        <w:rPr>
          <w:rFonts w:ascii="Arial" w:cs="Arial" w:eastAsia="Arial" w:hAnsi="Arial"/>
          <w:sz w:val="18"/>
          <w:szCs w:val="18"/>
          <w:color w:val="auto"/>
        </w:rPr>
        <w:t>During the first nine months of fiscal 2023, the Company received net proceeds of $498.6 million as a result of the issuance of $500.0 million of 6.25% Notes due March 2028, $764.0 million under the Credit Facility, and $261.0 million under the Securitization Program, and repaid of $90.3 million under other short-term debt. During the first nine months of fiscal 2023, the Company paid dividends on common stock of $79.8 million and repurchased $221.3 million of common stock.</w:t>
      </w:r>
    </w:p>
    <w:p>
      <w:pPr>
        <w:spacing w:after="0" w:line="188" w:lineRule="exact"/>
        <w:rPr>
          <w:sz w:val="20"/>
          <w:szCs w:val="20"/>
          <w:color w:val="auto"/>
        </w:rPr>
      </w:pPr>
    </w:p>
    <w:p>
      <w:pPr>
        <w:ind w:left="60" w:right="359" w:firstLine="432"/>
        <w:spacing w:after="0" w:line="286" w:lineRule="auto"/>
        <w:rPr>
          <w:sz w:val="20"/>
          <w:szCs w:val="20"/>
          <w:color w:val="auto"/>
        </w:rPr>
      </w:pPr>
      <w:r>
        <w:rPr>
          <w:rFonts w:ascii="Arial" w:cs="Arial" w:eastAsia="Arial" w:hAnsi="Arial"/>
          <w:sz w:val="17"/>
          <w:szCs w:val="17"/>
          <w:color w:val="auto"/>
        </w:rPr>
        <w:t>During the first nine months of fiscal 2022, the Company received net proceeds of $57.4 million under the Securitization Program, and $118.0 million under other short-term debt. During the first nine months of fiscal 2022, the Company paid dividends on common stock of $73.3 million and repurchased $89.0 million of common stock.</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ind w:left="60" w:right="99" w:firstLine="432"/>
        <w:spacing w:after="0" w:line="275" w:lineRule="auto"/>
        <w:rPr>
          <w:sz w:val="20"/>
          <w:szCs w:val="20"/>
          <w:color w:val="auto"/>
        </w:rPr>
      </w:pPr>
      <w:r>
        <w:rPr>
          <w:rFonts w:ascii="Arial" w:cs="Arial" w:eastAsia="Arial" w:hAnsi="Arial"/>
          <w:sz w:val="17"/>
          <w:szCs w:val="17"/>
          <w:color w:val="auto"/>
        </w:rPr>
        <w:t>During the first nine months of fiscal 2023, the Company used $137.8 million for capital expenditures primarily to support a new warehouse being built in EMEA as compared to $33.7 million for capital expenditures in the first nine months of fiscal 2022. During the first nine months of fiscal 2023 the Company used $16.3 million for other investing activities. During the first nine months of fiscal 2022, the Company received $84.3 million from investing activities related to the liquidation of Company owned life insurance policies.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99" w:firstLine="432"/>
        <w:spacing w:after="0" w:line="296" w:lineRule="auto"/>
        <w:rPr>
          <w:sz w:val="20"/>
          <w:szCs w:val="20"/>
          <w:color w:val="auto"/>
        </w:rPr>
      </w:pPr>
      <w:r>
        <w:rPr>
          <w:rFonts w:ascii="Arial" w:cs="Arial" w:eastAsia="Arial" w:hAnsi="Arial"/>
          <w:sz w:val="16"/>
          <w:szCs w:val="16"/>
          <w:color w:val="auto"/>
        </w:rPr>
        <w:t xml:space="preserve">For a detailed description of the Company’s long-term debt and lease commitments for the next five years and thereafter, see </w:t>
      </w:r>
      <w:r>
        <w:rPr>
          <w:rFonts w:ascii="Arial" w:cs="Arial" w:eastAsia="Arial" w:hAnsi="Arial"/>
          <w:sz w:val="16"/>
          <w:szCs w:val="16"/>
          <w:i w:val="1"/>
          <w:iCs w:val="1"/>
          <w:color w:val="auto"/>
        </w:rPr>
        <w:t>Long-Term Contractual Obligations</w:t>
      </w:r>
      <w:r>
        <w:rPr>
          <w:rFonts w:ascii="Arial" w:cs="Arial" w:eastAsia="Arial" w:hAnsi="Arial"/>
          <w:sz w:val="16"/>
          <w:szCs w:val="16"/>
          <w:color w:val="auto"/>
        </w:rPr>
        <w:t xml:space="preserve"> appearing in Item 7 of the Company’s Annual Report on Form 10-K for the fiscal year ended July 2, 2022.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ind w:left="60" w:right="299" w:firstLine="432"/>
        <w:spacing w:after="0" w:line="279" w:lineRule="auto"/>
        <w:rPr>
          <w:sz w:val="20"/>
          <w:szCs w:val="20"/>
          <w:color w:val="auto"/>
        </w:rPr>
      </w:pPr>
      <w:r>
        <w:rPr>
          <w:rFonts w:ascii="Arial" w:cs="Arial" w:eastAsia="Arial" w:hAnsi="Arial"/>
          <w:sz w:val="17"/>
          <w:szCs w:val="17"/>
          <w:color w:val="auto"/>
        </w:rPr>
        <w:t>See Note 4, “Debt” to the Company’s consolidated financial statements included in this Quarterly Report on Form 10-Q for additional information on financing transactions including the Credit Facility, the Securitization Program, and other outstanding debt as of April 1, 2023. The Company was in compliance with all covenants under the Credit Facility and the Securitization Program as of April 1, 2023, and July 2, 2022.</w:t>
      </w:r>
    </w:p>
    <w:p>
      <w:pPr>
        <w:spacing w:after="0" w:line="171" w:lineRule="exact"/>
        <w:rPr>
          <w:sz w:val="20"/>
          <w:szCs w:val="20"/>
          <w:color w:val="auto"/>
        </w:rPr>
      </w:pPr>
    </w:p>
    <w:p>
      <w:pPr>
        <w:ind w:left="60" w:right="239" w:firstLine="427"/>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third quarter of fiscal 2023 was $76.3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39" w:firstLine="427"/>
        <w:spacing w:after="0" w:line="296" w:lineRule="auto"/>
        <w:rPr>
          <w:sz w:val="20"/>
          <w:szCs w:val="20"/>
          <w:color w:val="auto"/>
        </w:rPr>
      </w:pPr>
      <w:r>
        <w:rPr>
          <w:rFonts w:ascii="Arial" w:cs="Arial" w:eastAsia="Arial" w:hAnsi="Arial"/>
          <w:sz w:val="16"/>
          <w:szCs w:val="16"/>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139" w:firstLine="432"/>
        <w:spacing w:after="0" w:line="263" w:lineRule="auto"/>
        <w:rPr>
          <w:sz w:val="20"/>
          <w:szCs w:val="20"/>
          <w:color w:val="auto"/>
        </w:rPr>
      </w:pPr>
      <w:r>
        <w:rPr>
          <w:rFonts w:ascii="Arial" w:cs="Arial" w:eastAsia="Arial" w:hAnsi="Arial"/>
          <w:sz w:val="18"/>
          <w:szCs w:val="18"/>
          <w:color w:val="auto"/>
        </w:rPr>
        <w:t>The Company held cash and cash equivalents of $185.9 million as of April 1, 2023, of which $90.0 million was held outside the United States. As of July 2, 2022, the Company held cash and cash equivalents of $153.7 million, of which $60.4 million was held outside of the United States.</w:t>
      </w:r>
    </w:p>
    <w:p>
      <w:pPr>
        <w:spacing w:after="0" w:line="184" w:lineRule="exact"/>
        <w:rPr>
          <w:sz w:val="20"/>
          <w:szCs w:val="20"/>
          <w:color w:val="auto"/>
        </w:rPr>
      </w:pPr>
    </w:p>
    <w:p>
      <w:pPr>
        <w:ind w:left="60" w:right="79" w:firstLine="432"/>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used $1.15 billion in cash flows for operating activities over the trailing four fiscal quarters ended April 1, 2023.</w:t>
      </w:r>
    </w:p>
    <w:p>
      <w:pPr>
        <w:spacing w:after="0" w:line="187" w:lineRule="exact"/>
        <w:rPr>
          <w:sz w:val="20"/>
          <w:szCs w:val="20"/>
          <w:color w:val="auto"/>
        </w:rPr>
      </w:pPr>
    </w:p>
    <w:p>
      <w:pPr>
        <w:ind w:left="60" w:right="79" w:firstLine="427"/>
        <w:spacing w:after="0" w:line="254" w:lineRule="auto"/>
        <w:rPr>
          <w:sz w:val="20"/>
          <w:szCs w:val="20"/>
          <w:color w:val="auto"/>
        </w:rPr>
      </w:pPr>
      <w:r>
        <w:rPr>
          <w:rFonts w:ascii="Arial" w:cs="Arial" w:eastAsia="Arial" w:hAnsi="Arial"/>
          <w:sz w:val="18"/>
          <w:szCs w:val="18"/>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95" w:lineRule="exact"/>
        <w:rPr>
          <w:sz w:val="20"/>
          <w:szCs w:val="20"/>
          <w:color w:val="auto"/>
        </w:rPr>
      </w:pPr>
    </w:p>
    <w:p>
      <w:pPr>
        <w:ind w:left="60" w:right="159" w:firstLine="427"/>
        <w:spacing w:after="0" w:line="255" w:lineRule="auto"/>
        <w:rPr>
          <w:sz w:val="20"/>
          <w:szCs w:val="20"/>
          <w:color w:val="auto"/>
        </w:rPr>
      </w:pPr>
      <w:r>
        <w:rPr>
          <w:rFonts w:ascii="Arial" w:cs="Arial" w:eastAsia="Arial" w:hAnsi="Arial"/>
          <w:sz w:val="18"/>
          <w:szCs w:val="18"/>
          <w:color w:val="auto"/>
        </w:rPr>
        <w:t>As of the end of the third quarter of fiscal 2023, the Company had a combined total borrowing capacity of $2.15 billion under the Credit Facility and the Securitization Program. There were $838.6 million of borrowings outstanding and $1.0 million in letters of credit issued under the Credit Facility, and $558.8 million outstanding under the Securitization Program, resulting in approximately $751.6 million of total committed availability as of April 1, 2023. Availability under the Securitization Program is subject to the Company having sufficient eligible trade accounts receivable in the United States to support desired borrowings.</w:t>
      </w:r>
    </w:p>
    <w:p>
      <w:pPr>
        <w:spacing w:after="0" w:line="192" w:lineRule="exact"/>
        <w:rPr>
          <w:sz w:val="20"/>
          <w:szCs w:val="20"/>
          <w:color w:val="auto"/>
        </w:rPr>
      </w:pPr>
    </w:p>
    <w:p>
      <w:pPr>
        <w:jc w:val="both"/>
        <w:ind w:left="60" w:right="159" w:firstLine="432"/>
        <w:spacing w:after="0" w:line="263" w:lineRule="auto"/>
        <w:rPr>
          <w:sz w:val="20"/>
          <w:szCs w:val="20"/>
          <w:color w:val="auto"/>
        </w:rPr>
      </w:pPr>
      <w:r>
        <w:rPr>
          <w:rFonts w:ascii="Arial" w:cs="Arial" w:eastAsia="Arial" w:hAnsi="Arial"/>
          <w:sz w:val="18"/>
          <w:szCs w:val="18"/>
          <w:color w:val="auto"/>
        </w:rPr>
        <w:t>During the third quarter and first nine months of fiscal 2023, the Company had an average daily balance outstanding of approximately $1.22 billion and $1.10 billion, respectively, under the Credit Facility and approximately $616.9 million and $515.5 million, respectively, under the Securitization Program.</w:t>
      </w:r>
    </w:p>
    <w:p>
      <w:pPr>
        <w:spacing w:after="0" w:line="184" w:lineRule="exact"/>
        <w:rPr>
          <w:sz w:val="20"/>
          <w:szCs w:val="20"/>
          <w:color w:val="auto"/>
        </w:rPr>
      </w:pPr>
    </w:p>
    <w:p>
      <w:pPr>
        <w:ind w:left="60" w:right="219" w:firstLine="427"/>
        <w:spacing w:after="0" w:line="296" w:lineRule="auto"/>
        <w:rPr>
          <w:sz w:val="20"/>
          <w:szCs w:val="20"/>
          <w:color w:val="auto"/>
        </w:rPr>
      </w:pPr>
      <w:r>
        <w:rPr>
          <w:rFonts w:ascii="Arial" w:cs="Arial" w:eastAsia="Arial" w:hAnsi="Arial"/>
          <w:sz w:val="16"/>
          <w:szCs w:val="16"/>
          <w:color w:val="auto"/>
        </w:rPr>
        <w:t>As of April 1, 2023, the Company may repurchase up to an aggregate of $319.0 million of shares of the Company’s common stock through the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the third quarter of fiscal 2023, the Company did not repurchase any shares.</w:t>
      </w:r>
    </w:p>
    <w:p>
      <w:pPr>
        <w:spacing w:after="0" w:line="161" w:lineRule="exact"/>
        <w:rPr>
          <w:sz w:val="20"/>
          <w:szCs w:val="20"/>
          <w:color w:val="auto"/>
        </w:rPr>
      </w:pPr>
    </w:p>
    <w:p>
      <w:pPr>
        <w:ind w:left="60" w:right="159" w:firstLine="427"/>
        <w:spacing w:after="0" w:line="311"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third quarter of fiscal 2023, the Board of Directors approved a dividend of $0.29 per share, which resulted in $26.5 million of dividend payments during the quarter.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firstLine="427"/>
        <w:spacing w:after="0" w:line="257" w:lineRule="auto"/>
        <w:rPr>
          <w:sz w:val="20"/>
          <w:szCs w:val="20"/>
          <w:color w:val="auto"/>
        </w:rPr>
      </w:pPr>
      <w:r>
        <w:rPr>
          <w:rFonts w:ascii="Arial" w:cs="Arial" w:eastAsia="Arial" w:hAnsi="Arial"/>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319" w:firstLine="432"/>
        <w:spacing w:after="0" w:line="263"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ind w:left="60" w:right="79" w:firstLine="427"/>
        <w:spacing w:after="0" w:line="291"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July 2, 2022, for further discussion of market risks associated with foreign currency exchange rates and interest rates. Avnet’s exposure to such risks has not changed materially since July 2, 2022,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66" w:lineRule="exact"/>
        <w:rPr>
          <w:sz w:val="20"/>
          <w:szCs w:val="20"/>
          <w:color w:val="auto"/>
        </w:rPr>
      </w:pPr>
    </w:p>
    <w:p>
      <w:pPr>
        <w:ind w:left="60" w:right="59"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April 1, 2023, approximately 53% of the Company’s debt bears interest at a fixed rate and 47% of the Company’s debt bears interest at variable rates. Therefore, a hypothetical 1.0% (100 basis points) increase in interest rates would result in a $3.7 million decrease in income before income taxes in the Company’s consolidated statement of operations for the third quarter of fiscal 2023.</w:t>
      </w:r>
    </w:p>
    <w:p>
      <w:pPr>
        <w:spacing w:after="0" w:line="1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60" w:right="99" w:firstLine="432"/>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85" w:lineRule="exact"/>
        <w:rPr>
          <w:sz w:val="20"/>
          <w:szCs w:val="20"/>
          <w:color w:val="auto"/>
        </w:rPr>
      </w:pPr>
    </w:p>
    <w:p>
      <w:pPr>
        <w:ind w:left="60" w:right="59" w:firstLine="432"/>
        <w:spacing w:after="0" w:line="263" w:lineRule="auto"/>
        <w:rPr>
          <w:sz w:val="20"/>
          <w:szCs w:val="20"/>
          <w:color w:val="auto"/>
        </w:rPr>
      </w:pPr>
      <w:r>
        <w:rPr>
          <w:rFonts w:ascii="Arial" w:cs="Arial" w:eastAsia="Arial" w:hAnsi="Arial"/>
          <w:sz w:val="18"/>
          <w:szCs w:val="18"/>
          <w:color w:val="auto"/>
        </w:rPr>
        <w:t>During the third quarter of fiscal 2023,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239"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78" w:lineRule="exact"/>
        <w:rPr>
          <w:sz w:val="20"/>
          <w:szCs w:val="20"/>
          <w:color w:val="auto"/>
        </w:rPr>
      </w:pPr>
    </w:p>
    <w:p>
      <w:pPr>
        <w:jc w:val="both"/>
        <w:ind w:left="60" w:right="299" w:firstLine="432"/>
        <w:spacing w:after="0" w:line="301"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5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right="99"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July 2, 2022,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April 1, 2023, there have been no material changes to the risk factors set forth in the Company’s Annual Report on Form 10-K for the fiscal year ended July 2, 2022.</w:t>
      </w:r>
    </w:p>
    <w:p>
      <w:pPr>
        <w:spacing w:after="0" w:line="17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60" w:right="59" w:firstLine="432"/>
        <w:spacing w:after="0" w:line="259" w:lineRule="auto"/>
        <w:rPr>
          <w:sz w:val="20"/>
          <w:szCs w:val="20"/>
          <w:color w:val="auto"/>
        </w:rPr>
      </w:pPr>
      <w:r>
        <w:rPr>
          <w:rFonts w:ascii="Arial" w:cs="Arial" w:eastAsia="Arial" w:hAnsi="Arial"/>
          <w:sz w:val="18"/>
          <w:szCs w:val="18"/>
          <w:color w:val="auto"/>
        </w:rPr>
        <w:t>In May 2022, the Company’s Board of Directors approved a new share repurchase plan with an authorization to repurchase up to an aggregate of $600 million of common stock. During the third quarter of fiscal 2023, the Company did not repurchase any shares under the share repurchase program resulting in $319.0 million of availability under this program as of April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5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398"/>
        </w:trPr>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5"/>
          </w:tcPr>
          <w:p>
            <w:pPr>
              <w:spacing w:after="0"/>
              <w:rPr>
                <w:rFonts w:ascii="Arial" w:cs="Arial" w:eastAsia="Arial" w:hAnsi="Arial"/>
                <w:sz w:val="18"/>
                <w:szCs w:val="18"/>
                <w:color w:val="0000EE"/>
                <w:w w:val="93"/>
              </w:rPr>
            </w:pPr>
            <w:hyperlink r:id="rId44">
              <w:r>
                <w:rPr>
                  <w:rFonts w:ascii="Arial" w:cs="Arial" w:eastAsia="Arial" w:hAnsi="Arial"/>
                  <w:sz w:val="18"/>
                  <w:szCs w:val="18"/>
                  <w:color w:val="0000EE"/>
                  <w:w w:val="93"/>
                </w:rPr>
                <w:t>Form of Officers’ Certificate setting forth the terms of the 6.25% Notes due 2028 (incorporated herein</w:t>
              </w:r>
            </w:hyperlink>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by reference to Exhibit 4.1 to the Company’s Current Report on Form 8-K filed on March 8, 2023).</w:t>
              </w:r>
            </w:hyperlink>
          </w:p>
        </w:tc>
        <w:tc>
          <w:tcPr>
            <w:tcW w:w="20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0000EE"/>
                <w:w w:val="95"/>
              </w:rPr>
              <w:t>Certification of Chief Executive Officer pursuant to Section 302 of the Sarbanes-Oxley Act of 2002.</w:t>
            </w: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0000EE"/>
                <w:w w:val="95"/>
              </w:rPr>
              <w:t>Certification of Chief Executive Officer pursuant to Section 906 of the Sarbanes-Oxley Act of 2002.</w:t>
            </w:r>
          </w:p>
        </w:tc>
      </w:tr>
      <w:tr>
        <w:trPr>
          <w:trHeight w:val="425"/>
        </w:trPr>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r>
      <w:tr>
        <w:trPr>
          <w:trHeight w:val="452"/>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2"/>
              </w:rPr>
              <w:t>XBRL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53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40" w:right="139" w:hanging="530"/>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60" w:right="199"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5, 2023</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80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May 5, 2023</w:t>
      </w: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23495</wp:posOffset>
            </wp:positionV>
            <wp:extent cx="3215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670560</wp:posOffset>
            </wp:positionV>
            <wp:extent cx="649795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57"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40" w:right="6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40" w:right="16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322"/>
        <w:spacing w:after="0" w:line="336" w:lineRule="auto"/>
        <w:tabs>
          <w:tab w:leader="none" w:pos="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960" w:right="220" w:hanging="322"/>
        <w:spacing w:after="0" w:line="336" w:lineRule="auto"/>
        <w:tabs>
          <w:tab w:leader="none" w:pos="9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left="960" w:right="320" w:hanging="322"/>
        <w:spacing w:after="0" w:line="310"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60" w:right="340" w:hanging="322"/>
        <w:spacing w:after="0" w:line="364"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jc w:val="both"/>
        <w:ind w:left="640" w:right="20" w:hanging="326"/>
        <w:spacing w:after="0" w:line="31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60" w:right="80" w:hanging="322"/>
        <w:spacing w:after="0" w:line="310"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60" w:right="120" w:hanging="322"/>
        <w:spacing w:after="0" w:line="324"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2023</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23495</wp:posOffset>
            </wp:positionV>
            <wp:extent cx="32150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675005</wp:posOffset>
            </wp:positionV>
            <wp:extent cx="6497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5" w:right="839"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April 1, 2023 (the “Report”), I, Philip 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2023</w:t>
      </w:r>
    </w:p>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23495</wp:posOffset>
            </wp:positionV>
            <wp:extent cx="2785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1" w:name="page32"/>
    <w:bookmarkEnd w:id="3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April 1, 2023 (the “Report”), I, Kenneth A.</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Jacobson, Chief Financial Officer of Avnet, Inc. (the “Company”) hereby certify that:</w:t>
      </w:r>
    </w:p>
    <w:p>
      <w:pPr>
        <w:spacing w:after="0" w:line="158" w:lineRule="exact"/>
        <w:rPr>
          <w:sz w:val="20"/>
          <w:szCs w:val="20"/>
          <w:color w:val="auto"/>
        </w:rPr>
      </w:pPr>
    </w:p>
    <w:p>
      <w:pPr>
        <w:ind w:left="700" w:right="699" w:hanging="332"/>
        <w:spacing w:after="0" w:line="32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32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2023</w:t>
      </w: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23495</wp:posOffset>
            </wp:positionV>
            <wp:extent cx="2802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Roman"/>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44" Type="http://schemas.openxmlformats.org/officeDocument/2006/relationships/hyperlink" Target="https://www.sec.gov/Archives/edgar/data/8858/000119312523064179/d47275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2023-05-05T06:27:24Z</dcterms:created>
  <dcterms:modified xsi:type="dcterms:W3CDTF">2023-05-05T06:27:24Z</dcterms:modified>
</cp:coreProperties>
</file>