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64636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6463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124460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107315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500" w:hanging="499"/>
        <w:spacing w:after="0"/>
        <w:tabs>
          <w:tab w:leader="none" w:pos="5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5" w:lineRule="exact"/>
        <w:rPr>
          <w:rFonts w:ascii="MS PGothic" w:cs="MS PGothic" w:eastAsia="MS PGothic" w:hAnsi="MS PGothic"/>
          <w:sz w:val="17"/>
          <w:szCs w:val="17"/>
          <w:color w:val="auto"/>
          <w:highlight w:val="black"/>
        </w:rPr>
      </w:pPr>
    </w:p>
    <w:p>
      <w:pPr>
        <w:ind w:left="314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For the quarterly period ended December 31, 2022</w:t>
      </w:r>
    </w:p>
    <w:p>
      <w:pPr>
        <w:spacing w:after="0" w:line="144" w:lineRule="exact"/>
        <w:rPr>
          <w:sz w:val="24"/>
          <w:szCs w:val="24"/>
          <w:color w:val="auto"/>
        </w:rPr>
      </w:pPr>
    </w:p>
    <w:p>
      <w:pPr>
        <w:ind w:left="500" w:hanging="499"/>
        <w:spacing w:after="0"/>
        <w:tabs>
          <w:tab w:leader="none" w:pos="5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5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97155</wp:posOffset>
            </wp:positionV>
            <wp:extent cx="1611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AVNET</w:t>
      </w:r>
      <w:r>
        <w:rPr>
          <w:rFonts w:ascii="Times New Roman" w:cs="Times New Roman" w:eastAsia="Times New Roman" w:hAnsi="Times New Roman"/>
          <w:sz w:val="35"/>
          <w:szCs w:val="35"/>
          <w:b w:val="1"/>
          <w:bCs w:val="1"/>
          <w:color w:val="auto"/>
        </w:rPr>
        <w:t>,</w:t>
      </w:r>
      <w:r>
        <w:rPr>
          <w:rFonts w:ascii="Times New Roman" w:cs="Times New Roman" w:eastAsia="Times New Roman" w:hAnsi="Times New Roman"/>
          <w:sz w:val="29"/>
          <w:szCs w:val="29"/>
          <w:b w:val="1"/>
          <w:bCs w:val="1"/>
          <w:color w:val="auto"/>
        </w:rPr>
        <w:t xml:space="preserve"> INC.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160"/>
          </w:cols>
          <w:pgMar w:left="860" w:top="661" w:right="879" w:bottom="1440" w:gutter="0" w:footer="0" w:header="0"/>
        </w:sectPr>
      </w:pPr>
    </w:p>
    <w:p>
      <w:pPr>
        <w:spacing w:after="0" w:line="86" w:lineRule="exact"/>
        <w:rPr>
          <w:sz w:val="24"/>
          <w:szCs w:val="24"/>
          <w:color w:val="auto"/>
        </w:rPr>
      </w:pPr>
    </w:p>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New York</w:t>
      </w:r>
    </w:p>
    <w:p>
      <w:pPr>
        <w:jc w:val="center"/>
        <w:ind w:right="4000"/>
        <w:spacing w:after="0" w:line="203" w:lineRule="auto"/>
        <w:rPr>
          <w:sz w:val="20"/>
          <w:szCs w:val="20"/>
          <w:color w:val="auto"/>
        </w:rPr>
      </w:pPr>
      <w:r>
        <w:rPr>
          <w:rFonts w:ascii="Times New Roman" w:cs="Times New Roman" w:eastAsia="Times New Roman" w:hAnsi="Times New Roman"/>
          <w:sz w:val="18"/>
          <w:szCs w:val="18"/>
          <w:color w:val="auto"/>
        </w:rPr>
        <w:t>(State or other jurisdiction</w:t>
      </w:r>
    </w:p>
    <w:p>
      <w:pPr>
        <w:jc w:val="center"/>
        <w:ind w:right="400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11-1890605</w:t>
      </w:r>
    </w:p>
    <w:p>
      <w:pPr>
        <w:jc w:val="center"/>
        <w:ind w:right="860"/>
        <w:spacing w:after="0" w:line="203" w:lineRule="auto"/>
        <w:rPr>
          <w:sz w:val="20"/>
          <w:szCs w:val="20"/>
          <w:color w:val="auto"/>
        </w:rPr>
      </w:pPr>
      <w:r>
        <w:rPr>
          <w:rFonts w:ascii="Times New Roman" w:cs="Times New Roman" w:eastAsia="Times New Roman" w:hAnsi="Times New Roman"/>
          <w:sz w:val="18"/>
          <w:szCs w:val="18"/>
          <w:color w:val="auto"/>
        </w:rPr>
        <w:t>(IRS Employer</w:t>
      </w:r>
    </w:p>
    <w:p>
      <w:pPr>
        <w:jc w:val="center"/>
        <w:ind w:right="8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11" w:lineRule="exact"/>
        <w:rPr>
          <w:sz w:val="24"/>
          <w:szCs w:val="24"/>
          <w:color w:val="auto"/>
        </w:rPr>
      </w:pPr>
    </w:p>
    <w:p>
      <w:pPr>
        <w:sectPr>
          <w:pgSz w:w="11900" w:h="16838" w:orient="portrait"/>
          <w:cols w:equalWidth="0" w:num="2">
            <w:col w:w="7240" w:space="720"/>
            <w:col w:w="2200"/>
          </w:cols>
          <w:pgMar w:left="860" w:top="661" w:right="879" w:bottom="1440" w:gutter="0" w:footer="0" w:header="0"/>
          <w:type w:val="continuous"/>
        </w:sectPr>
      </w:pPr>
    </w:p>
    <w:p>
      <w:pPr>
        <w:spacing w:after="0" w:line="7"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b w:val="1"/>
          <w:bCs w:val="1"/>
          <w:color w:val="auto"/>
        </w:rPr>
        <w:t>2211 South 47th Street, Phoenix, Arizona</w:t>
      </w:r>
    </w:p>
    <w:p>
      <w:pPr>
        <w:spacing w:after="0" w:line="4"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85034</w:t>
      </w:r>
    </w:p>
    <w:p>
      <w:pPr>
        <w:jc w:val="center"/>
        <w:ind w:right="2060"/>
        <w:spacing w:after="0"/>
        <w:rPr>
          <w:sz w:val="20"/>
          <w:szCs w:val="20"/>
          <w:color w:val="auto"/>
        </w:rPr>
      </w:pPr>
      <w:r>
        <w:rPr>
          <w:rFonts w:ascii="Times New Roman" w:cs="Times New Roman" w:eastAsia="Times New Roman" w:hAnsi="Times New Roman"/>
          <w:sz w:val="17"/>
          <w:szCs w:val="17"/>
          <w:color w:val="auto"/>
        </w:rPr>
        <w:t>(Zip Code)</w:t>
      </w:r>
    </w:p>
    <w:p>
      <w:pPr>
        <w:spacing w:after="0" w:line="77" w:lineRule="exact"/>
        <w:rPr>
          <w:sz w:val="24"/>
          <w:szCs w:val="24"/>
          <w:color w:val="auto"/>
        </w:rPr>
      </w:pPr>
    </w:p>
    <w:p>
      <w:pPr>
        <w:sectPr>
          <w:pgSz w:w="11900" w:h="16838" w:orient="portrait"/>
          <w:cols w:equalWidth="0" w:num="2">
            <w:col w:w="6600" w:space="720"/>
            <w:col w:w="2840"/>
          </w:cols>
          <w:pgMar w:left="860" w:top="661" w:right="8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(480) 643-2000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0160"/>
          </w:cols>
          <w:pgMar w:left="860" w:top="661" w:right="87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3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8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AVT</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103"/>
        </w:trPr>
        <w:tc>
          <w:tcPr>
            <w:tcW w:w="3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900" w:type="dxa"/>
            <w:vAlign w:val="bottom"/>
            <w:tcBorders>
              <w:bottom w:val="single" w:sz="8" w:color="0D0D0D"/>
            </w:tcBorders>
          </w:tcPr>
          <w:p>
            <w:pPr>
              <w:spacing w:after="0"/>
              <w:rPr>
                <w:sz w:val="8"/>
                <w:szCs w:val="8"/>
                <w:color w:val="auto"/>
              </w:rPr>
            </w:pPr>
          </w:p>
        </w:tc>
        <w:tc>
          <w:tcPr>
            <w:tcW w:w="260" w:type="dxa"/>
            <w:vAlign w:val="bottom"/>
            <w:tcBorders>
              <w:bottom w:val="single" w:sz="8" w:color="0D0D0D"/>
            </w:tcBorders>
          </w:tcPr>
          <w:p>
            <w:pPr>
              <w:spacing w:after="0"/>
              <w:rPr>
                <w:sz w:val="8"/>
                <w:szCs w:val="8"/>
                <w:color w:val="auto"/>
              </w:rPr>
            </w:pPr>
          </w:p>
        </w:tc>
        <w:tc>
          <w:tcPr>
            <w:tcW w:w="380" w:type="dxa"/>
            <w:vAlign w:val="bottom"/>
            <w:tcBorders>
              <w:bottom w:val="single" w:sz="8" w:color="0D0D0D"/>
            </w:tcBorders>
          </w:tcPr>
          <w:p>
            <w:pPr>
              <w:spacing w:after="0"/>
              <w:rPr>
                <w:sz w:val="8"/>
                <w:szCs w:val="8"/>
                <w:color w:val="auto"/>
              </w:rPr>
            </w:pPr>
          </w:p>
        </w:tc>
        <w:tc>
          <w:tcPr>
            <w:tcW w:w="3800" w:type="dxa"/>
            <w:vAlign w:val="bottom"/>
          </w:tcPr>
          <w:p>
            <w:pPr>
              <w:spacing w:after="0"/>
              <w:rPr>
                <w:sz w:val="8"/>
                <w:szCs w:val="8"/>
                <w:color w:val="auto"/>
              </w:rPr>
            </w:pPr>
          </w:p>
        </w:tc>
      </w:tr>
    </w:tbl>
    <w:p>
      <w:pPr>
        <w:spacing w:after="0" w:line="157" w:lineRule="exact"/>
        <w:rPr>
          <w:sz w:val="24"/>
          <w:szCs w:val="24"/>
          <w:color w:val="auto"/>
        </w:rPr>
      </w:pPr>
    </w:p>
    <w:p>
      <w:pPr>
        <w:ind w:right="200" w:firstLine="427"/>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right="560" w:firstLine="432"/>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right="200" w:firstLine="42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60" w:top="661" w:right="879" w:bottom="1440" w:gutter="0" w:footer="0" w:header="0"/>
          <w:type w:val="continuous"/>
        </w:sectPr>
      </w:pPr>
    </w:p>
    <w:p>
      <w:pPr>
        <w:spacing w:after="0" w:line="53"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13"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4" w:lineRule="exact"/>
        <w:rPr>
          <w:sz w:val="24"/>
          <w:szCs w:val="24"/>
          <w:color w:val="auto"/>
        </w:rPr>
      </w:pPr>
    </w:p>
    <w:p>
      <w:pPr>
        <w:sectPr>
          <w:pgSz w:w="11900" w:h="16838" w:orient="portrait"/>
          <w:cols w:equalWidth="0" w:num="2">
            <w:col w:w="6020" w:space="720"/>
            <w:col w:w="3420"/>
          </w:cols>
          <w:pgMar w:left="860" w:top="661" w:right="879" w:bottom="1440" w:gutter="0" w:footer="0" w:header="0"/>
          <w:type w:val="continuous"/>
        </w:sectPr>
      </w:pPr>
    </w:p>
    <w:p>
      <w:pPr>
        <w:ind w:right="500" w:firstLine="427"/>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6" w:lineRule="exact"/>
        <w:rPr>
          <w:sz w:val="24"/>
          <w:szCs w:val="24"/>
          <w:color w:val="auto"/>
        </w:rPr>
      </w:pPr>
    </w:p>
    <w:p>
      <w:pPr>
        <w:ind w:right="560" w:firstLine="427"/>
        <w:spacing w:after="0" w:line="282" w:lineRule="auto"/>
        <w:rPr>
          <w:sz w:val="20"/>
          <w:szCs w:val="20"/>
          <w:color w:val="auto"/>
        </w:rPr>
      </w:pPr>
      <w:r>
        <w:rPr>
          <w:rFonts w:ascii="Times New Roman" w:cs="Times New Roman" w:eastAsia="Times New Roman" w:hAnsi="Times New Roman"/>
          <w:sz w:val="18"/>
          <w:szCs w:val="18"/>
          <w:color w:val="auto"/>
        </w:rPr>
        <w:t>As of January 25, 2023, the total number of shares outstanding of the registrant’s Common Stock was 91,379,483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611505</wp:posOffset>
            </wp:positionV>
            <wp:extent cx="64636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88265</wp:posOffset>
            </wp:positionV>
            <wp:extent cx="64636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71120</wp:posOffset>
            </wp:positionV>
            <wp:extent cx="6463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ectPr>
          <w:pgSz w:w="11900" w:h="16838" w:orient="portrait"/>
          <w:cols w:equalWidth="0" w:num="1">
            <w:col w:w="10160"/>
          </w:cols>
          <w:pgMar w:left="860" w:top="661" w:right="87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79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gridSpan w:val="14"/>
          </w:tcPr>
          <w:p>
            <w:pPr>
              <w:jc w:val="center"/>
              <w:ind w:right="2120"/>
              <w:spacing w:after="0"/>
              <w:rPr>
                <w:sz w:val="20"/>
                <w:szCs w:val="20"/>
                <w:color w:val="auto"/>
              </w:rPr>
            </w:pPr>
            <w:r>
              <w:rPr>
                <w:rFonts w:ascii="Times New Roman" w:cs="Times New Roman" w:eastAsia="Times New Roman" w:hAnsi="Times New Roman"/>
                <w:sz w:val="18"/>
                <w:szCs w:val="18"/>
                <w:color w:val="auto"/>
                <w:w w:val="98"/>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60" w:type="dxa"/>
            <w:vAlign w:val="bottom"/>
            <w:gridSpan w:val="11"/>
          </w:tcPr>
          <w:p>
            <w:pPr>
              <w:jc w:val="center"/>
              <w:ind w:right="2620"/>
              <w:spacing w:after="0"/>
              <w:rPr>
                <w:sz w:val="20"/>
                <w:szCs w:val="20"/>
                <w:color w:val="auto"/>
              </w:rPr>
            </w:pPr>
            <w:r>
              <w:rPr>
                <w:rFonts w:ascii="Times New Roman" w:cs="Times New Roman" w:eastAsia="Times New Roman" w:hAnsi="Times New Roman"/>
                <w:sz w:val="18"/>
                <w:szCs w:val="18"/>
                <w:color w:val="auto"/>
                <w:w w:val="99"/>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5440" w:type="dxa"/>
            <w:vAlign w:val="bottom"/>
            <w:gridSpan w:val="16"/>
            <w:vMerge w:val="restart"/>
          </w:tcPr>
          <w:p>
            <w:pPr>
              <w:jc w:val="center"/>
              <w:ind w:right="2560"/>
              <w:spacing w:after="0"/>
              <w:rPr>
                <w:sz w:val="20"/>
                <w:szCs w:val="20"/>
                <w:color w:val="auto"/>
              </w:rPr>
            </w:pPr>
            <w:r>
              <w:rPr>
                <w:rFonts w:ascii="Times New Roman" w:cs="Times New Roman" w:eastAsia="Times New Roman" w:hAnsi="Times New Roman"/>
                <w:sz w:val="18"/>
                <w:szCs w:val="18"/>
                <w:color w:val="0000EE"/>
                <w:w w:val="98"/>
              </w:rPr>
              <w:t>PART I. FINANCIAL INFORMATION</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440" w:type="dxa"/>
            <w:vAlign w:val="bottom"/>
            <w:gridSpan w:val="16"/>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Consolidated Balance Sheets at December 31, 2022 and July 2, 2022</w:t>
            </w:r>
          </w:p>
        </w:tc>
        <w:tc>
          <w:tcPr>
            <w:tcW w:w="264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second quarters and six months ended December 31,</w:t>
            </w:r>
          </w:p>
        </w:tc>
        <w:tc>
          <w:tcPr>
            <w:tcW w:w="44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2022 and January 1, 2022</w:t>
            </w:r>
          </w:p>
        </w:tc>
        <w:tc>
          <w:tcPr>
            <w:tcW w:w="5620" w:type="dxa"/>
            <w:vAlign w:val="bottom"/>
            <w:gridSpan w:val="1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second quarters and six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9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December 31, 2022 and January 1, 2022</w:t>
            </w:r>
          </w:p>
        </w:tc>
        <w:tc>
          <w:tcPr>
            <w:tcW w:w="3980" w:type="dxa"/>
            <w:vAlign w:val="bottom"/>
            <w:tcBorders>
              <w:top w:val="single" w:sz="8" w:color="0000EE"/>
            </w:tcBorders>
            <w:gridSpan w:val="10"/>
          </w:tcPr>
          <w:p>
            <w:pPr>
              <w:spacing w:after="0"/>
              <w:rPr>
                <w:sz w:val="17"/>
                <w:szCs w:val="17"/>
                <w:color w:val="auto"/>
              </w:rPr>
            </w:pPr>
          </w:p>
        </w:tc>
        <w:tc>
          <w:tcPr>
            <w:tcW w:w="58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Consolidated Statements of Shareholders’ Equity for the second quarters and six months ended</w:t>
            </w:r>
          </w:p>
        </w:tc>
        <w:tc>
          <w:tcPr>
            <w:tcW w:w="72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December 31, 2022 and January 1, 2022</w:t>
            </w:r>
          </w:p>
        </w:tc>
        <w:tc>
          <w:tcPr>
            <w:tcW w:w="4520" w:type="dxa"/>
            <w:vAlign w:val="bottom"/>
            <w:gridSpan w:val="1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4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six months ended December 31, 2022 and January 1,</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gridSpan w:val="4"/>
          </w:tcPr>
          <w:p>
            <w:pPr>
              <w:spacing w:after="0"/>
              <w:rPr>
                <w:sz w:val="17"/>
                <w:szCs w:val="17"/>
                <w:color w:val="auto"/>
              </w:rPr>
            </w:pPr>
          </w:p>
        </w:tc>
        <w:tc>
          <w:tcPr>
            <w:tcW w:w="3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2022</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080" w:type="dxa"/>
            <w:vAlign w:val="bottom"/>
            <w:tcBorders>
              <w:top w:val="single" w:sz="8" w:color="0000EE"/>
            </w:tcBorders>
            <w:gridSpan w:val="4"/>
          </w:tcPr>
          <w:p>
            <w:pPr>
              <w:spacing w:after="0"/>
              <w:rPr>
                <w:sz w:val="24"/>
                <w:szCs w:val="24"/>
                <w:color w:val="auto"/>
              </w:rPr>
            </w:pPr>
          </w:p>
        </w:tc>
        <w:tc>
          <w:tcPr>
            <w:tcW w:w="92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color w:val="0000EE"/>
                <w:w w:val="98"/>
              </w:rPr>
              <w:t>PART II. OTHER INFORMATION</w:t>
            </w:r>
          </w:p>
        </w:tc>
        <w:tc>
          <w:tcPr>
            <w:tcW w:w="2700" w:type="dxa"/>
            <w:vAlign w:val="bottom"/>
            <w:gridSpan w:val="8"/>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9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604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6340" w:type="dxa"/>
            <w:vAlign w:val="bottom"/>
            <w:gridSpan w:val="2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49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02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Signature Page</w:t>
            </w:r>
          </w:p>
        </w:tc>
        <w:tc>
          <w:tcPr>
            <w:tcW w:w="60" w:type="dxa"/>
            <w:vAlign w:val="bottom"/>
            <w:tcBorders>
              <w:top w:val="single" w:sz="8" w:color="0000EE"/>
            </w:tcBorders>
          </w:tcPr>
          <w:p>
            <w:pPr>
              <w:spacing w:after="0"/>
              <w:rPr>
                <w:sz w:val="24"/>
                <w:szCs w:val="24"/>
                <w:color w:val="auto"/>
              </w:rPr>
            </w:pPr>
          </w:p>
        </w:tc>
        <w:tc>
          <w:tcPr>
            <w:tcW w:w="6780" w:type="dxa"/>
            <w:vAlign w:val="bottom"/>
            <w:gridSpan w:val="22"/>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542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940" w:type="dxa"/>
            <w:vAlign w:val="bottom"/>
          </w:tcPr>
          <w:p>
            <w:pPr>
              <w:spacing w:after="0"/>
              <w:rPr>
                <w:sz w:val="21"/>
                <w:szCs w:val="21"/>
                <w:color w:val="auto"/>
              </w:rPr>
            </w:pPr>
          </w:p>
        </w:tc>
        <w:tc>
          <w:tcPr>
            <w:tcW w:w="54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4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4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40" w:type="dxa"/>
            <w:vAlign w:val="bottom"/>
          </w:tcPr>
          <w:p>
            <w:pPr>
              <w:spacing w:after="0"/>
              <w:rPr>
                <w:sz w:val="20"/>
                <w:szCs w:val="20"/>
                <w:color w:val="auto"/>
              </w:rPr>
            </w:pPr>
          </w:p>
        </w:tc>
        <w:tc>
          <w:tcPr>
            <w:tcW w:w="54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6"/>
        </w:trPr>
        <w:tc>
          <w:tcPr>
            <w:tcW w:w="9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2,</w:t>
            </w:r>
          </w:p>
        </w:tc>
      </w:tr>
      <w:tr>
        <w:trPr>
          <w:trHeight w:val="245"/>
        </w:trPr>
        <w:tc>
          <w:tcPr>
            <w:tcW w:w="94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180"/>
        </w:trPr>
        <w:tc>
          <w:tcPr>
            <w:tcW w:w="9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w w:val="97"/>
              </w:rPr>
              <w:t>(Thousands,</w:t>
            </w:r>
          </w:p>
        </w:tc>
        <w:tc>
          <w:tcPr>
            <w:tcW w:w="200" w:type="dxa"/>
            <w:vAlign w:val="bottom"/>
          </w:tcPr>
          <w:p>
            <w:pPr>
              <w:spacing w:after="0"/>
              <w:rPr>
                <w:sz w:val="15"/>
                <w:szCs w:val="15"/>
                <w:color w:val="auto"/>
              </w:rPr>
            </w:pPr>
          </w:p>
        </w:tc>
        <w:tc>
          <w:tcPr>
            <w:tcW w:w="1020" w:type="dxa"/>
            <w:vAlign w:val="bottom"/>
            <w:gridSpan w:val="2"/>
          </w:tcPr>
          <w:p>
            <w:pPr>
              <w:jc w:val="right"/>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85"/>
              </w:rPr>
              <w:t>except share</w:t>
            </w:r>
          </w:p>
        </w:tc>
        <w:tc>
          <w:tcPr>
            <w:tcW w:w="100" w:type="dxa"/>
            <w:vAlign w:val="bottom"/>
          </w:tcPr>
          <w:p>
            <w:pPr>
              <w:spacing w:after="0"/>
              <w:rPr>
                <w:sz w:val="15"/>
                <w:szCs w:val="15"/>
                <w:color w:val="auto"/>
              </w:rPr>
            </w:pPr>
          </w:p>
        </w:tc>
      </w:tr>
      <w:tr>
        <w:trPr>
          <w:trHeight w:val="238"/>
        </w:trPr>
        <w:tc>
          <w:tcPr>
            <w:tcW w:w="9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940" w:type="dxa"/>
            <w:vAlign w:val="bottom"/>
            <w:shd w:val="clear" w:color="auto" w:fill="CCEEFF"/>
          </w:tcPr>
          <w:p>
            <w:pPr>
              <w:spacing w:after="0"/>
              <w:rPr>
                <w:sz w:val="18"/>
                <w:szCs w:val="18"/>
                <w:color w:val="auto"/>
              </w:rPr>
            </w:pPr>
          </w:p>
        </w:tc>
        <w:tc>
          <w:tcPr>
            <w:tcW w:w="5420" w:type="dxa"/>
            <w:vAlign w:val="bottom"/>
            <w:shd w:val="clear" w:color="auto" w:fill="CCEEFF"/>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324,778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153,693</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4,789,402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4,301,002</w:t>
            </w:r>
          </w:p>
        </w:tc>
        <w:tc>
          <w:tcPr>
            <w:tcW w:w="100" w:type="dxa"/>
            <w:vAlign w:val="bottom"/>
          </w:tcPr>
          <w:p>
            <w:pPr>
              <w:spacing w:after="0"/>
              <w:rPr>
                <w:sz w:val="18"/>
                <w:szCs w:val="18"/>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5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4,972,898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4,244,148</w:t>
            </w:r>
          </w:p>
        </w:tc>
        <w:tc>
          <w:tcPr>
            <w:tcW w:w="100" w:type="dxa"/>
            <w:vAlign w:val="bottom"/>
            <w:shd w:val="clear" w:color="auto" w:fill="CCEEFF"/>
          </w:tcPr>
          <w:p>
            <w:pPr>
              <w:spacing w:after="0"/>
              <w:rPr>
                <w:sz w:val="18"/>
                <w:szCs w:val="18"/>
                <w:color w:val="auto"/>
              </w:rPr>
            </w:pPr>
          </w:p>
        </w:tc>
      </w:tr>
      <w:tr>
        <w:trPr>
          <w:trHeight w:val="223"/>
        </w:trPr>
        <w:tc>
          <w:tcPr>
            <w:tcW w:w="63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216,487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177,783</w:t>
            </w:r>
          </w:p>
        </w:tc>
        <w:tc>
          <w:tcPr>
            <w:tcW w:w="100" w:type="dxa"/>
            <w:vAlign w:val="bottom"/>
            <w:tcBorders>
              <w:bottom w:val="single" w:sz="8" w:color="CCEEFF"/>
            </w:tcBorders>
          </w:tcPr>
          <w:p>
            <w:pPr>
              <w:spacing w:after="0"/>
              <w:rPr>
                <w:sz w:val="19"/>
                <w:szCs w:val="19"/>
                <w:color w:val="auto"/>
              </w:rPr>
            </w:pPr>
          </w:p>
        </w:tc>
      </w:tr>
      <w:tr>
        <w:trPr>
          <w:trHeight w:val="216"/>
        </w:trPr>
        <w:tc>
          <w:tcPr>
            <w:tcW w:w="6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10,303,565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8,876,626</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315,204</w:t>
            </w:r>
          </w:p>
        </w:tc>
        <w:tc>
          <w:tcPr>
            <w:tcW w:w="100" w:type="dxa"/>
            <w:vAlign w:val="bottom"/>
          </w:tcPr>
          <w:p>
            <w:pPr>
              <w:spacing w:after="0"/>
              <w:rPr>
                <w:sz w:val="18"/>
                <w:szCs w:val="18"/>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5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758,833</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227,138</w:t>
            </w:r>
          </w:p>
        </w:tc>
        <w:tc>
          <w:tcPr>
            <w:tcW w:w="100" w:type="dxa"/>
            <w:vAlign w:val="bottom"/>
          </w:tcPr>
          <w:p>
            <w:pPr>
              <w:spacing w:after="0"/>
              <w:rPr>
                <w:sz w:val="18"/>
                <w:szCs w:val="18"/>
                <w:color w:val="auto"/>
              </w:rPr>
            </w:pPr>
          </w:p>
        </w:tc>
      </w:tr>
      <w:tr>
        <w:trPr>
          <w:trHeight w:val="236"/>
        </w:trPr>
        <w:tc>
          <w:tcPr>
            <w:tcW w:w="63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263,473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210,731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636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11,929,874</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10,388,532</w:t>
            </w:r>
          </w:p>
        </w:tc>
        <w:tc>
          <w:tcPr>
            <w:tcW w:w="100" w:type="dxa"/>
            <w:vAlign w:val="bottom"/>
            <w:tcBorders>
              <w:bottom w:val="single" w:sz="8" w:color="CCEEFF"/>
            </w:tcBorders>
          </w:tcPr>
          <w:p>
            <w:pPr>
              <w:spacing w:after="0"/>
              <w:rPr>
                <w:sz w:val="21"/>
                <w:szCs w:val="21"/>
                <w:color w:val="auto"/>
              </w:rPr>
            </w:pPr>
          </w:p>
        </w:tc>
      </w:tr>
      <w:tr>
        <w:trPr>
          <w:trHeight w:val="197"/>
        </w:trPr>
        <w:tc>
          <w:tcPr>
            <w:tcW w:w="940" w:type="dxa"/>
            <w:vAlign w:val="bottom"/>
            <w:shd w:val="clear" w:color="auto" w:fill="CCEEFF"/>
          </w:tcPr>
          <w:p>
            <w:pPr>
              <w:spacing w:after="0"/>
              <w:rPr>
                <w:sz w:val="17"/>
                <w:szCs w:val="17"/>
                <w:color w:val="auto"/>
              </w:rPr>
            </w:pPr>
          </w:p>
        </w:tc>
        <w:tc>
          <w:tcPr>
            <w:tcW w:w="5420" w:type="dxa"/>
            <w:vAlign w:val="bottom"/>
            <w:shd w:val="clear" w:color="auto" w:fill="CCEEFF"/>
          </w:tcPr>
          <w:p>
            <w:pPr>
              <w:jc w:val="center"/>
              <w:ind w:right="89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debt</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209,401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174,422</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3,106,667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3,431,683</w:t>
            </w:r>
          </w:p>
        </w:tc>
        <w:tc>
          <w:tcPr>
            <w:tcW w:w="10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591,020</w:t>
            </w:r>
          </w:p>
        </w:tc>
        <w:tc>
          <w:tcPr>
            <w:tcW w:w="100" w:type="dxa"/>
            <w:vAlign w:val="bottom"/>
            <w:shd w:val="clear" w:color="auto" w:fill="CCEEFF"/>
          </w:tcPr>
          <w:p>
            <w:pPr>
              <w:spacing w:after="0"/>
              <w:rPr>
                <w:sz w:val="18"/>
                <w:szCs w:val="18"/>
                <w:color w:val="auto"/>
              </w:rPr>
            </w:pPr>
          </w:p>
        </w:tc>
      </w:tr>
      <w:tr>
        <w:trPr>
          <w:trHeight w:val="223"/>
        </w:trPr>
        <w:tc>
          <w:tcPr>
            <w:tcW w:w="63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54,529</w:t>
            </w:r>
          </w:p>
        </w:tc>
        <w:tc>
          <w:tcPr>
            <w:tcW w:w="100" w:type="dxa"/>
            <w:vAlign w:val="bottom"/>
            <w:tcBorders>
              <w:bottom w:val="single" w:sz="8" w:color="CCEEFF"/>
            </w:tcBorders>
          </w:tcPr>
          <w:p>
            <w:pPr>
              <w:spacing w:after="0"/>
              <w:rPr>
                <w:sz w:val="19"/>
                <w:szCs w:val="19"/>
                <w:color w:val="auto"/>
              </w:rPr>
            </w:pPr>
          </w:p>
        </w:tc>
      </w:tr>
      <w:tr>
        <w:trPr>
          <w:trHeight w:val="216"/>
        </w:trPr>
        <w:tc>
          <w:tcPr>
            <w:tcW w:w="6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4,057,655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4,251,654</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2,979,823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1,437,400</w:t>
            </w:r>
          </w:p>
        </w:tc>
        <w:tc>
          <w:tcPr>
            <w:tcW w:w="10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199,418</w:t>
            </w:r>
          </w:p>
        </w:tc>
        <w:tc>
          <w:tcPr>
            <w:tcW w:w="100" w:type="dxa"/>
            <w:vAlign w:val="bottom"/>
            <w:shd w:val="clear" w:color="auto" w:fill="CCEEFF"/>
          </w:tcPr>
          <w:p>
            <w:pPr>
              <w:spacing w:after="0"/>
              <w:rPr>
                <w:sz w:val="18"/>
                <w:szCs w:val="18"/>
                <w:color w:val="auto"/>
              </w:rPr>
            </w:pPr>
          </w:p>
        </w:tc>
      </w:tr>
      <w:tr>
        <w:trPr>
          <w:trHeight w:val="223"/>
        </w:trPr>
        <w:tc>
          <w:tcPr>
            <w:tcW w:w="63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263,747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307,300</w:t>
            </w:r>
          </w:p>
        </w:tc>
        <w:tc>
          <w:tcPr>
            <w:tcW w:w="100" w:type="dxa"/>
            <w:vAlign w:val="bottom"/>
            <w:tcBorders>
              <w:bottom w:val="single" w:sz="8" w:color="CCEEFF"/>
            </w:tcBorders>
          </w:tcPr>
          <w:p>
            <w:pPr>
              <w:spacing w:after="0"/>
              <w:rPr>
                <w:sz w:val="19"/>
                <w:szCs w:val="19"/>
                <w:color w:val="auto"/>
              </w:rPr>
            </w:pPr>
          </w:p>
        </w:tc>
      </w:tr>
      <w:tr>
        <w:trPr>
          <w:trHeight w:val="236"/>
        </w:trPr>
        <w:tc>
          <w:tcPr>
            <w:tcW w:w="63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7,500,211</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6,195,772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636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6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$1.00 par; authorized 300,000,000 shares; issued 90,735,161 shares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95,701,630 shares,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90,735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95,702</w:t>
            </w:r>
          </w:p>
        </w:tc>
        <w:tc>
          <w:tcPr>
            <w:tcW w:w="100" w:type="dxa"/>
            <w:vAlign w:val="bottom"/>
          </w:tcPr>
          <w:p>
            <w:pPr>
              <w:spacing w:after="0"/>
              <w:rPr>
                <w:sz w:val="20"/>
                <w:szCs w:val="20"/>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1,656,907</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3,088,989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2,921,399</w:t>
            </w:r>
          </w:p>
        </w:tc>
        <w:tc>
          <w:tcPr>
            <w:tcW w:w="100" w:type="dxa"/>
            <w:vAlign w:val="bottom"/>
          </w:tcPr>
          <w:p>
            <w:pPr>
              <w:spacing w:after="0"/>
              <w:rPr>
                <w:sz w:val="18"/>
                <w:szCs w:val="18"/>
                <w:color w:val="auto"/>
              </w:rPr>
            </w:pPr>
          </w:p>
        </w:tc>
      </w:tr>
      <w:tr>
        <w:trPr>
          <w:trHeight w:val="236"/>
        </w:trPr>
        <w:tc>
          <w:tcPr>
            <w:tcW w:w="6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(429,460)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(481,248)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636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4,429,663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4,192,760</w:t>
            </w:r>
          </w:p>
        </w:tc>
        <w:tc>
          <w:tcPr>
            <w:tcW w:w="100" w:type="dxa"/>
            <w:vAlign w:val="bottom"/>
            <w:tcBorders>
              <w:bottom w:val="single" w:sz="8" w:color="CCEEFF"/>
            </w:tcBorders>
          </w:tcPr>
          <w:p>
            <w:pPr>
              <w:spacing w:after="0"/>
              <w:rPr>
                <w:sz w:val="18"/>
                <w:szCs w:val="18"/>
                <w:color w:val="auto"/>
              </w:rPr>
            </w:pPr>
          </w:p>
        </w:tc>
      </w:tr>
      <w:tr>
        <w:trPr>
          <w:trHeight w:val="216"/>
        </w:trPr>
        <w:tc>
          <w:tcPr>
            <w:tcW w:w="63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11,929,874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10,388,532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200" w:type="dxa"/>
            <w:vAlign w:val="bottom"/>
          </w:tcPr>
          <w:p>
            <w:pPr>
              <w:spacing w:after="0"/>
              <w:rPr>
                <w:sz w:val="16"/>
                <w:szCs w:val="16"/>
                <w:color w:val="auto"/>
              </w:rPr>
            </w:pPr>
          </w:p>
        </w:tc>
        <w:tc>
          <w:tcPr>
            <w:tcW w:w="10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January 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00" w:type="dxa"/>
            <w:vAlign w:val="bottom"/>
            <w:gridSpan w:val="8"/>
          </w:tcPr>
          <w:p>
            <w:pPr>
              <w:ind w:left="760"/>
              <w:spacing w:after="0" w:line="202" w:lineRule="exact"/>
              <w:rPr>
                <w:sz w:val="20"/>
                <w:szCs w:val="20"/>
                <w:color w:val="auto"/>
              </w:rPr>
            </w:pPr>
            <w:r>
              <w:rPr>
                <w:rFonts w:ascii="Times New Roman" w:cs="Times New Roman" w:eastAsia="Times New Roman" w:hAnsi="Times New Roman"/>
                <w:sz w:val="18"/>
                <w:szCs w:val="18"/>
                <w:b w:val="1"/>
                <w:bCs w:val="1"/>
                <w:color w:val="auto"/>
                <w:w w:val="96"/>
              </w:rPr>
              <w:t>(Thousands, except per share amounts)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5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6,717,521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5,865,217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13,467,654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11,449,912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5,933,421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5,152,182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11,915,381</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10,077,185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962,764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987,540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298,973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211,672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589,509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379,915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financing expenses,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legal settlement (Note 7)</w:t>
            </w:r>
          </w:p>
        </w:tc>
        <w:tc>
          <w:tcPr>
            <w:tcW w:w="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61,705</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61,705</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303,134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191,779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548,896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336,768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59,248</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120,749</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74,629</w:t>
            </w:r>
          </w:p>
        </w:tc>
        <w:tc>
          <w:tcPr>
            <w:tcW w:w="0" w:type="dxa"/>
            <w:vAlign w:val="bottom"/>
          </w:tcPr>
          <w:p>
            <w:pPr>
              <w:spacing w:after="0"/>
              <w:rPr>
                <w:sz w:val="1"/>
                <w:szCs w:val="1"/>
                <w:color w:val="auto"/>
              </w:rPr>
            </w:pPr>
          </w:p>
        </w:tc>
      </w:tr>
      <w:tr>
        <w:trPr>
          <w:trHeight w:val="243"/>
        </w:trPr>
        <w:tc>
          <w:tcPr>
            <w:tcW w:w="36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21"/>
                <w:szCs w:val="21"/>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243,886</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150,821</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428,147</w:t>
            </w:r>
          </w:p>
        </w:tc>
        <w:tc>
          <w:tcPr>
            <w:tcW w:w="1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262,139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2.63</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4.55</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earnings per share: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92,755</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100,286</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94,195</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100,701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dividends paid per common share</w:t>
            </w:r>
          </w:p>
        </w:tc>
        <w:tc>
          <w:tcPr>
            <w:tcW w:w="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0.24</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3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3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220" w:type="dxa"/>
            <w:vAlign w:val="bottom"/>
          </w:tcPr>
          <w:p>
            <w:pPr>
              <w:spacing w:after="0"/>
              <w:rPr>
                <w:sz w:val="16"/>
                <w:szCs w:val="16"/>
                <w:color w:val="auto"/>
              </w:rPr>
            </w:pPr>
          </w:p>
        </w:tc>
        <w:tc>
          <w:tcPr>
            <w:tcW w:w="8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220" w:type="dxa"/>
            <w:vAlign w:val="bottom"/>
          </w:tcPr>
          <w:p>
            <w:pPr>
              <w:spacing w:after="0"/>
              <w:rPr>
                <w:sz w:val="16"/>
                <w:szCs w:val="16"/>
                <w:color w:val="auto"/>
              </w:rPr>
            </w:pPr>
          </w:p>
        </w:tc>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January 1,</w:t>
            </w:r>
          </w:p>
        </w:tc>
      </w:tr>
      <w:tr>
        <w:trPr>
          <w:trHeight w:val="245"/>
        </w:trPr>
        <w:tc>
          <w:tcPr>
            <w:tcW w:w="3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3"/>
        </w:trPr>
        <w:tc>
          <w:tcPr>
            <w:tcW w:w="3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ind w:left="32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(Thousands)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243,886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150,821</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428,147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262,139</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(78,018)</w:t>
            </w:r>
          </w:p>
        </w:tc>
      </w:tr>
      <w:tr>
        <w:trPr>
          <w:trHeight w:val="223"/>
        </w:trPr>
        <w:tc>
          <w:tcPr>
            <w:tcW w:w="3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Pension adjustments, net</w:t>
            </w: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w:t>
            </w:r>
          </w:p>
        </w:tc>
      </w:tr>
      <w:tr>
        <w:trPr>
          <w:trHeight w:val="216"/>
        </w:trPr>
        <w:tc>
          <w:tcPr>
            <w:tcW w:w="3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487,471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105,849</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479,935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192,143</w:t>
            </w:r>
          </w:p>
        </w:tc>
      </w:tr>
      <w:tr>
        <w:trPr>
          <w:trHeight w:val="20"/>
        </w:trPr>
        <w:tc>
          <w:tcPr>
            <w:tcW w:w="3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left="1500" w:right="1760"/>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SHAREHOLDERS’ EQUITY (Unaudited)</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7"/>
                <w:szCs w:val="17"/>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Shareholders’</w:t>
            </w:r>
          </w:p>
        </w:tc>
      </w:tr>
      <w:tr>
        <w:trPr>
          <w:trHeight w:val="235"/>
        </w:trPr>
        <w:tc>
          <w:tcPr>
            <w:tcW w:w="264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189"/>
        </w:trPr>
        <w:tc>
          <w:tcPr>
            <w:tcW w:w="26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b w:val="1"/>
                <w:bCs w:val="1"/>
                <w:color w:val="auto"/>
                <w:w w:val="85"/>
              </w:rPr>
              <w:t>(Thousands)</w:t>
            </w: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July 2, 2022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95,702</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$ 95,702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$ 1,656,907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$ 2,921,399</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(481,248)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4,192,760</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184,261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184,261</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Translation adjustments and other</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(201,663)</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(201,663)</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liability adjustments, net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9,866</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(26,998)</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(26,998)</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(3,445)</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(3,445)</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(144,457)</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(147,902)</w:t>
            </w:r>
          </w:p>
        </w:tc>
      </w:tr>
      <w:tr>
        <w:trPr>
          <w:trHeight w:val="22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8,939</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9,011</w:t>
            </w:r>
          </w:p>
        </w:tc>
      </w:tr>
      <w:tr>
        <w:trPr>
          <w:trHeight w:val="189"/>
        </w:trPr>
        <w:tc>
          <w:tcPr>
            <w:tcW w:w="264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Balance, October 1, 2022</w:t>
            </w:r>
          </w:p>
        </w:tc>
        <w:tc>
          <w:tcPr>
            <w:tcW w:w="7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92,329</w:t>
            </w:r>
          </w:p>
        </w:tc>
        <w:tc>
          <w:tcPr>
            <w:tcW w:w="18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92,329</w:t>
            </w:r>
          </w:p>
        </w:tc>
        <w:tc>
          <w:tcPr>
            <w:tcW w:w="18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1,665,846</w:t>
            </w: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2,934,205</w:t>
            </w: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(673,045)</w:t>
            </w: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4,019,335</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243,886</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243,886</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Translation adjustments and other</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243,252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243,252</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Pension liability adjustments, net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(26,307)</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(26,307)</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(1,629)</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(1,629)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(62,795)</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(64,424)</w:t>
            </w: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13,553</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13,588</w:t>
            </w:r>
          </w:p>
        </w:tc>
      </w:tr>
      <w:tr>
        <w:trPr>
          <w:trHeight w:val="203"/>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31,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90,735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$ 90,735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$ 1,679,399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$ 3,088,989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(429,460)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4,429,663</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87"/>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7"/>
                <w:szCs w:val="17"/>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Shareholders’</w:t>
            </w:r>
          </w:p>
        </w:tc>
      </w:tr>
      <w:tr>
        <w:trPr>
          <w:trHeight w:val="235"/>
        </w:trPr>
        <w:tc>
          <w:tcPr>
            <w:tcW w:w="264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189"/>
        </w:trPr>
        <w:tc>
          <w:tcPr>
            <w:tcW w:w="26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b w:val="1"/>
                <w:bCs w:val="1"/>
                <w:color w:val="auto"/>
                <w:w w:val="85"/>
              </w:rPr>
              <w:t>(Thousands)</w:t>
            </w: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July 3, 2021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99,601</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$ 99,601</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$ 1,622,160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$ 2,516,170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(153,747)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4,084,184</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111,318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111,318</w:t>
            </w:r>
          </w:p>
        </w:tc>
      </w:tr>
      <w:tr>
        <w:trPr>
          <w:trHeight w:val="202"/>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Translation adjustments and other</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(29,036)</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(29,036)</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liability adjustments, net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4,012</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(23,893)</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(23,893)</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(275)</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(275)</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(10,228)</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(10,503)</w:t>
            </w:r>
          </w:p>
        </w:tc>
      </w:tr>
      <w:tr>
        <w:trPr>
          <w:trHeight w:val="22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9,507</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9,517</w:t>
            </w:r>
          </w:p>
        </w:tc>
      </w:tr>
      <w:tr>
        <w:trPr>
          <w:trHeight w:val="190"/>
        </w:trPr>
        <w:tc>
          <w:tcPr>
            <w:tcW w:w="264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Balance, October 2, 2021</w:t>
            </w:r>
          </w:p>
        </w:tc>
        <w:tc>
          <w:tcPr>
            <w:tcW w:w="7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99,336</w:t>
            </w:r>
          </w:p>
        </w:tc>
        <w:tc>
          <w:tcPr>
            <w:tcW w:w="18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99,336</w:t>
            </w:r>
          </w:p>
        </w:tc>
        <w:tc>
          <w:tcPr>
            <w:tcW w:w="18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1,631,667</w:t>
            </w: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2,593,367</w:t>
            </w: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(178,771)</w:t>
            </w: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4,145,599</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150,821</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150,821</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Translation adjustments and other</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(48,982)</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(48,982)</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Pension liability adjustments, net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4,010</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(23,749)</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(23,749)</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(921)</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(921)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(34,421)</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(35,342)</w:t>
            </w: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10,854</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10,869</w:t>
            </w:r>
          </w:p>
        </w:tc>
      </w:tr>
      <w:tr>
        <w:trPr>
          <w:trHeight w:val="203"/>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January 1,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98,430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$ 98,430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$ 1,642,521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$ 2,686,018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(223,743)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4,203,226</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7"/>
              </w:rPr>
              <w:t>January 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4"/>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428,147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Non-cash and other reconciling items: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(net of effects from businesses acquired and divested):</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Receivables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328,574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expenses and other, net</w:t>
            </w: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420"/>
              <w:spacing w:after="0" w:line="203" w:lineRule="exact"/>
              <w:rPr>
                <w:sz w:val="20"/>
                <w:szCs w:val="20"/>
                <w:color w:val="auto"/>
              </w:rPr>
            </w:pPr>
            <w:r>
              <w:rPr>
                <w:rFonts w:ascii="Times New Roman" w:cs="Times New Roman" w:eastAsia="Times New Roman" w:hAnsi="Times New Roman"/>
                <w:sz w:val="18"/>
                <w:szCs w:val="18"/>
                <w:color w:val="auto"/>
              </w:rPr>
              <w:t>Net cash flows used for operating activities</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(966,501)</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(263,209)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Borrowings under accounts receivable securitization,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Borrowings under senior unsecured credit facility,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Borrowings (repayments) under bank credit facilities and other debt,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1,256,523</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420"/>
              <w:spacing w:after="0" w:line="203" w:lineRule="exact"/>
              <w:rPr>
                <w:sz w:val="20"/>
                <w:szCs w:val="20"/>
                <w:color w:val="auto"/>
              </w:rPr>
            </w:pPr>
            <w:r>
              <w:rPr>
                <w:rFonts w:ascii="Times New Roman" w:cs="Times New Roman" w:eastAsia="Times New Roman" w:hAnsi="Times New Roman"/>
                <w:sz w:val="18"/>
                <w:szCs w:val="18"/>
                <w:color w:val="auto"/>
              </w:rPr>
              <w:t>Net cash flows (used) provided by investing activities</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(127,715)</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increase (decrease)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at beginning of period</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153,693</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at end of period</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324,778</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jc w:val="center"/>
              <w:ind w:left="2430"/>
              <w:spacing w:after="0"/>
              <w:rPr>
                <w:sz w:val="20"/>
                <w:szCs w:val="20"/>
                <w:color w:val="auto"/>
              </w:rPr>
            </w:pPr>
            <w:r>
              <w:rPr>
                <w:rFonts w:ascii="Times New Roman" w:cs="Times New Roman" w:eastAsia="Times New Roman" w:hAnsi="Times New Roman"/>
                <w:sz w:val="18"/>
                <w:szCs w:val="18"/>
                <w:color w:val="auto"/>
                <w:w w:val="99"/>
              </w:rPr>
              <w:t>See notes to consolidated financial statements.</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3"/>
        </w:trPr>
        <w:tc>
          <w:tcPr>
            <w:tcW w:w="6400" w:type="dxa"/>
            <w:vAlign w:val="bottom"/>
            <w:gridSpan w:val="2"/>
          </w:tcPr>
          <w:p>
            <w:pPr>
              <w:jc w:val="right"/>
              <w:ind w:right="181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left="40" w:right="59"/>
        <w:spacing w:after="0" w:line="315" w:lineRule="auto"/>
        <w:rPr>
          <w:sz w:val="20"/>
          <w:szCs w:val="20"/>
          <w:color w:val="auto"/>
        </w:rPr>
      </w:pPr>
      <w:r>
        <w:rPr>
          <w:rFonts w:ascii="Times New Roman" w:cs="Times New Roman" w:eastAsia="Times New Roman" w:hAnsi="Times New Roman"/>
          <w:sz w:val="18"/>
          <w:szCs w:val="18"/>
          <w:b w:val="1"/>
          <w:bCs w:val="1"/>
          <w:color w:val="auto"/>
        </w:rPr>
        <w:t>AVNET, INC. AND SUBSIDIARIES NOTES TO CONSOLIDATED FINANCIAL STATEMENTS (Unaudited)</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 and new accounting pronouncements</w:t>
      </w:r>
    </w:p>
    <w:p>
      <w:pPr>
        <w:spacing w:after="0" w:line="229" w:lineRule="exact"/>
        <w:rPr>
          <w:sz w:val="20"/>
          <w:szCs w:val="20"/>
          <w:color w:val="auto"/>
        </w:rPr>
      </w:pPr>
    </w:p>
    <w:p>
      <w:pPr>
        <w:ind w:left="60" w:right="219" w:firstLine="427"/>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 Certain reclassifications have been made to fiscal 2022 balances to correspond to the fiscal 2023 consolidated financial statement presentation.</w:t>
      </w:r>
    </w:p>
    <w:p>
      <w:pPr>
        <w:spacing w:after="0" w:line="183" w:lineRule="exact"/>
        <w:rPr>
          <w:sz w:val="20"/>
          <w:szCs w:val="20"/>
          <w:color w:val="auto"/>
        </w:rPr>
      </w:pPr>
    </w:p>
    <w:p>
      <w:pPr>
        <w:ind w:left="60" w:right="299" w:firstLine="427"/>
        <w:spacing w:after="0" w:line="266" w:lineRule="auto"/>
        <w:rPr>
          <w:sz w:val="20"/>
          <w:szCs w:val="20"/>
          <w:color w:val="auto"/>
        </w:rPr>
      </w:pPr>
      <w:r>
        <w:rPr>
          <w:rFonts w:ascii="Times New Roman" w:cs="Times New Roman" w:eastAsia="Times New Roman" w:hAnsi="Times New Roman"/>
          <w:sz w:val="18"/>
          <w:szCs w:val="18"/>
          <w:color w:val="auto"/>
        </w:rPr>
        <w:t>Preparing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76" w:lineRule="exact"/>
        <w:rPr>
          <w:sz w:val="20"/>
          <w:szCs w:val="20"/>
          <w:color w:val="auto"/>
        </w:rPr>
      </w:pPr>
    </w:p>
    <w:p>
      <w:pPr>
        <w:ind w:left="60" w:right="579" w:firstLine="427"/>
        <w:spacing w:after="0" w:line="289" w:lineRule="auto"/>
        <w:rPr>
          <w:sz w:val="20"/>
          <w:szCs w:val="20"/>
          <w:color w:val="auto"/>
        </w:rPr>
      </w:pPr>
      <w:r>
        <w:rPr>
          <w:rFonts w:ascii="Times New Roman" w:cs="Times New Roman" w:eastAsia="Times New Roman" w:hAnsi="Times New Roman"/>
          <w:sz w:val="17"/>
          <w:szCs w:val="17"/>
          <w:color w:val="auto"/>
        </w:rPr>
        <w:t>Interim results of operations do not necessarily indicate the results to be expected for the full fiscal year. The information included in this Form 10-Q should be read in conjunction with the consolidated financial statements and accompanying notes included in the Company’s Annual Report on Form 10-K for the fiscal year ended July 2, 2022.</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ind w:left="60" w:right="199" w:firstLine="427"/>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and Contract Liabilities from Contracts with Customers </w:t>
      </w:r>
      <w:r>
        <w:rPr>
          <w:rFonts w:ascii="Times New Roman" w:cs="Times New Roman" w:eastAsia="Times New Roman" w:hAnsi="Times New Roman"/>
          <w:sz w:val="18"/>
          <w:szCs w:val="18"/>
          <w:color w:val="auto"/>
        </w:rPr>
        <w:t>(“ASU No. 2021-08”), which requires contract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liabilities acquired in a business combination to be recognized and measured by the acquirer on the acquisition date in accordance with Topic 606 as if it had originated the contracts. The Company’s early adoption of ASU 2021-08 at the beginning of fiscal year 2023 did not have an impact on the Company’s Consolidated Financial Statements as the Company did not have any business combinations in the first six months of fiscal 2023.</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5" w:lineRule="exact"/>
        <w:rPr>
          <w:sz w:val="20"/>
          <w:szCs w:val="20"/>
          <w:color w:val="auto"/>
        </w:rPr>
      </w:pPr>
    </w:p>
    <w:p>
      <w:pPr>
        <w:ind w:left="60" w:right="119" w:firstLine="427"/>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2022, the FASB issued ASU No. 2022-04, </w:t>
      </w:r>
      <w:r>
        <w:rPr>
          <w:rFonts w:ascii="Times New Roman" w:cs="Times New Roman" w:eastAsia="Times New Roman" w:hAnsi="Times New Roman"/>
          <w:sz w:val="18"/>
          <w:szCs w:val="18"/>
          <w:i w:val="1"/>
          <w:iCs w:val="1"/>
          <w:color w:val="auto"/>
        </w:rPr>
        <w:t>Liabilities (subtopic 405-50): Supplier Finance Programs</w:t>
      </w:r>
      <w:r>
        <w:rPr>
          <w:rFonts w:ascii="Times New Roman" w:cs="Times New Roman" w:eastAsia="Times New Roman" w:hAnsi="Times New Roman"/>
          <w:sz w:val="18"/>
          <w:szCs w:val="18"/>
          <w:color w:val="auto"/>
        </w:rPr>
        <w:t xml:space="preserve"> (“ASU No. 2022-04”) to enhance the transparency of certain supplier finance programs to allow financial statement users to understand the effect on working capital, liquidity and cash flows. The new pronouncement requires disclosure of key terms of the programs, including a description of the payment terms, payment timing and assets pledged as security or other forms of guarantees provided to the finance provider or intermediary. Other requirements include the disclosure of the amount that remains unpaid as of the end of the reporting period, a description of where these obligations are presented in the balance sheet and a rollforward of the obligations during the annual period. The guidance is effective for the Company in the first quarter of fiscal 2024, except for the rollforward, which is effective in fiscal 2025. Early adoption is permitted. The Company is currently evaluating any impact from adoption of this pronouncement.</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Receivables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receivables and allowance for credit losses were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July 2,</w:t>
            </w:r>
          </w:p>
        </w:tc>
      </w:tr>
      <w:tr>
        <w:trPr>
          <w:trHeight w:val="245"/>
        </w:trPr>
        <w:tc>
          <w:tcPr>
            <w:tcW w:w="330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r>
      <w:tr>
        <w:trPr>
          <w:trHeight w:val="203"/>
        </w:trPr>
        <w:tc>
          <w:tcPr>
            <w:tcW w:w="33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4"/>
          </w:tcPr>
          <w:p>
            <w:pPr>
              <w:jc w:val="right"/>
              <w:ind w:right="7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3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4,895,907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4,414,904</w:t>
            </w:r>
          </w:p>
        </w:tc>
        <w:tc>
          <w:tcPr>
            <w:tcW w:w="20" w:type="dxa"/>
            <w:vAlign w:val="bottom"/>
          </w:tcPr>
          <w:p>
            <w:pPr>
              <w:spacing w:after="0"/>
              <w:rPr>
                <w:sz w:val="18"/>
                <w:szCs w:val="18"/>
                <w:color w:val="auto"/>
              </w:rPr>
            </w:pPr>
          </w:p>
        </w:tc>
      </w:tr>
      <w:tr>
        <w:trPr>
          <w:trHeight w:val="234"/>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(106,505)</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(113,902)</w:t>
            </w:r>
          </w:p>
        </w:tc>
        <w:tc>
          <w:tcPr>
            <w:tcW w:w="20" w:type="dxa"/>
            <w:vAlign w:val="bottom"/>
          </w:tcPr>
          <w:p>
            <w:pPr>
              <w:spacing w:after="0"/>
              <w:rPr>
                <w:sz w:val="20"/>
                <w:szCs w:val="20"/>
                <w:color w:val="auto"/>
              </w:rPr>
            </w:pPr>
          </w:p>
        </w:tc>
      </w:tr>
      <w:tr>
        <w:trPr>
          <w:trHeight w:val="846"/>
        </w:trPr>
        <w:tc>
          <w:tcPr>
            <w:tcW w:w="3300" w:type="dxa"/>
            <w:vAlign w:val="bottom"/>
          </w:tcPr>
          <w:p>
            <w:pPr>
              <w:spacing w:after="0"/>
              <w:rPr>
                <w:sz w:val="24"/>
                <w:szCs w:val="24"/>
                <w:color w:val="auto"/>
              </w:rPr>
            </w:pPr>
          </w:p>
        </w:tc>
        <w:tc>
          <w:tcPr>
            <w:tcW w:w="300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79" w:firstLine="427"/>
        <w:spacing w:after="0" w:line="282" w:lineRule="auto"/>
        <w:rPr>
          <w:sz w:val="20"/>
          <w:szCs w:val="20"/>
          <w:color w:val="auto"/>
        </w:rPr>
      </w:pPr>
      <w:r>
        <w:rPr>
          <w:rFonts w:ascii="Times New Roman" w:cs="Times New Roman" w:eastAsia="Times New Roman" w:hAnsi="Times New Roman"/>
          <w:sz w:val="18"/>
          <w:szCs w:val="18"/>
          <w:color w:val="auto"/>
        </w:rPr>
        <w:t>The Company had the following activity in the allowance for credit losses during the first six months of fiscal 2023 and fiscal 2022:</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January 1,</w:t>
            </w:r>
          </w:p>
        </w:tc>
      </w:tr>
      <w:tr>
        <w:trPr>
          <w:trHeight w:val="245"/>
        </w:trPr>
        <w:tc>
          <w:tcPr>
            <w:tcW w:w="6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r>
      <w:tr>
        <w:trPr>
          <w:trHeight w:val="203"/>
        </w:trPr>
        <w:tc>
          <w:tcPr>
            <w:tcW w:w="6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4"/>
          </w:tcPr>
          <w:p>
            <w:pPr>
              <w:jc w:val="right"/>
              <w:ind w:right="7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88,160</w:t>
            </w:r>
          </w:p>
        </w:tc>
        <w:tc>
          <w:tcPr>
            <w:tcW w:w="20" w:type="dxa"/>
            <w:vAlign w:val="bottom"/>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Provisions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20" w:type="dxa"/>
            <w:vAlign w:val="bottom"/>
          </w:tcPr>
          <w:p>
            <w:pPr>
              <w:spacing w:after="0"/>
              <w:rPr>
                <w:sz w:val="18"/>
                <w:szCs w:val="18"/>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Recoveries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8"/>
                <w:szCs w:val="18"/>
                <w:color w:val="auto"/>
              </w:rPr>
            </w:pP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Write Offs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(12,476)</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20" w:type="dxa"/>
            <w:vAlign w:val="bottom"/>
          </w:tcPr>
          <w:p>
            <w:pPr>
              <w:spacing w:after="0"/>
              <w:rPr>
                <w:sz w:val="18"/>
                <w:szCs w:val="18"/>
                <w:color w:val="auto"/>
              </w:rPr>
            </w:pPr>
          </w:p>
        </w:tc>
      </w:tr>
      <w:tr>
        <w:trPr>
          <w:trHeight w:val="236"/>
        </w:trPr>
        <w:tc>
          <w:tcPr>
            <w:tcW w:w="6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Effect and Other</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 w:type="dxa"/>
            <w:vAlign w:val="bottom"/>
          </w:tcPr>
          <w:p>
            <w:pPr>
              <w:spacing w:after="0"/>
              <w:rPr>
                <w:sz w:val="20"/>
                <w:szCs w:val="20"/>
                <w:color w:val="auto"/>
              </w:rPr>
            </w:pPr>
          </w:p>
        </w:tc>
      </w:tr>
      <w:tr>
        <w:trPr>
          <w:trHeight w:val="203"/>
        </w:trPr>
        <w:tc>
          <w:tcPr>
            <w:tcW w:w="63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at end of the period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106,505</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89,574</w:t>
            </w:r>
          </w:p>
        </w:tc>
        <w:tc>
          <w:tcPr>
            <w:tcW w:w="20" w:type="dxa"/>
            <w:vAlign w:val="bottom"/>
          </w:tcPr>
          <w:p>
            <w:pPr>
              <w:spacing w:after="0"/>
              <w:rPr>
                <w:sz w:val="17"/>
                <w:szCs w:val="17"/>
                <w:color w:val="auto"/>
              </w:rPr>
            </w:pPr>
          </w:p>
        </w:tc>
      </w:tr>
      <w:tr>
        <w:trPr>
          <w:trHeight w:val="20"/>
        </w:trPr>
        <w:tc>
          <w:tcPr>
            <w:tcW w:w="6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change in goodwill by reportable segment for the six months ended December 31,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2022.</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Farnell</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July 2, 2022 </w:t>
            </w:r>
            <w:r>
              <w:rPr>
                <w:rFonts w:ascii="Times New Roman" w:cs="Times New Roman" w:eastAsia="Times New Roman" w:hAnsi="Times New Roman"/>
                <w:sz w:val="25"/>
                <w:szCs w:val="25"/>
                <w:color w:val="auto"/>
                <w:vertAlign w:val="superscript"/>
              </w:rPr>
              <w:t>(1)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291,526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467,307</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758,833</w:t>
            </w: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w:t>
            </w: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December 31, 2022 </w:t>
            </w:r>
            <w:r>
              <w:rPr>
                <w:rFonts w:ascii="Times New Roman" w:cs="Times New Roman" w:eastAsia="Times New Roman" w:hAnsi="Times New Roman"/>
                <w:sz w:val="25"/>
                <w:szCs w:val="25"/>
                <w:color w:val="auto"/>
                <w:vertAlign w:val="superscript"/>
              </w:rPr>
              <w:t>(1)</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292,095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462,935</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755,030</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67" w:lineRule="exact"/>
        <w:rPr>
          <w:sz w:val="20"/>
          <w:szCs w:val="20"/>
          <w:color w:val="auto"/>
        </w:rPr>
      </w:pPr>
    </w:p>
    <w:p>
      <w:pPr>
        <w:ind w:left="300" w:hanging="250"/>
        <w:spacing w:after="0"/>
        <w:tabs>
          <w:tab w:leader="none" w:pos="3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6"/>
          <w:szCs w:val="16"/>
          <w:color w:val="auto"/>
        </w:rPr>
        <w:t>Includes accumulated impairments of $1,482,677 from prior fiscal years.</w:t>
      </w:r>
    </w:p>
    <w:p>
      <w:pPr>
        <w:spacing w:after="0" w:line="120" w:lineRule="exact"/>
        <w:rPr>
          <w:rFonts w:ascii="Times New Roman" w:cs="Times New Roman" w:eastAsia="Times New Roman" w:hAnsi="Times New Roman"/>
          <w:sz w:val="12"/>
          <w:szCs w:val="12"/>
          <w:color w:val="auto"/>
        </w:rPr>
      </w:pPr>
    </w:p>
    <w:p>
      <w:pPr>
        <w:ind w:left="4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left="60" w:right="179" w:firstLine="427"/>
        <w:spacing w:after="0" w:line="261" w:lineRule="auto"/>
        <w:rPr>
          <w:sz w:val="20"/>
          <w:szCs w:val="20"/>
          <w:color w:val="auto"/>
        </w:rPr>
      </w:pPr>
      <w:r>
        <w:rPr>
          <w:rFonts w:ascii="Times New Roman" w:cs="Times New Roman" w:eastAsia="Times New Roman" w:hAnsi="Times New Roman"/>
          <w:sz w:val="18"/>
          <w:szCs w:val="18"/>
          <w:color w:val="auto"/>
        </w:rPr>
        <w:t>The net book value of intangible assets were $8.2 million as of December 31, 2022, which is not material to the consolidated financial statements. Intangible asset amortization expense was $1.5 million and $3.8 million for the second quarters of fiscal 2023 and 2022, respectively, and $4.3 million and $9.0 million for the first six months of fiscal 2023 and 2022, respectively.</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Short-term debt consists of the following (carrying balances in thousands):</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July 2,</w:t>
            </w:r>
          </w:p>
        </w:tc>
        <w:tc>
          <w:tcPr>
            <w:tcW w:w="14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July 2,</w:t>
            </w:r>
          </w:p>
        </w:tc>
      </w:tr>
      <w:tr>
        <w:trPr>
          <w:trHeight w:val="245"/>
        </w:trPr>
        <w:tc>
          <w:tcPr>
            <w:tcW w:w="5000" w:type="dxa"/>
            <w:vAlign w:val="bottom"/>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1"/>
                <w:szCs w:val="21"/>
                <w:color w:val="auto"/>
              </w:rPr>
            </w:pPr>
          </w:p>
        </w:tc>
      </w:tr>
      <w:tr>
        <w:trPr>
          <w:trHeight w:val="210"/>
        </w:trPr>
        <w:tc>
          <w:tcPr>
            <w:tcW w:w="50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gridSpan w:val="3"/>
          </w:tcPr>
          <w:p>
            <w:pPr>
              <w:ind w:left="380"/>
              <w:spacing w:after="0" w:line="202" w:lineRule="exact"/>
              <w:rPr>
                <w:sz w:val="20"/>
                <w:szCs w:val="20"/>
                <w:color w:val="auto"/>
              </w:rPr>
            </w:pPr>
            <w:r>
              <w:rPr>
                <w:rFonts w:ascii="Times New Roman" w:cs="Times New Roman" w:eastAsia="Times New Roman" w:hAnsi="Times New Roman"/>
                <w:sz w:val="18"/>
                <w:szCs w:val="18"/>
                <w:b w:val="1"/>
                <w:bCs w:val="1"/>
                <w:color w:val="auto"/>
              </w:rPr>
              <w:t>Interest Rate</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0" w:type="dxa"/>
            <w:vAlign w:val="bottom"/>
            <w:tcBorders>
              <w:bottom w:val="single" w:sz="8" w:color="auto"/>
            </w:tcBorders>
            <w:gridSpan w:val="2"/>
          </w:tcPr>
          <w:p>
            <w:pPr>
              <w:spacing w:after="0"/>
              <w:rPr>
                <w:sz w:val="18"/>
                <w:szCs w:val="18"/>
                <w:color w:val="auto"/>
              </w:rPr>
            </w:pPr>
          </w:p>
        </w:tc>
        <w:tc>
          <w:tcPr>
            <w:tcW w:w="78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Borders>
              <w:bottom w:val="single" w:sz="8" w:color="CCEEFF"/>
            </w:tcBorders>
          </w:tcPr>
          <w:p>
            <w:pPr>
              <w:spacing w:after="0"/>
              <w:rPr>
                <w:sz w:val="18"/>
                <w:szCs w:val="18"/>
                <w:color w:val="auto"/>
              </w:rPr>
            </w:pPr>
          </w:p>
        </w:tc>
      </w:tr>
      <w:tr>
        <w:trPr>
          <w:trHeight w:val="236"/>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short-term debt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2.09 %</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209,401</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$ 174,422</w:t>
            </w:r>
          </w:p>
        </w:tc>
        <w:tc>
          <w:tcPr>
            <w:tcW w:w="60" w:type="dxa"/>
            <w:vAlign w:val="bottom"/>
            <w:shd w:val="clear" w:color="auto" w:fill="CCEEFF"/>
          </w:tcPr>
          <w:p>
            <w:pPr>
              <w:spacing w:after="0"/>
              <w:rPr>
                <w:sz w:val="20"/>
                <w:szCs w:val="20"/>
                <w:color w:val="auto"/>
              </w:rPr>
            </w:pPr>
          </w:p>
        </w:tc>
      </w:tr>
      <w:tr>
        <w:trPr>
          <w:trHeight w:val="203"/>
        </w:trPr>
        <w:tc>
          <w:tcPr>
            <w:tcW w:w="50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Short-term debt</w:t>
            </w:r>
          </w:p>
        </w:tc>
        <w:tc>
          <w:tcPr>
            <w:tcW w:w="10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209,401</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$ 174,422</w:t>
            </w:r>
          </w:p>
        </w:tc>
        <w:tc>
          <w:tcPr>
            <w:tcW w:w="60" w:type="dxa"/>
            <w:vAlign w:val="bottom"/>
            <w:tcBorders>
              <w:top w:val="single" w:sz="8" w:color="CCEEFF"/>
            </w:tcBorders>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59" w:firstLine="432"/>
        <w:spacing w:after="0" w:line="266" w:lineRule="auto"/>
        <w:rPr>
          <w:sz w:val="20"/>
          <w:szCs w:val="20"/>
          <w:color w:val="auto"/>
        </w:rPr>
      </w:pPr>
      <w:r>
        <w:rPr>
          <w:rFonts w:ascii="Times New Roman" w:cs="Times New Roman" w:eastAsia="Times New Roman" w:hAnsi="Times New Roman"/>
          <w:sz w:val="18"/>
          <w:szCs w:val="18"/>
          <w:color w:val="auto"/>
        </w:rPr>
        <w:t>Other short-term debt consists primarily of various committed and uncommitted lines of credit and other forms of bank debt with financial institutions utilized primarily to support the ongoing working capital requirements of the Company, including its foreign operations.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consists of the following (carrying balances in thousands):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2,</w:t>
            </w: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July 2,</w:t>
            </w:r>
          </w:p>
        </w:tc>
      </w:tr>
      <w:tr>
        <w:trPr>
          <w:trHeight w:val="245"/>
        </w:trPr>
        <w:tc>
          <w:tcPr>
            <w:tcW w:w="4920" w:type="dxa"/>
            <w:vAlign w:val="bottom"/>
          </w:tcPr>
          <w:p>
            <w:pPr>
              <w:spacing w:after="0"/>
              <w:rPr>
                <w:sz w:val="21"/>
                <w:szCs w:val="21"/>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1"/>
                <w:szCs w:val="21"/>
                <w:color w:val="auto"/>
              </w:rPr>
            </w:pPr>
          </w:p>
        </w:tc>
      </w:tr>
      <w:tr>
        <w:trPr>
          <w:trHeight w:val="210"/>
        </w:trPr>
        <w:tc>
          <w:tcPr>
            <w:tcW w:w="49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gridSpan w:val="3"/>
          </w:tcPr>
          <w:p>
            <w:pPr>
              <w:ind w:left="400"/>
              <w:spacing w:after="0" w:line="202" w:lineRule="exact"/>
              <w:rPr>
                <w:sz w:val="20"/>
                <w:szCs w:val="20"/>
                <w:color w:val="auto"/>
              </w:rPr>
            </w:pPr>
            <w:r>
              <w:rPr>
                <w:rFonts w:ascii="Times New Roman" w:cs="Times New Roman" w:eastAsia="Times New Roman" w:hAnsi="Times New Roman"/>
                <w:sz w:val="18"/>
                <w:szCs w:val="18"/>
                <w:b w:val="1"/>
                <w:bCs w:val="1"/>
                <w:color w:val="auto"/>
              </w:rPr>
              <w:t>Interest Rate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Borders>
              <w:bottom w:val="single" w:sz="8" w:color="auto"/>
            </w:tcBorders>
            <w:gridSpan w:val="2"/>
          </w:tcPr>
          <w:p>
            <w:pPr>
              <w:spacing w:after="0"/>
              <w:rPr>
                <w:sz w:val="18"/>
                <w:szCs w:val="18"/>
                <w:color w:val="auto"/>
              </w:rPr>
            </w:pPr>
          </w:p>
        </w:tc>
        <w:tc>
          <w:tcPr>
            <w:tcW w:w="900" w:type="dxa"/>
            <w:vAlign w:val="bottom"/>
            <w:tcBorders>
              <w:bottom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securitization program (due December 2024)</w:t>
            </w:r>
          </w:p>
        </w:tc>
        <w:tc>
          <w:tcPr>
            <w:tcW w:w="1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5.21 %</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0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297,800</w:t>
            </w:r>
          </w:p>
        </w:tc>
        <w:tc>
          <w:tcPr>
            <w:tcW w:w="6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Credit Facility (due August 2027)</w:t>
            </w:r>
          </w:p>
        </w:tc>
        <w:tc>
          <w:tcPr>
            <w:tcW w:w="1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4.37 %</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Public notes due: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April 2026</w:t>
            </w:r>
          </w:p>
        </w:tc>
        <w:tc>
          <w:tcPr>
            <w:tcW w:w="1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4.63 %</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2031</w:t>
            </w:r>
          </w:p>
        </w:tc>
        <w:tc>
          <w:tcPr>
            <w:tcW w:w="1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3.00 %</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Pr>
          <w:p>
            <w:pPr>
              <w:spacing w:after="0"/>
              <w:rPr>
                <w:sz w:val="18"/>
                <w:szCs w:val="18"/>
                <w:color w:val="auto"/>
              </w:rPr>
            </w:pPr>
          </w:p>
        </w:tc>
      </w:tr>
      <w:tr>
        <w:trPr>
          <w:trHeight w:val="236"/>
        </w:trPr>
        <w:tc>
          <w:tcPr>
            <w:tcW w:w="4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June 2032</w:t>
            </w:r>
          </w:p>
        </w:tc>
        <w:tc>
          <w:tcPr>
            <w:tcW w:w="1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5.50 %</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9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 debt before discount and debt issuance costs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2,989,742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1,447,800</w:t>
            </w:r>
          </w:p>
        </w:tc>
        <w:tc>
          <w:tcPr>
            <w:tcW w:w="60" w:type="dxa"/>
            <w:vAlign w:val="bottom"/>
          </w:tcPr>
          <w:p>
            <w:pPr>
              <w:spacing w:after="0"/>
              <w:rPr>
                <w:sz w:val="17"/>
                <w:szCs w:val="17"/>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and debt issuance costs – unamortized</w:t>
            </w: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920" w:type="dxa"/>
            <w:vAlign w:val="bottom"/>
          </w:tcPr>
          <w:p>
            <w:pPr>
              <w:ind w:left="320"/>
              <w:spacing w:after="0" w:line="203" w:lineRule="exact"/>
              <w:rPr>
                <w:sz w:val="20"/>
                <w:szCs w:val="20"/>
                <w:color w:val="auto"/>
              </w:rPr>
            </w:pPr>
            <w:r>
              <w:rPr>
                <w:rFonts w:ascii="Times New Roman" w:cs="Times New Roman" w:eastAsia="Times New Roman" w:hAnsi="Times New Roman"/>
                <w:sz w:val="18"/>
                <w:szCs w:val="18"/>
                <w:color w:val="auto"/>
              </w:rPr>
              <w:t>Long-term debt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2,979,823</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1,437,400</w:t>
            </w:r>
          </w:p>
        </w:tc>
        <w:tc>
          <w:tcPr>
            <w:tcW w:w="60" w:type="dxa"/>
            <w:vAlign w:val="bottom"/>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432"/>
        <w:spacing w:after="0" w:line="253" w:lineRule="auto"/>
        <w:rPr>
          <w:sz w:val="20"/>
          <w:szCs w:val="20"/>
          <w:color w:val="auto"/>
        </w:rPr>
      </w:pPr>
      <w:r>
        <w:rPr>
          <w:rFonts w:ascii="Times New Roman" w:cs="Times New Roman" w:eastAsia="Times New Roman" w:hAnsi="Times New Roman"/>
          <w:sz w:val="18"/>
          <w:szCs w:val="18"/>
          <w:color w:val="auto"/>
        </w:rPr>
        <w:t>In December 2022, the Company amended and extended for two years its trade accounts receivable securitization program (the “Securitization Program”) in the United States with a group of financial institutions. The Securitization Program allows the Company to transfer, on an ongoing revolving basis, an undivided interest in a designated pool of trade accounts receivable, to provide security or collateral for borrowings of up to a maximum of $650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$1.28 billion and $1.12 billion at December 31, 2022, and July 2, 2022, respectively. The Securitization Program contains certain covenants relating to the quality of the receivables sold.</w:t>
      </w:r>
    </w:p>
    <w:p>
      <w:pPr>
        <w:spacing w:after="0" w:line="194" w:lineRule="exact"/>
        <w:rPr>
          <w:sz w:val="20"/>
          <w:szCs w:val="20"/>
          <w:color w:val="auto"/>
        </w:rPr>
      </w:pPr>
    </w:p>
    <w:p>
      <w:pPr>
        <w:ind w:left="60" w:right="59" w:firstLine="432"/>
        <w:spacing w:after="0" w:line="253" w:lineRule="auto"/>
        <w:rPr>
          <w:sz w:val="20"/>
          <w:szCs w:val="20"/>
          <w:color w:val="auto"/>
        </w:rPr>
      </w:pPr>
      <w:r>
        <w:rPr>
          <w:rFonts w:ascii="Times New Roman" w:cs="Times New Roman" w:eastAsia="Times New Roman" w:hAnsi="Times New Roman"/>
          <w:sz w:val="18"/>
          <w:szCs w:val="18"/>
          <w:color w:val="auto"/>
        </w:rPr>
        <w:t>In August 2022, the Company amended and extended its five-year $1.25 billion revolving credit facility (the “Credit Facility”) with a syndicate of banks, which expires in August 2027. It consists of revolving credit facilities and the issuance of up to $200.0 million of letters of credit and up to $300.0 million of loans in certain approved currencies. As of December 31, 2022, and July 2, 2022, there were $1.0 million and $1.2 million, respectively, in letters of credit issued under the Credit Facility. Subject to certain conditions, the Credit Facility may be increased up to $1.50 billion through an amendment, which the Company obtained in November 2022.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a financial covenant requiring the Company to maintain a leverage ratio not to exceed a certain threshold, which the Company was in compliance with as of December 31, 2022, and July 2, 2022.</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December 31, 2022, the carrying value and fair value of the Company’s total debt was $3.19 billion and $3.08</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billion, respectively. At July 2, 2022, the carrying value and fair value of the Company’s total debt was $1.61 billion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$1.55 billion, respectively. Fair value for the public notes was estimated based upon quoted market prices (Level 1) and, for</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forms of debt, fair value approximates carrying value due to the market based variable nature of the interest rates 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those debt facilities (Level 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29" w:lineRule="exact"/>
        <w:rPr>
          <w:sz w:val="20"/>
          <w:szCs w:val="20"/>
          <w:color w:val="auto"/>
        </w:rPr>
      </w:pPr>
    </w:p>
    <w:p>
      <w:pPr>
        <w:ind w:left="60" w:right="119" w:firstLine="427"/>
        <w:spacing w:after="0" w:line="261" w:lineRule="auto"/>
        <w:rPr>
          <w:sz w:val="20"/>
          <w:szCs w:val="20"/>
          <w:color w:val="auto"/>
        </w:rPr>
      </w:pPr>
      <w:r>
        <w:rPr>
          <w:rFonts w:ascii="Times New Roman" w:cs="Times New Roman" w:eastAsia="Times New Roman" w:hAnsi="Times New Roman"/>
          <w:sz w:val="18"/>
          <w:szCs w:val="18"/>
          <w:color w:val="auto"/>
        </w:rPr>
        <w:t>Substantially all the Company’s leases are classified as operating leases and are predominately related to real property for distribution centers, office space, and integration facilities with a lease term of up to 15 years. The Company’s equipment leases are primarily for automobiles and equipment and are not material to the consolidated financial statements.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lease cost related to the Company’s operating leases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8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Second Quarters Ended</w:t>
            </w: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7"/>
        </w:trPr>
        <w:tc>
          <w:tcPr>
            <w:tcW w:w="4880" w:type="dxa"/>
            <w:vAlign w:val="bottom"/>
          </w:tcPr>
          <w:p>
            <w:pPr>
              <w:spacing w:after="0"/>
              <w:rPr>
                <w:sz w:val="18"/>
                <w:szCs w:val="18"/>
                <w:color w:val="auto"/>
              </w:rPr>
            </w:pPr>
          </w:p>
        </w:tc>
        <w:tc>
          <w:tcPr>
            <w:tcW w:w="31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December 31,  January 1, December 31,</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January 1,</w:t>
            </w:r>
          </w:p>
        </w:tc>
      </w:tr>
      <w:tr>
        <w:trPr>
          <w:trHeight w:val="245"/>
        </w:trPr>
        <w:tc>
          <w:tcPr>
            <w:tcW w:w="48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34,975</w:t>
            </w:r>
          </w:p>
        </w:tc>
      </w:tr>
      <w:tr>
        <w:trPr>
          <w:trHeight w:val="223"/>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12,851</w:t>
            </w:r>
          </w:p>
        </w:tc>
      </w:tr>
      <w:tr>
        <w:trPr>
          <w:trHeight w:val="216"/>
        </w:trPr>
        <w:tc>
          <w:tcPr>
            <w:tcW w:w="4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47,826</w:t>
            </w: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Future minimum operating lease payments as of December 31, 2022, are as follows (in thousands):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2023</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operating lease payments</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imputed interest on operating lease liabilities</w:t>
            </w:r>
          </w:p>
        </w:tc>
        <w:tc>
          <w:tcPr>
            <w:tcW w:w="10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6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Other information pertaining to operating leases consists of the following:</w:t>
            </w: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6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3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100" w:type="dxa"/>
            <w:vAlign w:val="bottom"/>
            <w:tcBorders>
              <w:top w:val="single" w:sz="8" w:color="auto"/>
            </w:tcBorders>
            <w:gridSpan w:val="2"/>
          </w:tcPr>
          <w:p>
            <w:pPr>
              <w:jc w:val="center"/>
              <w:ind w:right="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Term and Discount Rate</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3.8 %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was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6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6640" w:type="dxa"/>
            <w:vAlign w:val="bottom"/>
          </w:tcPr>
          <w:p>
            <w:pPr>
              <w:spacing w:after="0"/>
              <w:rPr>
                <w:sz w:val="16"/>
                <w:szCs w:val="16"/>
                <w:color w:val="auto"/>
              </w:rPr>
            </w:pPr>
          </w:p>
        </w:tc>
        <w:tc>
          <w:tcPr>
            <w:tcW w:w="118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20" w:type="dxa"/>
            <w:vAlign w:val="bottom"/>
          </w:tcPr>
          <w:p>
            <w:pPr>
              <w:spacing w:after="0"/>
              <w:rPr>
                <w:sz w:val="16"/>
                <w:szCs w:val="16"/>
                <w:color w:val="auto"/>
              </w:rPr>
            </w:pPr>
          </w:p>
        </w:tc>
      </w:tr>
      <w:tr>
        <w:trPr>
          <w:trHeight w:val="245"/>
        </w:trPr>
        <w:tc>
          <w:tcPr>
            <w:tcW w:w="66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29,456</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assets obtained from new operating lease liabilities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20" w:type="dxa"/>
            <w:vAlign w:val="bottom"/>
          </w:tcPr>
          <w:p>
            <w:pPr>
              <w:spacing w:after="0"/>
              <w:rPr>
                <w:sz w:val="18"/>
                <w:szCs w:val="18"/>
                <w:color w:val="auto"/>
              </w:rPr>
            </w:pPr>
          </w:p>
        </w:tc>
      </w:tr>
      <w:tr>
        <w:trPr>
          <w:trHeight w:val="675"/>
        </w:trPr>
        <w:tc>
          <w:tcPr>
            <w:tcW w:w="664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Derivative financial instruments</w:t>
      </w:r>
    </w:p>
    <w:p>
      <w:pPr>
        <w:spacing w:after="0" w:line="229" w:lineRule="exact"/>
        <w:rPr>
          <w:sz w:val="20"/>
          <w:szCs w:val="20"/>
          <w:color w:val="auto"/>
        </w:rPr>
      </w:pPr>
    </w:p>
    <w:p>
      <w:pPr>
        <w:ind w:left="60" w:right="99" w:firstLine="427"/>
        <w:spacing w:after="0" w:line="253" w:lineRule="auto"/>
        <w:rPr>
          <w:sz w:val="20"/>
          <w:szCs w:val="20"/>
          <w:color w:val="auto"/>
        </w:rPr>
      </w:pPr>
      <w:r>
        <w:rPr>
          <w:rFonts w:ascii="Times New Roman" w:cs="Times New Roman" w:eastAsia="Times New Roman" w:hAnsi="Times New Roman"/>
          <w:sz w:val="18"/>
          <w:szCs w:val="18"/>
          <w:color w:val="auto"/>
        </w:rPr>
        <w:t>Many of the Company’s subsidiaries purchase and sell products in currencies other than their functional currencies, which subjects the Company to the risks associated with fluctuations in currency exchange rates. The Company uses economic hedges to reduce this risk utilizing natural hedging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offsetting receivables and payables in the same foreign currency) and creating offsetting positions through the use of derivative financial instruments (primarily forward foreign exchange contracts typically with maturities of less than 60 days, but no longer than one year). The Company continues to have exposure to foreign currency risks to the extent they are not economically hedged. The Company adjusts any economic hedges to fair value through the consolidated statements of operations primarily within “Other income,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December 31, 2022, and July 2, 2022.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87" w:lineRule="exact"/>
        <w:rPr>
          <w:sz w:val="20"/>
          <w:szCs w:val="20"/>
          <w:color w:val="auto"/>
        </w:rPr>
      </w:pPr>
    </w:p>
    <w:p>
      <w:pPr>
        <w:ind w:left="60" w:right="179" w:firstLine="427"/>
        <w:spacing w:after="0" w:line="266" w:lineRule="auto"/>
        <w:rPr>
          <w:sz w:val="20"/>
          <w:szCs w:val="20"/>
          <w:color w:val="auto"/>
        </w:rPr>
      </w:pPr>
      <w:r>
        <w:rPr>
          <w:rFonts w:ascii="Times New Roman" w:cs="Times New Roman" w:eastAsia="Times New Roman" w:hAnsi="Times New Roman"/>
          <w:sz w:val="18"/>
          <w:szCs w:val="18"/>
          <w:color w:val="auto"/>
        </w:rPr>
        <w:t>The Company generally does not hedge its investments in its foreign operations. The Company does not enter derivative financial instruments for trading or speculative purposes and monitors the financial stability and credit standing of its counterparties.</w:t>
      </w:r>
    </w:p>
    <w:p>
      <w:pPr>
        <w:spacing w:after="0" w:line="176" w:lineRule="exact"/>
        <w:rPr>
          <w:sz w:val="20"/>
          <w:szCs w:val="20"/>
          <w:color w:val="auto"/>
        </w:rPr>
      </w:pPr>
    </w:p>
    <w:p>
      <w:pPr>
        <w:ind w:left="60" w:right="79" w:firstLine="427"/>
        <w:spacing w:after="0" w:line="258" w:lineRule="auto"/>
        <w:rPr>
          <w:sz w:val="20"/>
          <w:szCs w:val="20"/>
          <w:color w:val="auto"/>
        </w:rPr>
      </w:pPr>
      <w:r>
        <w:rPr>
          <w:rFonts w:ascii="Times New Roman" w:cs="Times New Roman" w:eastAsia="Times New Roman" w:hAnsi="Times New Roman"/>
          <w:sz w:val="18"/>
          <w:szCs w:val="18"/>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83" w:lineRule="exact"/>
        <w:rPr>
          <w:sz w:val="20"/>
          <w:szCs w:val="20"/>
          <w:color w:val="auto"/>
        </w:rPr>
      </w:pPr>
    </w:p>
    <w:p>
      <w:pPr>
        <w:ind w:left="60" w:right="119" w:firstLine="427"/>
        <w:spacing w:after="0" w:line="282" w:lineRule="auto"/>
        <w:rPr>
          <w:sz w:val="20"/>
          <w:szCs w:val="20"/>
          <w:color w:val="auto"/>
        </w:rPr>
      </w:pPr>
      <w:r>
        <w:rPr>
          <w:rFonts w:ascii="Times New Roman" w:cs="Times New Roman" w:eastAsia="Times New Roman" w:hAnsi="Times New Roman"/>
          <w:sz w:val="18"/>
          <w:szCs w:val="18"/>
          <w:color w:val="auto"/>
        </w:rPr>
        <w:t>The fair values of forward foreign currency exchange contracts not receiving hedge accounting treatment recorded in the Company’s consolidated balance sheets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July 2,</w:t>
            </w:r>
          </w:p>
        </w:tc>
      </w:tr>
      <w:tr>
        <w:trPr>
          <w:trHeight w:val="245"/>
        </w:trPr>
        <w:tc>
          <w:tcPr>
            <w:tcW w:w="66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3"/>
        </w:trPr>
        <w:tc>
          <w:tcPr>
            <w:tcW w:w="6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4"/>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r>
      <w:tr>
        <w:trPr>
          <w:trHeight w:val="21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24,907</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29,663</w:t>
            </w:r>
          </w:p>
        </w:tc>
      </w:tr>
    </w:tbl>
    <w:p>
      <w:pPr>
        <w:spacing w:after="0" w:line="179" w:lineRule="exact"/>
        <w:rPr>
          <w:sz w:val="20"/>
          <w:szCs w:val="20"/>
          <w:color w:val="auto"/>
        </w:rPr>
      </w:pPr>
    </w:p>
    <w:p>
      <w:pPr>
        <w:jc w:val="both"/>
        <w:ind w:left="60" w:right="79" w:firstLine="427"/>
        <w:spacing w:after="0" w:line="282" w:lineRule="auto"/>
        <w:rPr>
          <w:sz w:val="20"/>
          <w:szCs w:val="20"/>
          <w:color w:val="auto"/>
        </w:rPr>
      </w:pPr>
      <w:r>
        <w:rPr>
          <w:rFonts w:ascii="Times New Roman" w:cs="Times New Roman" w:eastAsia="Times New Roman" w:hAnsi="Times New Roman"/>
          <w:sz w:val="18"/>
          <w:szCs w:val="18"/>
          <w:color w:val="auto"/>
        </w:rPr>
        <w:t>The amounts recorded to other (expense) income, net, related to derivative financial instruments for economic hedges are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220" w:type="dxa"/>
            <w:vAlign w:val="bottom"/>
          </w:tcPr>
          <w:p>
            <w:pPr>
              <w:spacing w:after="0"/>
              <w:rPr>
                <w:sz w:val="21"/>
                <w:szCs w:val="21"/>
                <w:color w:val="auto"/>
              </w:rPr>
            </w:pPr>
          </w:p>
        </w:tc>
        <w:tc>
          <w:tcPr>
            <w:tcW w:w="18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468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top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6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January 1,</w:t>
            </w:r>
          </w:p>
        </w:tc>
        <w:tc>
          <w:tcPr>
            <w:tcW w:w="20" w:type="dxa"/>
            <w:vAlign w:val="bottom"/>
          </w:tcPr>
          <w:p>
            <w:pPr>
              <w:spacing w:after="0"/>
              <w:rPr>
                <w:sz w:val="16"/>
                <w:szCs w:val="16"/>
                <w:color w:val="auto"/>
              </w:rPr>
            </w:pPr>
          </w:p>
        </w:tc>
      </w:tr>
      <w:tr>
        <w:trPr>
          <w:trHeight w:val="245"/>
        </w:trPr>
        <w:tc>
          <w:tcPr>
            <w:tcW w:w="4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4"/>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derivative financial instrument gain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(7,012)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(15,783)</w:t>
            </w:r>
          </w:p>
        </w:tc>
        <w:tc>
          <w:tcPr>
            <w:tcW w:w="20" w:type="dxa"/>
            <w:vAlign w:val="bottom"/>
          </w:tcPr>
          <w:p>
            <w:pPr>
              <w:spacing w:after="0"/>
              <w:rPr>
                <w:sz w:val="18"/>
                <w:szCs w:val="18"/>
                <w:color w:val="auto"/>
              </w:rPr>
            </w:pPr>
          </w:p>
        </w:tc>
      </w:tr>
    </w:tbl>
    <w:p>
      <w:pPr>
        <w:spacing w:after="0" w:line="198" w:lineRule="exact"/>
        <w:rPr>
          <w:sz w:val="20"/>
          <w:szCs w:val="20"/>
          <w:color w:val="auto"/>
        </w:rPr>
      </w:pPr>
    </w:p>
    <w:p>
      <w:pPr>
        <w:ind w:left="60" w:right="339" w:firstLine="427"/>
        <w:spacing w:after="0" w:line="266" w:lineRule="auto"/>
        <w:rPr>
          <w:sz w:val="20"/>
          <w:szCs w:val="20"/>
          <w:color w:val="auto"/>
        </w:rPr>
      </w:pPr>
      <w:r>
        <w:rPr>
          <w:rFonts w:ascii="Times New Roman" w:cs="Times New Roman" w:eastAsia="Times New Roman" w:hAnsi="Times New Roman"/>
          <w:sz w:val="18"/>
          <w:szCs w:val="18"/>
          <w:color w:val="auto"/>
        </w:rPr>
        <w:t>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9" w:lineRule="exact"/>
        <w:rPr>
          <w:sz w:val="20"/>
          <w:szCs w:val="20"/>
          <w:color w:val="auto"/>
        </w:rPr>
      </w:pPr>
    </w:p>
    <w:p>
      <w:pPr>
        <w:ind w:left="60" w:right="179" w:firstLine="427"/>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0"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to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87" w:lineRule="exact"/>
        <w:rPr>
          <w:sz w:val="20"/>
          <w:szCs w:val="20"/>
          <w:color w:val="auto"/>
        </w:rPr>
      </w:pPr>
    </w:p>
    <w:p>
      <w:pPr>
        <w:ind w:left="60" w:right="99" w:firstLine="427"/>
        <w:spacing w:after="0" w:line="266" w:lineRule="auto"/>
        <w:rPr>
          <w:sz w:val="20"/>
          <w:szCs w:val="20"/>
          <w:color w:val="auto"/>
        </w:rPr>
      </w:pPr>
      <w:r>
        <w:rPr>
          <w:rFonts w:ascii="Times New Roman" w:cs="Times New Roman" w:eastAsia="Times New Roman" w:hAnsi="Times New Roman"/>
          <w:sz w:val="18"/>
          <w:szCs w:val="18"/>
          <w:color w:val="auto"/>
        </w:rPr>
        <w:t>As of December 31, 2022, and July 2, 2022, the Company had aggregate estimated liabilities of $14.7 million classified within accrued expenses and other for such compliance-related matters that were reasonably estimable as of such dates.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Gain on Legal Settlement</w:t>
      </w:r>
    </w:p>
    <w:p>
      <w:pPr>
        <w:spacing w:after="0" w:line="227" w:lineRule="exact"/>
        <w:rPr>
          <w:sz w:val="20"/>
          <w:szCs w:val="20"/>
          <w:color w:val="auto"/>
        </w:rPr>
      </w:pPr>
    </w:p>
    <w:p>
      <w:pPr>
        <w:ind w:left="60" w:right="219" w:firstLine="427"/>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2023, the Company recorded a gain on legal settlement of $61.7 million in connection with the settlement of claims filed against certain manufacturers of capacitors. As of December 31, 2022, the Company has received $51.2 million in cash related to these settlements, which were classified as operating cash flows in the Company’s Consolidated Statements of Cash Flows.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left="60" w:right="199" w:firstLine="427"/>
        <w:spacing w:after="0" w:line="266" w:lineRule="auto"/>
        <w:rPr>
          <w:sz w:val="20"/>
          <w:szCs w:val="20"/>
          <w:color w:val="auto"/>
        </w:rPr>
      </w:pPr>
      <w:r>
        <w:rPr>
          <w:rFonts w:ascii="Times New Roman" w:cs="Times New Roman" w:eastAsia="Times New Roman" w:hAnsi="Times New Roman"/>
          <w:sz w:val="18"/>
          <w:szCs w:val="18"/>
          <w:color w:val="auto"/>
        </w:rPr>
        <w:t>The Company’s effective tax rate on its income before taxes was 19.5% in the second quarter of fiscal 2023. During the second quarter of fiscal 2023, the Company’s effective tax rate was favorably impacted primarily by (i) decreases to unrecognized tax benefit reserves, partially offset by (ii) the mix of income in higher tax jurisdictions.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second quarter of fiscal 2022, the Company’s effective tax rate on its income before taxes was 21.4%.</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second quarter of fiscal 2022, there were no individual items impacting the Company’s effective tax rate.</w:t>
      </w:r>
    </w:p>
    <w:p>
      <w:pPr>
        <w:spacing w:after="0" w:line="207" w:lineRule="exact"/>
        <w:rPr>
          <w:sz w:val="20"/>
          <w:szCs w:val="20"/>
          <w:color w:val="auto"/>
        </w:rPr>
      </w:pPr>
    </w:p>
    <w:p>
      <w:pPr>
        <w:ind w:left="60" w:right="259" w:firstLine="427"/>
        <w:spacing w:after="0" w:line="266" w:lineRule="auto"/>
        <w:rPr>
          <w:sz w:val="20"/>
          <w:szCs w:val="20"/>
          <w:color w:val="auto"/>
        </w:rPr>
      </w:pPr>
      <w:r>
        <w:rPr>
          <w:rFonts w:ascii="Times New Roman" w:cs="Times New Roman" w:eastAsia="Times New Roman" w:hAnsi="Times New Roman"/>
          <w:sz w:val="18"/>
          <w:szCs w:val="18"/>
          <w:color w:val="auto"/>
        </w:rPr>
        <w:t>For the first six months of fiscal 2023, the Company’s effective tax rate on its income before taxes was 22.0%. The effective tax rate for the first six months of fiscal 2023 was unfavorably impacted primarily by (i) the mix of income in higher tax jurisdictions, partially offset by (ii) decreases to unrecognized tax benefit reserves.</w:t>
      </w:r>
    </w:p>
    <w:p>
      <w:pPr>
        <w:spacing w:after="0" w:line="176" w:lineRule="exact"/>
        <w:rPr>
          <w:sz w:val="20"/>
          <w:szCs w:val="20"/>
          <w:color w:val="auto"/>
        </w:rPr>
      </w:pPr>
    </w:p>
    <w:p>
      <w:pPr>
        <w:ind w:left="60" w:right="239" w:firstLine="427"/>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2022, the Company’s effective tax rate on its income before taxes was 22.2%. The effective tax rate for the first six months of fiscal 2022 was unfavorably impacted primarily by increases to valuation allowances.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Pension plan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a noncontributory defined benefit pension plan that covers substantially all current or former 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employees (the “Plan”). Components of net periodic pension cost for the Plan was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200" w:type="dxa"/>
            <w:vAlign w:val="bottom"/>
          </w:tcPr>
          <w:p>
            <w:pPr>
              <w:spacing w:after="0"/>
              <w:rPr>
                <w:sz w:val="21"/>
                <w:szCs w:val="21"/>
                <w:color w:val="auto"/>
              </w:rPr>
            </w:pPr>
          </w:p>
        </w:tc>
        <w:tc>
          <w:tcPr>
            <w:tcW w:w="19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464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January 1,</w:t>
            </w:r>
          </w:p>
        </w:tc>
        <w:tc>
          <w:tcPr>
            <w:tcW w:w="100" w:type="dxa"/>
            <w:vAlign w:val="bottom"/>
          </w:tcPr>
          <w:p>
            <w:pPr>
              <w:spacing w:after="0"/>
              <w:rPr>
                <w:sz w:val="16"/>
                <w:szCs w:val="16"/>
                <w:color w:val="auto"/>
              </w:rPr>
            </w:pPr>
          </w:p>
        </w:tc>
        <w:tc>
          <w:tcPr>
            <w:tcW w:w="124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20" w:type="dxa"/>
            <w:vAlign w:val="bottom"/>
          </w:tcPr>
          <w:p>
            <w:pPr>
              <w:spacing w:after="0"/>
              <w:rPr>
                <w:sz w:val="16"/>
                <w:szCs w:val="16"/>
                <w:color w:val="auto"/>
              </w:rPr>
            </w:pPr>
          </w:p>
        </w:tc>
      </w:tr>
      <w:tr>
        <w:trPr>
          <w:trHeight w:val="245"/>
        </w:trPr>
        <w:tc>
          <w:tcPr>
            <w:tcW w:w="46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r>
      <w:tr>
        <w:trPr>
          <w:trHeight w:val="203"/>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4"/>
          </w:tcPr>
          <w:p>
            <w:pPr>
              <w:jc w:val="right"/>
              <w:ind w:right="5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20" w:type="dxa"/>
            <w:vAlign w:val="bottom"/>
          </w:tcPr>
          <w:p>
            <w:pPr>
              <w:spacing w:after="0"/>
              <w:rPr>
                <w:sz w:val="20"/>
                <w:szCs w:val="20"/>
                <w:color w:val="auto"/>
              </w:rPr>
            </w:pPr>
          </w:p>
        </w:tc>
      </w:tr>
      <w:tr>
        <w:trPr>
          <w:trHeight w:val="171"/>
        </w:trPr>
        <w:tc>
          <w:tcPr>
            <w:tcW w:w="464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color w:val="auto"/>
              </w:rPr>
              <w:t>Total net periodic pension cost within selling, general and</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4"/>
        </w:trPr>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expenses</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20" w:type="dxa"/>
            <w:vAlign w:val="bottom"/>
          </w:tcPr>
          <w:p>
            <w:pPr>
              <w:spacing w:after="0"/>
              <w:rPr>
                <w:sz w:val="20"/>
                <w:szCs w:val="20"/>
                <w:color w:val="auto"/>
              </w:rPr>
            </w:pPr>
          </w:p>
        </w:tc>
      </w:tr>
      <w:tr>
        <w:trPr>
          <w:trHeight w:val="216"/>
        </w:trPr>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(12,284)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(24,430)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(24,568)</w:t>
            </w:r>
          </w:p>
        </w:tc>
        <w:tc>
          <w:tcPr>
            <w:tcW w:w="2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36"/>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20" w:type="dxa"/>
            <w:vAlign w:val="bottom"/>
          </w:tcPr>
          <w:p>
            <w:pPr>
              <w:spacing w:after="0"/>
              <w:rPr>
                <w:sz w:val="20"/>
                <w:szCs w:val="20"/>
                <w:color w:val="auto"/>
              </w:rPr>
            </w:pPr>
          </w:p>
        </w:tc>
      </w:tr>
      <w:tr>
        <w:trPr>
          <w:trHeight w:val="203"/>
        </w:trPr>
        <w:tc>
          <w:tcPr>
            <w:tcW w:w="464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net periodic pension benefit within other income, net</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(4,913)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(9,828)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(8,500)</w:t>
            </w:r>
          </w:p>
        </w:tc>
        <w:tc>
          <w:tcPr>
            <w:tcW w:w="20" w:type="dxa"/>
            <w:vAlign w:val="bottom"/>
          </w:tcPr>
          <w:p>
            <w:pPr>
              <w:spacing w:after="0"/>
              <w:rPr>
                <w:sz w:val="17"/>
                <w:szCs w:val="17"/>
                <w:color w:val="auto"/>
              </w:rPr>
            </w:pPr>
          </w:p>
        </w:tc>
      </w:tr>
      <w:tr>
        <w:trPr>
          <w:trHeight w:val="236"/>
        </w:trPr>
        <w:tc>
          <w:tcPr>
            <w:tcW w:w="4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464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periodic pension benefit</w:t>
            </w:r>
          </w:p>
        </w:tc>
        <w:tc>
          <w:tcPr>
            <w:tcW w:w="1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(1,909)</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(3,820)</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(997)</w:t>
            </w:r>
          </w:p>
        </w:tc>
        <w:tc>
          <w:tcPr>
            <w:tcW w:w="20" w:type="dxa"/>
            <w:vAlign w:val="bottom"/>
            <w:tcBorders>
              <w:bottom w:val="single" w:sz="8" w:color="auto"/>
            </w:tcBorders>
          </w:tcPr>
          <w:p>
            <w:pPr>
              <w:spacing w:after="0"/>
              <w:rPr>
                <w:sz w:val="17"/>
                <w:szCs w:val="17"/>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479" w:firstLine="427"/>
        <w:spacing w:after="0" w:line="282" w:lineRule="auto"/>
        <w:rPr>
          <w:sz w:val="20"/>
          <w:szCs w:val="20"/>
          <w:color w:val="auto"/>
        </w:rPr>
      </w:pPr>
      <w:r>
        <w:rPr>
          <w:rFonts w:ascii="Times New Roman" w:cs="Times New Roman" w:eastAsia="Times New Roman" w:hAnsi="Times New Roman"/>
          <w:sz w:val="18"/>
          <w:szCs w:val="18"/>
          <w:color w:val="auto"/>
        </w:rPr>
        <w:t>The Company made $4.0 million of contributions during the first six months of fiscal 2023 and expects to make additional contributions to the Plan of $4.0 million in the remainder of fiscal 2023.</w:t>
      </w:r>
    </w:p>
    <w:p>
      <w:pPr>
        <w:spacing w:after="0" w:line="158" w:lineRule="exact"/>
        <w:rPr>
          <w:sz w:val="20"/>
          <w:szCs w:val="20"/>
          <w:color w:val="auto"/>
        </w:rPr>
      </w:pPr>
    </w:p>
    <w:p>
      <w:pPr>
        <w:ind w:left="480" w:right="6619" w:hanging="430"/>
        <w:spacing w:after="0" w:line="503" w:lineRule="auto"/>
        <w:tabs>
          <w:tab w:leader="none" w:pos="32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i w:val="1"/>
          <w:iCs w:val="1"/>
          <w:color w:val="auto"/>
        </w:rPr>
        <w:t>Share repurchase program</w:t>
      </w:r>
    </w:p>
    <w:p>
      <w:pPr>
        <w:ind w:left="60" w:right="119" w:firstLine="427"/>
        <w:spacing w:after="0" w:line="255" w:lineRule="auto"/>
        <w:rPr>
          <w:sz w:val="20"/>
          <w:szCs w:val="20"/>
          <w:color w:val="auto"/>
        </w:rPr>
      </w:pPr>
      <w:r>
        <w:rPr>
          <w:rFonts w:ascii="Times New Roman" w:cs="Times New Roman" w:eastAsia="Times New Roman" w:hAnsi="Times New Roman"/>
          <w:sz w:val="18"/>
          <w:szCs w:val="18"/>
          <w:color w:val="auto"/>
        </w:rPr>
        <w:t>In May 2022, the Company’s Board of Directors approved a new share repurchase plan with an authorization to repurchase up to an aggregate of $600 million of common stock in the open market or through privately negotiated transactions. The timing and actual number of shares repurchased will depend on a variety of factors such as share price, expected liquidity, expected compliance with financial debt convents, corporate and regulatory requirements, and prevailing market conditions. During the second quarter of fiscal 2023, the Company repurchased 1.6 million shares under this program for a total cost of $64.4 million. As of December 31, 2022, the Company had $319.0 million remaining under its share repurchase authorization.</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Common stock dividend</w:t>
      </w:r>
    </w:p>
    <w:p>
      <w:pPr>
        <w:spacing w:after="0" w:line="227" w:lineRule="exact"/>
        <w:rPr>
          <w:sz w:val="20"/>
          <w:szCs w:val="20"/>
          <w:color w:val="auto"/>
        </w:rPr>
      </w:pPr>
    </w:p>
    <w:p>
      <w:pPr>
        <w:ind w:left="60" w:right="99" w:firstLine="432"/>
        <w:spacing w:after="0" w:line="282" w:lineRule="auto"/>
        <w:rPr>
          <w:sz w:val="20"/>
          <w:szCs w:val="20"/>
          <w:color w:val="auto"/>
        </w:rPr>
      </w:pPr>
      <w:r>
        <w:rPr>
          <w:rFonts w:ascii="Times New Roman" w:cs="Times New Roman" w:eastAsia="Times New Roman" w:hAnsi="Times New Roman"/>
          <w:sz w:val="18"/>
          <w:szCs w:val="18"/>
          <w:color w:val="auto"/>
        </w:rPr>
        <w:t>In November 2022, the Company’s Board of Directors approved a dividend of $0.29 per common share and dividend payments of $26.3 million were made in December 2022.</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ectPr>
          <w:pgSz w:w="11900" w:h="16838" w:orient="portrait"/>
          <w:cols w:equalWidth="0" w:num="1">
            <w:col w:w="9019"/>
          </w:cols>
          <w:pgMar w:left="1440" w:top="540" w:right="1440" w:bottom="1440" w:gutter="0" w:footer="0" w:header="0"/>
        </w:sect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common shares for basic earnings per share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effect of dilutive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 average common shares for diluted earnings per share</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p>
      <w:pPr>
        <w:spacing w:after="0" w:line="27" w:lineRule="exact"/>
        <w:rPr>
          <w:sz w:val="20"/>
          <w:szCs w:val="20"/>
          <w:color w:val="auto"/>
        </w:rPr>
      </w:pPr>
    </w:p>
    <w:p>
      <w:pPr>
        <w:ind w:left="20" w:right="40"/>
        <w:spacing w:after="0" w:line="260" w:lineRule="auto"/>
        <w:rPr>
          <w:sz w:val="20"/>
          <w:szCs w:val="20"/>
          <w:color w:val="auto"/>
        </w:rPr>
      </w:pPr>
      <w:r>
        <w:rPr>
          <w:rFonts w:ascii="Times New Roman" w:cs="Times New Roman" w:eastAsia="Times New Roman" w:hAnsi="Times New Roman"/>
          <w:sz w:val="18"/>
          <w:szCs w:val="18"/>
          <w:color w:val="auto"/>
        </w:rPr>
        <w:t>Stock options excluded from earnings per share calculation due to an anti-dilutive effect</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Additional cash flow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20" w:type="dxa"/>
            <w:vAlign w:val="bottom"/>
          </w:tcPr>
          <w:p>
            <w:pPr>
              <w:spacing w:after="0"/>
              <w:rPr>
                <w:sz w:val="21"/>
                <w:szCs w:val="21"/>
                <w:color w:val="auto"/>
              </w:rPr>
            </w:pPr>
          </w:p>
        </w:tc>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200" w:type="dxa"/>
            <w:vAlign w:val="bottom"/>
          </w:tcPr>
          <w:p>
            <w:pPr>
              <w:spacing w:after="0"/>
              <w:rPr>
                <w:sz w:val="21"/>
                <w:szCs w:val="21"/>
                <w:color w:val="auto"/>
              </w:rPr>
            </w:pPr>
          </w:p>
        </w:tc>
        <w:tc>
          <w:tcPr>
            <w:tcW w:w="18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20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top w:val="single" w:sz="8" w:color="auto"/>
            </w:tcBorders>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January 1,</w:t>
            </w:r>
          </w:p>
        </w:tc>
        <w:tc>
          <w:tcPr>
            <w:tcW w:w="100" w:type="dxa"/>
            <w:vAlign w:val="bottom"/>
          </w:tcPr>
          <w:p>
            <w:pPr>
              <w:spacing w:after="0"/>
              <w:rPr>
                <w:sz w:val="16"/>
                <w:szCs w:val="16"/>
                <w:color w:val="auto"/>
              </w:rPr>
            </w:pPr>
          </w:p>
        </w:tc>
        <w:tc>
          <w:tcPr>
            <w:tcW w:w="116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7"/>
              </w:rPr>
              <w:t>January 1,</w:t>
            </w:r>
          </w:p>
        </w:tc>
        <w:tc>
          <w:tcPr>
            <w:tcW w:w="20" w:type="dxa"/>
            <w:vAlign w:val="bottom"/>
          </w:tcPr>
          <w:p>
            <w:pPr>
              <w:spacing w:after="0"/>
              <w:rPr>
                <w:sz w:val="16"/>
                <w:szCs w:val="16"/>
                <w:color w:val="auto"/>
              </w:rPr>
            </w:pPr>
          </w:p>
        </w:tc>
      </w:tr>
      <w:tr>
        <w:trPr>
          <w:trHeight w:val="245"/>
        </w:trPr>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r>
      <w:tr>
        <w:trPr>
          <w:trHeight w:val="238"/>
        </w:trPr>
        <w:tc>
          <w:tcPr>
            <w:tcW w:w="120" w:type="dxa"/>
            <w:vAlign w:val="bottom"/>
          </w:tcPr>
          <w:p>
            <w:pPr>
              <w:spacing w:after="0"/>
              <w:rPr>
                <w:sz w:val="20"/>
                <w:szCs w:val="20"/>
                <w:color w:val="auto"/>
              </w:rPr>
            </w:pPr>
          </w:p>
        </w:tc>
        <w:tc>
          <w:tcPr>
            <w:tcW w:w="206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w w:val="95"/>
              </w:rPr>
              <w:t>(Thousands, except</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per share data)</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6"/>
        </w:trPr>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243,886</w:t>
            </w:r>
          </w:p>
        </w:tc>
        <w:tc>
          <w:tcPr>
            <w:tcW w:w="12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150,821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428,147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262,139</w:t>
            </w:r>
          </w:p>
        </w:tc>
        <w:tc>
          <w:tcPr>
            <w:tcW w:w="20" w:type="dxa"/>
            <w:vAlign w:val="bottom"/>
          </w:tcPr>
          <w:p>
            <w:pPr>
              <w:spacing w:after="0"/>
              <w:rPr>
                <w:sz w:val="24"/>
                <w:szCs w:val="24"/>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0"/>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99,032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99,340</w:t>
            </w:r>
          </w:p>
        </w:tc>
        <w:tc>
          <w:tcPr>
            <w:tcW w:w="20" w:type="dxa"/>
            <w:vAlign w:val="bottom"/>
          </w:tcPr>
          <w:p>
            <w:pPr>
              <w:spacing w:after="0"/>
              <w:rPr>
                <w:sz w:val="24"/>
                <w:szCs w:val="24"/>
                <w:color w:val="auto"/>
              </w:rPr>
            </w:pPr>
          </w:p>
        </w:tc>
      </w:tr>
      <w:tr>
        <w:trPr>
          <w:trHeight w:val="241"/>
        </w:trPr>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 w:type="dxa"/>
            <w:vAlign w:val="bottom"/>
          </w:tcPr>
          <w:p>
            <w:pPr>
              <w:spacing w:after="0"/>
              <w:rPr>
                <w:sz w:val="20"/>
                <w:szCs w:val="20"/>
                <w:color w:val="auto"/>
              </w:rPr>
            </w:pPr>
          </w:p>
        </w:tc>
      </w:tr>
      <w:tr>
        <w:trPr>
          <w:trHeight w:val="216"/>
        </w:trPr>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100,286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94,195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100,701</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1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7"/>
                <w:szCs w:val="17"/>
                <w:color w:val="auto"/>
              </w:rPr>
            </w:pPr>
          </w:p>
        </w:tc>
        <w:tc>
          <w:tcPr>
            <w:tcW w:w="1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17"/>
                <w:szCs w:val="17"/>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12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7"/>
                <w:szCs w:val="17"/>
                <w:color w:val="auto"/>
              </w:rPr>
            </w:pPr>
          </w:p>
        </w:tc>
        <w:tc>
          <w:tcPr>
            <w:tcW w:w="18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7"/>
                <w:szCs w:val="17"/>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 w:type="dxa"/>
            <w:vAlign w:val="bottom"/>
          </w:tcPr>
          <w:p>
            <w:pPr>
              <w:spacing w:after="0"/>
              <w:rPr>
                <w:sz w:val="24"/>
                <w:szCs w:val="24"/>
                <w:color w:val="auto"/>
              </w:rPr>
            </w:pPr>
          </w:p>
        </w:tc>
      </w:tr>
    </w:tbl>
    <w:p>
      <w:pPr>
        <w:spacing w:after="0" w:line="843" w:lineRule="exact"/>
        <w:rPr>
          <w:sz w:val="20"/>
          <w:szCs w:val="20"/>
          <w:color w:val="auto"/>
        </w:rPr>
      </w:pPr>
    </w:p>
    <w:p>
      <w:pPr>
        <w:sectPr>
          <w:pgSz w:w="11900" w:h="16838" w:orient="portrait"/>
          <w:cols w:equalWidth="0" w:num="2">
            <w:col w:w="4620" w:space="200"/>
            <w:col w:w="4199"/>
          </w:cols>
          <w:pgMar w:left="1440" w:top="540" w:right="1440" w:bottom="1440" w:gutter="0" w:footer="0" w:header="0"/>
          <w:type w:val="continuous"/>
        </w:sectPr>
      </w:pP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Non-cash investing and financing activities and supplemental cash flow information were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8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1"/>
        </w:trPr>
        <w:tc>
          <w:tcPr>
            <w:tcW w:w="48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80" w:type="dxa"/>
            <w:vAlign w:val="bottom"/>
          </w:tcPr>
          <w:p>
            <w:pPr>
              <w:spacing w:after="0"/>
              <w:rPr>
                <w:sz w:val="19"/>
                <w:szCs w:val="19"/>
                <w:color w:val="auto"/>
              </w:rPr>
            </w:pPr>
          </w:p>
        </w:tc>
      </w:tr>
      <w:tr>
        <w:trPr>
          <w:trHeight w:val="245"/>
        </w:trPr>
        <w:tc>
          <w:tcPr>
            <w:tcW w:w="48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r>
      <w:tr>
        <w:trPr>
          <w:trHeight w:val="229"/>
        </w:trPr>
        <w:tc>
          <w:tcPr>
            <w:tcW w:w="48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80" w:type="dxa"/>
            <w:vAlign w:val="bottom"/>
          </w:tcPr>
          <w:p>
            <w:pPr>
              <w:spacing w:after="0"/>
              <w:rPr>
                <w:sz w:val="19"/>
                <w:szCs w:val="19"/>
                <w:color w:val="auto"/>
              </w:rPr>
            </w:pPr>
          </w:p>
        </w:tc>
      </w:tr>
      <w:tr>
        <w:trPr>
          <w:trHeight w:val="24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 incurred but not paid</w:t>
            </w:r>
          </w:p>
        </w:tc>
        <w:tc>
          <w:tcPr>
            <w:tcW w:w="19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tcPr>
          <w:p>
            <w:pPr>
              <w:spacing w:after="0"/>
              <w:rPr>
                <w:sz w:val="21"/>
                <w:szCs w:val="21"/>
                <w:color w:val="auto"/>
              </w:rPr>
            </w:pPr>
          </w:p>
        </w:tc>
      </w:tr>
      <w:tr>
        <w:trPr>
          <w:trHeight w:val="24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Unsettled share repurchases</w:t>
            </w: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21"/>
                <w:szCs w:val="21"/>
                <w:color w:val="auto"/>
              </w:rPr>
            </w:pPr>
          </w:p>
        </w:tc>
      </w:tr>
      <w:tr>
        <w:trPr>
          <w:trHeight w:val="24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9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110,167</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49,192</w:t>
            </w:r>
          </w:p>
        </w:tc>
        <w:tc>
          <w:tcPr>
            <w:tcW w:w="80" w:type="dxa"/>
            <w:vAlign w:val="bottom"/>
          </w:tcPr>
          <w:p>
            <w:pPr>
              <w:spacing w:after="0"/>
              <w:rPr>
                <w:sz w:val="21"/>
                <w:szCs w:val="21"/>
                <w:color w:val="auto"/>
              </w:rPr>
            </w:pPr>
          </w:p>
        </w:tc>
      </w:tr>
      <w:tr>
        <w:trPr>
          <w:trHeight w:val="243"/>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net payments</w:t>
            </w:r>
          </w:p>
        </w:tc>
        <w:tc>
          <w:tcPr>
            <w:tcW w:w="1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110,401</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74,889</w:t>
            </w:r>
          </w:p>
        </w:tc>
        <w:tc>
          <w:tcPr>
            <w:tcW w:w="80" w:type="dxa"/>
            <w:vAlign w:val="bottom"/>
            <w:shd w:val="clear" w:color="auto" w:fill="CCEEFF"/>
          </w:tcPr>
          <w:p>
            <w:pPr>
              <w:spacing w:after="0"/>
              <w:rPr>
                <w:sz w:val="21"/>
                <w:szCs w:val="21"/>
                <w:color w:val="auto"/>
              </w:rPr>
            </w:pPr>
          </w:p>
        </w:tc>
      </w:tr>
    </w:tbl>
    <w:p>
      <w:pPr>
        <w:spacing w:after="0" w:line="198" w:lineRule="exact"/>
        <w:rPr>
          <w:sz w:val="20"/>
          <w:szCs w:val="20"/>
          <w:color w:val="auto"/>
        </w:rPr>
      </w:pPr>
    </w:p>
    <w:p>
      <w:pPr>
        <w:ind w:left="60" w:right="119" w:firstLine="432"/>
        <w:spacing w:after="0" w:line="266" w:lineRule="auto"/>
        <w:rPr>
          <w:sz w:val="20"/>
          <w:szCs w:val="20"/>
          <w:color w:val="auto"/>
        </w:rPr>
      </w:pPr>
      <w:r>
        <w:rPr>
          <w:rFonts w:ascii="Times New Roman" w:cs="Times New Roman" w:eastAsia="Times New Roman" w:hAnsi="Times New Roman"/>
          <w:sz w:val="18"/>
          <w:szCs w:val="18"/>
          <w:color w:val="auto"/>
        </w:rPr>
        <w:t>Included in cash and cash equivalents as of December 31, 2022, and July 2, 2022, was $4.4 million and $5.4 million, respectively, of cash equivalents, which was primarily comprised of investment grade money market funds and overnight time deposits.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ind w:left="60" w:right="59" w:firstLine="427"/>
        <w:spacing w:after="0" w:line="261" w:lineRule="auto"/>
        <w:rPr>
          <w:sz w:val="20"/>
          <w:szCs w:val="20"/>
          <w:color w:val="auto"/>
        </w:rPr>
      </w:pPr>
      <w:r>
        <w:rPr>
          <w:rFonts w:ascii="Times New Roman" w:cs="Times New Roman" w:eastAsia="Times New Roman" w:hAnsi="Times New Roman"/>
          <w:sz w:val="18"/>
          <w:szCs w:val="18"/>
          <w:color w:val="auto"/>
        </w:rPr>
        <w:t>Electronic Components (“EC”) and Farnell (“Farnell”) are the Company’s reportable segments (“operating groups”). EC markets and sells (i) semiconductors, (ii) interconnect, passive and electromechanical devices, and (iii) integrated components, to a diverse customer base serving many end-markets. Farnell distributes electronic components and industrial products to a diverse customer base utilizing multi-channel sales and marketing resources.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Second Quarters Ended</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16"/>
                <w:szCs w:val="16"/>
                <w:color w:val="auto"/>
              </w:rPr>
            </w:pPr>
          </w:p>
        </w:tc>
        <w:tc>
          <w:tcPr>
            <w:tcW w:w="9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20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January 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4"/>
          </w:tcPr>
          <w:p>
            <w:pPr>
              <w:jc w:val="right"/>
              <w:ind w:right="5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Electronic Components</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6,309,494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5,424,349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12,633,717</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10,553,846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Farnell</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408,027</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440,868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833,937</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6,717,521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5,865,217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13,467,654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11,449,912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Electronic Components</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188,904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563,962</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Farnell</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36,905</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88,516</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 and other</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298,973</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211,672</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589,509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379,915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Sales, by geographic area:</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Americas </w:t>
            </w:r>
            <w:r>
              <w:rPr>
                <w:rFonts w:ascii="Times New Roman" w:cs="Times New Roman" w:eastAsia="Times New Roman" w:hAnsi="Times New Roman"/>
                <w:sz w:val="25"/>
                <w:szCs w:val="25"/>
                <w:color w:val="auto"/>
                <w:vertAlign w:val="superscript"/>
              </w:rPr>
              <w:t>(1)</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1,681,177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1,391,567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3,360,079</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EMEA </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2,255,878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1,840,789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4,385,418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3,588,368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tcBorders>
              <w:bottom w:val="single" w:sz="8" w:color="CCEEFF"/>
            </w:tcBorders>
            <w:shd w:val="clear" w:color="auto" w:fill="CCEEFF"/>
          </w:tcPr>
          <w:p>
            <w:pPr>
              <w:ind w:left="80"/>
              <w:spacing w:after="0" w:line="216" w:lineRule="exact"/>
              <w:rPr>
                <w:sz w:val="20"/>
                <w:szCs w:val="20"/>
                <w:color w:val="auto"/>
              </w:rPr>
            </w:pPr>
            <w:r>
              <w:rPr>
                <w:rFonts w:ascii="Times New Roman" w:cs="Times New Roman" w:eastAsia="Times New Roman" w:hAnsi="Times New Roman"/>
                <w:sz w:val="17"/>
                <w:szCs w:val="17"/>
                <w:color w:val="auto"/>
              </w:rPr>
              <w:t xml:space="preserve">Asia </w:t>
            </w:r>
            <w:r>
              <w:rPr>
                <w:rFonts w:ascii="Times New Roman" w:cs="Times New Roman" w:eastAsia="Times New Roman" w:hAnsi="Times New Roman"/>
                <w:sz w:val="25"/>
                <w:szCs w:val="25"/>
                <w:color w:val="auto"/>
                <w:vertAlign w:val="superscript"/>
              </w:rPr>
              <w:t>(3)</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2,780,466</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2,632,861</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5,722,157</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5,211,167</w:t>
            </w:r>
          </w:p>
        </w:tc>
        <w:tc>
          <w:tcPr>
            <w:tcW w:w="0" w:type="dxa"/>
            <w:vAlign w:val="bottom"/>
          </w:tcPr>
          <w:p>
            <w:pPr>
              <w:spacing w:after="0"/>
              <w:rPr>
                <w:sz w:val="1"/>
                <w:szCs w:val="1"/>
                <w:color w:val="auto"/>
              </w:rPr>
            </w:pPr>
          </w:p>
        </w:tc>
      </w:tr>
      <w:tr>
        <w:trPr>
          <w:trHeight w:val="203"/>
        </w:trPr>
        <w:tc>
          <w:tcPr>
            <w:tcW w:w="40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Sales</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6,717,521</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5,865,217</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13,467,654</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11,449,912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146050</wp:posOffset>
            </wp:positionV>
            <wp:extent cx="14141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13" w:lineRule="exact"/>
        <w:rPr>
          <w:sz w:val="20"/>
          <w:szCs w:val="20"/>
          <w:color w:val="auto"/>
        </w:rPr>
      </w:pPr>
    </w:p>
    <w:p>
      <w:pPr>
        <w:ind w:left="380" w:right="79" w:hanging="330"/>
        <w:spacing w:after="0" w:line="220" w:lineRule="auto"/>
        <w:tabs>
          <w:tab w:leader="none" w:pos="38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sales from the United States of $1.57 billion and $1.29 billion for the second quarters ended December 31, 2022, and January 1, 2022, respectively. Includes sales from the United States of $3.13 billion and $2.45 billion for the first six months of fiscal 2023 and 2022, respectively.</w:t>
      </w:r>
    </w:p>
    <w:p>
      <w:pPr>
        <w:spacing w:after="0" w:line="199" w:lineRule="exact"/>
        <w:rPr>
          <w:rFonts w:ascii="Times New Roman" w:cs="Times New Roman" w:eastAsia="Times New Roman" w:hAnsi="Times New Roman"/>
          <w:sz w:val="27"/>
          <w:szCs w:val="27"/>
          <w:color w:val="auto"/>
          <w:vertAlign w:val="superscript"/>
        </w:rPr>
      </w:pPr>
    </w:p>
    <w:p>
      <w:pPr>
        <w:jc w:val="both"/>
        <w:ind w:left="380" w:right="239" w:hanging="330"/>
        <w:spacing w:after="0" w:line="239" w:lineRule="auto"/>
        <w:tabs>
          <w:tab w:leader="none" w:pos="380"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sales from Germany and Belgium of $956.5 million and $392.7 million, respectively, for the second quarter ended December 31, 2022; and $1.86 billion and $745.0 million, respectively, for the first six months of fiscal 2023. Includes sales from Germany and Belgium of $740.0 million and $330.7 million, respectively, for the second quarter ended January 1, 2022; and $1.44 billion and $638.3 million, respectively, for the first six months of fiscal 2022.</w:t>
      </w:r>
    </w:p>
    <w:p>
      <w:pPr>
        <w:spacing w:after="0" w:line="198" w:lineRule="exact"/>
        <w:rPr>
          <w:rFonts w:ascii="Times New Roman" w:cs="Times New Roman" w:eastAsia="Times New Roman" w:hAnsi="Times New Roman"/>
          <w:sz w:val="26"/>
          <w:szCs w:val="26"/>
          <w:color w:val="auto"/>
          <w:vertAlign w:val="superscript"/>
        </w:rPr>
      </w:pPr>
    </w:p>
    <w:p>
      <w:pPr>
        <w:ind w:left="380" w:right="99" w:hanging="330"/>
        <w:spacing w:after="0" w:line="244" w:lineRule="auto"/>
        <w:tabs>
          <w:tab w:leader="none" w:pos="380"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Includes sales from China (including Hong Kong), Taiwan and Singapore of $891.5 million, $1.19 billion and $360.9 million, respectively, for the second quarter ended December 31, 2022; and $1.85 billion, $2.46 billion and $754.9 million, respectively, for the first six months of fiscal 2023. Includes sales from China (including Hong Kong), Taiwan and Singapore of $863.0 million, $1.13 billion and $323.5 million, respectively, for the second quarter ended January 1, 2022; and $1.69 billion, $2.33 billion and $587.5 million, respectively, for the first six months of fiscal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817"/>
        </w:trPr>
        <w:tc>
          <w:tcPr>
            <w:tcW w:w="1260" w:type="dxa"/>
            <w:vAlign w:val="bottom"/>
            <w:tcBorders>
              <w:top w:val="single" w:sz="8" w:color="0000EE"/>
            </w:tcBorders>
          </w:tcPr>
          <w:p>
            <w:pPr>
              <w:spacing w:after="0"/>
              <w:rPr>
                <w:sz w:val="24"/>
                <w:szCs w:val="24"/>
                <w:color w:val="auto"/>
              </w:rPr>
            </w:pPr>
          </w:p>
        </w:tc>
        <w:tc>
          <w:tcPr>
            <w:tcW w:w="504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7"/>
        </w:trPr>
        <w:tc>
          <w:tcPr>
            <w:tcW w:w="1260" w:type="dxa"/>
            <w:vAlign w:val="bottom"/>
          </w:tcPr>
          <w:p>
            <w:pPr>
              <w:spacing w:after="0"/>
              <w:rPr>
                <w:sz w:val="22"/>
                <w:szCs w:val="22"/>
                <w:color w:val="auto"/>
              </w:rPr>
            </w:pPr>
          </w:p>
        </w:tc>
        <w:tc>
          <w:tcPr>
            <w:tcW w:w="65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437"/>
        </w:trPr>
        <w:tc>
          <w:tcPr>
            <w:tcW w:w="12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2,</w:t>
            </w:r>
          </w:p>
        </w:tc>
      </w:tr>
      <w:tr>
        <w:trPr>
          <w:trHeight w:val="245"/>
        </w:trPr>
        <w:tc>
          <w:tcPr>
            <w:tcW w:w="126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3"/>
        </w:trPr>
        <w:tc>
          <w:tcPr>
            <w:tcW w:w="126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4"/>
          </w:tcPr>
          <w:p>
            <w:pPr>
              <w:jc w:val="right"/>
              <w:ind w:right="5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 by geographic area:</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30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Americas </w:t>
            </w:r>
            <w:r>
              <w:rPr>
                <w:rFonts w:ascii="Times New Roman" w:cs="Times New Roman" w:eastAsia="Times New Roman" w:hAnsi="Times New Roman"/>
                <w:sz w:val="25"/>
                <w:szCs w:val="25"/>
                <w:color w:val="auto"/>
                <w:vertAlign w:val="superscript"/>
              </w:rPr>
              <w:t>(1)</w:t>
            </w:r>
          </w:p>
        </w:tc>
        <w:tc>
          <w:tcPr>
            <w:tcW w:w="66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115,422</w:t>
            </w:r>
          </w:p>
        </w:tc>
      </w:tr>
      <w:tr>
        <w:trPr>
          <w:trHeight w:val="216"/>
        </w:trPr>
        <w:tc>
          <w:tcPr>
            <w:tcW w:w="630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 xml:space="preserve">EMEA </w:t>
            </w:r>
            <w:r>
              <w:rPr>
                <w:rFonts w:ascii="Times New Roman" w:cs="Times New Roman" w:eastAsia="Times New Roman" w:hAnsi="Times New Roman"/>
                <w:sz w:val="25"/>
                <w:szCs w:val="25"/>
                <w:color w:val="auto"/>
                <w:vertAlign w:val="superscript"/>
              </w:rPr>
              <w:t>(2)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170,128</w:t>
            </w:r>
          </w:p>
        </w:tc>
      </w:tr>
      <w:tr>
        <w:trPr>
          <w:trHeight w:val="223"/>
        </w:trPr>
        <w:tc>
          <w:tcPr>
            <w:tcW w:w="63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Asia</w:t>
            </w: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27,868</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29,654</w:t>
            </w:r>
          </w:p>
        </w:tc>
      </w:tr>
      <w:tr>
        <w:trPr>
          <w:trHeight w:val="216"/>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378,269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315,204</w:t>
            </w:r>
          </w:p>
        </w:tc>
      </w:tr>
      <w:tr>
        <w:trPr>
          <w:trHeight w:val="20"/>
        </w:trPr>
        <w:tc>
          <w:tcPr>
            <w:tcW w:w="12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145415</wp:posOffset>
            </wp:positionV>
            <wp:extent cx="14141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13" w:lineRule="exact"/>
        <w:rPr>
          <w:sz w:val="20"/>
          <w:szCs w:val="20"/>
          <w:color w:val="auto"/>
        </w:rPr>
      </w:pPr>
    </w:p>
    <w:p>
      <w:pPr>
        <w:ind w:left="380" w:right="239" w:hanging="330"/>
        <w:spacing w:after="0" w:line="208" w:lineRule="auto"/>
        <w:tabs>
          <w:tab w:leader="none" w:pos="38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property, plant and equipment, net, of $103.0 million and $112.4 million as of December 31, 2022, and July 2, 2022, respectively, in the United States.</w:t>
      </w:r>
    </w:p>
    <w:p>
      <w:pPr>
        <w:spacing w:after="0" w:line="199" w:lineRule="exact"/>
        <w:rPr>
          <w:rFonts w:ascii="Times New Roman" w:cs="Times New Roman" w:eastAsia="Times New Roman" w:hAnsi="Times New Roman"/>
          <w:sz w:val="27"/>
          <w:szCs w:val="27"/>
          <w:color w:val="auto"/>
          <w:vertAlign w:val="superscript"/>
        </w:rPr>
      </w:pPr>
    </w:p>
    <w:p>
      <w:pPr>
        <w:ind w:left="380" w:right="439" w:hanging="330"/>
        <w:spacing w:after="0" w:line="220" w:lineRule="auto"/>
        <w:tabs>
          <w:tab w:leader="none" w:pos="38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property, plant and equipment, net, of $142.6 million, $80.6 million and $16.0 million in Germany, the United Kingdom and Belgium, respectively, as of December 31, 2022; and $67.6 million, $79.8 million and $16.7 million in Germany, the United Kingdom and Belgium, respectively, as of July 2, 2022.</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Restructuring expenses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fiscal 2022 and prior, the Company incurred restructuring expenses related to various restructuring actions.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remaining restructuring liabilities established during fiscal 2022 and prior were not material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firstLine="405"/>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You can find many of these statements by looking for words like “believes,” “projected,” “plans,” “expects,” “anticipates,” “should,” “will,” “may,” “estimates,” or similar expressions in this Quarterly Report or in documents incorporated by reference in this Quarterly Report. These forward-looking statements are subject to numerous assumptions, risks, and uncertainties. The following important factors, in addition to those discussed elsewhere in this Quarterly Report, and the Company’s Annual Report on Form 10-K for the fiscal year ended July 2, 2022, and subsequent Quarterly Reports on Form 10-Q and Current Reports on Form 8-K, could affect the Company’s future results of operations, and could cause those results or other outcomes to differ materially from those expressed or implied in the forward-looking statements: geopolitical events and military conflicts; pandemics and other health-related crises, including COVID-19; competitive pressures among distributors of electronic components; an industry down-cycle in semiconductors, including supply shortages; relationships with key suppliers and allocations of products by suppliers, including increased non-cancellable/non-returnable orders; accounts receivable defaults; risks relating to the Company’s international sales and operations, including risks relating to the ability to repatriate cash, foreign currency fluctuations, inflation, duties and taxes, sanctions and trade restrictions,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military conflicts, terrorist attacks, natural and weather-related disasters, pandemics and health related crisis, warehouse modernization and relocation efforts; risks related to cyber security attacks, other privacy and security incidents, and information systems failures, including related to current or future implementations, integrations or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and legislative or regulatory changes affecting the Company’s businesses.</w:t>
      </w:r>
    </w:p>
    <w:p>
      <w:pPr>
        <w:spacing w:after="0" w:line="205" w:lineRule="exact"/>
        <w:rPr>
          <w:sz w:val="20"/>
          <w:szCs w:val="20"/>
          <w:color w:val="auto"/>
        </w:rPr>
      </w:pPr>
    </w:p>
    <w:p>
      <w:pPr>
        <w:ind w:left="60" w:right="279" w:firstLine="405"/>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119" w:firstLine="432"/>
        <w:spacing w:after="0" w:line="258" w:lineRule="auto"/>
        <w:rPr>
          <w:sz w:val="20"/>
          <w:szCs w:val="20"/>
          <w:color w:val="auto"/>
        </w:rPr>
      </w:pPr>
      <w:r>
        <w:rPr>
          <w:rFonts w:ascii="Times New Roman" w:cs="Times New Roman" w:eastAsia="Times New Roman" w:hAnsi="Times New Roman"/>
          <w:sz w:val="18"/>
          <w:szCs w:val="18"/>
          <w:color w:val="auto"/>
        </w:rPr>
        <w:t xml:space="preserve">For a description of the Company’s critical accounting policies and an understanding of Avnet and the significant factors that influenced the Company’s performance during the quarter ended December 31, 2022, this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(“MD&amp;A”) should be read in conjunction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including the related notes, appearing in Item 1 of this Quarterly Report on Form 10-Q, as well as the Company’s Annual Report on Form 10-K for the fiscal year ended July 2, 2022.</w:t>
      </w:r>
    </w:p>
    <w:p>
      <w:pPr>
        <w:spacing w:after="0" w:line="183" w:lineRule="exact"/>
        <w:rPr>
          <w:sz w:val="20"/>
          <w:szCs w:val="20"/>
          <w:color w:val="auto"/>
        </w:rPr>
      </w:pPr>
    </w:p>
    <w:p>
      <w:pPr>
        <w:ind w:left="60" w:right="139" w:firstLine="432"/>
        <w:spacing w:after="0" w:line="256" w:lineRule="auto"/>
        <w:rPr>
          <w:sz w:val="20"/>
          <w:szCs w:val="20"/>
          <w:color w:val="auto"/>
        </w:rPr>
      </w:pPr>
      <w:r>
        <w:rPr>
          <w:rFonts w:ascii="Times New Roman" w:cs="Times New Roman" w:eastAsia="Times New Roman" w:hAnsi="Times New Roman"/>
          <w:sz w:val="18"/>
          <w:szCs w:val="18"/>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Europe, the Middle East and Africa (“EMEA”) and Asia/Pacific (“Asia”), are referred to as “constant currency.”</w:t>
      </w:r>
    </w:p>
    <w:p>
      <w:pPr>
        <w:spacing w:after="0" w:line="187" w:lineRule="exact"/>
        <w:rPr>
          <w:sz w:val="20"/>
          <w:szCs w:val="20"/>
          <w:color w:val="auto"/>
        </w:rPr>
      </w:pPr>
    </w:p>
    <w:p>
      <w:pPr>
        <w:ind w:left="60" w:right="539" w:firstLine="432"/>
        <w:spacing w:after="0" w:line="312" w:lineRule="auto"/>
        <w:rPr>
          <w:sz w:val="20"/>
          <w:szCs w:val="20"/>
          <w:color w:val="auto"/>
        </w:rPr>
      </w:pPr>
      <w:r>
        <w:rPr>
          <w:rFonts w:ascii="Times New Roman" w:cs="Times New Roman" w:eastAsia="Times New Roman" w:hAnsi="Times New Roman"/>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38" w:lineRule="exact"/>
        <w:rPr>
          <w:sz w:val="20"/>
          <w:szCs w:val="20"/>
          <w:color w:val="auto"/>
        </w:rPr>
      </w:pPr>
    </w:p>
    <w:p>
      <w:pPr>
        <w:ind w:left="720" w:right="159" w:hanging="319"/>
        <w:spacing w:after="0" w:line="267"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Operating income excluding (i) restructuring, integration and other expenses, (see </w:t>
      </w:r>
      <w:r>
        <w:rPr>
          <w:rFonts w:ascii="Times New Roman" w:cs="Times New Roman" w:eastAsia="Times New Roman" w:hAnsi="Times New Roman"/>
          <w:sz w:val="18"/>
          <w:szCs w:val="18"/>
          <w:i w:val="1"/>
          <w:iCs w:val="1"/>
          <w:color w:val="auto"/>
        </w:rPr>
        <w:t>Restructuring, Integration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Expenses </w:t>
      </w:r>
      <w:r>
        <w:rPr>
          <w:rFonts w:ascii="Times New Roman" w:cs="Times New Roman" w:eastAsia="Times New Roman" w:hAnsi="Times New Roman"/>
          <w:sz w:val="18"/>
          <w:szCs w:val="18"/>
          <w:color w:val="auto"/>
        </w:rPr>
        <w:t>in this MD&amp;A) and (ii) amortization of acquired intangible assets is referred to as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income.”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reconciliation of operating income to adjusted operating income is presented in the following table:</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Second Quarters Ended</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80" w:type="dxa"/>
            <w:vAlign w:val="bottom"/>
          </w:tcPr>
          <w:p>
            <w:pPr>
              <w:spacing w:after="0"/>
              <w:rPr>
                <w:sz w:val="16"/>
                <w:szCs w:val="16"/>
                <w:color w:val="auto"/>
              </w:rPr>
            </w:pPr>
          </w:p>
        </w:tc>
        <w:tc>
          <w:tcPr>
            <w:tcW w:w="9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January 1,</w:t>
            </w:r>
          </w:p>
        </w:tc>
        <w:tc>
          <w:tcPr>
            <w:tcW w:w="20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6"/>
                <w:szCs w:val="16"/>
                <w:color w:val="auto"/>
              </w:rPr>
            </w:pPr>
          </w:p>
        </w:tc>
        <w:tc>
          <w:tcPr>
            <w:tcW w:w="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January 1,</w:t>
            </w:r>
          </w:p>
        </w:tc>
      </w:tr>
      <w:tr>
        <w:trPr>
          <w:trHeight w:val="245"/>
        </w:trPr>
        <w:tc>
          <w:tcPr>
            <w:tcW w:w="4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3"/>
        </w:trPr>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4"/>
          </w:tcPr>
          <w:p>
            <w:pPr>
              <w:jc w:val="right"/>
              <w:ind w:right="6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298,973</w:t>
            </w:r>
          </w:p>
        </w:tc>
        <w:tc>
          <w:tcPr>
            <w:tcW w:w="3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211,672</w:t>
            </w:r>
          </w:p>
        </w:tc>
        <w:tc>
          <w:tcPr>
            <w:tcW w:w="4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589,509</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379,915</w:t>
            </w: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r>
      <w:tr>
        <w:trPr>
          <w:trHeight w:val="236"/>
        </w:trPr>
        <w:tc>
          <w:tcPr>
            <w:tcW w:w="4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acquired intangible assets and other</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w:t>
            </w:r>
          </w:p>
        </w:tc>
      </w:tr>
      <w:tr>
        <w:trPr>
          <w:trHeight w:val="203"/>
        </w:trPr>
        <w:tc>
          <w:tcPr>
            <w:tcW w:w="41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Adjusted operating income</w:t>
            </w: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300,514</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215,468</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593,809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394,222</w:t>
            </w:r>
          </w:p>
        </w:tc>
      </w:tr>
      <w:tr>
        <w:trPr>
          <w:trHeight w:val="20"/>
        </w:trPr>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firstLine="432"/>
        <w:spacing w:after="0" w:line="256" w:lineRule="auto"/>
        <w:rPr>
          <w:sz w:val="20"/>
          <w:szCs w:val="20"/>
          <w:color w:val="auto"/>
        </w:rPr>
      </w:pPr>
      <w:r>
        <w:rPr>
          <w:rFonts w:ascii="Times New Roman" w:cs="Times New Roman" w:eastAsia="Times New Roman" w:hAnsi="Times New Roman"/>
          <w:sz w:val="18"/>
          <w:szCs w:val="18"/>
          <w:color w:val="auto"/>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left="60" w:right="99" w:firstLine="432"/>
        <w:spacing w:after="0" w:line="255" w:lineRule="auto"/>
        <w:rPr>
          <w:sz w:val="20"/>
          <w:szCs w:val="20"/>
          <w:color w:val="auto"/>
        </w:rPr>
      </w:pPr>
      <w:r>
        <w:rPr>
          <w:rFonts w:ascii="Times New Roman" w:cs="Times New Roman" w:eastAsia="Times New Roman" w:hAnsi="Times New Roman"/>
          <w:sz w:val="18"/>
          <w:szCs w:val="18"/>
          <w:color w:val="auto"/>
        </w:rPr>
        <w:t>Avnet, Inc. and its consolidated subsidiaries (collectively, the “Company” or “Avnet”), is a leading global technology distributor and solutions provider. Avnet has served customers’ evolving needs for an entire century. Avnet supports customers at each stage of a product’s lifecycle, from idea to design and from prototype to production. Avnet’s position at the center of the technology value chain enables it to accelerate the design and supply stages of product development so customers can realize revenue faster. Decade after decade, Avnet helps its customers and suppliers around the world realize the transformative possibilities of technology. Founded in 1921, the Company works with suppliers in every major technology segment to serve customers in more than 140 countries.</w:t>
      </w:r>
    </w:p>
    <w:p>
      <w:pPr>
        <w:spacing w:after="0" w:line="189" w:lineRule="exact"/>
        <w:rPr>
          <w:sz w:val="20"/>
          <w:szCs w:val="20"/>
          <w:color w:val="auto"/>
        </w:rPr>
      </w:pPr>
    </w:p>
    <w:p>
      <w:pPr>
        <w:ind w:left="60" w:right="239" w:firstLine="432"/>
        <w:spacing w:after="0" w:line="261" w:lineRule="auto"/>
        <w:rPr>
          <w:sz w:val="20"/>
          <w:szCs w:val="20"/>
          <w:color w:val="auto"/>
        </w:rPr>
      </w:pPr>
      <w:r>
        <w:rPr>
          <w:rFonts w:ascii="Times New Roman" w:cs="Times New Roman" w:eastAsia="Times New Roman" w:hAnsi="Times New Roman"/>
          <w:sz w:val="18"/>
          <w:szCs w:val="18"/>
          <w:color w:val="auto"/>
        </w:rPr>
        <w:t>Avnet has two primary operating groups — Electronic Components (“EC”) and Farnell (“Farnell”). Both operating groups have operations in each of the three major economic regions of the world: (i) the Americas, (ii) EMEA, and (iii) Asia. A summary of each operating group is provided in Note 13, “Segment information” to the Company’s consolidated financial statements included in this Quarterly Report on Form 10-Q.</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229" w:lineRule="exact"/>
        <w:rPr>
          <w:sz w:val="20"/>
          <w:szCs w:val="20"/>
          <w:color w:val="auto"/>
        </w:rPr>
      </w:pPr>
    </w:p>
    <w:p>
      <w:pPr>
        <w:ind w:left="60" w:right="139" w:firstLine="432"/>
        <w:spacing w:after="0" w:line="266" w:lineRule="auto"/>
        <w:rPr>
          <w:sz w:val="20"/>
          <w:szCs w:val="20"/>
          <w:color w:val="auto"/>
        </w:rPr>
      </w:pPr>
      <w:r>
        <w:rPr>
          <w:rFonts w:ascii="Times New Roman" w:cs="Times New Roman" w:eastAsia="Times New Roman" w:hAnsi="Times New Roman"/>
          <w:sz w:val="18"/>
          <w:szCs w:val="18"/>
          <w:color w:val="auto"/>
        </w:rPr>
        <w:t>Sales of $6.72 billion in the second quarter of fiscal 2023 were 14.5% higher than the prior year second quarter sales of $5.87 billion. Excluding the impact of changes in foreign currency, sales increased 21.1% as compared to sales in the prior year second quarter.</w:t>
      </w:r>
    </w:p>
    <w:p>
      <w:pPr>
        <w:spacing w:after="0" w:line="176" w:lineRule="exact"/>
        <w:rPr>
          <w:sz w:val="20"/>
          <w:szCs w:val="20"/>
          <w:color w:val="auto"/>
        </w:rPr>
      </w:pPr>
    </w:p>
    <w:p>
      <w:pPr>
        <w:ind w:left="60" w:right="119" w:firstLine="432"/>
        <w:spacing w:after="0" w:line="282" w:lineRule="auto"/>
        <w:rPr>
          <w:sz w:val="20"/>
          <w:szCs w:val="20"/>
          <w:color w:val="auto"/>
        </w:rPr>
      </w:pPr>
      <w:r>
        <w:rPr>
          <w:rFonts w:ascii="Times New Roman" w:cs="Times New Roman" w:eastAsia="Times New Roman" w:hAnsi="Times New Roman"/>
          <w:sz w:val="18"/>
          <w:szCs w:val="18"/>
          <w:color w:val="auto"/>
        </w:rPr>
        <w:t>Gross profit margin of 11.7% decreased 49 basis points compared to 12.2% in the second quarter of fiscal 2022. This decrease is primarily due to differences in product and customer sales mix.</w:t>
      </w:r>
    </w:p>
    <w:p>
      <w:pPr>
        <w:spacing w:after="0" w:line="162" w:lineRule="exact"/>
        <w:rPr>
          <w:sz w:val="20"/>
          <w:szCs w:val="20"/>
          <w:color w:val="auto"/>
        </w:rPr>
      </w:pPr>
    </w:p>
    <w:p>
      <w:pPr>
        <w:ind w:left="60" w:right="399" w:firstLine="432"/>
        <w:spacing w:after="0" w:line="258" w:lineRule="auto"/>
        <w:rPr>
          <w:sz w:val="20"/>
          <w:szCs w:val="20"/>
          <w:color w:val="auto"/>
        </w:rPr>
      </w:pPr>
      <w:r>
        <w:rPr>
          <w:rFonts w:ascii="Times New Roman" w:cs="Times New Roman" w:eastAsia="Times New Roman" w:hAnsi="Times New Roman"/>
          <w:sz w:val="18"/>
          <w:szCs w:val="18"/>
          <w:color w:val="auto"/>
        </w:rPr>
        <w:t>Operating income of $299.0 million was $87.3 million higher than the second quarter of fiscal 2022. Operating income margin was 4.5% in the second quarter of fiscal 2023, as compared to 3.6% in the prior year second quarter. Adjusted operating income margin was 4.5% in the second quarter of fiscal 2023 as compared to 3.7% in the second quarter of fiscal 2022, an increase of 80 basis points. The increase in adjusted operating income margin is primarily the result of the increase in sales and the operating leverage realized from those higher sales.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16" w:lineRule="exact"/>
        <w:rPr>
          <w:sz w:val="20"/>
          <w:szCs w:val="20"/>
          <w:color w:val="auto"/>
        </w:rPr>
      </w:pPr>
    </w:p>
    <w:p>
      <w:pPr>
        <w:ind w:left="60" w:right="239" w:firstLine="427"/>
        <w:spacing w:after="0" w:line="266" w:lineRule="auto"/>
        <w:rPr>
          <w:sz w:val="20"/>
          <w:szCs w:val="20"/>
          <w:color w:val="auto"/>
        </w:rPr>
      </w:pPr>
      <w:r>
        <w:rPr>
          <w:rFonts w:ascii="Times New Roman" w:cs="Times New Roman" w:eastAsia="Times New Roman" w:hAnsi="Times New Roman"/>
          <w:sz w:val="18"/>
          <w:szCs w:val="18"/>
          <w:color w:val="auto"/>
        </w:rPr>
        <w:t>The following table presents sales growth rates for the second quarter and six months of fiscal 2023 as compared to fiscal 2022 by geographic region and by operating group.</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18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80" w:type="dxa"/>
            <w:vAlign w:val="bottom"/>
          </w:tcPr>
          <w:p>
            <w:pPr>
              <w:spacing w:after="0"/>
              <w:rPr>
                <w:sz w:val="21"/>
                <w:szCs w:val="21"/>
                <w:color w:val="auto"/>
              </w:rPr>
            </w:pPr>
          </w:p>
        </w:tc>
        <w:tc>
          <w:tcPr>
            <w:tcW w:w="186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1"/>
        </w:trPr>
        <w:tc>
          <w:tcPr>
            <w:tcW w:w="5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8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r>
      <w:tr>
        <w:trPr>
          <w:trHeight w:val="216"/>
        </w:trPr>
        <w:tc>
          <w:tcPr>
            <w:tcW w:w="5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Year-Year %</w:t>
            </w:r>
          </w:p>
        </w:tc>
        <w:tc>
          <w:tcPr>
            <w:tcW w:w="8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Year-Year %</w:t>
            </w:r>
          </w:p>
        </w:tc>
      </w:tr>
      <w:tr>
        <w:trPr>
          <w:trHeight w:val="216"/>
        </w:trPr>
        <w:tc>
          <w:tcPr>
            <w:tcW w:w="5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w:t>
            </w:r>
          </w:p>
        </w:tc>
      </w:tr>
      <w:tr>
        <w:trPr>
          <w:trHeight w:val="216"/>
        </w:trPr>
        <w:tc>
          <w:tcPr>
            <w:tcW w:w="5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Year-Year</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Constant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Year-Year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Constant</w:t>
            </w:r>
          </w:p>
        </w:tc>
      </w:tr>
      <w:tr>
        <w:trPr>
          <w:trHeight w:val="245"/>
        </w:trPr>
        <w:tc>
          <w:tcPr>
            <w:tcW w:w="52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r>
      <w:tr>
        <w:trPr>
          <w:trHeight w:val="216"/>
        </w:trPr>
        <w:tc>
          <w:tcPr>
            <w:tcW w:w="52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Avnet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10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24.9 %</w:t>
            </w: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Avnet by region</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26.8 %</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26.8 %</w:t>
            </w: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18"/>
                <w:szCs w:val="18"/>
                <w:color w:val="auto"/>
              </w:rPr>
            </w:pPr>
          </w:p>
        </w:tc>
        <w:tc>
          <w:tcPr>
            <w:tcW w:w="840" w:type="dxa"/>
            <w:vAlign w:val="bottom"/>
          </w:tcPr>
          <w:p>
            <w:pPr>
              <w:jc w:val="right"/>
              <w:ind w:right="155"/>
              <w:spacing w:after="0"/>
              <w:rPr>
                <w:sz w:val="20"/>
                <w:szCs w:val="20"/>
                <w:color w:val="auto"/>
              </w:rPr>
            </w:pPr>
            <w:r>
              <w:rPr>
                <w:rFonts w:ascii="Times New Roman" w:cs="Times New Roman" w:eastAsia="Times New Roman" w:hAnsi="Times New Roman"/>
                <w:sz w:val="16"/>
                <w:szCs w:val="16"/>
                <w:color w:val="auto"/>
              </w:rPr>
              <w:t>22.2</w:t>
            </w: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6"/>
                <w:szCs w:val="16"/>
                <w:color w:val="auto"/>
              </w:rPr>
              <w:t>39.9</w:t>
            </w: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6"/>
                <w:szCs w:val="16"/>
                <w:color w:val="auto"/>
              </w:rPr>
              <w:t>9.8</w:t>
            </w:r>
          </w:p>
        </w:tc>
        <w:tc>
          <w:tcPr>
            <w:tcW w:w="10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6"/>
                <w:szCs w:val="16"/>
                <w:color w:val="auto"/>
              </w:rPr>
              <w:t>13.4</w:t>
            </w: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Avnet by operating group</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EC</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27.0 %</w:t>
            </w:r>
          </w:p>
        </w:tc>
      </w:tr>
      <w:tr>
        <w:trPr>
          <w:trHeight w:val="234"/>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Farnell</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6"/>
                <w:szCs w:val="16"/>
                <w:color w:val="auto"/>
              </w:rPr>
              <w:t>(6.9)</w:t>
            </w: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6"/>
                <w:szCs w:val="16"/>
                <w:color w:val="auto"/>
              </w:rPr>
              <w:t>0.8</w:t>
            </w:r>
          </w:p>
        </w:tc>
      </w:tr>
    </w:tbl>
    <w:p>
      <w:pPr>
        <w:spacing w:after="0" w:line="179" w:lineRule="exact"/>
        <w:rPr>
          <w:sz w:val="20"/>
          <w:szCs w:val="20"/>
          <w:color w:val="auto"/>
        </w:rPr>
      </w:pPr>
    </w:p>
    <w:p>
      <w:pPr>
        <w:jc w:val="both"/>
        <w:ind w:left="60" w:right="339" w:firstLine="427"/>
        <w:spacing w:after="0" w:line="289" w:lineRule="auto"/>
        <w:rPr>
          <w:sz w:val="20"/>
          <w:szCs w:val="20"/>
          <w:color w:val="auto"/>
        </w:rPr>
      </w:pPr>
      <w:r>
        <w:rPr>
          <w:rFonts w:ascii="Times New Roman" w:cs="Times New Roman" w:eastAsia="Times New Roman" w:hAnsi="Times New Roman"/>
          <w:sz w:val="17"/>
          <w:szCs w:val="17"/>
          <w:color w:val="auto"/>
        </w:rPr>
        <w:t>Sales of $6.72 billion for the second quarter of fiscal 2023 were up $852.3 million, or 14.5%, from the prior year second quarter sales of $5.87 billion. Sales in constant currency in the second quarter of fiscal 2023 increased by 21.1% year over year, reflecting sales growth across all regions driven by continued strong demand for electronic components.</w:t>
      </w:r>
    </w:p>
    <w:p>
      <w:pPr>
        <w:spacing w:after="0" w:line="158" w:lineRule="exact"/>
        <w:rPr>
          <w:sz w:val="20"/>
          <w:szCs w:val="20"/>
          <w:color w:val="auto"/>
        </w:rPr>
      </w:pPr>
    </w:p>
    <w:p>
      <w:pPr>
        <w:ind w:left="60" w:right="119" w:firstLine="427"/>
        <w:spacing w:after="0" w:line="261" w:lineRule="auto"/>
        <w:rPr>
          <w:sz w:val="20"/>
          <w:szCs w:val="20"/>
          <w:color w:val="auto"/>
        </w:rPr>
      </w:pPr>
      <w:r>
        <w:rPr>
          <w:rFonts w:ascii="Times New Roman" w:cs="Times New Roman" w:eastAsia="Times New Roman" w:hAnsi="Times New Roman"/>
          <w:sz w:val="18"/>
          <w:szCs w:val="18"/>
          <w:color w:val="auto"/>
        </w:rPr>
        <w:t>EC sales of $6.31 billion in the second quarter of fiscal 2023 increased $885.1 million or 16.3% from the prior year second quarter sales of $5.42 billion. EC sales increased 22.8% year over year in constant currency, reflecting sales growth in all three regions. The increase in sales in the Company’s EC operating group is primarily due to overall stronger market demand for electronic components, including in the transportation, industrial and aerospace and defense sectors.</w:t>
      </w:r>
    </w:p>
    <w:p>
      <w:pPr>
        <w:spacing w:after="0" w:line="180" w:lineRule="exact"/>
        <w:rPr>
          <w:sz w:val="20"/>
          <w:szCs w:val="20"/>
          <w:color w:val="auto"/>
        </w:rPr>
      </w:pPr>
    </w:p>
    <w:p>
      <w:pPr>
        <w:ind w:left="60" w:right="159" w:firstLine="427"/>
        <w:spacing w:after="0" w:line="266" w:lineRule="auto"/>
        <w:rPr>
          <w:sz w:val="20"/>
          <w:szCs w:val="20"/>
          <w:color w:val="auto"/>
        </w:rPr>
      </w:pPr>
      <w:r>
        <w:rPr>
          <w:rFonts w:ascii="Times New Roman" w:cs="Times New Roman" w:eastAsia="Times New Roman" w:hAnsi="Times New Roman"/>
          <w:sz w:val="18"/>
          <w:szCs w:val="18"/>
          <w:color w:val="auto"/>
        </w:rPr>
        <w:t>Farnell sales for the second quarter of fiscal 2023 were $408.0 million, a decrease of $32.8 million or 7.5% from the prior year second quarter sales of $440.9 million primarily as a result of supply constraints of certain single board computers and from foreign currency translation.</w:t>
      </w:r>
    </w:p>
    <w:p>
      <w:pPr>
        <w:spacing w:after="0" w:line="176" w:lineRule="exact"/>
        <w:rPr>
          <w:sz w:val="20"/>
          <w:szCs w:val="20"/>
          <w:color w:val="auto"/>
        </w:rPr>
      </w:pPr>
    </w:p>
    <w:p>
      <w:pPr>
        <w:ind w:left="60" w:right="219" w:firstLine="427"/>
        <w:spacing w:after="0" w:line="282" w:lineRule="auto"/>
        <w:rPr>
          <w:sz w:val="20"/>
          <w:szCs w:val="20"/>
          <w:color w:val="auto"/>
        </w:rPr>
      </w:pPr>
      <w:r>
        <w:rPr>
          <w:rFonts w:ascii="Times New Roman" w:cs="Times New Roman" w:eastAsia="Times New Roman" w:hAnsi="Times New Roman"/>
          <w:sz w:val="18"/>
          <w:szCs w:val="18"/>
          <w:color w:val="auto"/>
        </w:rPr>
        <w:t>Sales for the first six months of fiscal 2023 were $13.47 billion, an increase of $2.02 billion as compared to sales of $11.45 billion for the first six months of fiscal 2022 driven by strong demand across all regions.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ind w:left="60" w:right="179" w:firstLine="432"/>
        <w:spacing w:after="0" w:line="261" w:lineRule="auto"/>
        <w:rPr>
          <w:sz w:val="20"/>
          <w:szCs w:val="20"/>
          <w:color w:val="auto"/>
        </w:rPr>
      </w:pPr>
      <w:r>
        <w:rPr>
          <w:rFonts w:ascii="Times New Roman" w:cs="Times New Roman" w:eastAsia="Times New Roman" w:hAnsi="Times New Roman"/>
          <w:sz w:val="18"/>
          <w:szCs w:val="18"/>
          <w:color w:val="auto"/>
        </w:rPr>
        <w:t>Gross profit for the second quarter of fiscal 2023 was $784.1 million, an increase of $71.1 million, or 10.0%, from the second quarter of fiscal 2022 gross profit of $713.0 million. Gross profit margin decreased to 11.7% or 49 basis points from the second quarter of fiscal 2022 gross profit margin of 12.2%, primarily due to differences in product and customer sales mix.</w:t>
      </w:r>
    </w:p>
    <w:p>
      <w:pPr>
        <w:spacing w:after="0" w:line="180" w:lineRule="exact"/>
        <w:rPr>
          <w:sz w:val="20"/>
          <w:szCs w:val="20"/>
          <w:color w:val="auto"/>
        </w:rPr>
      </w:pPr>
    </w:p>
    <w:p>
      <w:pPr>
        <w:ind w:left="60" w:right="139" w:firstLine="432"/>
        <w:spacing w:after="0" w:line="282" w:lineRule="auto"/>
        <w:rPr>
          <w:sz w:val="20"/>
          <w:szCs w:val="20"/>
          <w:color w:val="auto"/>
        </w:rPr>
      </w:pPr>
      <w:r>
        <w:rPr>
          <w:rFonts w:ascii="Times New Roman" w:cs="Times New Roman" w:eastAsia="Times New Roman" w:hAnsi="Times New Roman"/>
          <w:sz w:val="18"/>
          <w:szCs w:val="18"/>
          <w:color w:val="auto"/>
        </w:rPr>
        <w:t>Gross profit and gross profit margin was $1.55 billion and 11.5%, respectively, for the first six months of fiscal 2023 as compared with $1.37 billion and 12.0%, respectively, for the first six months of fiscal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sz w:val="20"/>
          <w:szCs w:val="20"/>
          <w:color w:val="auto"/>
        </w:rPr>
      </w:pPr>
    </w:p>
    <w:p>
      <w:pPr>
        <w:ind w:left="60" w:right="99" w:firstLine="432"/>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(“SG&amp;A expenses”) were $485.1 million in the second quarter of fiscal 2023, a decrease of $16.2 million, or 3.2%, from the second quarter of fiscal 2022. The year-over-year decrease in SG&amp;A expenses was primarily a result of foreign currency translation from the strengthening of the U.S. Dollar, partially offset by increases in SG&amp;A primarily to support increased sales volumes.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439" w:firstLine="427"/>
        <w:spacing w:after="0" w:line="276" w:lineRule="auto"/>
        <w:rPr>
          <w:sz w:val="20"/>
          <w:szCs w:val="20"/>
          <w:color w:val="auto"/>
        </w:rPr>
      </w:pPr>
      <w:r>
        <w:rPr>
          <w:rFonts w:ascii="Times New Roman" w:cs="Times New Roman" w:eastAsia="Times New Roman" w:hAnsi="Times New Roman"/>
          <w:sz w:val="17"/>
          <w:szCs w:val="17"/>
          <w:color w:val="auto"/>
        </w:rPr>
        <w:t>Metrics that management monitors with respect to its operating expenses are SG&amp;A expenses as a percentage of sales and as a percentage of gross profit. In the second quarter of fiscal 2023, SG&amp;A expenses were 7.2% of sales and</w:t>
      </w:r>
    </w:p>
    <w:p>
      <w:pPr>
        <w:spacing w:after="0" w:line="1" w:lineRule="exact"/>
        <w:rPr>
          <w:sz w:val="20"/>
          <w:szCs w:val="20"/>
          <w:color w:val="auto"/>
        </w:rPr>
      </w:pPr>
    </w:p>
    <w:p>
      <w:pPr>
        <w:jc w:val="both"/>
        <w:ind w:left="60" w:right="219"/>
        <w:spacing w:after="0" w:line="255" w:lineRule="auto"/>
        <w:rPr>
          <w:sz w:val="20"/>
          <w:szCs w:val="20"/>
          <w:color w:val="auto"/>
        </w:rPr>
      </w:pPr>
      <w:r>
        <w:rPr>
          <w:rFonts w:ascii="Times New Roman" w:cs="Times New Roman" w:eastAsia="Times New Roman" w:hAnsi="Times New Roman"/>
          <w:sz w:val="18"/>
          <w:szCs w:val="18"/>
          <w:color w:val="auto"/>
        </w:rPr>
        <w:t>61.9% of gross profit, as compared with 8.6% and 70.3%, respectively, in the second quarter of fiscal 2022. The decrease in SG&amp;A expenses as a percentage of sales and gross profit primarily results from operating leverage created from higher sales without a significant increase in SG&amp;A expenses.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SG&amp;A expenses for the first six months of fiscal 2023 were $962.8 million, or 7.1% of sales, as compared 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$987.5 million, or 8.6% of sales, in the first six months of fiscal 2022. SG&amp;A expenses as a percentage of gross profit for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first six months of fiscal 2023 were 62.0% as compared with 71.9% in the first six months of fiscal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29" w:lineRule="exact"/>
        <w:rPr>
          <w:sz w:val="20"/>
          <w:szCs w:val="20"/>
          <w:color w:val="auto"/>
        </w:rPr>
      </w:pPr>
    </w:p>
    <w:p>
      <w:pPr>
        <w:ind w:left="60" w:right="359" w:firstLine="427"/>
        <w:spacing w:after="0" w:line="258" w:lineRule="auto"/>
        <w:rPr>
          <w:sz w:val="20"/>
          <w:szCs w:val="20"/>
          <w:color w:val="auto"/>
        </w:rPr>
      </w:pPr>
      <w:r>
        <w:rPr>
          <w:rFonts w:ascii="Times New Roman" w:cs="Times New Roman" w:eastAsia="Times New Roman" w:hAnsi="Times New Roman"/>
          <w:sz w:val="18"/>
          <w:szCs w:val="18"/>
          <w:color w:val="auto"/>
        </w:rPr>
        <w:t>Operating income for the second quarter of fiscal 2023 was $299.0 million, an increase of $87.3 million, from the second quarter of fiscal 2022 operating income of $211.7 million. The year-over-year increase in operating income was primarily driven by the increase in sales and lower SG&amp;A expenses, partially offset by a decline in gross profit margin. Adjusted operating income for the second quarter of fiscal 2023 was $300.5 million, an increase of $85.0 million, or 39.5%, from the second quarter of fiscal 2022.</w:t>
      </w:r>
    </w:p>
    <w:p>
      <w:pPr>
        <w:spacing w:after="0" w:line="183" w:lineRule="exact"/>
        <w:rPr>
          <w:sz w:val="20"/>
          <w:szCs w:val="20"/>
          <w:color w:val="auto"/>
        </w:rPr>
      </w:pPr>
    </w:p>
    <w:p>
      <w:pPr>
        <w:ind w:left="60" w:right="139" w:firstLine="427"/>
        <w:spacing w:after="0" w:line="258" w:lineRule="auto"/>
        <w:rPr>
          <w:sz w:val="20"/>
          <w:szCs w:val="20"/>
          <w:color w:val="auto"/>
        </w:rPr>
      </w:pPr>
      <w:r>
        <w:rPr>
          <w:rFonts w:ascii="Times New Roman" w:cs="Times New Roman" w:eastAsia="Times New Roman" w:hAnsi="Times New Roman"/>
          <w:sz w:val="18"/>
          <w:szCs w:val="18"/>
          <w:color w:val="auto"/>
        </w:rPr>
        <w:t>EC operating income margin increased 122 basis points year over year to 4.7% and Farnell operating income margin decreased 461 basis points year over year to 9.0%. EC’s improvement in operating income margin is a result of increased sales and lower overall SG&amp;A expenses year over year, partially offset by a lower gross profit margin. The decrease in operating income margin at Farnell is primarily driven by a combination of lower sales and a lower gross profit margin, partially offset by lower operating expenses.</w:t>
      </w:r>
    </w:p>
    <w:p>
      <w:pPr>
        <w:spacing w:after="0" w:line="183" w:lineRule="exact"/>
        <w:rPr>
          <w:sz w:val="20"/>
          <w:szCs w:val="20"/>
          <w:color w:val="auto"/>
        </w:rPr>
      </w:pPr>
    </w:p>
    <w:p>
      <w:pPr>
        <w:ind w:left="60" w:right="199" w:firstLine="427"/>
        <w:spacing w:after="0" w:line="258" w:lineRule="auto"/>
        <w:rPr>
          <w:sz w:val="20"/>
          <w:szCs w:val="20"/>
          <w:color w:val="auto"/>
        </w:rPr>
      </w:pPr>
      <w:r>
        <w:rPr>
          <w:rFonts w:ascii="Times New Roman" w:cs="Times New Roman" w:eastAsia="Times New Roman" w:hAnsi="Times New Roman"/>
          <w:sz w:val="18"/>
          <w:szCs w:val="18"/>
          <w:color w:val="auto"/>
        </w:rPr>
        <w:t>Operating income for the first six months of fiscal 2023 was $589.5 million, an increase of $209.6 million, from the first six months of fiscal 2022 operating income of $379.9 million. The year-over-year increase in operating income was primarily driven by the increase in sales and lower SG&amp;A expenses, partially offset by a lower gross profit margin. Adjusted operating income for the first six months of fiscal 2023 was $593.8 million, an increase of $199.6 million, or 50.6%, from the first six months of fiscal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and Other Financing Expenses, Net</w:t>
      </w:r>
    </w:p>
    <w:p>
      <w:pPr>
        <w:spacing w:after="0" w:line="229" w:lineRule="exact"/>
        <w:rPr>
          <w:sz w:val="20"/>
          <w:szCs w:val="20"/>
          <w:color w:val="auto"/>
        </w:rPr>
      </w:pPr>
    </w:p>
    <w:p>
      <w:pPr>
        <w:ind w:left="60" w:right="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Interest and other financing expenses in the second quarter of fiscal 2023 was $59.0 million, an increase of $37.4 million, as compared with interest and other financing expenses of $21.6 million in the second quarter of fiscal 2022. Interest and other financing expenses in the first six months of fiscal 2023 was $104.1 million, an increase of $59.6 million, as compared with interest and other financing expenses of $44.5 million in the first six months of fiscal 2022. </w:t>
      </w:r>
      <w:r>
        <w:rPr>
          <w:rFonts w:ascii="Times New Roman" w:cs="Times New Roman" w:eastAsia="Times New Roman" w:hAnsi="Times New Roman"/>
          <w:sz w:val="18"/>
          <w:szCs w:val="18"/>
          <w:color w:val="252525"/>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increases in interest and other financing expenses in the second quarter and first six months of fiscal 2023 compared to the second quarter and first six months of fiscal 2022 is primarily a result of higher outstanding borrowings and increases in average borrowing rates during the first six months of fiscal 2023 as compared to the first six months of fiscal 2022.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52525"/>
        </w:rPr>
        <w:t>Gain on Legal Settlement</w:t>
      </w:r>
    </w:p>
    <w:p>
      <w:pPr>
        <w:spacing w:after="0" w:line="229" w:lineRule="exact"/>
        <w:rPr>
          <w:sz w:val="20"/>
          <w:szCs w:val="20"/>
          <w:color w:val="auto"/>
        </w:rPr>
      </w:pPr>
    </w:p>
    <w:p>
      <w:pPr>
        <w:jc w:val="both"/>
        <w:ind w:left="60" w:right="219" w:firstLine="432"/>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2023, the Company recorded a gain on legal settlement of $61.7 million before tax, $47.2 million after tax and $0.51 per share on a diluted basis in connection with the settlement of claims filed against certain manufacturers of capacitors.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ind w:left="60" w:right="199" w:firstLine="427"/>
        <w:spacing w:after="0" w:line="266" w:lineRule="auto"/>
        <w:rPr>
          <w:sz w:val="20"/>
          <w:szCs w:val="20"/>
          <w:color w:val="auto"/>
        </w:rPr>
      </w:pPr>
      <w:r>
        <w:rPr>
          <w:rFonts w:ascii="Times New Roman" w:cs="Times New Roman" w:eastAsia="Times New Roman" w:hAnsi="Times New Roman"/>
          <w:sz w:val="18"/>
          <w:szCs w:val="18"/>
          <w:color w:val="auto"/>
        </w:rPr>
        <w:t>The Company’s effective tax rate on its income before taxes was 19.5% in the second quarter of fiscal 2023. During the second quarter of fiscal 2023, the Company’s effective tax rate was favorably impacted primarily by (i) decreases to unrecognized tax benefit reserves, partially offset by (ii) the mix of income in higher tax jurisdictions.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second quarter of fiscal 2022, the Company’s effective tax rate on its income before taxes was 21.4%.</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second quarter of fiscal 2022, there were no individual items impacting the Company’s effective tax rate.</w:t>
      </w:r>
    </w:p>
    <w:p>
      <w:pPr>
        <w:spacing w:after="0" w:line="207" w:lineRule="exact"/>
        <w:rPr>
          <w:sz w:val="20"/>
          <w:szCs w:val="20"/>
          <w:color w:val="auto"/>
        </w:rPr>
      </w:pPr>
    </w:p>
    <w:p>
      <w:pPr>
        <w:ind w:left="60" w:right="259" w:firstLine="427"/>
        <w:spacing w:after="0" w:line="266" w:lineRule="auto"/>
        <w:rPr>
          <w:sz w:val="20"/>
          <w:szCs w:val="20"/>
          <w:color w:val="auto"/>
        </w:rPr>
      </w:pPr>
      <w:r>
        <w:rPr>
          <w:rFonts w:ascii="Times New Roman" w:cs="Times New Roman" w:eastAsia="Times New Roman" w:hAnsi="Times New Roman"/>
          <w:sz w:val="18"/>
          <w:szCs w:val="18"/>
          <w:color w:val="auto"/>
        </w:rPr>
        <w:t>For the first six months of fiscal 2023, the Company’s effective tax rate on its income before taxes was 22.0%. The effective tax rate for the first six months of fiscal 2023 was unfavorably impacted primarily by (i) the mix of income in higher tax jurisdictions, partially offset by (ii) decreases to unrecognized tax benefit reserves.</w:t>
      </w:r>
    </w:p>
    <w:p>
      <w:pPr>
        <w:spacing w:after="0" w:line="176" w:lineRule="exact"/>
        <w:rPr>
          <w:sz w:val="20"/>
          <w:szCs w:val="20"/>
          <w:color w:val="auto"/>
        </w:rPr>
      </w:pPr>
    </w:p>
    <w:p>
      <w:pPr>
        <w:ind w:left="60" w:right="239" w:firstLine="427"/>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2022, the Company’s effective tax rate on its income before taxes was 22.2%. The effective tax rate for the first six months of fiscal 2022 was unfavorably impacted primarily by increases to valuation allowances.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ind w:left="60" w:right="259" w:firstLine="427"/>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in the preceding sections of this MD&amp;A, the Company’s net income for the second quarter of fiscal 2023 was $243.9 million, or $2.63 per share on a diluted basis, as compared with $150.8 million, or $1.50 per share on a diluted basis, in the second quarter of fiscal 2022.</w:t>
      </w:r>
    </w:p>
    <w:p>
      <w:pPr>
        <w:spacing w:after="0" w:line="176" w:lineRule="exact"/>
        <w:rPr>
          <w:sz w:val="20"/>
          <w:szCs w:val="20"/>
          <w:color w:val="auto"/>
        </w:rPr>
      </w:pPr>
    </w:p>
    <w:p>
      <w:pPr>
        <w:jc w:val="both"/>
        <w:ind w:left="60" w:right="239" w:firstLine="427"/>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in the preceding sections of this MD&amp;A, the Company’s net income for the first six months of fiscal 2023 was $428.1 million, or $4.55 per share on a diluted basis, as compared with $262.1 million, or $2.60 per share on a diluted basis, in the first six months of fiscal 2022.</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 from Operating Activities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first six months of fiscal 2023, the Company used $966.5 million of cash flow for operations compared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$263.2 million of cash used for operations in the first six months of fiscal 2022. These operating cash flows were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comprised of: (i) cash flow generated from net income, adjusted for the impact of non-cash and other items, which includes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expenses, deferred income taxes, stock-based compensation expense, amortization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lease assets, and other non-cash items, and (ii) cash flows used for working capital and other, excluding cash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equivalents. Cash used for working capital and other was $1.48 billion during the first six months of fiscal 2023,</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including increases in accounts receivable of $469.7 million, and in inventories of $686.9 million both to support sales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growth in the first six months of fiscal 2023, and a decrease in accounts payable of $341.2 million, partially offset by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in accrued expenses and other of $20.0 million. Comparatively, cash used for working capital and other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$631.0 million during the first six months of fiscal 2022, including increases in accounts receivable of $558.7 million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inventories of $359.8 million, and a decrease in accrued expenses and other of $41.1 million, partially offset by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in accounts payable of $328.6 million. Included in accrued liabilities and other, net is $51.2 million of cash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received from a gain on legal settlements.</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227" w:lineRule="exact"/>
        <w:rPr>
          <w:sz w:val="20"/>
          <w:szCs w:val="20"/>
          <w:color w:val="auto"/>
        </w:rPr>
      </w:pPr>
    </w:p>
    <w:p>
      <w:pPr>
        <w:ind w:left="60" w:right="79" w:firstLine="432"/>
        <w:spacing w:after="0" w:line="261" w:lineRule="auto"/>
        <w:rPr>
          <w:sz w:val="20"/>
          <w:szCs w:val="20"/>
          <w:color w:val="auto"/>
        </w:rPr>
      </w:pPr>
      <w:r>
        <w:rPr>
          <w:rFonts w:ascii="Times New Roman" w:cs="Times New Roman" w:eastAsia="Times New Roman" w:hAnsi="Times New Roman"/>
          <w:sz w:val="18"/>
          <w:szCs w:val="18"/>
          <w:color w:val="auto"/>
        </w:rPr>
        <w:t>During the first six months of fiscal 2023, the Company received net proceeds of $1.13 billion and $352.2 million under the Credit Facility and the Securitization Program, respectively, and $47.7 million under other short-term debt. During the first six months of fiscal 2023, the Company paid dividends on common stock of $53.3 million and repurchased $221.3 million of common stock.</w:t>
      </w:r>
    </w:p>
    <w:p>
      <w:pPr>
        <w:spacing w:after="0" w:line="180" w:lineRule="exact"/>
        <w:rPr>
          <w:sz w:val="20"/>
          <w:szCs w:val="20"/>
          <w:color w:val="auto"/>
        </w:rPr>
      </w:pPr>
    </w:p>
    <w:p>
      <w:pPr>
        <w:ind w:left="60" w:right="679" w:firstLine="432"/>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2022, the Company received net proceeds of $190.4 million under the Securitization Program, and $109.7 million under the Credit Facility. During the first six months of fiscal 2022, the Company paid dividends on common stock of $47.6 million and repurchased $45.6 million of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Cash Flow from Investing Activities</w:t>
      </w:r>
    </w:p>
    <w:p>
      <w:pPr>
        <w:spacing w:after="0" w:line="227" w:lineRule="exact"/>
        <w:rPr>
          <w:sz w:val="20"/>
          <w:szCs w:val="20"/>
          <w:color w:val="auto"/>
        </w:rPr>
      </w:pPr>
    </w:p>
    <w:p>
      <w:pPr>
        <w:ind w:left="60" w:right="79" w:firstLine="432"/>
        <w:spacing w:after="0" w:line="261" w:lineRule="auto"/>
        <w:rPr>
          <w:sz w:val="20"/>
          <w:szCs w:val="20"/>
          <w:color w:val="auto"/>
        </w:rPr>
      </w:pPr>
      <w:r>
        <w:rPr>
          <w:rFonts w:ascii="Times New Roman" w:cs="Times New Roman" w:eastAsia="Times New Roman" w:hAnsi="Times New Roman"/>
          <w:sz w:val="18"/>
          <w:szCs w:val="18"/>
          <w:color w:val="auto"/>
        </w:rPr>
        <w:t>During the first six months of fiscal 2023, the Company used $111.4 million for capital expenditures primarily to support a new warehouse being built in EMEA as compared to $22.1 million for capital expenditures in the first six months of fiscal 2022. Included in other, net during the first six months of fiscal 2023 is $23.5 million used for other investing activities.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0" w:right="99" w:firstLine="432"/>
        <w:spacing w:after="0" w:line="258" w:lineRule="auto"/>
        <w:rPr>
          <w:sz w:val="20"/>
          <w:szCs w:val="20"/>
          <w:color w:val="auto"/>
        </w:rPr>
      </w:pPr>
      <w:r>
        <w:rPr>
          <w:rFonts w:ascii="Times New Roman" w:cs="Times New Roman" w:eastAsia="Times New Roman" w:hAnsi="Times New Roman"/>
          <w:sz w:val="18"/>
          <w:szCs w:val="18"/>
          <w:color w:val="auto"/>
        </w:rPr>
        <w:t xml:space="preserve">For a detailed description of the Company’s long-term debt and lease commitments for the next five years and thereafter, see </w:t>
      </w:r>
      <w:r>
        <w:rPr>
          <w:rFonts w:ascii="Times New Roman" w:cs="Times New Roman" w:eastAsia="Times New Roman" w:hAnsi="Times New Roman"/>
          <w:sz w:val="18"/>
          <w:szCs w:val="18"/>
          <w:i w:val="1"/>
          <w:iCs w:val="1"/>
          <w:color w:val="auto"/>
        </w:rPr>
        <w:t>Long-Term Contractual Obligations</w:t>
      </w:r>
      <w:r>
        <w:rPr>
          <w:rFonts w:ascii="Times New Roman" w:cs="Times New Roman" w:eastAsia="Times New Roman" w:hAnsi="Times New Roman"/>
          <w:sz w:val="18"/>
          <w:szCs w:val="18"/>
          <w:color w:val="auto"/>
        </w:rPr>
        <w:t xml:space="preserve"> appearing in Item 7 of the Company’s Annual Report on Form 10-K for the fiscal year ended July 2, 2022. There are no 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229" w:lineRule="exact"/>
        <w:rPr>
          <w:sz w:val="20"/>
          <w:szCs w:val="20"/>
          <w:color w:val="auto"/>
        </w:rPr>
      </w:pPr>
    </w:p>
    <w:p>
      <w:pPr>
        <w:ind w:left="60" w:right="319" w:firstLine="432"/>
        <w:spacing w:after="0" w:line="261" w:lineRule="auto"/>
        <w:rPr>
          <w:sz w:val="20"/>
          <w:szCs w:val="20"/>
          <w:color w:val="auto"/>
        </w:rPr>
      </w:pPr>
      <w:r>
        <w:rPr>
          <w:rFonts w:ascii="Times New Roman" w:cs="Times New Roman" w:eastAsia="Times New Roman" w:hAnsi="Times New Roman"/>
          <w:sz w:val="18"/>
          <w:szCs w:val="18"/>
          <w:color w:val="auto"/>
        </w:rPr>
        <w:t>See Note 4, “Debt” to the Company’s consolidated financial statements included in this Quarterly Report on Form 10-Q for additional information on financing transactions including the Credit Facility, the Securitization Program, and other outstanding debt as of December 31, 2022. The Company was in compliance with all covenants under the Credit Facility and the Securitization Program as of December 31, 2022, and July 2, 2022.</w:t>
      </w:r>
    </w:p>
    <w:p>
      <w:pPr>
        <w:spacing w:after="0" w:line="180"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second quarter of fiscal 2023 was $209.4 million.</w:t>
      </w:r>
    </w:p>
    <w:p>
      <w:pPr>
        <w:spacing w:after="0" w:line="180" w:lineRule="exact"/>
        <w:rPr>
          <w:sz w:val="20"/>
          <w:szCs w:val="20"/>
          <w:color w:val="auto"/>
        </w:rPr>
      </w:pPr>
    </w:p>
    <w:p>
      <w:pPr>
        <w:ind w:left="60" w:right="339" w:firstLine="427"/>
        <w:spacing w:after="0" w:line="258" w:lineRule="auto"/>
        <w:rPr>
          <w:sz w:val="20"/>
          <w:szCs w:val="20"/>
          <w:color w:val="auto"/>
        </w:rPr>
      </w:pPr>
      <w:r>
        <w:rPr>
          <w:rFonts w:ascii="Times New Roman" w:cs="Times New Roman" w:eastAsia="Times New Roman" w:hAnsi="Times New Roman"/>
          <w:sz w:val="18"/>
          <w:szCs w:val="18"/>
          <w:color w:val="auto"/>
        </w:rPr>
        <w:t>As an alternative form of liquidity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 to the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ind w:left="60" w:right="239" w:firstLine="432"/>
        <w:spacing w:after="0" w:line="266" w:lineRule="auto"/>
        <w:rPr>
          <w:sz w:val="20"/>
          <w:szCs w:val="20"/>
          <w:color w:val="auto"/>
        </w:rPr>
      </w:pPr>
      <w:r>
        <w:rPr>
          <w:rFonts w:ascii="Times New Roman" w:cs="Times New Roman" w:eastAsia="Times New Roman" w:hAnsi="Times New Roman"/>
          <w:sz w:val="18"/>
          <w:szCs w:val="18"/>
          <w:color w:val="auto"/>
        </w:rPr>
        <w:t>The Company held cash and cash equivalents of $324.8 million as of December 31, 2022, of which $230.0 million was held outside the United States. As of July 2, 2022, the Company held cash and cash equivalents of $153.7 million, of which $60.4 million was held outside of the United States.</w:t>
      </w:r>
    </w:p>
    <w:p>
      <w:pPr>
        <w:spacing w:after="0" w:line="176" w:lineRule="exact"/>
        <w:rPr>
          <w:sz w:val="20"/>
          <w:szCs w:val="20"/>
          <w:color w:val="auto"/>
        </w:rPr>
      </w:pPr>
    </w:p>
    <w:p>
      <w:pPr>
        <w:ind w:left="60" w:right="79" w:firstLine="432"/>
        <w:spacing w:after="0" w:line="261" w:lineRule="auto"/>
        <w:rPr>
          <w:sz w:val="20"/>
          <w:szCs w:val="20"/>
          <w:color w:val="auto"/>
        </w:rPr>
      </w:pPr>
      <w:r>
        <w:rPr>
          <w:rFonts w:ascii="Times New Roman" w:cs="Times New Roman" w:eastAsia="Times New Roman" w:hAnsi="Times New Roman"/>
          <w:sz w:val="18"/>
          <w:szCs w:val="18"/>
          <w:color w:val="auto"/>
        </w:rPr>
        <w:t>During periods of weakening demand in the electronic components industry, the Company typically generates cash from operating activities. Conversely, the Company will use cash for working capital requirements during periods of higher growth. The Company used $922.6 million in cash flows for operating activities over the trailing four fiscal quarters ended December 31, 2022.</w:t>
      </w:r>
    </w:p>
    <w:p>
      <w:pPr>
        <w:spacing w:after="0" w:line="180" w:lineRule="exact"/>
        <w:rPr>
          <w:sz w:val="20"/>
          <w:szCs w:val="20"/>
          <w:color w:val="auto"/>
        </w:rPr>
      </w:pPr>
    </w:p>
    <w:p>
      <w:pPr>
        <w:ind w:left="60" w:right="79" w:firstLine="427"/>
        <w:spacing w:after="0" w:line="255" w:lineRule="auto"/>
        <w:rPr>
          <w:sz w:val="20"/>
          <w:szCs w:val="20"/>
          <w:color w:val="auto"/>
        </w:rPr>
      </w:pPr>
      <w:r>
        <w:rPr>
          <w:rFonts w:ascii="Times New Roman" w:cs="Times New Roman" w:eastAsia="Times New Roman" w:hAnsi="Times New Roman"/>
          <w:sz w:val="18"/>
          <w:szCs w:val="18"/>
          <w:color w:val="auto"/>
        </w:rPr>
        <w:t>Liquidity is subject to many factors, such as normal business operations and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including the need to purchase inventories,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39" w:firstLine="427"/>
        <w:spacing w:after="0" w:line="256" w:lineRule="auto"/>
        <w:rPr>
          <w:sz w:val="20"/>
          <w:szCs w:val="20"/>
          <w:color w:val="auto"/>
        </w:rPr>
      </w:pPr>
      <w:r>
        <w:rPr>
          <w:rFonts w:ascii="Times New Roman" w:cs="Times New Roman" w:eastAsia="Times New Roman" w:hAnsi="Times New Roman"/>
          <w:sz w:val="18"/>
          <w:szCs w:val="18"/>
          <w:color w:val="auto"/>
        </w:rPr>
        <w:t>As of the end of the second quarter of fiscal 2023, the Company had a combined total borrowing capacity of $2.15 billion under the Credit Facility and the Securitization Program. There were $1.19 billion of borrowings outstanding and $1.0 million in letters of credit issued under the Credit Facility, and $650.0 million outstanding under the Securitization Program, resulting in approximately $309.3 million of total committed availability as of December 31, 2022. Availability under the Securitization Program is subject to the Company having sufficient eligible trade accounts receivable in the United States to support desired borrowings.</w:t>
      </w:r>
    </w:p>
    <w:p>
      <w:pPr>
        <w:spacing w:after="0" w:line="187" w:lineRule="exact"/>
        <w:rPr>
          <w:sz w:val="20"/>
          <w:szCs w:val="20"/>
          <w:color w:val="auto"/>
        </w:rPr>
      </w:pPr>
    </w:p>
    <w:p>
      <w:pPr>
        <w:ind w:left="60" w:right="99" w:firstLine="432"/>
        <w:spacing w:after="0" w:line="266" w:lineRule="auto"/>
        <w:rPr>
          <w:sz w:val="20"/>
          <w:szCs w:val="20"/>
          <w:color w:val="auto"/>
        </w:rPr>
      </w:pPr>
      <w:r>
        <w:rPr>
          <w:rFonts w:ascii="Times New Roman" w:cs="Times New Roman" w:eastAsia="Times New Roman" w:hAnsi="Times New Roman"/>
          <w:sz w:val="18"/>
          <w:szCs w:val="18"/>
          <w:color w:val="auto"/>
        </w:rPr>
        <w:t>During the second quarter and first six months of fiscal 2023, the Company had an average daily balance outstanding of approximately $1.20 billion and $1.04 billion, respectively, under the Credit Facility and approximately $485.2 million and $464.7 million, respectively, under the Securitization Program.</w:t>
      </w:r>
    </w:p>
    <w:p>
      <w:pPr>
        <w:spacing w:after="0" w:line="176" w:lineRule="exact"/>
        <w:rPr>
          <w:sz w:val="20"/>
          <w:szCs w:val="20"/>
          <w:color w:val="auto"/>
        </w:rPr>
      </w:pPr>
    </w:p>
    <w:p>
      <w:pPr>
        <w:ind w:left="60" w:right="199" w:firstLine="427"/>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may repurchase up to an aggregate of $319.0 million of shares of the Company’s common stock through the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During the second quarter of fiscal 2023, the Company repurchased $64.4 million of common stock.</w:t>
      </w:r>
    </w:p>
    <w:p>
      <w:pPr>
        <w:spacing w:after="0" w:line="183" w:lineRule="exact"/>
        <w:rPr>
          <w:sz w:val="20"/>
          <w:szCs w:val="20"/>
          <w:color w:val="auto"/>
        </w:rPr>
      </w:pPr>
    </w:p>
    <w:p>
      <w:pPr>
        <w:jc w:val="both"/>
        <w:ind w:left="60" w:right="159" w:firstLine="427"/>
        <w:spacing w:after="0" w:line="266" w:lineRule="auto"/>
        <w:rPr>
          <w:sz w:val="20"/>
          <w:szCs w:val="20"/>
          <w:color w:val="auto"/>
        </w:rPr>
      </w:pPr>
      <w:r>
        <w:rPr>
          <w:rFonts w:ascii="Times New Roman" w:cs="Times New Roman" w:eastAsia="Times New Roman" w:hAnsi="Times New Roman"/>
          <w:sz w:val="18"/>
          <w:szCs w:val="18"/>
          <w:color w:val="auto"/>
        </w:rPr>
        <w:t>The Company has historically paid quarterly cash dividends on shares of its common stock, and future dividends are subject to approval by the Board of Directors. During the second quarter of fiscal 2023, the Board of Directors approved a dividend of $0.29 per share, which resulted in $26.3 million of dividend payments during the quarter.</w:t>
      </w:r>
    </w:p>
    <w:p>
      <w:pPr>
        <w:spacing w:after="0" w:line="176" w:lineRule="exact"/>
        <w:rPr>
          <w:sz w:val="20"/>
          <w:szCs w:val="20"/>
          <w:color w:val="auto"/>
        </w:rPr>
      </w:pPr>
    </w:p>
    <w:p>
      <w:pPr>
        <w:ind w:left="60" w:right="139" w:firstLine="427"/>
        <w:spacing w:after="0" w:line="258" w:lineRule="auto"/>
        <w:rPr>
          <w:sz w:val="20"/>
          <w:szCs w:val="20"/>
          <w:color w:val="auto"/>
        </w:rPr>
      </w:pPr>
      <w:r>
        <w:rPr>
          <w:rFonts w:ascii="Times New Roman" w:cs="Times New Roman" w:eastAsia="Times New Roman" w:hAnsi="Times New Roman"/>
          <w:sz w:val="18"/>
          <w:szCs w:val="18"/>
          <w:color w:val="auto"/>
        </w:rPr>
        <w:t>The Company continually monitors and reviews its liquidity position and funding needs. Management believes that the Company’s ability to generate operating cash flows through the liquidation of working capital in the future and available borrowing capacity, including capacity for the non-recourse sale of trade accounts receivable will be sufficient to meet its future liquidity needs. Additionally, the Company believes that it has sufficient access to additional liquidity from the capital markets if necessary.</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left="60" w:right="319" w:firstLine="432"/>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60" w:right="399" w:firstLine="432"/>
        <w:spacing w:after="0" w:line="261" w:lineRule="auto"/>
        <w:rPr>
          <w:sz w:val="20"/>
          <w:szCs w:val="20"/>
          <w:color w:val="auto"/>
        </w:rPr>
      </w:pPr>
      <w:r>
        <w:rPr>
          <w:rFonts w:ascii="Times New Roman" w:cs="Times New Roman" w:eastAsia="Times New Roman" w:hAnsi="Times New Roman"/>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78"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 xml:space="preserve">See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 the Company’s Annual Report on Form 10-K for the fiscal year ended July 2, 2022, for further discussion of market risks associated with foreign currency exchange rates and interest rates. Avnet’s exposure to such risks has not changed materially since July 2, 2022, as the Company continues to economically hedge the majority of its foreign currency exchange exposures. Thus, any increase or decrease in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right="59" w:firstLine="427"/>
        <w:spacing w:after="0" w:line="25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Liquidity and Capital Resources — Financing Transactions</w:t>
      </w:r>
      <w:r>
        <w:rPr>
          <w:rFonts w:ascii="Times New Roman" w:cs="Times New Roman" w:eastAsia="Times New Roman" w:hAnsi="Times New Roman"/>
          <w:sz w:val="18"/>
          <w:szCs w:val="18"/>
          <w:color w:val="auto"/>
        </w:rPr>
        <w:t xml:space="preserve"> appearing in Item 2 of this Quarterly Report on Form 10-Q for further discussion of the Company’s financing transactions and capital structure. As of December 31, 2022, approximately 36% of the Company’s debt bears interest at a fixed rate and 64% of the Company’s debt bears interest at variable rates. Therefore, a hypothetical 1.0% (100 basis points) increase in interest rates would result in a $5.1 million decrease in income before income taxes in the Company’s consolidated statement of operations for the second quarter of fiscal 2023.</w:t>
      </w:r>
    </w:p>
    <w:p>
      <w:pPr>
        <w:spacing w:after="0" w:line="18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ind w:left="60" w:right="99" w:firstLine="432"/>
        <w:spacing w:after="0" w:line="253" w:lineRule="auto"/>
        <w:rPr>
          <w:sz w:val="20"/>
          <w:szCs w:val="20"/>
          <w:color w:val="auto"/>
        </w:rPr>
      </w:pPr>
      <w:r>
        <w:rPr>
          <w:rFonts w:ascii="Times New Roman" w:cs="Times New Roman" w:eastAsia="Times New Roman" w:hAnsi="Times New Roman"/>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94" w:lineRule="exact"/>
        <w:rPr>
          <w:sz w:val="20"/>
          <w:szCs w:val="20"/>
          <w:color w:val="auto"/>
        </w:rPr>
      </w:pPr>
    </w:p>
    <w:p>
      <w:pPr>
        <w:ind w:left="60" w:right="59" w:firstLine="432"/>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2023,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239" w:firstLine="432"/>
        <w:spacing w:after="0" w:line="256" w:lineRule="auto"/>
        <w:rPr>
          <w:sz w:val="20"/>
          <w:szCs w:val="20"/>
          <w:color w:val="auto"/>
        </w:rPr>
      </w:pPr>
      <w:r>
        <w:rPr>
          <w:rFonts w:ascii="Times New Roman" w:cs="Times New Roman" w:eastAsia="Times New Roman" w:hAnsi="Times New Roman"/>
          <w:sz w:val="18"/>
          <w:szCs w:val="18"/>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pacing w:after="0" w:line="187" w:lineRule="exact"/>
        <w:rPr>
          <w:sz w:val="20"/>
          <w:szCs w:val="20"/>
          <w:color w:val="auto"/>
        </w:rPr>
      </w:pPr>
    </w:p>
    <w:p>
      <w:pPr>
        <w:jc w:val="both"/>
        <w:ind w:left="60" w:right="299" w:firstLine="432"/>
        <w:spacing w:after="0" w:line="281" w:lineRule="auto"/>
        <w:rPr>
          <w:sz w:val="20"/>
          <w:szCs w:val="20"/>
          <w:color w:val="auto"/>
        </w:rPr>
      </w:pPr>
      <w:r>
        <w:rPr>
          <w:rFonts w:ascii="Times New Roman" w:cs="Times New Roman" w:eastAsia="Times New Roman" w:hAnsi="Times New Roman"/>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6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left="60" w:right="99" w:firstLine="432"/>
        <w:spacing w:after="0" w:line="256" w:lineRule="auto"/>
        <w:rPr>
          <w:sz w:val="20"/>
          <w:szCs w:val="20"/>
          <w:color w:val="auto"/>
        </w:rPr>
      </w:pPr>
      <w:r>
        <w:rPr>
          <w:rFonts w:ascii="Times New Roman" w:cs="Times New Roman" w:eastAsia="Times New Roman" w:hAnsi="Times New Roman"/>
          <w:sz w:val="18"/>
          <w:szCs w:val="18"/>
          <w:color w:val="auto"/>
        </w:rPr>
        <w:t>The discussion of the Company’s business and operations should be read together with the risk factors contained in Item 1A of its Annual Report on Form 10-K for the fiscal year ended July 2, 2022,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December 31, 2022, there have been no material changes to the risk factors set forth in the Company’s Annual Report on Form 10-K for the fiscal year ended July 2, 2022.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ind w:left="60" w:right="139" w:firstLine="432"/>
        <w:spacing w:after="0" w:line="258" w:lineRule="auto"/>
        <w:rPr>
          <w:sz w:val="20"/>
          <w:szCs w:val="20"/>
          <w:color w:val="auto"/>
        </w:rPr>
      </w:pPr>
      <w:r>
        <w:rPr>
          <w:rFonts w:ascii="Times New Roman" w:cs="Times New Roman" w:eastAsia="Times New Roman" w:hAnsi="Times New Roman"/>
          <w:sz w:val="18"/>
          <w:szCs w:val="18"/>
          <w:color w:val="auto"/>
        </w:rPr>
        <w:t>In May 2022, the Company’s Board of Directors approved a new share repurchase plan with an authorization to repurchase up to an aggregate of $600 million of common stock. The authorization amount includes the amount remaining under the previous share repurchase plan approved in August 2011, as last amended in August 2019. The following table includes the Company’s monthly purchases of the Company’s common stock during the second quarter of fiscal 2023, under the share repurchase program, which is part of a publicly announced plan.</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8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8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0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4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21"/>
                <w:szCs w:val="21"/>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00" w:type="dxa"/>
            <w:vAlign w:val="bottom"/>
          </w:tcPr>
          <w:p>
            <w:pPr>
              <w:spacing w:after="0"/>
              <w:rPr>
                <w:sz w:val="21"/>
                <w:szCs w:val="21"/>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r>
      <w:tr>
        <w:trPr>
          <w:trHeight w:val="216"/>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 – October 29</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1,150,198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1,150,198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339,120,000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30 – November 26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479,129</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479,129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318,959,000</w:t>
            </w:r>
          </w:p>
        </w:tc>
        <w:tc>
          <w:tcPr>
            <w:tcW w:w="60" w:type="dxa"/>
            <w:vAlign w:val="bottom"/>
          </w:tcPr>
          <w:p>
            <w:pPr>
              <w:spacing w:after="0"/>
              <w:rPr>
                <w:sz w:val="18"/>
                <w:szCs w:val="18"/>
                <w:color w:val="auto"/>
              </w:rPr>
            </w:pPr>
          </w:p>
        </w:tc>
      </w:tr>
      <w:tr>
        <w:trPr>
          <w:trHeight w:val="216"/>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27 – December 31</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318,959,000</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0" w:type="dxa"/>
            <w:vAlign w:val="bottom"/>
          </w:tcPr>
          <w:p>
            <w:pPr>
              <w:spacing w:after="0"/>
              <w:rPr>
                <w:sz w:val="21"/>
                <w:szCs w:val="21"/>
                <w:color w:val="auto"/>
              </w:rPr>
            </w:pPr>
          </w:p>
        </w:tc>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7"/>
        </w:trPr>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398"/>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7"/>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Amendment No. 6 to the Fourth Amended and Restated Receivables Purchase Agreement, dated as of</w:t>
              </w:r>
            </w:hyperlink>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December 16, 2022 (incorporated herein by reference to Exhibit 10.1 to the Company’s Current Report</w:t>
              </w:r>
            </w:hyperlink>
          </w:p>
        </w:tc>
        <w:tc>
          <w:tcPr>
            <w:tcW w:w="6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40" w:type="dxa"/>
            <w:vAlign w:val="bottom"/>
            <w:gridSpan w:val="7"/>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on Form 8-K filed on December 21, 2022).</w:t>
              </w:r>
            </w:hyperlink>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39"/>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Amendment No. 1 to Second Amended and Restated Credit Agreement, dated as of November 29,</w:t>
            </w: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2022, among Avnet, Inc., each subsidiary of the Company party thereto, Bank of America, N.A., as the</w:t>
            </w:r>
          </w:p>
        </w:tc>
      </w:tr>
      <w:tr>
        <w:trPr>
          <w:trHeight w:val="196"/>
        </w:trPr>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administrative agent, and each lender party thereto.</w:t>
            </w:r>
          </w:p>
        </w:tc>
        <w:tc>
          <w:tcPr>
            <w:tcW w:w="80" w:type="dxa"/>
            <w:vAlign w:val="bottom"/>
            <w:gridSpan w:val="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r>
      <w:tr>
        <w:trPr>
          <w:trHeight w:val="439"/>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425"/>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320" w:type="dxa"/>
            <w:vAlign w:val="bottom"/>
            <w:gridSpan w:val="3"/>
          </w:tcPr>
          <w:p>
            <w:pPr>
              <w:spacing w:after="0"/>
              <w:rPr>
                <w:sz w:val="24"/>
                <w:szCs w:val="24"/>
                <w:color w:val="auto"/>
              </w:rPr>
            </w:pPr>
          </w:p>
        </w:tc>
      </w:tr>
      <w:tr>
        <w:trPr>
          <w:trHeight w:val="426"/>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425"/>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320" w:type="dxa"/>
            <w:vAlign w:val="bottom"/>
            <w:gridSpan w:val="3"/>
          </w:tcPr>
          <w:p>
            <w:pPr>
              <w:spacing w:after="0"/>
              <w:rPr>
                <w:sz w:val="24"/>
                <w:szCs w:val="24"/>
                <w:color w:val="auto"/>
              </w:rPr>
            </w:pPr>
          </w:p>
        </w:tc>
      </w:tr>
      <w:tr>
        <w:trPr>
          <w:trHeight w:val="448"/>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 the instance document does not appear in the Interactive Data File because its XBRL tags are</w:t>
            </w:r>
          </w:p>
        </w:tc>
      </w:tr>
      <w:tr>
        <w:trPr>
          <w:trHeight w:val="234"/>
        </w:trPr>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45"/>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45"/>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45"/>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45"/>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45"/>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4"/>
                <w:szCs w:val="24"/>
                <w:color w:val="auto"/>
              </w:rPr>
            </w:pPr>
          </w:p>
        </w:tc>
        <w:tc>
          <w:tcPr>
            <w:tcW w:w="7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231775</wp:posOffset>
            </wp:positionV>
            <wp:extent cx="14141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 w:hanging="53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640" w:right="139" w:hanging="530"/>
        <w:spacing w:after="0" w:line="261"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left="60" w:right="19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February 3, 2023</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AVNET, INC.</w:t>
      </w:r>
    </w:p>
    <w:p>
      <w:pPr>
        <w:spacing w:after="0" w:line="200" w:lineRule="exact"/>
        <w:rPr>
          <w:sz w:val="20"/>
          <w:szCs w:val="20"/>
          <w:color w:val="auto"/>
        </w:rPr>
      </w:pPr>
    </w:p>
    <w:p>
      <w:pPr>
        <w:spacing w:after="0" w:line="304" w:lineRule="exact"/>
        <w:rPr>
          <w:sz w:val="20"/>
          <w:szCs w:val="20"/>
          <w:color w:val="auto"/>
        </w:rPr>
      </w:pPr>
    </w:p>
    <w:p>
      <w:pPr>
        <w:ind w:left="454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JACOBSON</w:t>
      </w:r>
    </w:p>
    <w:p>
      <w:pPr>
        <w:spacing w:after="0" w:line="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-127635</wp:posOffset>
            </wp:positionV>
            <wp:extent cx="25800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8" w:name="page29"/>
    <w:bookmarkEnd w:id="28"/>
    <w:p>
      <w:pPr>
        <w:jc w:val="right"/>
        <w:ind w:right="219"/>
        <w:spacing w:after="0"/>
        <w:rPr>
          <w:sz w:val="20"/>
          <w:szCs w:val="20"/>
          <w:color w:val="auto"/>
        </w:rPr>
      </w:pPr>
      <w:r>
        <w:rPr>
          <w:rFonts w:ascii="Times New Roman" w:cs="Times New Roman" w:eastAsia="Times New Roman" w:hAnsi="Times New Roman"/>
          <w:sz w:val="15"/>
          <w:szCs w:val="15"/>
          <w:b w:val="1"/>
          <w:bCs w:val="1"/>
          <w:color w:val="auto"/>
        </w:rPr>
        <w:t xml:space="preserve">exhibit </w:t>
      </w:r>
      <w:r>
        <w:rPr>
          <w:rFonts w:ascii="Times New Roman" w:cs="Times New Roman" w:eastAsia="Times New Roman" w:hAnsi="Times New Roman"/>
          <w:sz w:val="19"/>
          <w:szCs w:val="19"/>
          <w:b w:val="1"/>
          <w:bCs w:val="1"/>
          <w:color w:val="auto"/>
        </w:rPr>
        <w:t>10.2</w:t>
      </w:r>
    </w:p>
    <w:p>
      <w:pPr>
        <w:spacing w:after="0" w:line="322" w:lineRule="exact"/>
        <w:rPr>
          <w:sz w:val="20"/>
          <w:szCs w:val="20"/>
          <w:color w:val="auto"/>
        </w:rPr>
      </w:pPr>
    </w:p>
    <w:p>
      <w:pPr>
        <w:jc w:val="center"/>
        <w:ind w:left="1660" w:right="340"/>
        <w:spacing w:after="0" w:line="287" w:lineRule="auto"/>
        <w:rPr>
          <w:sz w:val="20"/>
          <w:szCs w:val="20"/>
          <w:color w:val="auto"/>
        </w:rPr>
      </w:pPr>
      <w:r>
        <w:rPr>
          <w:rFonts w:ascii="Times New Roman" w:cs="Times New Roman" w:eastAsia="Times New Roman" w:hAnsi="Times New Roman"/>
          <w:sz w:val="20"/>
          <w:szCs w:val="20"/>
          <w:b w:val="1"/>
          <w:bCs w:val="1"/>
          <w:color w:val="auto"/>
        </w:rPr>
        <w:t>AMENDMENT NO. 1 TO SECOND AMENDED AND RESTATED CREDIT AGREEMENT (COMMITMENT INCREASE)</w:t>
      </w:r>
    </w:p>
    <w:p>
      <w:pPr>
        <w:spacing w:after="0" w:line="200" w:lineRule="exact"/>
        <w:rPr>
          <w:sz w:val="20"/>
          <w:szCs w:val="20"/>
          <w:color w:val="auto"/>
        </w:rPr>
      </w:pPr>
    </w:p>
    <w:p>
      <w:pPr>
        <w:spacing w:after="0" w:line="289" w:lineRule="exact"/>
        <w:rPr>
          <w:sz w:val="20"/>
          <w:szCs w:val="20"/>
          <w:color w:val="auto"/>
        </w:rPr>
      </w:pPr>
    </w:p>
    <w:p>
      <w:pPr>
        <w:jc w:val="both"/>
        <w:ind w:left="200" w:right="2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AMENDMENT NO. 1 TO SECOND AMENDED AND RESTATED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AGREEMENT (COMMITMENT INCREASE)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November 29, 2022,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made among </w:t>
      </w:r>
      <w:r>
        <w:rPr>
          <w:rFonts w:ascii="Times New Roman" w:cs="Times New Roman" w:eastAsia="Times New Roman" w:hAnsi="Times New Roman"/>
          <w:sz w:val="20"/>
          <w:szCs w:val="20"/>
          <w:b w:val="1"/>
          <w:bCs w:val="1"/>
          <w:color w:val="auto"/>
        </w:rPr>
        <w:t>AVNET, INC.</w:t>
      </w:r>
      <w:r>
        <w:rPr>
          <w:rFonts w:ascii="Times New Roman" w:cs="Times New Roman" w:eastAsia="Times New Roman" w:hAnsi="Times New Roman"/>
          <w:sz w:val="20"/>
          <w:szCs w:val="20"/>
          <w:color w:val="auto"/>
        </w:rPr>
        <w:t>, a New York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AVNET HOLDING EUROPE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BV</w:t>
      </w:r>
      <w:r>
        <w:rPr>
          <w:rFonts w:ascii="Times New Roman" w:cs="Times New Roman" w:eastAsia="Times New Roman" w:hAnsi="Times New Roman"/>
          <w:sz w:val="20"/>
          <w:szCs w:val="20"/>
          <w:color w:val="auto"/>
        </w:rPr>
        <w:t>, a Belgian privately held limited liability company (“</w:t>
      </w:r>
      <w:r>
        <w:rPr>
          <w:rFonts w:ascii="Times New Roman" w:cs="Times New Roman" w:eastAsia="Times New Roman" w:hAnsi="Times New Roman"/>
          <w:sz w:val="20"/>
          <w:szCs w:val="20"/>
          <w:u w:val="single" w:color="auto"/>
          <w:color w:val="auto"/>
        </w:rPr>
        <w:t>Avnet Europe</w:t>
      </w:r>
      <w:r>
        <w:rPr>
          <w:rFonts w:ascii="Times New Roman" w:cs="Times New Roman" w:eastAsia="Times New Roman" w:hAnsi="Times New Roman"/>
          <w:sz w:val="20"/>
          <w:szCs w:val="20"/>
          <w:color w:val="auto"/>
        </w:rPr>
        <w:t>” and, together with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in its capacity as administrative agent for the Lenders (as defined in the Credit Agreement described below)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the Lenders party hereto (each, an “</w:t>
      </w:r>
      <w:r>
        <w:rPr>
          <w:rFonts w:ascii="Times New Roman" w:cs="Times New Roman" w:eastAsia="Times New Roman" w:hAnsi="Times New Roman"/>
          <w:sz w:val="20"/>
          <w:szCs w:val="20"/>
          <w:u w:val="single" w:color="auto"/>
          <w:color w:val="auto"/>
        </w:rPr>
        <w:t>Increasing Lender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Increasing Lenders</w:t>
      </w:r>
      <w:r>
        <w:rPr>
          <w:rFonts w:ascii="Times New Roman" w:cs="Times New Roman" w:eastAsia="Times New Roman" w:hAnsi="Times New Roman"/>
          <w:sz w:val="20"/>
          <w:szCs w:val="20"/>
          <w:color w:val="auto"/>
        </w:rPr>
        <w:t>”). Each capitalized term used and not otherwise defined in this Amendment has the definition specified in the Credit Agreement described below.</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47" w:lineRule="exact"/>
        <w:rPr>
          <w:sz w:val="20"/>
          <w:szCs w:val="20"/>
          <w:color w:val="auto"/>
        </w:rPr>
      </w:pPr>
    </w:p>
    <w:p>
      <w:pPr>
        <w:jc w:val="both"/>
        <w:ind w:left="200" w:right="219" w:firstLine="657"/>
        <w:spacing w:after="0" w:line="253" w:lineRule="auto"/>
        <w:tabs>
          <w:tab w:leader="none" w:pos="149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the Administrative Agent and certain financial institutions party thereto from time to time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have entered into that certain Second Amended and Restated Credit Agreement dated as of August 2, 2022 (as amended, restated, supplemented or otherwise modified prior to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pursuant to which the Lenders have made available to the Borrowers a senior revolving credit facility.</w:t>
      </w:r>
    </w:p>
    <w:p>
      <w:pPr>
        <w:spacing w:after="0" w:line="178" w:lineRule="exact"/>
        <w:rPr>
          <w:rFonts w:ascii="Times New Roman" w:cs="Times New Roman" w:eastAsia="Times New Roman" w:hAnsi="Times New Roman"/>
          <w:sz w:val="20"/>
          <w:szCs w:val="20"/>
          <w:color w:val="auto"/>
        </w:rPr>
      </w:pPr>
    </w:p>
    <w:p>
      <w:pPr>
        <w:jc w:val="both"/>
        <w:ind w:left="200" w:right="219" w:firstLine="657"/>
        <w:spacing w:after="0" w:line="251" w:lineRule="auto"/>
        <w:tabs>
          <w:tab w:leader="none" w:pos="149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of the Credit Agreement, the Company has notified the Administrative Agent of a request for an increase in Commitments in the aggregate principal amount of $250,000,000 (the “</w:t>
      </w:r>
      <w:r>
        <w:rPr>
          <w:rFonts w:ascii="Times New Roman" w:cs="Times New Roman" w:eastAsia="Times New Roman" w:hAnsi="Times New Roman"/>
          <w:sz w:val="20"/>
          <w:szCs w:val="20"/>
          <w:u w:val="single" w:color="auto"/>
          <w:color w:val="auto"/>
        </w:rPr>
        <w:t>2022 Commitment Increase</w:t>
      </w:r>
      <w:r>
        <w:rPr>
          <w:rFonts w:ascii="Times New Roman" w:cs="Times New Roman" w:eastAsia="Times New Roman" w:hAnsi="Times New Roman"/>
          <w:sz w:val="20"/>
          <w:szCs w:val="20"/>
          <w:color w:val="auto"/>
        </w:rPr>
        <w:t xml:space="preserve">”), and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of the Credit Agreement, the Increasing Lenders are willing to provide the 2022 Commitment Increase on the Effective Date (as defined below) on the terms set forth herein and in the Credit Agreement and subject to the conditions set forth herein.</w:t>
      </w:r>
    </w:p>
    <w:p>
      <w:pPr>
        <w:spacing w:after="0" w:line="190" w:lineRule="exact"/>
        <w:rPr>
          <w:rFonts w:ascii="Times New Roman" w:cs="Times New Roman" w:eastAsia="Times New Roman" w:hAnsi="Times New Roman"/>
          <w:sz w:val="20"/>
          <w:szCs w:val="20"/>
          <w:color w:val="auto"/>
        </w:rPr>
      </w:pPr>
    </w:p>
    <w:p>
      <w:pPr>
        <w:jc w:val="both"/>
        <w:ind w:left="200" w:right="219" w:firstLine="657"/>
        <w:spacing w:after="0" w:line="261" w:lineRule="auto"/>
        <w:tabs>
          <w:tab w:leader="none" w:pos="149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of the Credit Agreement, each of the Borrowers, the Administrative Agent and the Increasing Lenders have agreed to the 2022 Commitment Increase and this Amendment as evidenced by each such party’s signature to this Amendment.</w:t>
      </w:r>
    </w:p>
    <w:p>
      <w:pPr>
        <w:spacing w:after="0" w:line="168" w:lineRule="exact"/>
        <w:rPr>
          <w:sz w:val="20"/>
          <w:szCs w:val="20"/>
          <w:color w:val="auto"/>
        </w:rPr>
      </w:pPr>
    </w:p>
    <w:p>
      <w:pPr>
        <w:ind w:left="200" w:right="219" w:firstLine="648"/>
        <w:spacing w:after="0" w:line="269" w:lineRule="auto"/>
        <w:rPr>
          <w:sz w:val="20"/>
          <w:szCs w:val="20"/>
          <w:color w:val="auto"/>
        </w:rPr>
      </w:pPr>
      <w:r>
        <w:rPr>
          <w:rFonts w:ascii="Times New Roman" w:cs="Times New Roman" w:eastAsia="Times New Roman" w:hAnsi="Times New Roman"/>
          <w:sz w:val="20"/>
          <w:szCs w:val="20"/>
          <w:color w:val="auto"/>
        </w:rPr>
        <w:t>In consideration of the premises and further valuable consideration, the receipt and sufficiency of which is hereby acknowledged, the parties hereto agree as follows:</w:t>
      </w:r>
    </w:p>
    <w:p>
      <w:pPr>
        <w:spacing w:after="0" w:line="182" w:lineRule="exact"/>
        <w:rPr>
          <w:sz w:val="20"/>
          <w:szCs w:val="20"/>
          <w:color w:val="auto"/>
        </w:rPr>
      </w:pPr>
    </w:p>
    <w:p>
      <w:pPr>
        <w:ind w:left="200" w:right="239"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Section 1. </w:t>
      </w:r>
      <w:r>
        <w:rPr>
          <w:rFonts w:ascii="Times New Roman" w:cs="Times New Roman" w:eastAsia="Times New Roman" w:hAnsi="Times New Roman"/>
          <w:sz w:val="20"/>
          <w:szCs w:val="20"/>
          <w:b w:val="1"/>
          <w:bCs w:val="1"/>
          <w:u w:val="single" w:color="auto"/>
          <w:color w:val="auto"/>
        </w:rPr>
        <w:t>2022 Commitment Increase</w:t>
      </w:r>
      <w:r>
        <w:rPr>
          <w:rFonts w:ascii="Times New Roman" w:cs="Times New Roman" w:eastAsia="Times New Roman" w:hAnsi="Times New Roman"/>
          <w:sz w:val="20"/>
          <w:szCs w:val="20"/>
          <w:color w:val="auto"/>
        </w:rPr>
        <w:t>. Subject to the terms and conditions set forth herein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in reliance upon the representations and warranties set forth herein, as of the Effective Date:</w:t>
      </w:r>
    </w:p>
    <w:p>
      <w:pPr>
        <w:spacing w:after="0" w:line="142" w:lineRule="exact"/>
        <w:rPr>
          <w:sz w:val="20"/>
          <w:szCs w:val="20"/>
          <w:color w:val="auto"/>
        </w:rPr>
      </w:pPr>
    </w:p>
    <w:p>
      <w:pPr>
        <w:jc w:val="both"/>
        <w:ind w:left="200" w:right="219" w:firstLine="657"/>
        <w:spacing w:after="0" w:line="262" w:lineRule="auto"/>
        <w:tabs>
          <w:tab w:leader="none" w:pos="1496"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the 2022 Commitment Increase shall be provided by the applicable Increasing Lenders in the amounts set forth on </w:t>
      </w:r>
      <w:r>
        <w:rPr>
          <w:rFonts w:ascii="Times New Roman" w:cs="Times New Roman" w:eastAsia="Times New Roman" w:hAnsi="Times New Roman"/>
          <w:sz w:val="19"/>
          <w:szCs w:val="19"/>
          <w:u w:val="single" w:color="auto"/>
          <w:color w:val="auto"/>
        </w:rPr>
        <w:t>Annex I</w:t>
      </w:r>
      <w:r>
        <w:rPr>
          <w:rFonts w:ascii="Times New Roman" w:cs="Times New Roman" w:eastAsia="Times New Roman" w:hAnsi="Times New Roman"/>
          <w:sz w:val="19"/>
          <w:szCs w:val="19"/>
          <w:color w:val="auto"/>
        </w:rPr>
        <w:t xml:space="preserve"> to this Amendment, (ii) the 2022 Commitment Increase will be made available as Commitments by such applicable Increasing Lenders to the relevant Borrowers on and after the Effective Date, (iii) the aggregate principal amount of the 2022 Commitment Increase constitutes the Maximum Aggregate Commitment Increase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of the Credit Agreement, with the same pricing and maturity as (as well as all other terms and conditions applicable to) the Aggregate Commitments prior to giving effect to the 2022 Commitment Increase and this Amendment, (iv) the amount of outstanding Loans on the Effective Date will be reallocated by and among the Lenders on the Effective Date by the Administrative Agent to reflect the 2022 Commitment Increase, and the relevant Lenders (at the direction of the Administrative Agent) will make such payments among themselves so that the outstanding Loans are held ratably (and ratably among Interest Periods) by the Lenders on the Effective Date, (v) </w:t>
      </w:r>
      <w:r>
        <w:rPr>
          <w:rFonts w:ascii="Times New Roman" w:cs="Times New Roman" w:eastAsia="Times New Roman" w:hAnsi="Times New Roman"/>
          <w:sz w:val="19"/>
          <w:szCs w:val="19"/>
          <w:u w:val="single" w:color="auto"/>
          <w:color w:val="auto"/>
        </w:rPr>
        <w:t>Schedule 2.01</w:t>
      </w:r>
      <w:r>
        <w:rPr>
          <w:rFonts w:ascii="Times New Roman" w:cs="Times New Roman" w:eastAsia="Times New Roman" w:hAnsi="Times New Roman"/>
          <w:sz w:val="19"/>
          <w:szCs w:val="19"/>
          <w:color w:val="auto"/>
        </w:rPr>
        <w:t xml:space="preserve"> of the Credit Agreement shall be amended to read in its entirety as set forth on </w:t>
      </w:r>
      <w:r>
        <w:rPr>
          <w:rFonts w:ascii="Times New Roman" w:cs="Times New Roman" w:eastAsia="Times New Roman" w:hAnsi="Times New Roman"/>
          <w:sz w:val="19"/>
          <w:szCs w:val="19"/>
          <w:u w:val="single" w:color="auto"/>
          <w:color w:val="auto"/>
        </w:rPr>
        <w:t>Annex II</w:t>
      </w:r>
      <w:r>
        <w:rPr>
          <w:rFonts w:ascii="Times New Roman" w:cs="Times New Roman" w:eastAsia="Times New Roman" w:hAnsi="Times New Roman"/>
          <w:sz w:val="19"/>
          <w:szCs w:val="19"/>
          <w:color w:val="auto"/>
        </w:rPr>
        <w:t xml:space="preserve">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443230</wp:posOffset>
            </wp:positionV>
            <wp:extent cx="545211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9" w:name="page30"/>
    <w:bookmarkEnd w:id="29"/>
    <w:p>
      <w:pPr>
        <w:ind w:left="200" w:right="219"/>
        <w:spacing w:after="0" w:line="268" w:lineRule="auto"/>
        <w:rPr>
          <w:sz w:val="20"/>
          <w:szCs w:val="20"/>
          <w:color w:val="auto"/>
        </w:rPr>
      </w:pPr>
      <w:r>
        <w:rPr>
          <w:rFonts w:ascii="Times New Roman" w:cs="Times New Roman" w:eastAsia="Times New Roman" w:hAnsi="Times New Roman"/>
          <w:sz w:val="20"/>
          <w:szCs w:val="20"/>
          <w:color w:val="auto"/>
        </w:rPr>
        <w:t xml:space="preserve">Amendment, and (vi) the Credit Agreement will be deemed amended to effectuate the foregoing clauses (i) through (v)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of the Credit Agreement; and</w:t>
      </w:r>
    </w:p>
    <w:p>
      <w:pPr>
        <w:spacing w:after="0" w:line="174" w:lineRule="exact"/>
        <w:rPr>
          <w:sz w:val="20"/>
          <w:szCs w:val="20"/>
          <w:color w:val="auto"/>
        </w:rPr>
      </w:pPr>
    </w:p>
    <w:p>
      <w:pPr>
        <w:jc w:val="both"/>
        <w:ind w:left="200" w:right="219" w:firstLine="657"/>
        <w:spacing w:after="0" w:line="249" w:lineRule="auto"/>
        <w:tabs>
          <w:tab w:leader="none" w:pos="149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foregoing, (i) in connection with the 2022 Commitment Increase, the Administrative Agent shall make such adjustments between and among the applicable Lenders and the Borrowers as are reasonably necessary to effectuate the 2022 Commitment Increase, (ii) in connection with any reallocation of Loans or Interest Periods on the Effective Date, each of the Lenders party hereto consents to any early termination of any Interest Periods in respect of such reallocation and agrees to waive any amounts to which it might otherwise be entitled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of the Credit Agreement in connection therewith and (iii) each of the Lenders party hereto hereby agrees to waive the ten Business Days’ notice requirement under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 xml:space="preserve"> of the Credit Agreement.</w:t>
      </w:r>
    </w:p>
    <w:p>
      <w:pPr>
        <w:spacing w:after="0" w:line="180" w:lineRule="exact"/>
        <w:rPr>
          <w:sz w:val="20"/>
          <w:szCs w:val="20"/>
          <w:color w:val="auto"/>
        </w:rPr>
      </w:pPr>
    </w:p>
    <w:p>
      <w:pPr>
        <w:jc w:val="both"/>
        <w:ind w:left="200" w:right="219"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2. </w:t>
      </w:r>
      <w:r>
        <w:rPr>
          <w:rFonts w:ascii="Times New Roman" w:cs="Times New Roman" w:eastAsia="Times New Roman" w:hAnsi="Times New Roman"/>
          <w:sz w:val="20"/>
          <w:szCs w:val="20"/>
          <w:b w:val="1"/>
          <w:bCs w:val="1"/>
          <w:u w:val="single" w:color="auto"/>
          <w:color w:val="auto"/>
        </w:rPr>
        <w:t>Effectiveness; Conditions Precedent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and the 2022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Commitment Increase provided in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hereof, shall become effective as of the date on which the following conditions precedent are satisfied or waived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71" w:lineRule="exact"/>
        <w:rPr>
          <w:sz w:val="20"/>
          <w:szCs w:val="20"/>
          <w:color w:val="auto"/>
        </w:rPr>
      </w:pPr>
    </w:p>
    <w:p>
      <w:pPr>
        <w:jc w:val="both"/>
        <w:ind w:left="200" w:right="219" w:firstLine="657"/>
        <w:spacing w:after="0" w:line="261" w:lineRule="auto"/>
        <w:tabs>
          <w:tab w:leader="none" w:pos="1496"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in form and substance reasonably satisfactory to the Administrative Agent, at least one fully executed copy of this Amendment, duly executed by each of the Borrowers, the Administrative Agent and the Increasing Lenders;</w:t>
      </w:r>
    </w:p>
    <w:p>
      <w:pPr>
        <w:spacing w:after="0" w:line="167" w:lineRule="exact"/>
        <w:rPr>
          <w:rFonts w:ascii="Times New Roman" w:cs="Times New Roman" w:eastAsia="Times New Roman" w:hAnsi="Times New Roman"/>
          <w:sz w:val="20"/>
          <w:szCs w:val="20"/>
          <w:color w:val="auto"/>
        </w:rPr>
      </w:pPr>
    </w:p>
    <w:p>
      <w:pPr>
        <w:jc w:val="both"/>
        <w:ind w:left="200" w:right="219" w:firstLine="657"/>
        <w:spacing w:after="0" w:line="263" w:lineRule="auto"/>
        <w:tabs>
          <w:tab w:leader="none" w:pos="1496"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have delivered to the Administrative Agent a certificate of each Loan Party dated as of the Effective Date signed by a Responsible Officer of such Loan Party (A) certifying and attaching the resolutions adopted by such Loan Party approving or consenting to the 2022 Commitment Increase, and (B) in the case of the Company, certifying that, before and after giving effect to such increase,</w:t>
      </w:r>
    </w:p>
    <w:p>
      <w:pPr>
        <w:spacing w:after="0" w:line="2" w:lineRule="exact"/>
        <w:rPr>
          <w:rFonts w:ascii="Times New Roman" w:cs="Times New Roman" w:eastAsia="Times New Roman" w:hAnsi="Times New Roman"/>
          <w:sz w:val="19"/>
          <w:szCs w:val="19"/>
          <w:color w:val="auto"/>
        </w:rPr>
      </w:pPr>
    </w:p>
    <w:p>
      <w:pPr>
        <w:jc w:val="both"/>
        <w:ind w:left="200" w:right="219" w:firstLine="9"/>
        <w:spacing w:after="0" w:line="246" w:lineRule="auto"/>
        <w:tabs>
          <w:tab w:leader="none" w:pos="49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the Credit Agreement and the other Loan Documents are true and correct on and as of the Effective Date, except to the extent that such representations and warranties specifically refer to an earlier date, in which case they are true and correct as of such earlier date, except that the representations and warranties contained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of the Credit Agreement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of the Credit Agreement, and (2) no Default exists;</w:t>
      </w:r>
    </w:p>
    <w:p>
      <w:pPr>
        <w:spacing w:after="0" w:line="197" w:lineRule="exact"/>
        <w:rPr>
          <w:rFonts w:ascii="Times New Roman" w:cs="Times New Roman" w:eastAsia="Times New Roman" w:hAnsi="Times New Roman"/>
          <w:sz w:val="20"/>
          <w:szCs w:val="20"/>
          <w:color w:val="auto"/>
        </w:rPr>
      </w:pPr>
    </w:p>
    <w:p>
      <w:pPr>
        <w:jc w:val="both"/>
        <w:ind w:left="200" w:right="219" w:firstLine="657"/>
        <w:spacing w:after="0" w:line="254" w:lineRule="auto"/>
        <w:tabs>
          <w:tab w:leader="none" w:pos="1496"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days prior to the Effective Date, any Borrower that qualifies as a “legal entity customer” under the Beneficial Ownership Regulation shall have delivered a Beneficial Ownership Certification in relation to such Borrower to each Lender that so requests at least 10 days prior to the Effective Date;</w:t>
      </w:r>
    </w:p>
    <w:p>
      <w:pPr>
        <w:spacing w:after="0" w:line="187" w:lineRule="exact"/>
        <w:rPr>
          <w:rFonts w:ascii="Times New Roman" w:cs="Times New Roman" w:eastAsia="Times New Roman" w:hAnsi="Times New Roman"/>
          <w:sz w:val="20"/>
          <w:szCs w:val="20"/>
          <w:color w:val="auto"/>
        </w:rPr>
      </w:pPr>
    </w:p>
    <w:p>
      <w:pPr>
        <w:jc w:val="both"/>
        <w:ind w:left="200" w:right="219" w:firstLine="657"/>
        <w:spacing w:after="0" w:line="271" w:lineRule="auto"/>
        <w:tabs>
          <w:tab w:leader="none" w:pos="1496"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reasonable request of any Lender made at least 10 days prior to the Effective Date, the Borrowers shall have provided to such Lender the documentation and other information so requested in connection with applicable “know your customer” and anti-money-laundering rules and regulations, including, without limitation, the PATRIOT Act, in each case at least five days prior to the Effective Date;</w:t>
      </w:r>
    </w:p>
    <w:p>
      <w:pPr>
        <w:spacing w:after="0" w:line="160" w:lineRule="exact"/>
        <w:rPr>
          <w:rFonts w:ascii="Times New Roman" w:cs="Times New Roman" w:eastAsia="Times New Roman" w:hAnsi="Times New Roman"/>
          <w:sz w:val="19"/>
          <w:szCs w:val="19"/>
          <w:color w:val="auto"/>
        </w:rPr>
      </w:pPr>
    </w:p>
    <w:p>
      <w:pPr>
        <w:jc w:val="both"/>
        <w:ind w:left="200" w:right="219" w:firstLine="657"/>
        <w:spacing w:after="0" w:line="261" w:lineRule="auto"/>
        <w:tabs>
          <w:tab w:leader="none" w:pos="1572"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Effective Date, to the Person to whom such fees are owing, any fees required to be paid pursuant to this Amendment or the Engagement Letter dated as of November 8, 2022 among the Company and BofA Securities, Inc.; and</w:t>
      </w:r>
    </w:p>
    <w:p>
      <w:pPr>
        <w:spacing w:after="0" w:line="181" w:lineRule="exact"/>
        <w:rPr>
          <w:rFonts w:ascii="Times New Roman" w:cs="Times New Roman" w:eastAsia="Times New Roman" w:hAnsi="Times New Roman"/>
          <w:sz w:val="20"/>
          <w:szCs w:val="20"/>
          <w:color w:val="auto"/>
        </w:rPr>
      </w:pPr>
    </w:p>
    <w:p>
      <w:pPr>
        <w:jc w:val="both"/>
        <w:ind w:left="200" w:right="219" w:firstLine="657"/>
        <w:spacing w:after="0" w:line="251" w:lineRule="auto"/>
        <w:tabs>
          <w:tab w:leader="none" w:pos="1496"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paid all reasonable and documented fees, charges and disbursements of counsel to the Administrative Agent (directly to such counsel if requested by the Administrative Agent) to the extent required to be paid pursuant to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and invoiced at least one Business Day prior to the Effective Date (provided that the Company shall remain liable for any additional reasonable and documented fees and expenses of such counsel to the Administrative Agent in accordance with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339725</wp:posOffset>
            </wp:positionV>
            <wp:extent cx="545211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0" w:name="page31"/>
    <w:bookmarkEnd w:id="30"/>
    <w:p>
      <w:pPr>
        <w:jc w:val="both"/>
        <w:ind w:left="200" w:right="219" w:firstLine="648"/>
        <w:spacing w:after="0" w:line="250"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of the Credit Agreement, for purposes of determining compliance with the conditions specified in this Section,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date hereof specifying its objection thereto.</w:t>
      </w:r>
    </w:p>
    <w:p>
      <w:pPr>
        <w:spacing w:after="0" w:line="191" w:lineRule="exact"/>
        <w:rPr>
          <w:sz w:val="20"/>
          <w:szCs w:val="20"/>
          <w:color w:val="auto"/>
        </w:rPr>
      </w:pPr>
    </w:p>
    <w:p>
      <w:pPr>
        <w:jc w:val="both"/>
        <w:ind w:left="200" w:right="219" w:firstLine="567"/>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3. </w:t>
      </w: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order to induce the Administrative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Increasing Lenders to enter into this Amendment, each of the Borrowers represents and warrants to the Administrative Agent and the Lenders as follows:</w:t>
      </w:r>
    </w:p>
    <w:p>
      <w:pPr>
        <w:spacing w:after="0" w:line="166" w:lineRule="exact"/>
        <w:rPr>
          <w:sz w:val="20"/>
          <w:szCs w:val="20"/>
          <w:color w:val="auto"/>
        </w:rPr>
      </w:pPr>
    </w:p>
    <w:p>
      <w:pPr>
        <w:jc w:val="both"/>
        <w:ind w:left="200" w:right="219" w:firstLine="657"/>
        <w:spacing w:after="0" w:line="260" w:lineRule="auto"/>
        <w:tabs>
          <w:tab w:leader="none" w:pos="1496"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representations and warranties of each Loan Party contained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of the Credit Agreement and in each other Loan Document to which such Loan Party is a party, or in any document furnished at any time under or in connection herewith or therewith (including any Designated Borrower Request and Assumption Agreement), are true and correct in all material respects (without duplication of any materiality qualification included in the terms of any such representation or warranty) on and as of the date hereof, except to the extent that such representations and warranties specifically refer to an earlier date, in which case they are true and correct in all material respects (without duplication of any materiality qualification included in the terms of any such representation or warranty) as of such earlier date, and except that for purposes hereof, the representations and warranties contained in </w:t>
      </w:r>
      <w:r>
        <w:rPr>
          <w:rFonts w:ascii="Times New Roman" w:cs="Times New Roman" w:eastAsia="Times New Roman" w:hAnsi="Times New Roman"/>
          <w:sz w:val="19"/>
          <w:szCs w:val="19"/>
          <w:u w:val="single" w:color="auto"/>
          <w:color w:val="auto"/>
        </w:rPr>
        <w:t>subsections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5.05</w:t>
      </w:r>
      <w:r>
        <w:rPr>
          <w:rFonts w:ascii="Times New Roman" w:cs="Times New Roman" w:eastAsia="Times New Roman" w:hAnsi="Times New Roman"/>
          <w:sz w:val="19"/>
          <w:szCs w:val="19"/>
          <w:color w:val="auto"/>
        </w:rPr>
        <w:t xml:space="preserve"> shall be deemed to refer to the most recent statements furnished pursuant to </w:t>
      </w:r>
      <w:r>
        <w:rPr>
          <w:rFonts w:ascii="Times New Roman" w:cs="Times New Roman" w:eastAsia="Times New Roman" w:hAnsi="Times New Roman"/>
          <w:sz w:val="19"/>
          <w:szCs w:val="19"/>
          <w:u w:val="single" w:color="auto"/>
          <w:color w:val="auto"/>
        </w:rPr>
        <w:t>subsections (a)</w:t>
      </w:r>
      <w:r>
        <w:rPr>
          <w:rFonts w:ascii="Times New Roman" w:cs="Times New Roman" w:eastAsia="Times New Roman" w:hAnsi="Times New Roman"/>
          <w:sz w:val="19"/>
          <w:szCs w:val="19"/>
          <w:color w:val="auto"/>
        </w:rPr>
        <w:t xml:space="preserve"> and</w:t>
      </w:r>
    </w:p>
    <w:p>
      <w:pPr>
        <w:spacing w:after="0" w:line="4" w:lineRule="exact"/>
        <w:rPr>
          <w:rFonts w:ascii="Times New Roman" w:cs="Times New Roman" w:eastAsia="Times New Roman" w:hAnsi="Times New Roman"/>
          <w:sz w:val="19"/>
          <w:szCs w:val="19"/>
          <w:color w:val="auto"/>
        </w:rPr>
      </w:pPr>
    </w:p>
    <w:p>
      <w:pPr>
        <w:ind w:left="2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07" w:lineRule="exact"/>
        <w:rPr>
          <w:rFonts w:ascii="Times New Roman" w:cs="Times New Roman" w:eastAsia="Times New Roman" w:hAnsi="Times New Roman"/>
          <w:sz w:val="19"/>
          <w:szCs w:val="19"/>
          <w:color w:val="auto"/>
        </w:rPr>
      </w:pPr>
    </w:p>
    <w:p>
      <w:pPr>
        <w:jc w:val="both"/>
        <w:ind w:left="200" w:right="219" w:firstLine="657"/>
        <w:spacing w:after="0" w:line="254" w:lineRule="auto"/>
        <w:tabs>
          <w:tab w:leader="none" w:pos="149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authorized, executed and delivered by each Borrower and constitutes a legal, valid and binding obligation of each Borrower, enforceable against each Borrower in accordance with its terms, except as may be limited by applicable Debtor Relief Laws and general principles of equity, regardless of whether considered in a proceeding in equity or at law; and</w:t>
      </w:r>
    </w:p>
    <w:p>
      <w:pPr>
        <w:spacing w:after="0" w:line="187" w:lineRule="exact"/>
        <w:rPr>
          <w:rFonts w:ascii="Times New Roman" w:cs="Times New Roman" w:eastAsia="Times New Roman" w:hAnsi="Times New Roman"/>
          <w:sz w:val="20"/>
          <w:szCs w:val="20"/>
          <w:color w:val="auto"/>
        </w:rPr>
      </w:pPr>
    </w:p>
    <w:p>
      <w:pPr>
        <w:ind w:left="200" w:right="219" w:firstLine="657"/>
        <w:spacing w:after="0" w:line="269" w:lineRule="auto"/>
        <w:tabs>
          <w:tab w:leader="none" w:pos="149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hereof, after giving effect to this Amendment and the 2022 Commitment Increase, no Default or Event of Default has occurred and is continuing.</w:t>
      </w:r>
    </w:p>
    <w:p>
      <w:pPr>
        <w:spacing w:after="0" w:line="155" w:lineRule="exact"/>
        <w:rPr>
          <w:sz w:val="20"/>
          <w:szCs w:val="20"/>
          <w:color w:val="auto"/>
        </w:rPr>
      </w:pPr>
    </w:p>
    <w:p>
      <w:pPr>
        <w:jc w:val="both"/>
        <w:ind w:left="200" w:right="219" w:firstLine="70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Section 4. </w:t>
      </w: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Amendment, together with all the other Loan Documents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(collectively, the “</w:t>
      </w:r>
      <w:r>
        <w:rPr>
          <w:rFonts w:ascii="Times New Roman" w:cs="Times New Roman" w:eastAsia="Times New Roman" w:hAnsi="Times New Roman"/>
          <w:sz w:val="20"/>
          <w:szCs w:val="20"/>
          <w:u w:val="single" w:color="auto"/>
          <w:color w:val="auto"/>
        </w:rPr>
        <w:t>Relevant Documents</w:t>
      </w:r>
      <w:r>
        <w:rPr>
          <w:rFonts w:ascii="Times New Roman" w:cs="Times New Roman" w:eastAsia="Times New Roman" w:hAnsi="Times New Roman"/>
          <w:sz w:val="20"/>
          <w:szCs w:val="20"/>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of the Credit Agreement. This Amendment is a Loan Document.</w:t>
      </w:r>
    </w:p>
    <w:p>
      <w:pPr>
        <w:spacing w:after="0" w:line="183" w:lineRule="exact"/>
        <w:rPr>
          <w:sz w:val="20"/>
          <w:szCs w:val="20"/>
          <w:color w:val="auto"/>
        </w:rPr>
      </w:pPr>
    </w:p>
    <w:p>
      <w:pPr>
        <w:jc w:val="both"/>
        <w:ind w:left="260" w:right="219" w:firstLine="596"/>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5. </w:t>
      </w:r>
      <w:r>
        <w:rPr>
          <w:rFonts w:ascii="Times New Roman" w:cs="Times New Roman" w:eastAsia="Times New Roman" w:hAnsi="Times New Roman"/>
          <w:sz w:val="20"/>
          <w:szCs w:val="20"/>
          <w:b w:val="1"/>
          <w:bCs w:val="1"/>
          <w:u w:val="single" w:color="auto"/>
          <w:color w:val="auto"/>
        </w:rPr>
        <w:t>Full Force and Effect of Agreement</w:t>
      </w:r>
      <w:r>
        <w:rPr>
          <w:rFonts w:ascii="Times New Roman" w:cs="Times New Roman" w:eastAsia="Times New Roman" w:hAnsi="Times New Roman"/>
          <w:sz w:val="20"/>
          <w:szCs w:val="20"/>
          <w:color w:val="auto"/>
        </w:rPr>
        <w:t>. Except as hereby specifically amended,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modified or supplemented, the Credit Agreement and all other Loan Documents are hereby confirmed and ratified in all respects and shall be and remain in full force and effect according to their respective terms. This Amendment shall not be deemed (i) to be a waiver of, or consent to, or a modification or amendment of, any other term or condition of the Credit Agreement or any other Loan Document other than as expressly set forth herein, (ii) to prejudice any right or rights which the Administrative Agent or the Lenders may now have or may have in the future under or in connection with the Credit Agreement or the other Loan Documents or any of the instruments or agreements referred to therein, as the same may be amended, restated, supplemented or modified from time to time other than as expressly set forth herein, or</w:t>
      </w:r>
    </w:p>
    <w:p>
      <w:pPr>
        <w:spacing w:after="0" w:line="2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339725</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1" w:name="page32"/>
    <w:bookmarkEnd w:id="31"/>
    <w:p>
      <w:pPr>
        <w:jc w:val="both"/>
        <w:ind w:left="260" w:right="219"/>
        <w:spacing w:after="0" w:line="249" w:lineRule="auto"/>
        <w:tabs>
          <w:tab w:leader="none" w:pos="60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a commitment or any other undertaking or expression of any willingness to engage in any further discussion with the Company, any Loan Party or any other Person with respect to any other waiver, amendment, modification or any other change to the Credit Agreement or the Loan Documents or any rights or remedies arising in favor of the Lenders or the Administrative Agent, or any of them, under or with respect to any such documents. References in the Credit Agreement to “this Agreement” (and indirect references such as “hereunder”, “hereby”, “herein”, “hereof” or other words of like import) and in any Loan Document to the “Credit Agreement” shall be deemed to be references to the Credit Agreement as modified hereby.</w:t>
      </w:r>
    </w:p>
    <w:p>
      <w:pPr>
        <w:spacing w:after="0" w:line="192" w:lineRule="exact"/>
        <w:rPr>
          <w:sz w:val="20"/>
          <w:szCs w:val="20"/>
          <w:color w:val="auto"/>
        </w:rPr>
      </w:pPr>
    </w:p>
    <w:p>
      <w:pPr>
        <w:jc w:val="both"/>
        <w:ind w:left="200" w:right="219" w:firstLine="699"/>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Section 6. </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color w:val="auto"/>
        </w:rPr>
        <w:t>. This Amendment may be executed in counterparts (and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different parties hereto in different counterparts), each of which shall constitute an original, but all of which when taken together shall constitute a single contract. Delivery of an executed counterpart of a signature page of this Amendment by facsimile or other electronic imaging means (e.g. “pdf” or “tif”) shall be effective as delivery of a manually executed counterpart of this Amendment.</w:t>
      </w:r>
    </w:p>
    <w:p>
      <w:pPr>
        <w:spacing w:after="0" w:line="188" w:lineRule="exact"/>
        <w:rPr>
          <w:sz w:val="20"/>
          <w:szCs w:val="20"/>
          <w:color w:val="auto"/>
        </w:rPr>
      </w:pPr>
    </w:p>
    <w:p>
      <w:pPr>
        <w:jc w:val="both"/>
        <w:ind w:left="200" w:right="219" w:firstLine="699"/>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7. </w:t>
      </w:r>
      <w:r>
        <w:rPr>
          <w:rFonts w:ascii="Times New Roman" w:cs="Times New Roman" w:eastAsia="Times New Roman" w:hAnsi="Times New Roman"/>
          <w:sz w:val="20"/>
          <w:szCs w:val="20"/>
          <w:b w:val="1"/>
          <w:bCs w:val="1"/>
          <w:u w:val="single" w:color="auto"/>
          <w:color w:val="auto"/>
        </w:rPr>
        <w:t>Governing Law; Jurisdiction, Etc</w:t>
      </w:r>
      <w:r>
        <w:rPr>
          <w:rFonts w:ascii="Times New Roman" w:cs="Times New Roman" w:eastAsia="Times New Roman" w:hAnsi="Times New Roman"/>
          <w:sz w:val="20"/>
          <w:szCs w:val="20"/>
          <w:color w:val="auto"/>
        </w:rPr>
        <w:t>. This Amendment shall be governed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construed in accordance with, the law of the State of New York, and shall be further subject to the provisions of </w:t>
      </w:r>
      <w:r>
        <w:rPr>
          <w:rFonts w:ascii="Times New Roman" w:cs="Times New Roman" w:eastAsia="Times New Roman" w:hAnsi="Times New Roman"/>
          <w:sz w:val="20"/>
          <w:szCs w:val="20"/>
          <w:u w:val="single" w:color="auto"/>
          <w:color w:val="auto"/>
        </w:rPr>
        <w:t>Sections 10.14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10.15</w:t>
      </w:r>
      <w:r>
        <w:rPr>
          <w:rFonts w:ascii="Times New Roman" w:cs="Times New Roman" w:eastAsia="Times New Roman" w:hAnsi="Times New Roman"/>
          <w:sz w:val="20"/>
          <w:szCs w:val="20"/>
          <w:color w:val="auto"/>
        </w:rPr>
        <w:t xml:space="preserve"> of the Credit Agreement.</w:t>
      </w:r>
    </w:p>
    <w:p>
      <w:pPr>
        <w:spacing w:after="0" w:line="162" w:lineRule="exact"/>
        <w:rPr>
          <w:sz w:val="20"/>
          <w:szCs w:val="20"/>
          <w:color w:val="auto"/>
        </w:rPr>
      </w:pPr>
    </w:p>
    <w:p>
      <w:pPr>
        <w:jc w:val="both"/>
        <w:ind w:left="200" w:right="219" w:firstLine="699"/>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Section 8. </w:t>
      </w:r>
      <w:r>
        <w:rPr>
          <w:rFonts w:ascii="Times New Roman" w:cs="Times New Roman" w:eastAsia="Times New Roman" w:hAnsi="Times New Roman"/>
          <w:sz w:val="20"/>
          <w:szCs w:val="20"/>
          <w:b w:val="1"/>
          <w:bCs w:val="1"/>
          <w:u w:val="single" w:color="auto"/>
          <w:color w:val="auto"/>
        </w:rPr>
        <w:t>Enforceability</w:t>
      </w:r>
      <w:r>
        <w:rPr>
          <w:rFonts w:ascii="Times New Roman" w:cs="Times New Roman" w:eastAsia="Times New Roman" w:hAnsi="Times New Roman"/>
          <w:sz w:val="20"/>
          <w:szCs w:val="20"/>
          <w:color w:val="auto"/>
        </w:rPr>
        <w:t>. If any provision of this Amendment is held to be illegal, invalid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unenforceable, (a) the legality, validity and enforceability of the remaining provisions of this Amendment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73" w:lineRule="exact"/>
        <w:rPr>
          <w:sz w:val="20"/>
          <w:szCs w:val="20"/>
          <w:color w:val="auto"/>
        </w:rPr>
      </w:pPr>
    </w:p>
    <w:p>
      <w:pPr>
        <w:jc w:val="both"/>
        <w:ind w:left="200" w:right="219" w:firstLine="699"/>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9. </w:t>
      </w: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color w:val="auto"/>
        </w:rPr>
        <w:t>. The provisions of this Amendment shall be binding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inure to the benefit of the parties hereto and their respective successors and assigns to the extent such assignees are permitted assignees as provided in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of the Credit Agreement.</w:t>
      </w:r>
    </w:p>
    <w:p>
      <w:pPr>
        <w:spacing w:after="0" w:line="162"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10. </w:t>
      </w:r>
      <w:r>
        <w:rPr>
          <w:rFonts w:ascii="Times New Roman" w:cs="Times New Roman" w:eastAsia="Times New Roman" w:hAnsi="Times New Roman"/>
          <w:sz w:val="20"/>
          <w:szCs w:val="20"/>
          <w:b w:val="1"/>
          <w:bCs w:val="1"/>
          <w:u w:val="single" w:color="auto"/>
          <w:color w:val="auto"/>
        </w:rPr>
        <w:t>Costs and Expenses</w:t>
      </w:r>
      <w:r>
        <w:rPr>
          <w:rFonts w:ascii="Times New Roman" w:cs="Times New Roman" w:eastAsia="Times New Roman" w:hAnsi="Times New Roman"/>
          <w:sz w:val="20"/>
          <w:szCs w:val="20"/>
          <w:color w:val="auto"/>
        </w:rPr>
        <w:t>. To the extent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10.04(a)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Company agrees to pay all reasonable and documented out-of-pocket expenses incurred by the Administrative Agent (including the reasonable and documented fees and expenses of counsel for the Administrative Agent) in connection with the preparation, execution and delivery of this Amendment and any other related Loan Documents.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Page Intentionally Left Blank; Signature Pages Follow]</w:t>
      </w:r>
    </w:p>
    <w:p>
      <w:pPr>
        <w:spacing w:after="0" w:line="2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339725</wp:posOffset>
            </wp:positionV>
            <wp:extent cx="545211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2" w:name="page33"/>
    <w:bookmarkEnd w:id="32"/>
    <w:p>
      <w:pPr>
        <w:ind w:left="200" w:right="239"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made, executed and delivered by their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u w:val="single" w:color="auto"/>
          <w:color w:val="auto"/>
        </w:rPr>
        <w:t>BORROWERS:</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AVNET, INC.</w:t>
      </w:r>
    </w:p>
    <w:p>
      <w:pPr>
        <w:spacing w:after="0" w:line="233"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Joseph L. Burke</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Joseph L. Burke</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President and 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AVNET HOLDING EUROPE BV</w:t>
      </w:r>
    </w:p>
    <w:p>
      <w:pPr>
        <w:spacing w:after="0" w:line="233"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Joseph L. Burke</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Joseph L. Burke</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President and 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 to Second Amended and Restated 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33" w:name="page34"/>
    <w:bookmarkEnd w:id="33"/>
    <w:p>
      <w:pPr>
        <w:ind w:left="4020"/>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ADMINISTRATIVE AGENT:</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BANK OF AMERICA, N.A.,</w:t>
      </w:r>
    </w:p>
    <w:p>
      <w:pPr>
        <w:spacing w:after="0" w:line="2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7"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Elizabeth Uribe</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Elizabeth Uribe</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Assistant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Avnet,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 to Second Amended and Restated Credit Agreement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39" w:right="1440" w:bottom="1440" w:gutter="0" w:footer="0" w:header="0"/>
        </w:sectPr>
      </w:pPr>
    </w:p>
    <w:bookmarkStart w:id="34" w:name="page35"/>
    <w:bookmarkEnd w:id="34"/>
    <w:p>
      <w:pPr>
        <w:ind w:left="4020"/>
        <w:spacing w:after="0"/>
        <w:rPr>
          <w:sz w:val="20"/>
          <w:szCs w:val="20"/>
          <w:color w:val="auto"/>
        </w:rPr>
      </w:pPr>
      <w:r>
        <w:rPr>
          <w:rFonts w:ascii="Times New Roman" w:cs="Times New Roman" w:eastAsia="Times New Roman" w:hAnsi="Times New Roman"/>
          <w:sz w:val="20"/>
          <w:szCs w:val="20"/>
          <w:b w:val="1"/>
          <w:bCs w:val="1"/>
          <w:u w:val="single" w:color="auto"/>
          <w:color w:val="auto"/>
        </w:rPr>
        <w:t>INCREASING LENDERS:</w:t>
      </w:r>
    </w:p>
    <w:p>
      <w:pPr>
        <w:spacing w:after="0" w:line="22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BANK OF AMERICA, N.A.</w:t>
      </w:r>
    </w:p>
    <w:p>
      <w:pPr>
        <w:spacing w:after="0" w:line="233"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Erhlich Bautista</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Erhlich Bautista</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President</w:t>
            </w:r>
          </w:p>
        </w:tc>
        <w:tc>
          <w:tcPr>
            <w:tcW w:w="0" w:type="dxa"/>
            <w:vAlign w:val="bottom"/>
          </w:tcPr>
          <w:p>
            <w:pPr>
              <w:spacing w:after="0"/>
              <w:rPr>
                <w:sz w:val="1"/>
                <w:szCs w:val="1"/>
                <w:color w:val="auto"/>
              </w:rPr>
            </w:pPr>
          </w:p>
        </w:tc>
      </w:tr>
      <w:tr>
        <w:trPr>
          <w:trHeight w:val="459"/>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BNP PARIBAS</w:t>
            </w:r>
          </w:p>
        </w:tc>
        <w:tc>
          <w:tcPr>
            <w:tcW w:w="0" w:type="dxa"/>
            <w:vAlign w:val="bottom"/>
          </w:tcPr>
          <w:p>
            <w:pPr>
              <w:spacing w:after="0"/>
              <w:rPr>
                <w:sz w:val="1"/>
                <w:szCs w:val="1"/>
                <w:color w:val="auto"/>
              </w:rPr>
            </w:pPr>
          </w:p>
        </w:tc>
      </w:tr>
      <w:tr>
        <w:trPr>
          <w:trHeight w:val="4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Brendan Heneghan</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Brendan Heneghan</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4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Nicolas Doche</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Nicolas Doche</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President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JPMORGAN CHASE BANK, N.A.</w:t>
      </w:r>
    </w:p>
    <w:p>
      <w:pPr>
        <w:spacing w:after="0" w:line="233"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Zachary Quan</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Zachary Quan</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President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THE BANK OF NOVA SCOTIA</w:t>
      </w:r>
    </w:p>
    <w:p>
      <w:pPr>
        <w:spacing w:after="0" w:line="233"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Khrystyna Manko</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Khrystyna Manko</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459"/>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TRUIST BANK</w:t>
            </w:r>
          </w:p>
        </w:tc>
        <w:tc>
          <w:tcPr>
            <w:tcW w:w="0" w:type="dxa"/>
            <w:vAlign w:val="bottom"/>
          </w:tcPr>
          <w:p>
            <w:pPr>
              <w:spacing w:after="0"/>
              <w:rPr>
                <w:sz w:val="1"/>
                <w:szCs w:val="1"/>
                <w:color w:val="auto"/>
              </w:rPr>
            </w:pPr>
          </w:p>
        </w:tc>
      </w:tr>
      <w:tr>
        <w:trPr>
          <w:trHeight w:val="4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Alfonso Brigham</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Alfonso Brigham</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BANCO SANTANDER, S.A., NEW YORK</w:t>
      </w:r>
    </w:p>
    <w:p>
      <w:pPr>
        <w:spacing w:after="0" w:line="2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BRANCH</w:t>
      </w:r>
    </w:p>
    <w:p>
      <w:pPr>
        <w:spacing w:after="0" w:line="207"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Andres Barbosa</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Andres Barbosa</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Managing Director</w:t>
            </w:r>
          </w:p>
        </w:tc>
        <w:tc>
          <w:tcPr>
            <w:tcW w:w="0" w:type="dxa"/>
            <w:vAlign w:val="bottom"/>
          </w:tcPr>
          <w:p>
            <w:pPr>
              <w:spacing w:after="0"/>
              <w:rPr>
                <w:sz w:val="1"/>
                <w:szCs w:val="1"/>
                <w:color w:val="auto"/>
              </w:rPr>
            </w:pPr>
          </w:p>
        </w:tc>
      </w:tr>
      <w:tr>
        <w:trPr>
          <w:trHeight w:val="4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Rita Walz-Cuccioli</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Rita Walz-Cuccioli</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 to Second Amended and Restated 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35" w:name="page36"/>
    <w:bookmarkEnd w:id="35"/>
    <w:p>
      <w:pPr>
        <w:ind w:left="4020"/>
        <w:spacing w:after="0"/>
        <w:rPr>
          <w:sz w:val="20"/>
          <w:szCs w:val="20"/>
          <w:color w:val="auto"/>
        </w:rPr>
      </w:pPr>
      <w:r>
        <w:rPr>
          <w:rFonts w:ascii="Times New Roman" w:cs="Times New Roman" w:eastAsia="Times New Roman" w:hAnsi="Times New Roman"/>
          <w:sz w:val="20"/>
          <w:szCs w:val="20"/>
          <w:b w:val="1"/>
          <w:bCs w:val="1"/>
          <w:color w:val="auto"/>
        </w:rPr>
        <w:t>COMMERZBANK AG, NEW YORK BRANCH</w:t>
      </w:r>
    </w:p>
    <w:p>
      <w:pPr>
        <w:spacing w:after="0" w:line="233"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Mathew Ward</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Mathew Ward</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Managing Director</w:t>
            </w:r>
          </w:p>
        </w:tc>
        <w:tc>
          <w:tcPr>
            <w:tcW w:w="0" w:type="dxa"/>
            <w:vAlign w:val="bottom"/>
          </w:tcPr>
          <w:p>
            <w:pPr>
              <w:spacing w:after="0"/>
              <w:rPr>
                <w:sz w:val="1"/>
                <w:szCs w:val="1"/>
                <w:color w:val="auto"/>
              </w:rPr>
            </w:pPr>
          </w:p>
        </w:tc>
      </w:tr>
      <w:tr>
        <w:trPr>
          <w:trHeight w:val="4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Robert Sullivan</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Robert Sullivan</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President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HSBC BANK USA, NATIONAL ASSOCIATION</w:t>
      </w:r>
    </w:p>
    <w:p>
      <w:pPr>
        <w:spacing w:after="0" w:line="233"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Ilene Hernandez</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Ilene Hernandez</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President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20"/>
          <w:szCs w:val="20"/>
          <w:b w:val="1"/>
          <w:bCs w:val="1"/>
          <w:color w:val="auto"/>
        </w:rPr>
        <w:t>SUMITOMO MITSUI BANKING CORPORATION</w:t>
      </w:r>
    </w:p>
    <w:p>
      <w:pPr>
        <w:spacing w:after="0" w:line="233"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Irlen Mak</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Irlen Mak</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WELLS FARGO BANK, NATIONAL</w:t>
      </w:r>
    </w:p>
    <w:p>
      <w:pPr>
        <w:spacing w:after="0" w:line="2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ASSOCIATION</w:t>
      </w:r>
    </w:p>
    <w:p>
      <w:pPr>
        <w:spacing w:after="0" w:line="207"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Greg Strauss</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Greg Strauss</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Managing Director</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BANK OF CHINA, LOS ANGELES BRANCH</w:t>
      </w:r>
    </w:p>
    <w:p>
      <w:pPr>
        <w:spacing w:after="0" w:line="233"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Jason Fu</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Jason Fu</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SVP</w:t>
            </w:r>
          </w:p>
        </w:tc>
        <w:tc>
          <w:tcPr>
            <w:tcW w:w="0" w:type="dxa"/>
            <w:vAlign w:val="bottom"/>
          </w:tcPr>
          <w:p>
            <w:pPr>
              <w:spacing w:after="0"/>
              <w:rPr>
                <w:sz w:val="1"/>
                <w:szCs w:val="1"/>
                <w:color w:val="auto"/>
              </w:rPr>
            </w:pPr>
          </w:p>
        </w:tc>
      </w:tr>
      <w:tr>
        <w:trPr>
          <w:trHeight w:val="459"/>
        </w:trPr>
        <w:tc>
          <w:tcPr>
            <w:tcW w:w="4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DBS BANK LTD.</w:t>
            </w:r>
          </w:p>
        </w:tc>
        <w:tc>
          <w:tcPr>
            <w:tcW w:w="0" w:type="dxa"/>
            <w:vAlign w:val="bottom"/>
          </w:tcPr>
          <w:p>
            <w:pPr>
              <w:spacing w:after="0"/>
              <w:rPr>
                <w:sz w:val="1"/>
                <w:szCs w:val="1"/>
                <w:color w:val="auto"/>
              </w:rPr>
            </w:pPr>
          </w:p>
        </w:tc>
      </w:tr>
      <w:tr>
        <w:trPr>
          <w:trHeight w:val="4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Kate Khoo</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Kate Khoo</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President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KBC BANK NV, NEW YORK BRANCH</w:t>
      </w:r>
    </w:p>
    <w:p>
      <w:pPr>
        <w:spacing w:after="0" w:line="233"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Francis Payne</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Francis Payne</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Managing Director</w:t>
            </w:r>
          </w:p>
        </w:tc>
        <w:tc>
          <w:tcPr>
            <w:tcW w:w="0" w:type="dxa"/>
            <w:vAlign w:val="bottom"/>
          </w:tcPr>
          <w:p>
            <w:pPr>
              <w:spacing w:after="0"/>
              <w:rPr>
                <w:sz w:val="1"/>
                <w:szCs w:val="1"/>
                <w:color w:val="auto"/>
              </w:rPr>
            </w:pPr>
          </w:p>
        </w:tc>
      </w:tr>
      <w:tr>
        <w:trPr>
          <w:trHeight w:val="4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Nicholas Philippides</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Nicholas Philippides</w:t>
            </w:r>
          </w:p>
        </w:tc>
        <w:tc>
          <w:tcPr>
            <w:tcW w:w="0" w:type="dxa"/>
            <w:vAlign w:val="bottom"/>
          </w:tcPr>
          <w:p>
            <w:pPr>
              <w:spacing w:after="0"/>
              <w:rPr>
                <w:sz w:val="1"/>
                <w:szCs w:val="1"/>
                <w:color w:val="auto"/>
              </w:rPr>
            </w:pPr>
          </w:p>
        </w:tc>
      </w:tr>
      <w:tr>
        <w:trPr>
          <w:trHeight w:val="254"/>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Vice President</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Avnet,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 to Second Amended and Restated 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36" w:name="page37"/>
    <w:bookmarkEnd w:id="36"/>
    <w:p>
      <w:pPr>
        <w:ind w:left="4020"/>
        <w:spacing w:after="0"/>
        <w:rPr>
          <w:sz w:val="20"/>
          <w:szCs w:val="20"/>
          <w:color w:val="auto"/>
        </w:rPr>
      </w:pPr>
      <w:r>
        <w:rPr>
          <w:rFonts w:ascii="Times New Roman" w:cs="Times New Roman" w:eastAsia="Times New Roman" w:hAnsi="Times New Roman"/>
          <w:sz w:val="20"/>
          <w:szCs w:val="20"/>
          <w:b w:val="1"/>
          <w:bCs w:val="1"/>
          <w:color w:val="auto"/>
        </w:rPr>
        <w:t>STANDARD CHARTERED BANK</w:t>
      </w:r>
    </w:p>
    <w:p>
      <w:pPr>
        <w:spacing w:after="0" w:line="233"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Kristopher Tracy</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Kristopher Tracy</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 Financing Solutions</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UNICREDIT BANK AG, NEW YORK BRANCH</w:t>
      </w:r>
    </w:p>
    <w:p>
      <w:pPr>
        <w:spacing w:after="0" w:line="233"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Christine Macinnes</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Christine Macinnes</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4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Laura Shelmerdine</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Laura Shelmerdine</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THE HUNTINGTON NATIONAL BANK</w:t>
      </w:r>
    </w:p>
    <w:p>
      <w:pPr>
        <w:spacing w:after="0" w:line="233"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Scott Pritchett</w:t>
            </w:r>
          </w:p>
        </w:tc>
        <w:tc>
          <w:tcPr>
            <w:tcW w:w="0" w:type="dxa"/>
            <w:vAlign w:val="bottom"/>
          </w:tcPr>
          <w:p>
            <w:pPr>
              <w:spacing w:after="0"/>
              <w:rPr>
                <w:sz w:val="1"/>
                <w:szCs w:val="1"/>
                <w:color w:val="auto"/>
              </w:rPr>
            </w:pPr>
          </w:p>
        </w:tc>
      </w:tr>
      <w:tr>
        <w:trPr>
          <w:trHeight w:val="23"/>
        </w:trPr>
        <w:tc>
          <w:tcPr>
            <w:tcW w:w="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00" w:type="dxa"/>
            <w:vAlign w:val="bottom"/>
            <w:vMerge w:val="continue"/>
          </w:tcPr>
          <w:p>
            <w:pPr>
              <w:spacing w:after="0"/>
              <w:rPr>
                <w:sz w:val="17"/>
                <w:szCs w:val="17"/>
                <w:color w:val="auto"/>
              </w:rPr>
            </w:pPr>
          </w:p>
        </w:tc>
        <w:tc>
          <w:tcPr>
            <w:tcW w:w="398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Scott Pritchett</w:t>
            </w:r>
          </w:p>
        </w:tc>
        <w:tc>
          <w:tcPr>
            <w:tcW w:w="0" w:type="dxa"/>
            <w:vAlign w:val="bottom"/>
          </w:tcPr>
          <w:p>
            <w:pPr>
              <w:spacing w:after="0"/>
              <w:rPr>
                <w:sz w:val="1"/>
                <w:szCs w:val="1"/>
                <w:color w:val="auto"/>
              </w:rPr>
            </w:pPr>
          </w:p>
        </w:tc>
      </w:tr>
      <w:tr>
        <w:trPr>
          <w:trHeight w:val="258"/>
        </w:trPr>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Assistant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Avnet,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 to Second Amended and Restated 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1220470</wp:posOffset>
            </wp:positionV>
            <wp:extent cx="545211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R. Gallagher, certify that:</w:t>
      </w:r>
    </w:p>
    <w:p>
      <w:pPr>
        <w:spacing w:after="0" w:line="158" w:lineRule="exact"/>
        <w:rPr>
          <w:sz w:val="20"/>
          <w:szCs w:val="20"/>
          <w:color w:val="auto"/>
        </w:rPr>
      </w:pPr>
    </w:p>
    <w:p>
      <w:pPr>
        <w:ind w:left="640" w:hanging="32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2023</w:t>
      </w:r>
    </w:p>
    <w:p>
      <w:pPr>
        <w:spacing w:after="0" w:line="2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26035</wp:posOffset>
            </wp:positionV>
            <wp:extent cx="32150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673100</wp:posOffset>
            </wp:positionV>
            <wp:extent cx="649795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Jacobson, certify that:</w:t>
      </w:r>
    </w:p>
    <w:p>
      <w:pPr>
        <w:spacing w:after="0" w:line="158" w:lineRule="exact"/>
        <w:rPr>
          <w:sz w:val="20"/>
          <w:szCs w:val="20"/>
          <w:color w:val="auto"/>
        </w:rPr>
      </w:pPr>
    </w:p>
    <w:p>
      <w:pPr>
        <w:ind w:left="640" w:hanging="32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3, 2023</w:t>
      </w:r>
    </w:p>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26035</wp:posOffset>
            </wp:positionV>
            <wp:extent cx="32150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677545</wp:posOffset>
            </wp:positionV>
            <wp:extent cx="6497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40" w:name="page41"/>
    <w:bookmarkEnd w:id="4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December 31, 2022 (the “Report”), I, Philip 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Gallagher, Chief Executive Officer of Avnet, Inc. (the “Company”) hereby certify that:</w:t>
      </w:r>
    </w:p>
    <w:p>
      <w:pPr>
        <w:spacing w:after="0" w:line="158" w:lineRule="exact"/>
        <w:rPr>
          <w:sz w:val="20"/>
          <w:szCs w:val="20"/>
          <w:color w:val="auto"/>
        </w:rPr>
      </w:pPr>
    </w:p>
    <w:p>
      <w:pPr>
        <w:ind w:left="700" w:right="699" w:hanging="332"/>
        <w:spacing w:after="0" w:line="329"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3, 2023</w:t>
      </w:r>
    </w:p>
    <w:p>
      <w:pPr>
        <w:spacing w:after="0" w:line="2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26035</wp:posOffset>
            </wp:positionV>
            <wp:extent cx="27857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5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41" w:name="page42"/>
    <w:bookmarkEnd w:id="4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right="139"/>
        <w:spacing w:after="0" w:line="329"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December 31, 2022 (the “Report”), I, Kenneth A. Jacobson, Chief Financial Officer of Avnet, Inc. (the “Company”) hereby certify that:</w:t>
      </w:r>
    </w:p>
    <w:p>
      <w:pPr>
        <w:spacing w:after="0" w:line="54" w:lineRule="exact"/>
        <w:rPr>
          <w:sz w:val="20"/>
          <w:szCs w:val="20"/>
          <w:color w:val="auto"/>
        </w:rPr>
      </w:pPr>
    </w:p>
    <w:p>
      <w:pPr>
        <w:ind w:left="700" w:right="699" w:hanging="332"/>
        <w:spacing w:after="0" w:line="329"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3, 2023</w:t>
      </w:r>
    </w:p>
    <w:p>
      <w:pPr>
        <w:spacing w:after="0" w:line="2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26035</wp:posOffset>
            </wp:positionV>
            <wp:extent cx="2802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4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0"/>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upperLetter"/>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2"/>
    </w:lvl>
  </w:abstractNum>
  <w:abstractNum w:abstractNumId="12">
    <w:nsid w:val="4E6AFB66"/>
    <w:multiLevelType w:val="hybridMultilevel"/>
    <w:lvl w:ilvl="0">
      <w:lvlJc w:val="left"/>
      <w:lvlText w:val="%1"/>
      <w:numFmt w:val="decimal"/>
      <w:start w:val="1"/>
    </w:lvl>
    <w:lvl w:ilvl="1">
      <w:lvlJc w:val="left"/>
      <w:lvlText w:val="(%2)"/>
      <w:numFmt w:val="lowerLetter"/>
      <w:start w:val="1"/>
    </w:lvl>
  </w:abstractNum>
  <w:abstractNum w:abstractNumId="13">
    <w:nsid w:val="25E45D32"/>
    <w:multiLevelType w:val="hybridMultilevel"/>
    <w:lvl w:ilvl="0">
      <w:lvlJc w:val="left"/>
      <w:lvlText w:val="(%1)"/>
      <w:numFmt w:val="decimal"/>
      <w:start w:val="1"/>
    </w:lvl>
    <w:lvl w:ilvl="1">
      <w:lvlJc w:val="left"/>
      <w:lvlText w:val="(%2)"/>
      <w:numFmt w:val="lowerLetter"/>
      <w:start w:val="3"/>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Roman"/>
      <w:start w:val="3"/>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45" Type="http://schemas.openxmlformats.org/officeDocument/2006/relationships/hyperlink" Target="https://www.sec.gov/Archives/edgar/data/8858/000110465922128735/tm223316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2023-02-03T05:04:15Z</dcterms:created>
  <dcterms:modified xsi:type="dcterms:W3CDTF">2023-02-03T05:04:15Z</dcterms:modified>
</cp:coreProperties>
</file>