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56"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(Rule 14a-101)</w:t>
      </w:r>
    </w:p>
    <w:p>
      <w:pPr>
        <w:spacing w:after="0" w:line="53"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right="4680" w:firstLine="8"/>
        <w:spacing w:after="0" w:line="262"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51435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180975</wp:posOffset>
            </wp:positionV>
            <wp:extent cx="4485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86"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left="460" w:right="220" w:hanging="452"/>
        <w:spacing w:after="0" w:line="24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-4140835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-3703320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-3146425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-2708910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-2271395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-1833880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-1139190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-702310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-273050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163830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215265</wp:posOffset>
            </wp:positionV>
            <wp:extent cx="247015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0150" cy="66865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left="5500"/>
        <w:spacing w:after="0" w:line="265" w:lineRule="auto"/>
        <w:rPr>
          <w:sz w:val="20"/>
          <w:szCs w:val="20"/>
          <w:color w:val="auto"/>
        </w:rPr>
      </w:pPr>
      <w:r>
        <w:rPr>
          <w:rFonts w:ascii="Arial" w:cs="Arial" w:eastAsia="Arial" w:hAnsi="Arial"/>
          <w:sz w:val="43"/>
          <w:szCs w:val="43"/>
          <w:color w:val="51BA64"/>
        </w:rPr>
        <w:t>Notice of 2017 Annual Meeting of Shareholders and Proxy Statement</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208915</wp:posOffset>
            </wp:positionV>
            <wp:extent cx="1157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2017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196850</wp:posOffset>
            </wp:positionV>
            <wp:extent cx="1157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Be Held Thursday, November 9, 2017</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AVNET, INC.:</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Inc. Corporate Headquarters, 2211 South 47th Street, Phoenix, Arizona 85034, on Thursday, November 9, 2017, at 7:30 a.m., local time, for the following purposes:</w:t>
      </w:r>
    </w:p>
    <w:p>
      <w:pPr>
        <w:spacing w:after="0" w:line="23" w:lineRule="exact"/>
        <w:rPr>
          <w:sz w:val="20"/>
          <w:szCs w:val="20"/>
          <w:color w:val="auto"/>
        </w:rPr>
      </w:pPr>
    </w:p>
    <w:p>
      <w:pPr>
        <w:ind w:left="1020" w:right="400" w:hanging="445"/>
        <w:spacing w:after="0" w:line="26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eight director nominees named in the attached proxy statement to serve until the next annual meeting and until their successors have been elected and qualified.</w:t>
      </w:r>
    </w:p>
    <w:p>
      <w:pPr>
        <w:spacing w:after="0" w:line="8" w:lineRule="exact"/>
        <w:rPr>
          <w:rFonts w:ascii="Arial" w:cs="Arial" w:eastAsia="Arial" w:hAnsi="Arial"/>
          <w:sz w:val="18"/>
          <w:szCs w:val="18"/>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63" w:lineRule="exact"/>
        <w:rPr>
          <w:rFonts w:ascii="Arial" w:cs="Arial" w:eastAsia="Arial" w:hAnsi="Arial"/>
          <w:sz w:val="18"/>
          <w:szCs w:val="18"/>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the frequency of future advisory votes on executive compensation.</w:t>
      </w:r>
    </w:p>
    <w:p>
      <w:pPr>
        <w:spacing w:after="0" w:line="63" w:lineRule="exact"/>
        <w:rPr>
          <w:rFonts w:ascii="Arial" w:cs="Arial" w:eastAsia="Arial" w:hAnsi="Arial"/>
          <w:sz w:val="18"/>
          <w:szCs w:val="18"/>
          <w:color w:val="auto"/>
        </w:rPr>
      </w:pPr>
    </w:p>
    <w:p>
      <w:pPr>
        <w:ind w:left="1020" w:right="520" w:hanging="445"/>
        <w:spacing w:after="0" w:line="26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30, 2018.</w:t>
      </w:r>
    </w:p>
    <w:p>
      <w:pPr>
        <w:spacing w:after="0" w:line="8" w:lineRule="exact"/>
        <w:rPr>
          <w:rFonts w:ascii="Arial" w:cs="Arial" w:eastAsia="Arial" w:hAnsi="Arial"/>
          <w:sz w:val="18"/>
          <w:szCs w:val="18"/>
          <w:color w:val="auto"/>
        </w:rPr>
      </w:pPr>
    </w:p>
    <w:p>
      <w:pPr>
        <w:ind w:left="1020" w:right="280" w:hanging="445"/>
        <w:spacing w:after="0" w:line="26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(including postponements and adjournments).</w:t>
      </w:r>
    </w:p>
    <w:p>
      <w:pPr>
        <w:ind w:right="80"/>
        <w:spacing w:after="0" w:line="252" w:lineRule="auto"/>
        <w:rPr>
          <w:sz w:val="20"/>
          <w:szCs w:val="20"/>
          <w:color w:val="auto"/>
        </w:rPr>
      </w:pPr>
      <w:r>
        <w:rPr>
          <w:rFonts w:ascii="Arial" w:cs="Arial" w:eastAsia="Arial" w:hAnsi="Arial"/>
          <w:sz w:val="18"/>
          <w:szCs w:val="18"/>
          <w:color w:val="auto"/>
        </w:rPr>
        <w:t>The Board of Directors has fixed the close of business on September 12, 2017, as the record date for the Annual Meeting. Only holders of record of shares of Avnet’s Common Stock at the close of business on such date shall be entitled to notice of and to vote at the Annual Meeting or any adjournment thereof.</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0939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93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Harvey Woodford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2017</w:t>
      </w:r>
    </w:p>
    <w:p>
      <w:pPr>
        <w:sectPr>
          <w:pgSz w:w="11900" w:h="16838" w:orient="portrait"/>
          <w:cols w:equalWidth="0" w:num="1">
            <w:col w:w="11340"/>
          </w:cols>
          <w:pgMar w:left="240" w:top="455" w:right="3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34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5"/>
        </w:trPr>
        <w:tc>
          <w:tcPr>
            <w:tcW w:w="9880" w:type="dxa"/>
            <w:vAlign w:val="bottom"/>
            <w:gridSpan w:val="4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Proxy Statement</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60" w:type="dxa"/>
            <w:vAlign w:val="bottom"/>
            <w:gridSpan w:val="44"/>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Proxy and Revocation of Proxy</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4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Quorum</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64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Broker</w:t>
              </w:r>
            </w:hyperlink>
          </w:p>
        </w:tc>
        <w:tc>
          <w:tcPr>
            <w:tcW w:w="9020" w:type="dxa"/>
            <w:vAlign w:val="bottom"/>
            <w:gridSpan w:val="4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Voting</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Required Vote</w:t>
              </w:r>
            </w:hyperlink>
          </w:p>
        </w:tc>
        <w:tc>
          <w:tcPr>
            <w:tcW w:w="40" w:type="dxa"/>
            <w:vAlign w:val="bottom"/>
          </w:tcPr>
          <w:p>
            <w:pPr>
              <w:spacing w:after="0"/>
              <w:rPr>
                <w:sz w:val="15"/>
                <w:szCs w:val="15"/>
                <w:color w:val="auto"/>
              </w:rPr>
            </w:pPr>
          </w:p>
        </w:tc>
        <w:tc>
          <w:tcPr>
            <w:tcW w:w="8540" w:type="dxa"/>
            <w:vAlign w:val="bottom"/>
            <w:gridSpan w:val="39"/>
          </w:tcPr>
          <w:p>
            <w:pPr>
              <w:ind w:left="4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and Board Recommendation</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340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Meeting Attendance</w:t>
              </w:r>
            </w:hyperlink>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178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Corporate Governance</w:t>
              </w:r>
            </w:hyperlink>
          </w:p>
        </w:tc>
        <w:tc>
          <w:tcPr>
            <w:tcW w:w="20" w:type="dxa"/>
            <w:vAlign w:val="bottom"/>
            <w:tcBorders>
              <w:bottom w:val="single" w:sz="8" w:color="0000EE"/>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580" w:type="dxa"/>
            <w:vAlign w:val="bottom"/>
            <w:gridSpan w:val="10"/>
          </w:tcPr>
          <w:p>
            <w:pPr>
              <w:spacing w:after="0" w:line="182"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Corporate Governance</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80" w:type="dxa"/>
            <w:vAlign w:val="bottom"/>
            <w:gridSpan w:val="30"/>
          </w:tcPr>
          <w:p>
            <w:pPr>
              <w:ind w:left="6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Guidelines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6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Director Independence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60" w:type="dxa"/>
            <w:vAlign w:val="bottom"/>
            <w:gridSpan w:val="4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Board Leadership Structure</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1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Director Nominations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60" w:type="dxa"/>
            <w:vAlign w:val="bottom"/>
            <w:gridSpan w:val="44"/>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Director Communications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Management Succession</w:t>
              </w:r>
            </w:hyperlink>
          </w:p>
        </w:tc>
        <w:tc>
          <w:tcPr>
            <w:tcW w:w="2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000" w:type="dxa"/>
            <w:vAlign w:val="bottom"/>
            <w:gridSpan w:val="16"/>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Code of Conduct</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60" w:type="dxa"/>
            <w:vAlign w:val="bottom"/>
            <w:gridSpan w:val="44"/>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Reporting of Ethical Concerns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3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Stock Ownership Guidelines</w:t>
              </w:r>
            </w:hyperlink>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2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Avnet Website</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83"/>
        </w:trPr>
        <w:tc>
          <w:tcPr>
            <w:tcW w:w="9880" w:type="dxa"/>
            <w:vAlign w:val="bottom"/>
            <w:gridSpan w:val="45"/>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The Board of Directors and its Committees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312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Audit Committee</w:t>
              </w:r>
            </w:hyperlink>
          </w:p>
        </w:tc>
        <w:tc>
          <w:tcPr>
            <w:tcW w:w="4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3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Compensation</w:t>
              </w:r>
            </w:hyperlink>
          </w:p>
        </w:tc>
        <w:tc>
          <w:tcPr>
            <w:tcW w:w="8340" w:type="dxa"/>
            <w:vAlign w:val="bottom"/>
            <w:gridSpan w:val="37"/>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Committee</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0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7620" w:type="dxa"/>
            <w:vAlign w:val="bottom"/>
            <w:gridSpan w:val="27"/>
          </w:tcPr>
          <w:p>
            <w:pPr>
              <w:jc w:val="center"/>
              <w:ind w:right="6980"/>
              <w:spacing w:after="0" w:line="182" w:lineRule="exact"/>
              <w:rPr>
                <w:rFonts w:ascii="Arial" w:cs="Arial" w:eastAsia="Arial" w:hAnsi="Arial"/>
                <w:sz w:val="18"/>
                <w:szCs w:val="18"/>
                <w:color w:val="0000EE"/>
                <w:w w:val="73"/>
              </w:rPr>
            </w:pPr>
            <w:hyperlink w:anchor="page13">
              <w:r>
                <w:rPr>
                  <w:rFonts w:ascii="Arial" w:cs="Arial" w:eastAsia="Arial" w:hAnsi="Arial"/>
                  <w:sz w:val="18"/>
                  <w:szCs w:val="18"/>
                  <w:color w:val="0000EE"/>
                  <w:w w:val="73"/>
                </w:rPr>
                <w:t>Committee</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7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Executive Committee</w:t>
              </w:r>
            </w:hyperlink>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The Board’s Role in</w:t>
              </w:r>
            </w:hyperlink>
          </w:p>
        </w:tc>
        <w:tc>
          <w:tcPr>
            <w:tcW w:w="1060" w:type="dxa"/>
            <w:vAlign w:val="bottom"/>
            <w:tcBorders>
              <w:bottom w:val="single" w:sz="8" w:color="0000EE"/>
            </w:tcBorders>
            <w:gridSpan w:val="18"/>
          </w:tcPr>
          <w:p>
            <w:pPr>
              <w:spacing w:after="0" w:line="182"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Risk Oversight</w:t>
              </w:r>
            </w:hyperlink>
          </w:p>
        </w:tc>
        <w:tc>
          <w:tcPr>
            <w:tcW w:w="6920" w:type="dxa"/>
            <w:vAlign w:val="bottom"/>
            <w:gridSpan w:val="14"/>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960" w:type="dxa"/>
            <w:vAlign w:val="bottom"/>
            <w:gridSpan w:val="31"/>
          </w:tcPr>
          <w:p>
            <w:pPr>
              <w:spacing w:after="0" w:line="182"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Proposal 1 — Election of Directors</w:t>
              </w:r>
            </w:hyperlink>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83"/>
        </w:trPr>
        <w:tc>
          <w:tcPr>
            <w:tcW w:w="29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Audit Committee Report</w:t>
              </w:r>
            </w:hyperlink>
          </w:p>
        </w:tc>
        <w:tc>
          <w:tcPr>
            <w:tcW w:w="1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9880" w:type="dxa"/>
            <w:vAlign w:val="bottom"/>
            <w:gridSpan w:val="45"/>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Principal Accounting Firm Fees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top w:val="single" w:sz="8" w:color="0000EE"/>
            </w:tcBorders>
            <w:gridSpan w:val="22"/>
          </w:tcPr>
          <w:p>
            <w:pPr>
              <w:spacing w:after="0" w:line="182"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Beneficial Ownership of Common</w:t>
              </w:r>
            </w:hyperlink>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7260" w:type="dxa"/>
            <w:vAlign w:val="bottom"/>
            <w:gridSpan w:val="20"/>
          </w:tcPr>
          <w:p>
            <w:pPr>
              <w:ind w:left="40"/>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Stock by Management and Others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5320" w:type="dxa"/>
            <w:vAlign w:val="bottom"/>
            <w:tcBorders>
              <w:top w:val="single" w:sz="8" w:color="0000EE"/>
            </w:tcBorders>
            <w:gridSpan w:val="41"/>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Section 16(a) Beneficial Ownership Reporting Compliance</w:t>
              </w:r>
            </w:hyperlink>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4540" w:type="dxa"/>
            <w:vAlign w:val="bottom"/>
            <w:tcBorders>
              <w:top w:val="single" w:sz="8" w:color="0000EE"/>
            </w:tcBorders>
            <w:gridSpan w:val="40"/>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Company</w:t>
              </w:r>
            </w:hyperlink>
          </w:p>
        </w:tc>
        <w:tc>
          <w:tcPr>
            <w:tcW w:w="1460" w:type="dxa"/>
            <w:vAlign w:val="bottom"/>
            <w:gridSpan w:val="2"/>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62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Compensation Committee Report</w:t>
              </w:r>
            </w:hyperlink>
          </w:p>
        </w:tc>
        <w:tc>
          <w:tcPr>
            <w:tcW w:w="80" w:type="dxa"/>
            <w:vAlign w:val="bottom"/>
            <w:tcBorders>
              <w:top w:val="single" w:sz="8" w:color="0000EE"/>
            </w:tcBorders>
            <w:gridSpan w:val="2"/>
          </w:tcPr>
          <w:p>
            <w:pPr>
              <w:spacing w:after="0"/>
              <w:rPr>
                <w:sz w:val="15"/>
                <w:szCs w:val="15"/>
                <w:color w:val="auto"/>
              </w:rPr>
            </w:pPr>
          </w:p>
        </w:tc>
        <w:tc>
          <w:tcPr>
            <w:tcW w:w="38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820" w:type="dxa"/>
            <w:vAlign w:val="bottom"/>
            <w:gridSpan w:val="3"/>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9880" w:type="dxa"/>
            <w:vAlign w:val="bottom"/>
            <w:gridSpan w:val="45"/>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Discussion and Analysis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Introduction</w:t>
              </w:r>
            </w:hyperlink>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820" w:type="dxa"/>
            <w:vAlign w:val="bottom"/>
            <w:gridSpan w:val="3"/>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92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Executive</w:t>
              </w:r>
            </w:hyperlink>
          </w:p>
        </w:tc>
        <w:tc>
          <w:tcPr>
            <w:tcW w:w="8740" w:type="dxa"/>
            <w:vAlign w:val="bottom"/>
            <w:gridSpan w:val="4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Summary</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60" w:type="dxa"/>
            <w:vAlign w:val="bottom"/>
            <w:gridSpan w:val="44"/>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Governance and Process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Overview of Pay Programs</w:t>
              </w:r>
            </w:hyperlink>
          </w:p>
        </w:tc>
        <w:tc>
          <w:tcPr>
            <w:tcW w:w="1060" w:type="dxa"/>
            <w:vAlign w:val="bottom"/>
            <w:tcBorders>
              <w:top w:val="single" w:sz="8" w:color="0000EE"/>
            </w:tcBorders>
            <w:gridSpan w:val="18"/>
          </w:tcPr>
          <w:p>
            <w:pPr>
              <w:spacing w:after="0"/>
              <w:rPr>
                <w:sz w:val="15"/>
                <w:szCs w:val="15"/>
                <w:color w:val="auto"/>
              </w:rPr>
            </w:pPr>
          </w:p>
        </w:tc>
        <w:tc>
          <w:tcPr>
            <w:tcW w:w="800" w:type="dxa"/>
            <w:vAlign w:val="bottom"/>
            <w:gridSpan w:val="2"/>
          </w:tcPr>
          <w:p>
            <w:pPr>
              <w:spacing w:after="0"/>
              <w:rPr>
                <w:sz w:val="15"/>
                <w:szCs w:val="15"/>
                <w:color w:val="auto"/>
              </w:rPr>
            </w:pPr>
          </w:p>
        </w:tc>
        <w:tc>
          <w:tcPr>
            <w:tcW w:w="1820" w:type="dxa"/>
            <w:vAlign w:val="bottom"/>
            <w:gridSpan w:val="3"/>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9660" w:type="dxa"/>
            <w:vAlign w:val="bottom"/>
            <w:gridSpan w:val="44"/>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Elements of Executive Compensation</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9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Additional Information</w:t>
              </w:r>
            </w:hyperlink>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spacing w:after="0"/>
              <w:rPr>
                <w:sz w:val="15"/>
                <w:szCs w:val="15"/>
                <w:color w:val="auto"/>
              </w:rPr>
            </w:pPr>
          </w:p>
        </w:tc>
        <w:tc>
          <w:tcPr>
            <w:tcW w:w="1820" w:type="dxa"/>
            <w:vAlign w:val="bottom"/>
            <w:gridSpan w:val="3"/>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1700" w:type="dxa"/>
            <w:vAlign w:val="bottom"/>
            <w:tcBorders>
              <w:top w:val="single" w:sz="8" w:color="0000EE"/>
            </w:tcBorders>
            <w:gridSpan w:val="13"/>
          </w:tcPr>
          <w:p>
            <w:pPr>
              <w:spacing w:after="0" w:line="18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Compensation of Avnet</w:t>
              </w:r>
            </w:hyperlink>
          </w:p>
        </w:tc>
        <w:tc>
          <w:tcPr>
            <w:tcW w:w="7960" w:type="dxa"/>
            <w:vAlign w:val="bottom"/>
            <w:gridSpan w:val="31"/>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Executive Officers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18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Director Compensation</w:t>
              </w:r>
            </w:hyperlink>
          </w:p>
        </w:tc>
        <w:tc>
          <w:tcPr>
            <w:tcW w:w="144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spacing w:after="0"/>
              <w:rPr>
                <w:sz w:val="15"/>
                <w:szCs w:val="15"/>
                <w:color w:val="auto"/>
              </w:rPr>
            </w:pPr>
          </w:p>
        </w:tc>
        <w:tc>
          <w:tcPr>
            <w:tcW w:w="1820" w:type="dxa"/>
            <w:vAlign w:val="bottom"/>
            <w:gridSpan w:val="3"/>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9660" w:type="dxa"/>
            <w:vAlign w:val="bottom"/>
            <w:gridSpan w:val="44"/>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Deferred Compensation Plan</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2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D&amp;O Insurance</w:t>
              </w:r>
            </w:hyperlink>
          </w:p>
        </w:tc>
        <w:tc>
          <w:tcPr>
            <w:tcW w:w="840" w:type="dxa"/>
            <w:vAlign w:val="bottom"/>
            <w:gridSpan w:val="12"/>
          </w:tcPr>
          <w:p>
            <w:pPr>
              <w:spacing w:after="0"/>
              <w:rPr>
                <w:sz w:val="15"/>
                <w:szCs w:val="15"/>
                <w:color w:val="auto"/>
              </w:rPr>
            </w:pPr>
          </w:p>
        </w:tc>
        <w:tc>
          <w:tcPr>
            <w:tcW w:w="860" w:type="dxa"/>
            <w:vAlign w:val="bottom"/>
            <w:gridSpan w:val="4"/>
          </w:tcPr>
          <w:p>
            <w:pPr>
              <w:spacing w:after="0"/>
              <w:rPr>
                <w:sz w:val="15"/>
                <w:szCs w:val="15"/>
                <w:color w:val="auto"/>
              </w:rPr>
            </w:pPr>
          </w:p>
        </w:tc>
        <w:tc>
          <w:tcPr>
            <w:tcW w:w="1820" w:type="dxa"/>
            <w:vAlign w:val="bottom"/>
            <w:gridSpan w:val="3"/>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60" w:type="dxa"/>
            <w:vAlign w:val="bottom"/>
            <w:gridSpan w:val="2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line="20" w:lineRule="exact"/>
              <w:rPr>
                <w:sz w:val="1"/>
                <w:szCs w:val="1"/>
                <w:color w:val="auto"/>
              </w:rPr>
            </w:pPr>
          </w:p>
        </w:tc>
      </w:tr>
      <w:tr>
        <w:trPr>
          <w:trHeight w:val="183"/>
        </w:trPr>
        <w:tc>
          <w:tcPr>
            <w:tcW w:w="9880" w:type="dxa"/>
            <w:vAlign w:val="bottom"/>
            <w:gridSpan w:val="45"/>
          </w:tcPr>
          <w:p>
            <w:pPr>
              <w:spacing w:after="0" w:line="182"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Proposal 2 — Advisory Vote on Named Executive Officer Compensation</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top w:val="single" w:sz="8" w:color="0000EE"/>
            </w:tcBorders>
            <w:gridSpan w:val="42"/>
          </w:tcPr>
          <w:p>
            <w:pPr>
              <w:spacing w:after="0" w:line="182" w:lineRule="exact"/>
              <w:rPr>
                <w:rFonts w:ascii="Arial" w:cs="Arial" w:eastAsia="Arial" w:hAnsi="Arial"/>
                <w:sz w:val="18"/>
                <w:szCs w:val="18"/>
                <w:b w:val="1"/>
                <w:bCs w:val="1"/>
                <w:color w:val="0000EE"/>
                <w:w w:val="97"/>
              </w:rPr>
            </w:pPr>
            <w:hyperlink w:anchor="page58">
              <w:r>
                <w:rPr>
                  <w:rFonts w:ascii="Arial" w:cs="Arial" w:eastAsia="Arial" w:hAnsi="Arial"/>
                  <w:sz w:val="18"/>
                  <w:szCs w:val="18"/>
                  <w:b w:val="1"/>
                  <w:bCs w:val="1"/>
                  <w:color w:val="0000EE"/>
                  <w:w w:val="97"/>
                </w:rPr>
                <w:t>Proposal 3 — Advisory Vote on the Frequency of Future Advisory Votes</w:t>
              </w:r>
            </w:hyperlink>
          </w:p>
        </w:tc>
        <w:tc>
          <w:tcPr>
            <w:tcW w:w="3880" w:type="dxa"/>
            <w:vAlign w:val="bottom"/>
            <w:gridSpan w:val="3"/>
          </w:tcPr>
          <w:p>
            <w:pPr>
              <w:ind w:left="40"/>
              <w:spacing w:after="0" w:line="182"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on Executive Compensation</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660" w:type="dxa"/>
            <w:vAlign w:val="bottom"/>
            <w:gridSpan w:val="26"/>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line="20" w:lineRule="exact"/>
              <w:rPr>
                <w:sz w:val="1"/>
                <w:szCs w:val="1"/>
                <w:color w:val="auto"/>
              </w:rPr>
            </w:pPr>
          </w:p>
        </w:tc>
      </w:tr>
      <w:tr>
        <w:trPr>
          <w:trHeight w:val="183"/>
        </w:trPr>
        <w:tc>
          <w:tcPr>
            <w:tcW w:w="9880" w:type="dxa"/>
            <w:vAlign w:val="bottom"/>
            <w:gridSpan w:val="45"/>
          </w:tcPr>
          <w:p>
            <w:pPr>
              <w:spacing w:after="0" w:line="182"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Proposal 4 — Ratification of Appointment of KPMG as Independent Registered Public Accounting Firm</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General</w:t>
              </w:r>
            </w:hyperlink>
          </w:p>
        </w:tc>
        <w:tc>
          <w:tcPr>
            <w:tcW w:w="7940" w:type="dxa"/>
            <w:vAlign w:val="bottom"/>
            <w:tcBorders>
              <w:top w:val="single" w:sz="8" w:color="0000EE"/>
            </w:tcBorders>
            <w:gridSpan w:val="42"/>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9880" w:type="dxa"/>
            <w:vAlign w:val="bottom"/>
            <w:gridSpan w:val="45"/>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2018 Annual Meeting</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1660" w:type="dxa"/>
            <w:vAlign w:val="bottom"/>
            <w:tcBorders>
              <w:top w:val="single" w:sz="8" w:color="0000EE"/>
            </w:tcBorders>
            <w:gridSpan w:val="9"/>
          </w:tcPr>
          <w:p>
            <w:pPr>
              <w:spacing w:after="0" w:line="18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Delivery of Documents</w:t>
              </w:r>
            </w:hyperlink>
          </w:p>
        </w:tc>
        <w:tc>
          <w:tcPr>
            <w:tcW w:w="8220" w:type="dxa"/>
            <w:vAlign w:val="bottom"/>
            <w:gridSpan w:val="36"/>
          </w:tcPr>
          <w:p>
            <w:pPr>
              <w:jc w:val="center"/>
              <w:ind w:right="6420"/>
              <w:spacing w:after="0" w:line="182"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to Security Holders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3320" w:type="dxa"/>
            <w:vAlign w:val="bottom"/>
            <w:tcBorders>
              <w:top w:val="single" w:sz="8" w:color="0000EE"/>
            </w:tcBorders>
            <w:gridSpan w:val="35"/>
          </w:tcPr>
          <w:p>
            <w:pPr>
              <w:spacing w:after="0" w:line="182"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Appendix A — Reconciliation of Non-GAAP</w:t>
              </w:r>
            </w:hyperlink>
          </w:p>
        </w:tc>
        <w:tc>
          <w:tcPr>
            <w:tcW w:w="6560" w:type="dxa"/>
            <w:vAlign w:val="bottom"/>
            <w:gridSpan w:val="10"/>
          </w:tcPr>
          <w:p>
            <w:pPr>
              <w:ind w:left="100"/>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Measures</w:t>
              </w:r>
            </w:hyperlink>
          </w:p>
        </w:tc>
        <w:tc>
          <w:tcPr>
            <w:tcW w:w="1480" w:type="dxa"/>
            <w:vAlign w:val="bottom"/>
          </w:tcPr>
          <w:p>
            <w:pPr>
              <w:ind w:left="1280"/>
              <w:spacing w:after="0" w:line="182" w:lineRule="exact"/>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25"/>
        </w:trPr>
        <w:tc>
          <w:tcPr>
            <w:tcW w:w="2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ind w:left="12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AVNET, INC.</w:t>
      </w:r>
    </w:p>
    <w:p>
      <w:pPr>
        <w:spacing w:after="0" w:line="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2211 South 47th Street</w:t>
      </w:r>
    </w:p>
    <w:p>
      <w:pPr>
        <w:ind w:left="474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97790</wp:posOffset>
            </wp:positionV>
            <wp:extent cx="11576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97790</wp:posOffset>
            </wp:positionV>
            <wp:extent cx="11576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ANNUAL MEETING OF SHAREHOLDERS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November 9,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w:t>
      </w:r>
    </w:p>
    <w:p>
      <w:pPr>
        <w:spacing w:after="0" w:line="208" w:lineRule="auto"/>
        <w:rPr>
          <w:sz w:val="20"/>
          <w:szCs w:val="20"/>
          <w:color w:val="auto"/>
        </w:rPr>
      </w:pPr>
      <w:r>
        <w:rPr>
          <w:rFonts w:ascii="Arial" w:cs="Arial" w:eastAsia="Arial" w:hAnsi="Arial"/>
          <w:sz w:val="18"/>
          <w:szCs w:val="18"/>
          <w:color w:val="auto"/>
        </w:rPr>
        <w:t>“Company”) to be voted at the annual meeting of shareholders to be held at Avnet’s Corporate Headquarters,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w:t>
      </w:r>
    </w:p>
    <w:p>
      <w:pPr>
        <w:spacing w:after="0" w:line="235" w:lineRule="auto"/>
        <w:rPr>
          <w:sz w:val="20"/>
          <w:szCs w:val="20"/>
          <w:color w:val="auto"/>
        </w:rPr>
      </w:pPr>
      <w:r>
        <w:rPr>
          <w:rFonts w:ascii="Arial" w:cs="Arial" w:eastAsia="Arial" w:hAnsi="Arial"/>
          <w:sz w:val="18"/>
          <w:szCs w:val="18"/>
          <w:color w:val="auto"/>
        </w:rPr>
        <w:t>Arizona 85034, on November 9, 2017, and at any and all postponements or adjournments thereof (the “Annual Meeting”), with respect to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matters referred to in the accompanying notice. The approximate date on which this Proxy Statement and the enclosed form of proxy are first being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sent or given to shareholders is September 26, 2017. Only holders of record of outstanding shares of the Company’s common stock, par value</w:t>
      </w:r>
    </w:p>
    <w:p>
      <w:pPr>
        <w:spacing w:after="0"/>
        <w:rPr>
          <w:sz w:val="20"/>
          <w:szCs w:val="20"/>
          <w:color w:val="auto"/>
        </w:rPr>
      </w:pPr>
      <w:r>
        <w:rPr>
          <w:rFonts w:ascii="Arial" w:cs="Arial" w:eastAsia="Arial" w:hAnsi="Arial"/>
          <w:sz w:val="16"/>
          <w:szCs w:val="16"/>
          <w:color w:val="auto"/>
        </w:rPr>
        <w:t>$1.00 per share (the “Common Stock”), at the close of business on September 12, 2017, the record date, are entitled to notice of and to vote 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Each shareholder is entitled to one vote per share held on the record date. The aggregate number of shares of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outstanding (net of treasury shares) at September 12, 2017, was 121,970,042, comprising all of Avnet’s capital stock outstanding as of that date.</w:t>
      </w:r>
    </w:p>
    <w:p>
      <w:pPr>
        <w:spacing w:after="0" w:line="7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At the meeting you will be asked to elect the eight director nominees named in the Proxy Statement, conduct an advisory vote on executive compensation, conduct an advisory vote on the frequency of future advisory votes on executive compensation, and ratify the appointment of KPMG LLP as the independent registered public accounting firm to audit the consolidated financial statements of Avnet for the fiscal year ending June 30, 2018.</w:t>
      </w:r>
    </w:p>
    <w:p>
      <w:pPr>
        <w:spacing w:after="0" w:line="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Proxies for shares of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Revocation of Proxy</w:t>
      </w:r>
    </w:p>
    <w:p>
      <w:pPr>
        <w:spacing w:after="0" w:line="52"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Any shareholder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Harvey Woodford, Secretary, Avnet, Inc., 2211 South 47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Phoenix, Arizona 85034. To revoke a proxy previously submitted by telephone or Internet, a shareholder of record can simply vote</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5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Voting</w:t>
      </w:r>
    </w:p>
    <w:p>
      <w:pPr>
        <w:spacing w:after="0" w:line="5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Brokers holding shares of record for a shareholder have the discretionary authority to vote on certain limited matters if they do not receive timely instructions from the shareholder regarding how the shareholder wants the shares voted. There are also some matters (“non-routine matters”) with respect to which brokers do not have discretionary authority to vote if they do not receive timely instructions from the shareholder. When a broker does not have discretion to vote on a particular matter and the shareholder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50"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 xml:space="preserve">The election of directors (Proposal 1), the advisory vote on executive compensation (Proposal 2) and the advisory vote on the frequency of future advisory votes on executive compensation (Proposal 3) are classified as non-routine matters. Accordingly, brokers, banks and other nominees will not be permitted to vote on any proposal other than the ratification of the appointment of the independent registered public accounting firm (Proposal 4) without instructions from the beneficial owners. </w:t>
      </w:r>
      <w:r>
        <w:rPr>
          <w:rFonts w:ascii="Arial" w:cs="Arial" w:eastAsia="Arial" w:hAnsi="Arial"/>
          <w:sz w:val="18"/>
          <w:szCs w:val="18"/>
          <w:b w:val="1"/>
          <w:bCs w:val="1"/>
          <w:color w:val="auto"/>
        </w:rPr>
        <w:t>As a result, the Company encourages all beneficial owners to provide voting</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instructions to your nominees to ensure that your shares are voted at the Annual Meeting.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Required Vote and Board Recommendation</w:t>
            </w:r>
          </w:p>
        </w:tc>
        <w:tc>
          <w:tcPr>
            <w:tcW w:w="28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00" w:type="dxa"/>
            <w:vAlign w:val="bottom"/>
          </w:tcPr>
          <w:p>
            <w:pPr>
              <w:jc w:val="center"/>
              <w:ind w:right="552"/>
              <w:spacing w:after="0"/>
              <w:rPr>
                <w:sz w:val="20"/>
                <w:szCs w:val="20"/>
                <w:color w:val="auto"/>
              </w:rPr>
            </w:pPr>
            <w:r>
              <w:rPr>
                <w:rFonts w:ascii="Arial" w:cs="Arial" w:eastAsia="Arial" w:hAnsi="Arial"/>
                <w:sz w:val="18"/>
                <w:szCs w:val="18"/>
                <w:b w:val="1"/>
                <w:bCs w:val="1"/>
                <w:color w:val="auto"/>
                <w:w w:val="98"/>
              </w:rPr>
              <w:t>Proposal</w:t>
            </w:r>
          </w:p>
        </w:tc>
        <w:tc>
          <w:tcPr>
            <w:tcW w:w="4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w w:val="99"/>
              </w:rPr>
              <w:t>Number</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Item</w:t>
            </w:r>
          </w:p>
        </w:tc>
        <w:tc>
          <w:tcPr>
            <w:tcW w:w="280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b w:val="1"/>
                <w:bCs w:val="1"/>
                <w:color w:val="auto"/>
                <w:w w:val="96"/>
              </w:rPr>
              <w:t>Voting Standard</w:t>
            </w:r>
          </w:p>
        </w:tc>
        <w:tc>
          <w:tcPr>
            <w:tcW w:w="23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98"/>
              </w:rPr>
              <w:t>Board Recommendation</w:t>
            </w:r>
          </w:p>
        </w:tc>
        <w:tc>
          <w:tcPr>
            <w:tcW w:w="0" w:type="dxa"/>
            <w:vAlign w:val="bottom"/>
          </w:tcPr>
          <w:p>
            <w:pPr>
              <w:spacing w:after="0"/>
              <w:rPr>
                <w:sz w:val="1"/>
                <w:szCs w:val="1"/>
                <w:color w:val="auto"/>
              </w:rPr>
            </w:pPr>
          </w:p>
        </w:tc>
      </w:tr>
      <w:tr>
        <w:trPr>
          <w:trHeight w:val="306"/>
        </w:trPr>
        <w:tc>
          <w:tcPr>
            <w:tcW w:w="1600" w:type="dxa"/>
            <w:vAlign w:val="bottom"/>
          </w:tcPr>
          <w:p>
            <w:pPr>
              <w:jc w:val="center"/>
              <w:ind w:right="552"/>
              <w:spacing w:after="0"/>
              <w:rPr>
                <w:sz w:val="20"/>
                <w:szCs w:val="20"/>
                <w:color w:val="auto"/>
              </w:rPr>
            </w:pPr>
            <w:r>
              <w:rPr>
                <w:rFonts w:ascii="Arial" w:cs="Arial" w:eastAsia="Arial" w:hAnsi="Arial"/>
                <w:sz w:val="18"/>
                <w:szCs w:val="18"/>
                <w:color w:val="auto"/>
                <w:w w:val="79"/>
              </w:rPr>
              <w:t>1</w:t>
            </w:r>
          </w:p>
        </w:tc>
        <w:tc>
          <w:tcPr>
            <w:tcW w:w="4660" w:type="dxa"/>
            <w:vAlign w:val="bottom"/>
          </w:tcPr>
          <w:p>
            <w:pPr>
              <w:jc w:val="center"/>
              <w:spacing w:after="0"/>
              <w:rPr>
                <w:sz w:val="20"/>
                <w:szCs w:val="20"/>
                <w:color w:val="auto"/>
              </w:rPr>
            </w:pPr>
            <w:r>
              <w:rPr>
                <w:rFonts w:ascii="Arial" w:cs="Arial" w:eastAsia="Arial" w:hAnsi="Arial"/>
                <w:sz w:val="18"/>
                <w:szCs w:val="18"/>
                <w:color w:val="auto"/>
                <w:w w:val="97"/>
              </w:rPr>
              <w:t>Election of directors</w:t>
            </w:r>
          </w:p>
        </w:tc>
        <w:tc>
          <w:tcPr>
            <w:tcW w:w="2800" w:type="dxa"/>
            <w:vAlign w:val="bottom"/>
          </w:tcPr>
          <w:p>
            <w:pPr>
              <w:jc w:val="center"/>
              <w:ind w:left="412"/>
              <w:spacing w:after="0"/>
              <w:rPr>
                <w:sz w:val="20"/>
                <w:szCs w:val="20"/>
                <w:color w:val="auto"/>
              </w:rPr>
            </w:pPr>
            <w:r>
              <w:rPr>
                <w:rFonts w:ascii="Arial" w:cs="Arial" w:eastAsia="Arial" w:hAnsi="Arial"/>
                <w:sz w:val="18"/>
                <w:szCs w:val="18"/>
                <w:color w:val="auto"/>
                <w:w w:val="98"/>
              </w:rPr>
              <w:t>Majority of votes cast</w:t>
            </w:r>
          </w:p>
        </w:tc>
        <w:tc>
          <w:tcPr>
            <w:tcW w:w="2360" w:type="dxa"/>
            <w:vAlign w:val="bottom"/>
          </w:tcPr>
          <w:p>
            <w:pPr>
              <w:jc w:val="center"/>
              <w:ind w:left="232"/>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76"/>
        </w:trPr>
        <w:tc>
          <w:tcPr>
            <w:tcW w:w="1600" w:type="dxa"/>
            <w:vAlign w:val="bottom"/>
            <w:vMerge w:val="restart"/>
          </w:tcPr>
          <w:p>
            <w:pPr>
              <w:jc w:val="center"/>
              <w:ind w:right="552"/>
              <w:spacing w:after="0"/>
              <w:rPr>
                <w:sz w:val="20"/>
                <w:szCs w:val="20"/>
                <w:color w:val="auto"/>
              </w:rPr>
            </w:pPr>
            <w:r>
              <w:rPr>
                <w:rFonts w:ascii="Arial" w:cs="Arial" w:eastAsia="Arial" w:hAnsi="Arial"/>
                <w:sz w:val="18"/>
                <w:szCs w:val="18"/>
                <w:color w:val="auto"/>
                <w:w w:val="79"/>
              </w:rPr>
              <w:t>2</w:t>
            </w:r>
          </w:p>
        </w:tc>
        <w:tc>
          <w:tcPr>
            <w:tcW w:w="4660" w:type="dxa"/>
            <w:vAlign w:val="bottom"/>
          </w:tcPr>
          <w:p>
            <w:pPr>
              <w:jc w:val="center"/>
              <w:spacing w:after="0"/>
              <w:rPr>
                <w:sz w:val="20"/>
                <w:szCs w:val="20"/>
                <w:color w:val="auto"/>
              </w:rPr>
            </w:pPr>
            <w:r>
              <w:rPr>
                <w:rFonts w:ascii="Arial" w:cs="Arial" w:eastAsia="Arial" w:hAnsi="Arial"/>
                <w:sz w:val="18"/>
                <w:szCs w:val="18"/>
                <w:color w:val="auto"/>
                <w:w w:val="97"/>
              </w:rPr>
              <w:t>Advisory vote on executive</w:t>
            </w:r>
          </w:p>
        </w:tc>
        <w:tc>
          <w:tcPr>
            <w:tcW w:w="2800" w:type="dxa"/>
            <w:vAlign w:val="bottom"/>
            <w:vMerge w:val="restart"/>
          </w:tcPr>
          <w:p>
            <w:pPr>
              <w:jc w:val="center"/>
              <w:ind w:left="412"/>
              <w:spacing w:after="0"/>
              <w:rPr>
                <w:sz w:val="20"/>
                <w:szCs w:val="20"/>
                <w:color w:val="auto"/>
              </w:rPr>
            </w:pPr>
            <w:r>
              <w:rPr>
                <w:rFonts w:ascii="Arial" w:cs="Arial" w:eastAsia="Arial" w:hAnsi="Arial"/>
                <w:sz w:val="18"/>
                <w:szCs w:val="18"/>
                <w:color w:val="auto"/>
                <w:w w:val="98"/>
              </w:rPr>
              <w:t>Majority of votes cast</w:t>
            </w:r>
          </w:p>
        </w:tc>
        <w:tc>
          <w:tcPr>
            <w:tcW w:w="2360" w:type="dxa"/>
            <w:vAlign w:val="bottom"/>
            <w:vMerge w:val="restart"/>
          </w:tcPr>
          <w:p>
            <w:pPr>
              <w:jc w:val="center"/>
              <w:ind w:left="232"/>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129"/>
        </w:trPr>
        <w:tc>
          <w:tcPr>
            <w:tcW w:w="1600" w:type="dxa"/>
            <w:vAlign w:val="bottom"/>
            <w:vMerge w:val="continue"/>
          </w:tcPr>
          <w:p>
            <w:pPr>
              <w:spacing w:after="0"/>
              <w:rPr>
                <w:sz w:val="11"/>
                <w:szCs w:val="11"/>
                <w:color w:val="auto"/>
              </w:rPr>
            </w:pPr>
          </w:p>
        </w:tc>
        <w:tc>
          <w:tcPr>
            <w:tcW w:w="4660" w:type="dxa"/>
            <w:vAlign w:val="bottom"/>
            <w:vMerge w:val="restart"/>
          </w:tcPr>
          <w:p>
            <w:pPr>
              <w:jc w:val="center"/>
              <w:spacing w:after="0"/>
              <w:rPr>
                <w:sz w:val="20"/>
                <w:szCs w:val="20"/>
                <w:color w:val="auto"/>
              </w:rPr>
            </w:pPr>
            <w:r>
              <w:rPr>
                <w:rFonts w:ascii="Arial" w:cs="Arial" w:eastAsia="Arial" w:hAnsi="Arial"/>
                <w:sz w:val="18"/>
                <w:szCs w:val="18"/>
                <w:color w:val="auto"/>
                <w:w w:val="96"/>
              </w:rPr>
              <w:t>compensation</w:t>
            </w:r>
          </w:p>
        </w:tc>
        <w:tc>
          <w:tcPr>
            <w:tcW w:w="280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466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1600" w:type="dxa"/>
            <w:vAlign w:val="bottom"/>
          </w:tcPr>
          <w:p>
            <w:pPr>
              <w:spacing w:after="0"/>
              <w:rPr>
                <w:sz w:val="24"/>
                <w:szCs w:val="24"/>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7"/>
              </w:rPr>
              <w:t>Advisory vote on the frequency of future</w:t>
            </w:r>
          </w:p>
        </w:tc>
        <w:tc>
          <w:tcPr>
            <w:tcW w:w="2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center"/>
              <w:ind w:right="552"/>
              <w:spacing w:after="0" w:line="202" w:lineRule="exact"/>
              <w:rPr>
                <w:sz w:val="20"/>
                <w:szCs w:val="20"/>
                <w:color w:val="auto"/>
              </w:rPr>
            </w:pPr>
            <w:r>
              <w:rPr>
                <w:rFonts w:ascii="Arial" w:cs="Arial" w:eastAsia="Arial" w:hAnsi="Arial"/>
                <w:sz w:val="18"/>
                <w:szCs w:val="18"/>
                <w:color w:val="auto"/>
                <w:w w:val="79"/>
              </w:rPr>
              <w:t>3</w:t>
            </w:r>
          </w:p>
        </w:tc>
        <w:tc>
          <w:tcPr>
            <w:tcW w:w="4660" w:type="dxa"/>
            <w:vAlign w:val="bottom"/>
          </w:tcPr>
          <w:p>
            <w:pPr>
              <w:jc w:val="center"/>
              <w:spacing w:after="0" w:line="202" w:lineRule="exact"/>
              <w:rPr>
                <w:sz w:val="20"/>
                <w:szCs w:val="20"/>
                <w:color w:val="auto"/>
              </w:rPr>
            </w:pPr>
            <w:r>
              <w:rPr>
                <w:rFonts w:ascii="Arial" w:cs="Arial" w:eastAsia="Arial" w:hAnsi="Arial"/>
                <w:sz w:val="18"/>
                <w:szCs w:val="18"/>
                <w:color w:val="auto"/>
                <w:w w:val="97"/>
              </w:rPr>
              <w:t>advisory votes on executive</w:t>
            </w:r>
          </w:p>
        </w:tc>
        <w:tc>
          <w:tcPr>
            <w:tcW w:w="2800" w:type="dxa"/>
            <w:vAlign w:val="bottom"/>
          </w:tcPr>
          <w:p>
            <w:pPr>
              <w:jc w:val="center"/>
              <w:ind w:left="412"/>
              <w:spacing w:after="0" w:line="202" w:lineRule="exact"/>
              <w:rPr>
                <w:sz w:val="20"/>
                <w:szCs w:val="20"/>
                <w:color w:val="auto"/>
              </w:rPr>
            </w:pPr>
            <w:r>
              <w:rPr>
                <w:rFonts w:ascii="Arial" w:cs="Arial" w:eastAsia="Arial" w:hAnsi="Arial"/>
                <w:sz w:val="18"/>
                <w:szCs w:val="18"/>
                <w:color w:val="auto"/>
                <w:w w:val="98"/>
              </w:rPr>
              <w:t>Majority of votes cast</w:t>
            </w:r>
          </w:p>
        </w:tc>
        <w:tc>
          <w:tcPr>
            <w:tcW w:w="2360" w:type="dxa"/>
            <w:vAlign w:val="bottom"/>
          </w:tcPr>
          <w:p>
            <w:pPr>
              <w:jc w:val="center"/>
              <w:ind w:left="232"/>
              <w:spacing w:after="0" w:line="202" w:lineRule="exact"/>
              <w:rPr>
                <w:sz w:val="20"/>
                <w:szCs w:val="20"/>
                <w:color w:val="auto"/>
              </w:rPr>
            </w:pPr>
            <w:r>
              <w:rPr>
                <w:rFonts w:ascii="Arial" w:cs="Arial" w:eastAsia="Arial" w:hAnsi="Arial"/>
                <w:sz w:val="18"/>
                <w:szCs w:val="18"/>
                <w:color w:val="auto"/>
                <w:w w:val="97"/>
              </w:rPr>
              <w:t>Every year</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6"/>
              </w:rPr>
              <w:t>compensation</w:t>
            </w:r>
          </w:p>
        </w:tc>
        <w:tc>
          <w:tcPr>
            <w:tcW w:w="28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600" w:type="dxa"/>
            <w:vAlign w:val="bottom"/>
            <w:vMerge w:val="restart"/>
          </w:tcPr>
          <w:p>
            <w:pPr>
              <w:jc w:val="center"/>
              <w:ind w:right="552"/>
              <w:spacing w:after="0"/>
              <w:rPr>
                <w:sz w:val="20"/>
                <w:szCs w:val="20"/>
                <w:color w:val="auto"/>
              </w:rPr>
            </w:pPr>
            <w:r>
              <w:rPr>
                <w:rFonts w:ascii="Arial" w:cs="Arial" w:eastAsia="Arial" w:hAnsi="Arial"/>
                <w:sz w:val="18"/>
                <w:szCs w:val="18"/>
                <w:color w:val="auto"/>
                <w:w w:val="79"/>
              </w:rPr>
              <w:t>4</w:t>
            </w:r>
          </w:p>
        </w:tc>
        <w:tc>
          <w:tcPr>
            <w:tcW w:w="4660" w:type="dxa"/>
            <w:vAlign w:val="bottom"/>
          </w:tcPr>
          <w:p>
            <w:pPr>
              <w:jc w:val="center"/>
              <w:spacing w:after="0"/>
              <w:rPr>
                <w:sz w:val="20"/>
                <w:szCs w:val="20"/>
                <w:color w:val="auto"/>
              </w:rPr>
            </w:pPr>
            <w:r>
              <w:rPr>
                <w:rFonts w:ascii="Arial" w:cs="Arial" w:eastAsia="Arial" w:hAnsi="Arial"/>
                <w:sz w:val="18"/>
                <w:szCs w:val="18"/>
                <w:color w:val="auto"/>
                <w:w w:val="97"/>
              </w:rPr>
              <w:t>Ratification of independent registered</w:t>
            </w:r>
          </w:p>
        </w:tc>
        <w:tc>
          <w:tcPr>
            <w:tcW w:w="2800" w:type="dxa"/>
            <w:vAlign w:val="bottom"/>
            <w:vMerge w:val="restart"/>
          </w:tcPr>
          <w:p>
            <w:pPr>
              <w:jc w:val="center"/>
              <w:ind w:left="412"/>
              <w:spacing w:after="0"/>
              <w:rPr>
                <w:sz w:val="20"/>
                <w:szCs w:val="20"/>
                <w:color w:val="auto"/>
              </w:rPr>
            </w:pPr>
            <w:r>
              <w:rPr>
                <w:rFonts w:ascii="Arial" w:cs="Arial" w:eastAsia="Arial" w:hAnsi="Arial"/>
                <w:sz w:val="18"/>
                <w:szCs w:val="18"/>
                <w:color w:val="auto"/>
                <w:w w:val="98"/>
              </w:rPr>
              <w:t>Majority of votes cast</w:t>
            </w:r>
          </w:p>
        </w:tc>
        <w:tc>
          <w:tcPr>
            <w:tcW w:w="2360" w:type="dxa"/>
            <w:vAlign w:val="bottom"/>
            <w:vMerge w:val="restart"/>
          </w:tcPr>
          <w:p>
            <w:pPr>
              <w:jc w:val="center"/>
              <w:ind w:left="232"/>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129"/>
        </w:trPr>
        <w:tc>
          <w:tcPr>
            <w:tcW w:w="1600" w:type="dxa"/>
            <w:vAlign w:val="bottom"/>
            <w:vMerge w:val="continue"/>
          </w:tcPr>
          <w:p>
            <w:pPr>
              <w:spacing w:after="0"/>
              <w:rPr>
                <w:sz w:val="11"/>
                <w:szCs w:val="11"/>
                <w:color w:val="auto"/>
              </w:rPr>
            </w:pPr>
          </w:p>
        </w:tc>
        <w:tc>
          <w:tcPr>
            <w:tcW w:w="4660" w:type="dxa"/>
            <w:vAlign w:val="bottom"/>
            <w:vMerge w:val="restart"/>
          </w:tcPr>
          <w:p>
            <w:pPr>
              <w:jc w:val="center"/>
              <w:spacing w:after="0"/>
              <w:rPr>
                <w:sz w:val="20"/>
                <w:szCs w:val="20"/>
                <w:color w:val="auto"/>
              </w:rPr>
            </w:pPr>
            <w:r>
              <w:rPr>
                <w:rFonts w:ascii="Arial" w:cs="Arial" w:eastAsia="Arial" w:hAnsi="Arial"/>
                <w:sz w:val="18"/>
                <w:szCs w:val="18"/>
                <w:color w:val="auto"/>
                <w:w w:val="97"/>
              </w:rPr>
              <w:t>public accounting firm</w:t>
            </w:r>
          </w:p>
        </w:tc>
        <w:tc>
          <w:tcPr>
            <w:tcW w:w="2800" w:type="dxa"/>
            <w:vAlign w:val="bottom"/>
            <w:vMerge w:val="continue"/>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466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With respect to the election of directors, a majority of the votes cast means that the number of shares voted “for” a director must exceed the number of shares voted “against” that director. If an incumbent nominee is not elected by the requisite vote, he or she must tender his or her resignation, and the Board, excluding such individual, will, within 90 days of the election, decide whether or not to accept such resignation and will disclose and explain its decision. Abstentions will not be counted as a “vote cast” and therefore will have no effect on the outcome of any proposal.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Admission to the Annual Meeting will be limited to shareholders. You are entitled to attend the Annual Meeting only if you are a shareholder of record as of the record date or hold a valid proxy for the meeting. In order to be admitted to the Annual Meeting, you must present proof of ownership of Avnet stock on the record date. This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5" w:right="3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Board of Directors believes that good corporate governance practices provide an important framework that promotes long-term value, strength and stability for shareholders. The Company’s governance highlights include:</w:t>
      </w: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7 of 8 Independent Directors</w:t>
            </w:r>
          </w:p>
        </w:tc>
        <w:tc>
          <w:tcPr>
            <w:tcW w:w="292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Chairman</w:t>
            </w:r>
          </w:p>
        </w:tc>
        <w:tc>
          <w:tcPr>
            <w:tcW w:w="50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Majority Voting for Directors</w:t>
            </w:r>
          </w:p>
        </w:tc>
        <w:tc>
          <w:tcPr>
            <w:tcW w:w="0" w:type="dxa"/>
            <w:vAlign w:val="bottom"/>
          </w:tcPr>
          <w:p>
            <w:pPr>
              <w:spacing w:after="0"/>
              <w:rPr>
                <w:sz w:val="1"/>
                <w:szCs w:val="1"/>
                <w:color w:val="auto"/>
              </w:rPr>
            </w:pPr>
          </w:p>
        </w:tc>
      </w:tr>
      <w:tr>
        <w:trPr>
          <w:trHeight w:val="216"/>
        </w:trPr>
        <w:tc>
          <w:tcPr>
            <w:tcW w:w="33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Election of Directors</w:t>
            </w:r>
          </w:p>
        </w:tc>
        <w:tc>
          <w:tcPr>
            <w:tcW w:w="292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Poison Pill</w:t>
            </w:r>
          </w:p>
        </w:tc>
        <w:tc>
          <w:tcPr>
            <w:tcW w:w="50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Supermajority Voting Provisions</w:t>
            </w:r>
          </w:p>
        </w:tc>
        <w:tc>
          <w:tcPr>
            <w:tcW w:w="0" w:type="dxa"/>
            <w:vAlign w:val="bottom"/>
          </w:tcPr>
          <w:p>
            <w:pPr>
              <w:spacing w:after="0"/>
              <w:rPr>
                <w:sz w:val="1"/>
                <w:szCs w:val="1"/>
                <w:color w:val="auto"/>
              </w:rPr>
            </w:pPr>
          </w:p>
        </w:tc>
      </w:tr>
      <w:tr>
        <w:trPr>
          <w:trHeight w:val="225"/>
        </w:trPr>
        <w:tc>
          <w:tcPr>
            <w:tcW w:w="33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Regular Executive Sessions of</w:t>
            </w:r>
          </w:p>
        </w:tc>
        <w:tc>
          <w:tcPr>
            <w:tcW w:w="292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Compensation</w:t>
            </w:r>
          </w:p>
        </w:tc>
        <w:tc>
          <w:tcPr>
            <w:tcW w:w="50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Stock Ownership Guidelines for Executives and Directors</w:t>
            </w:r>
          </w:p>
        </w:tc>
        <w:tc>
          <w:tcPr>
            <w:tcW w:w="0" w:type="dxa"/>
            <w:vAlign w:val="bottom"/>
          </w:tcPr>
          <w:p>
            <w:pPr>
              <w:spacing w:after="0"/>
              <w:rPr>
                <w:sz w:val="1"/>
                <w:szCs w:val="1"/>
                <w:color w:val="auto"/>
              </w:rPr>
            </w:pPr>
          </w:p>
        </w:tc>
      </w:tr>
      <w:tr>
        <w:trPr>
          <w:trHeight w:val="181"/>
        </w:trPr>
        <w:tc>
          <w:tcPr>
            <w:tcW w:w="3360" w:type="dxa"/>
            <w:vAlign w:val="bottom"/>
          </w:tcPr>
          <w:p>
            <w:pPr>
              <w:ind w:left="300"/>
              <w:spacing w:after="0" w:line="181" w:lineRule="exact"/>
              <w:rPr>
                <w:sz w:val="20"/>
                <w:szCs w:val="20"/>
                <w:color w:val="auto"/>
              </w:rPr>
            </w:pPr>
            <w:r>
              <w:rPr>
                <w:rFonts w:ascii="Arial" w:cs="Arial" w:eastAsia="Arial" w:hAnsi="Arial"/>
                <w:sz w:val="18"/>
                <w:szCs w:val="18"/>
                <w:color w:val="auto"/>
              </w:rPr>
              <w:t>Independent Directors</w:t>
            </w:r>
          </w:p>
        </w:tc>
        <w:tc>
          <w:tcPr>
            <w:tcW w:w="2920" w:type="dxa"/>
            <w:vAlign w:val="bottom"/>
          </w:tcPr>
          <w:p>
            <w:pPr>
              <w:ind w:left="340"/>
              <w:spacing w:after="0" w:line="181" w:lineRule="exact"/>
              <w:rPr>
                <w:sz w:val="20"/>
                <w:szCs w:val="20"/>
                <w:color w:val="auto"/>
              </w:rPr>
            </w:pPr>
            <w:r>
              <w:rPr>
                <w:rFonts w:ascii="Arial" w:cs="Arial" w:eastAsia="Arial" w:hAnsi="Arial"/>
                <w:sz w:val="18"/>
                <w:szCs w:val="18"/>
                <w:color w:val="auto"/>
              </w:rPr>
              <w:t>Recoupment Policy</w:t>
            </w:r>
          </w:p>
        </w:tc>
        <w:tc>
          <w:tcPr>
            <w:tcW w:w="5020" w:type="dxa"/>
            <w:vAlign w:val="bottom"/>
            <w:vMerge w:val="restart"/>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Board Involvement in Talent Management</w:t>
            </w:r>
          </w:p>
        </w:tc>
        <w:tc>
          <w:tcPr>
            <w:tcW w:w="0" w:type="dxa"/>
            <w:vAlign w:val="bottom"/>
          </w:tcPr>
          <w:p>
            <w:pPr>
              <w:spacing w:after="0"/>
              <w:rPr>
                <w:sz w:val="1"/>
                <w:szCs w:val="1"/>
                <w:color w:val="auto"/>
              </w:rPr>
            </w:pPr>
          </w:p>
        </w:tc>
      </w:tr>
      <w:tr>
        <w:trPr>
          <w:trHeight w:val="224"/>
        </w:trPr>
        <w:tc>
          <w:tcPr>
            <w:tcW w:w="33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Prohibitions on Hedging and Pledging</w:t>
            </w:r>
          </w:p>
        </w:tc>
        <w:tc>
          <w:tcPr>
            <w:tcW w:w="292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Risk Oversight by Board and</w:t>
            </w:r>
          </w:p>
        </w:tc>
        <w:tc>
          <w:tcPr>
            <w:tcW w:w="5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Committees</w:t>
            </w: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7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The Corporate Governance Guidelines (the “Guidelines”) collect in one document many of the corporate governance practices and procedures that have evolved at Avnet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w:t>
      </w:r>
    </w:p>
    <w:p>
      <w:pPr>
        <w:spacing w:after="0" w:line="17" w:lineRule="exact"/>
        <w:rPr>
          <w:sz w:val="20"/>
          <w:szCs w:val="20"/>
          <w:color w:val="auto"/>
        </w:rPr>
      </w:pPr>
    </w:p>
    <w:p>
      <w:pPr>
        <w:jc w:val="both"/>
        <w:ind w:right="420"/>
        <w:spacing w:after="0" w:line="278" w:lineRule="auto"/>
        <w:rPr>
          <w:sz w:val="20"/>
          <w:szCs w:val="20"/>
          <w:color w:val="auto"/>
        </w:rPr>
      </w:pPr>
      <w:r>
        <w:rPr>
          <w:rFonts w:ascii="Arial" w:cs="Arial" w:eastAsia="Arial" w:hAnsi="Arial"/>
          <w:sz w:val="16"/>
          <w:szCs w:val="16"/>
          <w:color w:val="auto"/>
        </w:rPr>
        <w:t>As a general policy, as set forth in the Guidelines, the Board recommends certain limits as to the service of directors on other boards of public companies. These limits are as follows: (1) directors who are actively employed on a full-time basis may serve on up to two additional boards;</w:t>
      </w:r>
    </w:p>
    <w:p>
      <w:pPr>
        <w:ind w:left="280" w:hanging="272"/>
        <w:spacing w:after="0" w:line="235"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independent Chairman of the Board, if not actively employed on a full-time basis, may serve on up to three additional boards; and</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directors who are retired from active full-time employment may serve on up to four additional boards.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79" w:lineRule="exact"/>
        <w:rPr>
          <w:sz w:val="20"/>
          <w:szCs w:val="20"/>
          <w:color w:val="auto"/>
        </w:rPr>
      </w:pPr>
    </w:p>
    <w:p>
      <w:pPr>
        <w:jc w:val="both"/>
        <w:ind w:right="300"/>
        <w:spacing w:after="0" w:line="252"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has determined that the following Directors are independent under the Guidelines: Rodney C. Adkins, J. Veronica Biggins, Michael A. Bradley, R. Kerry Clark, James A. Lawrence, Avid Modjtabai and William H. Schumann, III (collectively, the “Independent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7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Pursuant to the Guidelines, the Board of Directors has the flexibility to decide whether it is best for the Company at a given point in time for the roles of the Chief Executive Officer (“CEO”) and Chairman of the Board (the “Chairman”) to be separate or combined and, if separate, whether the Chairman should be selected from the independent directors or be an employee of the Company. The Board believes that the Company and its shareholders are best served by maintaining this flexibility rather than mandating a particular leadership structure. The Board also believes its programs for overseeing risk would be effective under a variety of leadership frameworks and therefore do not materially affect how it structures its leadership. In the event that the Chairman is an employee of the Company, the Guidelines provide for an active lead independent director.</w:t>
      </w:r>
    </w:p>
    <w:p>
      <w:pPr>
        <w:spacing w:after="0" w:line="18" w:lineRule="exact"/>
        <w:rPr>
          <w:sz w:val="20"/>
          <w:szCs w:val="20"/>
          <w:color w:val="auto"/>
        </w:rPr>
      </w:pPr>
    </w:p>
    <w:p>
      <w:pPr>
        <w:ind w:right="560"/>
        <w:spacing w:after="0" w:line="252"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without management present at regularly scheduled Board meetings. Independent Directors may meet at other times at the discretion of the independent Chairman, a lead independent director or upon the request of any Independent Director.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Schumann, an Independent Director of the Company, serves as the Chairman and William J. Amelio is the CEO. The Board of Directors has concluded that the current leadership structure provides an appropriate framework for the Directors to provide independent, objective and effective oversight of management at this point in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Corporate Governance Committee is responsible for identifying, screening and recommending candidates for election to the Company’s Board of Directors. The Committee reviews the business experience, education and skills of candidates, as well as their character and judgment. Although the Corporate Governance Committee does not have a formal policy concerning diversity, Avnet believes that valuing diversity makes good business sense and the charter of the Corporate Governance Committee includes a statement that it will consider criteria including the possession of such knowledge, experience, skills, expertise and diversity so as to enhance the Board’s ability to manage and direct the affairs and business of the Company. These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230" w:lineRule="exact"/>
        <w:rPr>
          <w:sz w:val="20"/>
          <w:szCs w:val="20"/>
          <w:color w:val="auto"/>
        </w:rPr>
      </w:pPr>
    </w:p>
    <w:p>
      <w:pPr>
        <w:ind w:right="620"/>
        <w:spacing w:after="0" w:line="269" w:lineRule="auto"/>
        <w:rPr>
          <w:sz w:val="20"/>
          <w:szCs w:val="20"/>
          <w:color w:val="auto"/>
        </w:rPr>
      </w:pPr>
      <w:r>
        <w:rPr>
          <w:rFonts w:ascii="Arial" w:cs="Arial" w:eastAsia="Arial" w:hAnsi="Arial"/>
          <w:sz w:val="18"/>
          <w:szCs w:val="18"/>
          <w:color w:val="auto"/>
        </w:rPr>
        <w:t>The Corporate Governance Committee reviews whether a potential candidate will meet the Board’s independence standards and any other director or committee membership requirements imposed by law, regulation or stock exchange rules.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50"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Harvey Woodford, Secretary, Avnet, Inc., 2211 South 47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Phoenix, Arizona 85034. Shareholder recommendations must contain the following information:</w:t>
      </w:r>
    </w:p>
    <w:p>
      <w:pPr>
        <w:spacing w:after="0" w:line="2" w:lineRule="exact"/>
        <w:rPr>
          <w:sz w:val="20"/>
          <w:szCs w:val="20"/>
          <w:color w:val="auto"/>
        </w:rPr>
      </w:pPr>
    </w:p>
    <w:p>
      <w:pPr>
        <w:ind w:left="900" w:right="40" w:hanging="217"/>
        <w:spacing w:after="0" w:line="24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29" w:lineRule="exact"/>
        <w:rPr>
          <w:rFonts w:ascii="Arial" w:cs="Arial" w:eastAsia="Arial" w:hAnsi="Arial"/>
          <w:sz w:val="18"/>
          <w:szCs w:val="18"/>
          <w:color w:val="auto"/>
        </w:rPr>
      </w:pPr>
    </w:p>
    <w:p>
      <w:pPr>
        <w:ind w:left="900" w:hanging="21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in support of the candidate’s recommendation;</w:t>
      </w:r>
    </w:p>
    <w:p>
      <w:pPr>
        <w:spacing w:after="0" w:line="63" w:lineRule="exact"/>
        <w:rPr>
          <w:rFonts w:ascii="Arial" w:cs="Arial" w:eastAsia="Arial" w:hAnsi="Arial"/>
          <w:sz w:val="18"/>
          <w:szCs w:val="18"/>
          <w:color w:val="auto"/>
        </w:rPr>
      </w:pPr>
    </w:p>
    <w:p>
      <w:pPr>
        <w:ind w:left="900" w:right="180" w:hanging="217"/>
        <w:spacing w:after="0" w:line="26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candidate’s detailed biographical information describing experience and qualifications, including current employment and a list of any other boards of directors on which the candidate serves;</w:t>
      </w:r>
    </w:p>
    <w:p>
      <w:pPr>
        <w:spacing w:after="0" w:line="8" w:lineRule="exact"/>
        <w:rPr>
          <w:rFonts w:ascii="Arial" w:cs="Arial" w:eastAsia="Arial" w:hAnsi="Arial"/>
          <w:sz w:val="18"/>
          <w:szCs w:val="18"/>
          <w:color w:val="auto"/>
        </w:rPr>
      </w:pPr>
    </w:p>
    <w:p>
      <w:pPr>
        <w:ind w:left="900" w:hanging="21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00" w:right="360" w:hanging="217"/>
        <w:spacing w:after="0" w:line="26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8" w:lineRule="exact"/>
        <w:rPr>
          <w:rFonts w:ascii="Arial" w:cs="Arial" w:eastAsia="Arial" w:hAnsi="Arial"/>
          <w:sz w:val="18"/>
          <w:szCs w:val="18"/>
          <w:color w:val="auto"/>
        </w:rPr>
      </w:pPr>
    </w:p>
    <w:p>
      <w:pPr>
        <w:ind w:left="900" w:hanging="21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63" w:lineRule="exact"/>
        <w:rPr>
          <w:rFonts w:ascii="Arial" w:cs="Arial" w:eastAsia="Arial" w:hAnsi="Arial"/>
          <w:sz w:val="18"/>
          <w:szCs w:val="18"/>
          <w:color w:val="auto"/>
        </w:rPr>
      </w:pPr>
    </w:p>
    <w:p>
      <w:pPr>
        <w:ind w:left="900" w:hanging="21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“2018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Communications</w:t>
      </w:r>
    </w:p>
    <w:p>
      <w:pPr>
        <w:spacing w:after="0" w:line="79"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Shareholders and other interested parties may contact any or all the Company’s Directors by writing to the Board of Directors or to the Secretary, Avnet, Inc.,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AZ 85034. They may also submit an email to the Chairman of the Board, the chair of the Audit Committee or the non-employee Directors as a group, by filling out the email form on the Company’s website at </w:t>
      </w:r>
      <w:r>
        <w:rPr>
          <w:rFonts w:ascii="Arial" w:cs="Arial" w:eastAsia="Arial" w:hAnsi="Arial"/>
          <w:sz w:val="18"/>
          <w:szCs w:val="18"/>
          <w:u w:val="single" w:color="auto"/>
          <w:color w:val="auto"/>
        </w:rPr>
        <w:t>www.ir.avnet.com/contactboard.cfm</w:t>
      </w:r>
      <w:r>
        <w:rPr>
          <w:rFonts w:ascii="Arial" w:cs="Arial" w:eastAsia="Arial" w:hAnsi="Arial"/>
          <w:sz w:val="18"/>
          <w:szCs w:val="18"/>
          <w:color w:val="auto"/>
        </w:rPr>
        <w:t>.</w:t>
      </w:r>
    </w:p>
    <w:p>
      <w:pPr>
        <w:spacing w:after="0" w:line="5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Succession</w:t>
      </w:r>
    </w:p>
    <w:p>
      <w:pPr>
        <w:spacing w:after="0" w:line="7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Board of Directors is actively engaged and involved in talent management. The Board regularly reviews and discusses a management succession plan designed to provide for continuity in and development of senior management. This plan, on which Avnet’s CEO and Chief Human Resources Officer report at least annually, addresses emergency CEO succession and CEO succession in the ordinary course of business. In addition, the Board receives updates on succession planning for other members of senior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79" w:lineRule="exact"/>
        <w:rPr>
          <w:sz w:val="20"/>
          <w:szCs w:val="20"/>
          <w:color w:val="auto"/>
        </w:rPr>
      </w:pPr>
    </w:p>
    <w:p>
      <w:pPr>
        <w:jc w:val="both"/>
        <w:ind w:right="620"/>
        <w:spacing w:after="0" w:line="298" w:lineRule="auto"/>
        <w:rPr>
          <w:sz w:val="20"/>
          <w:szCs w:val="20"/>
          <w:color w:val="auto"/>
        </w:rPr>
      </w:pPr>
      <w:r>
        <w:rPr>
          <w:rFonts w:ascii="Arial" w:cs="Arial" w:eastAsia="Arial" w:hAnsi="Arial"/>
          <w:sz w:val="16"/>
          <w:szCs w:val="16"/>
          <w:color w:val="auto"/>
        </w:rPr>
        <w:t xml:space="preserve">The Company has a Code of Conduct that applies to Directors, officers and employees, including the CEO and all financial and accounting personnel. A copy of the Code of Conduct can be reviewed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Any future amendments to, or waivers for executive officers and Directors from certain provisions of, the Code of Conduct will be posted on the Company’s website.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of Ethical Concerns</w:t>
      </w:r>
    </w:p>
    <w:p>
      <w:pPr>
        <w:spacing w:after="0" w:line="7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37" w:lineRule="exact"/>
        <w:rPr>
          <w:sz w:val="20"/>
          <w:szCs w:val="20"/>
          <w:color w:val="auto"/>
        </w:rPr>
      </w:pPr>
    </w:p>
    <w:p>
      <w:pPr>
        <w:ind w:left="460"/>
        <w:spacing w:after="0" w:line="269"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and discuss matters of concern.</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persons, including employees, may contact:</w:t>
      </w:r>
    </w:p>
    <w:p>
      <w:pPr>
        <w:spacing w:after="0" w:line="63" w:lineRule="exact"/>
        <w:rPr>
          <w:sz w:val="20"/>
          <w:szCs w:val="20"/>
          <w:color w:val="auto"/>
        </w:rPr>
      </w:pPr>
    </w:p>
    <w:p>
      <w:pPr>
        <w:jc w:val="center"/>
        <w:ind w:left="5660" w:right="1120" w:hanging="4977"/>
        <w:spacing w:after="0" w:line="388" w:lineRule="auto"/>
        <w:tabs>
          <w:tab w:leader="none" w:pos="8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Legal Department, by telephone at (480) 643-7106, or by mail at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Arizona 85034; or 6</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00" w:hanging="217"/>
        <w:spacing w:after="0" w:line="25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Ethics and Risk Alertline at 1-800-861-2899 (within the United States and Canada) or via the Internet at </w:t>
      </w:r>
      <w:r>
        <w:rPr>
          <w:rFonts w:ascii="Arial" w:cs="Arial" w:eastAsia="Arial" w:hAnsi="Arial"/>
          <w:sz w:val="18"/>
          <w:szCs w:val="18"/>
          <w:u w:val="single" w:color="auto"/>
          <w:color w:val="auto"/>
        </w:rPr>
        <w:t>www.avnet.alertline.com</w:t>
      </w:r>
      <w:r>
        <w:rPr>
          <w:rFonts w:ascii="Arial" w:cs="Arial" w:eastAsia="Arial" w:hAnsi="Arial"/>
          <w:sz w:val="18"/>
          <w:szCs w:val="18"/>
          <w:color w:val="auto"/>
        </w:rPr>
        <w:t>. Reports via the Ethics and Risk Alertline will be treated with appropriate confidentially and may be made on an anonymous basis where permitted by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7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Board has adopted stock ownership guidelines providing that Directors should own, within five years of joining the Board, shares of Avnet, Inc. Common Stock worth at least five times the director’s annual cash retainer. Shares that are awarded to directors as part of director compensation, as well as phantom shares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July 1, 2017, each Director was in compliance with these guidelines.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Website</w:t>
      </w:r>
    </w:p>
    <w:p>
      <w:pPr>
        <w:spacing w:after="0" w:line="79"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including information about the Company’s management team, products and services, and its corporate governance practices. The corporate governance information on Avnet’s website includes the Guidelines, the Code of Conduct, the charters for each of the standing committees of the Board of Directors, how a shareholder can communicate with the Corporate Governance Committee to nominate a director candidate for election and how shareholders and other interested parties can communicate with the Chairman of the Board,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Printed versions of the Guidelines, the Code of Conduct and the charters for the Board committees can be obtained, free of charge, by writing to the Company at: Harvey Woodford, Secretary, Avnet, Inc.,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AZ 85034.</w:t>
      </w:r>
    </w:p>
    <w:p>
      <w:pPr>
        <w:spacing w:after="0" w:line="53"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the Securities Exchange Act of 1934, as amended (the “Exchange Act”), as well as Section 16 filings made by any of the Company’s executive officers and Directors with respect to Avnet Common Stock, are available on the Company’s website (</w:t>
      </w:r>
      <w:r>
        <w:rPr>
          <w:rFonts w:ascii="Arial" w:cs="Arial" w:eastAsia="Arial" w:hAnsi="Arial"/>
          <w:sz w:val="18"/>
          <w:szCs w:val="18"/>
          <w:u w:val="single" w:color="auto"/>
          <w:color w:val="auto"/>
        </w:rPr>
        <w:t>www.ir.avnet.com</w:t>
      </w:r>
      <w:r>
        <w:rPr>
          <w:rFonts w:ascii="Arial" w:cs="Arial" w:eastAsia="Arial" w:hAnsi="Arial"/>
          <w:sz w:val="18"/>
          <w:szCs w:val="18"/>
          <w:color w:val="auto"/>
        </w:rPr>
        <w:t xml:space="preserve"> under the “SEC filings” caption) as soon as reasonably practicable after the report is electronically filed with, or furnished to, the U.S. Securities and Exchange Commission (the “SEC”).</w:t>
      </w:r>
    </w:p>
    <w:p>
      <w:pPr>
        <w:spacing w:after="0" w:line="4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79"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Avnet’s Board of Directors held 12 meetings during the fiscal year ended July 1, 2017 (“fiscal 2017”). The non-employee Directors met separately in executive session during each board meeting in fiscal 2017. Mr. Schumann, the Chairman of the Board, presided over these executive sessions.</w:t>
      </w:r>
    </w:p>
    <w:p>
      <w:pPr>
        <w:ind w:right="180"/>
        <w:spacing w:after="0" w:line="269" w:lineRule="auto"/>
        <w:rPr>
          <w:sz w:val="20"/>
          <w:szCs w:val="20"/>
          <w:color w:val="auto"/>
        </w:rPr>
      </w:pPr>
      <w:r>
        <w:rPr>
          <w:rFonts w:ascii="Arial" w:cs="Arial" w:eastAsia="Arial" w:hAnsi="Arial"/>
          <w:sz w:val="18"/>
          <w:szCs w:val="18"/>
          <w:color w:val="auto"/>
        </w:rPr>
        <w:t>During fiscal 2017, each Director standing for reelection attended at least 75% of the combined number of meetings of the Board held during the period for which the Director served and of the committees on which such Director served.</w:t>
      </w:r>
    </w:p>
    <w:p>
      <w:pPr>
        <w:spacing w:after="0" w:line="2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All members of the Board of Directors are expected to attend the annual meeting of shareholders, unless unusual circumstances prevent such attendance. Board and committee meetings are scheduled in conjunction with the annual meeting of shareholders. All the nominees were elected Directors at the Annual Meeting of Shareholders held on November 10, 2016.</w:t>
      </w:r>
    </w:p>
    <w:p>
      <w:pPr>
        <w:spacing w:after="0" w:line="3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Board currently has, and appoints the members of, a standing Audit Committee, Compensation Committee and Corporate Governance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w:t>
            </w:r>
          </w:p>
        </w:tc>
        <w:tc>
          <w:tcPr>
            <w:tcW w:w="5340" w:type="dxa"/>
            <w:vAlign w:val="bottom"/>
            <w:vMerge w:val="restart"/>
          </w:tcPr>
          <w:p>
            <w:pPr>
              <w:spacing w:after="0"/>
              <w:rPr>
                <w:sz w:val="14"/>
                <w:szCs w:val="14"/>
                <w:color w:val="auto"/>
              </w:rPr>
            </w:pPr>
          </w:p>
        </w:tc>
        <w:tc>
          <w:tcPr>
            <w:tcW w:w="120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Audit</w:t>
            </w:r>
          </w:p>
        </w:tc>
        <w:tc>
          <w:tcPr>
            <w:tcW w:w="17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6"/>
              </w:rPr>
              <w:t>Compensation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Corporate</w:t>
            </w:r>
          </w:p>
        </w:tc>
        <w:tc>
          <w:tcPr>
            <w:tcW w:w="0" w:type="dxa"/>
            <w:vAlign w:val="bottom"/>
          </w:tcPr>
          <w:p>
            <w:pPr>
              <w:spacing w:after="0"/>
              <w:rPr>
                <w:sz w:val="1"/>
                <w:szCs w:val="1"/>
                <w:color w:val="auto"/>
              </w:rPr>
            </w:pPr>
          </w:p>
        </w:tc>
      </w:tr>
      <w:tr>
        <w:trPr>
          <w:trHeight w:val="174"/>
        </w:trPr>
        <w:tc>
          <w:tcPr>
            <w:tcW w:w="54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6"/>
              </w:rPr>
              <w:t>Governance</w:t>
            </w:r>
          </w:p>
        </w:tc>
        <w:tc>
          <w:tcPr>
            <w:tcW w:w="0" w:type="dxa"/>
            <w:vAlign w:val="bottom"/>
          </w:tcPr>
          <w:p>
            <w:pPr>
              <w:spacing w:after="0"/>
              <w:rPr>
                <w:sz w:val="1"/>
                <w:szCs w:val="1"/>
                <w:color w:val="auto"/>
              </w:rPr>
            </w:pPr>
          </w:p>
        </w:tc>
      </w:tr>
      <w:tr>
        <w:trPr>
          <w:trHeight w:val="203"/>
        </w:trPr>
        <w:tc>
          <w:tcPr>
            <w:tcW w:w="5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Rodney C. Adkins</w:t>
            </w:r>
          </w:p>
        </w:tc>
        <w:tc>
          <w:tcPr>
            <w:tcW w:w="44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J. Veronica Biggins</w:t>
            </w:r>
          </w:p>
        </w:tc>
        <w:tc>
          <w:tcPr>
            <w:tcW w:w="1200" w:type="dxa"/>
            <w:vAlign w:val="bottom"/>
            <w:gridSpan w:val="2"/>
          </w:tcPr>
          <w:p>
            <w:pPr>
              <w:jc w:val="center"/>
              <w:ind w:right="76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Bradley</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780"/>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R. Kerry Clark</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8"/>
                <w:szCs w:val="18"/>
                <w:color w:val="auto"/>
                <w:w w:val="97"/>
              </w:rPr>
              <w:t>Chair</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Lawrence</w:t>
            </w:r>
          </w:p>
        </w:tc>
        <w:tc>
          <w:tcPr>
            <w:tcW w:w="120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7"/>
              </w:rPr>
              <w:t>Chair</w:t>
            </w:r>
          </w:p>
        </w:tc>
        <w:tc>
          <w:tcPr>
            <w:tcW w:w="1720" w:type="dxa"/>
            <w:vAlign w:val="bottom"/>
            <w:gridSpan w:val="2"/>
            <w:shd w:val="clear" w:color="auto" w:fill="CCEEFF"/>
          </w:tcPr>
          <w:p>
            <w:pPr>
              <w:jc w:val="center"/>
              <w:ind w:right="780"/>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Avid Modjtabai</w:t>
            </w:r>
          </w:p>
        </w:tc>
        <w:tc>
          <w:tcPr>
            <w:tcW w:w="1200" w:type="dxa"/>
            <w:vAlign w:val="bottom"/>
            <w:gridSpan w:val="2"/>
          </w:tcPr>
          <w:p>
            <w:pPr>
              <w:jc w:val="center"/>
              <w:ind w:right="760"/>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Schumann, III</w:t>
            </w:r>
          </w:p>
        </w:tc>
        <w:tc>
          <w:tcPr>
            <w:tcW w:w="1200" w:type="dxa"/>
            <w:vAlign w:val="bottom"/>
            <w:gridSpan w:val="2"/>
            <w:shd w:val="clear" w:color="auto" w:fill="CCEEFF"/>
          </w:tcPr>
          <w:p>
            <w:pPr>
              <w:jc w:val="center"/>
              <w:ind w:right="760"/>
              <w:spacing w:after="0" w:line="181" w:lineRule="exact"/>
              <w:rPr>
                <w:sz w:val="20"/>
                <w:szCs w:val="20"/>
                <w:color w:val="auto"/>
              </w:rPr>
            </w:pPr>
            <w:r>
              <w:rPr>
                <w:rFonts w:ascii="MS PGothic" w:cs="MS PGothic" w:eastAsia="MS PGothic" w:hAnsi="MS PGothic"/>
                <w:sz w:val="18"/>
                <w:szCs w:val="18"/>
                <w:color w:val="auto"/>
                <w:w w:val="88"/>
              </w:rPr>
              <w:t>✓</w:t>
            </w:r>
          </w:p>
        </w:tc>
        <w:tc>
          <w:tcPr>
            <w:tcW w:w="1720" w:type="dxa"/>
            <w:vAlign w:val="bottom"/>
            <w:gridSpan w:val="2"/>
            <w:shd w:val="clear" w:color="auto" w:fill="CCEEFF"/>
          </w:tcPr>
          <w:p>
            <w:pPr>
              <w:jc w:val="center"/>
              <w:ind w:right="780"/>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The Audit Committee is charged with assisting and representing the Board of Directors in fulfilling its oversight responsibilities with respect to the integrity of the financial statements of the Company, the independence, qualifications and performance of the Company’s independent external auditors, the performance of the Company’s internal audit function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Additionally, the Audit Committee reviews and approves transactions with any related person in which the Company is a participant and involves an amount that equals or exceeds $120,000 per year. All the members of the Audit Committee are independent under the independence requirements of the New York Stock Exchange (the “NYSE”) listing standards and the independence standards adopted by the Board, and also meet the additional requirements for audit committee independence established by the SEC. The Board of Directors has determined that three members of the Audit Committee (Messrs. Lawrence and Schumann and Ms. Modjtabai) qualify as “audit committee financial experts”, as defined in rules adopted by the SEC. Please see the Audit Committee Report set forth elsewhere in this Proxy Statement for more information about the Audit Committee and its operations. The Audit Committee operates under a written charter that outlines the Audit Committee’s purpose, member qualifications, authority and responsibilities. The Audit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During fiscal 2017, the Audit Committee held eight meetings.</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 xml:space="preserve">The Compensation Committee oversees the Company’s overall compensation structure, policies and programs, and assists the Board of Directors in fulfilling its responsibilities with respect to administering the Company’s long-term incentive plan, reviews and approves compensation arrangements with executive officers of the Company, and evaluates the performance of and recommends the compensation for the CEO. The Compensation Committee’s objective is to establish and administer a “total compensation program” that fairly and competitively rewards long-term performance and enhances shareholder value. All members of the Compensation Committee meet the independence requirements of the NYSE listing standards and the independence standards adopted by the Board of Directors. The Compensation Committee operates under a written charter that outlines the purpose, member qualifications, authority and responsibilities of the committee. The Compensation Committee reviews its charter and conducts an evaluation of its own effectiveness annually. A copy of the Compensation Committee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During fiscal 2017, the Compensation Committee held six meetings.</w:t>
      </w:r>
    </w:p>
    <w:p>
      <w:pPr>
        <w:spacing w:after="0" w:line="2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has the authority to retain an independent executive compensation consultant to assist in the evaluation of compensation for the Company’s executive officers and to help ensure the objectivity and appropriateness of the actions of the Compensation Committee. The Compensation Committee has the sole authority to retain, at the Company’s expense, and terminate any such consultant, including the sole authority to approve such consultant’s fees and other terms of engagement. The Compensation Committee retained Meridian Compensation Partners, LLC (“Meridian”) as the Compensation Committee’s independent compensation consultant for fiscal 2017. The Compensation Committee assessed the independence of Meridian pursuant to the SEC and NYSE rules and concluded that no conflict of interest exists that prevented, or will prevent, Meridian from being an independent consultant to the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makes recommendations with respect to corporate governance issues affecting the Board of Directors and the Company. All the members of the Corporate Governance Committee are independent under Avnet’s independence standards and the NYSE listing standards. The Corporate Governance Committee operates under a written charter that outlines the Committee’s purpose, member qualifications, authority and responsibilities. The Corporate Governance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2017, the Corporate Governance Committee held four meetings.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79"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Board of Directors has an Executive Committee that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The Executive Committee did not meet in fiscal 2017.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79" w:lineRule="exact"/>
        <w:rPr>
          <w:sz w:val="20"/>
          <w:szCs w:val="20"/>
          <w:color w:val="auto"/>
        </w:rPr>
      </w:pPr>
    </w:p>
    <w:p>
      <w:pPr>
        <w:ind w:right="580"/>
        <w:spacing w:after="0" w:line="333" w:lineRule="auto"/>
        <w:rPr>
          <w:sz w:val="20"/>
          <w:szCs w:val="20"/>
          <w:color w:val="auto"/>
        </w:rPr>
      </w:pPr>
      <w:r>
        <w:rPr>
          <w:rFonts w:ascii="Arial" w:cs="Arial" w:eastAsia="Arial" w:hAnsi="Arial"/>
          <w:sz w:val="16"/>
          <w:szCs w:val="16"/>
          <w:color w:val="auto"/>
        </w:rPr>
        <w:t>The Board has responsibility for the oversight of the Company’s risk management, while the Company’s management is responsible for the day-to-day risk management process. With the oversight of the Board, the management of the Company has developed an enterprise risk</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management program, whereby management identifies the top individual risks they believe the Company faces with respect to its business, operations, strategy and other factors based on input from key business and functional leaders in the Company. In addition to evaluating various key risks, management identifies ways to mitigate and manage such risks. At least annually, management reports on and discusses the identified risks and risk mitigation efforts with the Board. The Board allocates responsibility to a specific committee to examine a particular risk in detail if the committee is in the best position to review and assess the risk. For example, the Audit Committee reviews programs and practices related to accounting and financial reporting matters and the Compensation Committee provides oversight of risks related to compensation programs.</w:t>
      </w:r>
    </w:p>
    <w:p>
      <w:pPr>
        <w:spacing w:after="0" w:line="1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Compensation Committee has assessed the Company’s compensation programs and concluded that the Company’s compensation policies and practices do not create risks that are reasonably likely to have a material adverse effect on the Company. The Compensation Committee and management assessed Avnet’s executive and broad-based compensation and benefits programs to determine if the programs’ provisions and operations create undesired or unintentional risk of a material nature.</w:t>
      </w:r>
    </w:p>
    <w:p>
      <w:pPr>
        <w:spacing w:after="0" w:line="4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Based on the foregoing, management believes that the Company’s compensation policies and practices do not create inappropriate or unintended significant risk to the Company as a whole, and that the incentive compensation programs provide incentives that do not encourage risk-taking that is beyond the Company’s ability to effectively identify and manage significant risks. Further, management believes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ELECTION OF DIRECTORS</w:t>
      </w:r>
    </w:p>
    <w:p>
      <w:pPr>
        <w:spacing w:after="0" w:line="7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Eight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of each of the eight director nominees listed below. Each nominee has consented to being named herein and to serving if elected.</w:t>
      </w:r>
    </w:p>
    <w:p>
      <w:pPr>
        <w:spacing w:after="0" w:line="4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At the Annual Meeting, in order to be elected each nominee must receive the affirmative vote of a majority of the votes cast with respect to his or her election. A majority of the votes cast means that the number of shares voted “for” a director must exceed the number of shares voted “against” that director. Abstentions are not counted in determining the votes cast. Brokers who hold shares of Common Stock as nominees will not have discretionary authority to vote such shares for a director nominee. If an incumbent nominee is not elected by the requisite vote, he or she must tender his or her resignation, and the Board, excluding such individual, will, within 90 days of the election, decide whether or not to accept such resignation and will disclose and explain its decision.</w:t>
      </w:r>
    </w:p>
    <w:p>
      <w:pPr>
        <w:spacing w:after="0" w:line="4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12, 2017.</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5" w:right="3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The Board recommends a vote “FOR” all the nominees named below.</w:t>
      </w:r>
    </w:p>
    <w:p>
      <w:pPr>
        <w:sectPr>
          <w:pgSz w:w="11900" w:h="16838" w:orient="portrait"/>
          <w:cols w:equalWidth="0" w:num="1">
            <w:col w:w="11380"/>
          </w:cols>
          <w:pgMar w:left="240" w:top="455" w:right="27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67"/>
        </w:trPr>
        <w:tc>
          <w:tcPr>
            <w:tcW w:w="3380" w:type="dxa"/>
            <w:vAlign w:val="bottom"/>
            <w:gridSpan w:val="3"/>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Rodney C. Adkins</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Principal Occupations During Last Five Years;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Other Directorships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4330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ind w:right="180"/>
        <w:spacing w:after="0" w:line="239" w:lineRule="auto"/>
        <w:rPr>
          <w:sz w:val="20"/>
          <w:szCs w:val="20"/>
          <w:color w:val="auto"/>
        </w:rPr>
      </w:pPr>
      <w:r>
        <w:rPr>
          <w:rFonts w:ascii="Arial" w:cs="Arial" w:eastAsia="Arial" w:hAnsi="Arial"/>
          <w:sz w:val="18"/>
          <w:szCs w:val="18"/>
          <w:color w:val="auto"/>
        </w:rPr>
        <w:t>Mr. Adkins is President of 3RAM Group LLC, a privately held company specializing in capital investments, business consulting services and property management.</w:t>
      </w:r>
    </w:p>
    <w:p>
      <w:pPr>
        <w:ind w:right="20"/>
        <w:spacing w:after="0" w:line="236" w:lineRule="auto"/>
        <w:rPr>
          <w:sz w:val="20"/>
          <w:szCs w:val="20"/>
          <w:color w:val="auto"/>
        </w:rPr>
      </w:pPr>
      <w:r>
        <w:rPr>
          <w:rFonts w:ascii="Arial" w:cs="Arial" w:eastAsia="Arial" w:hAnsi="Arial"/>
          <w:sz w:val="18"/>
          <w:szCs w:val="18"/>
          <w:color w:val="auto"/>
        </w:rPr>
        <w:t>Mr. Adkins formerly served as Senior Vice President of IBM from 2007 until 2014. In his 33-year career with IBM, Mr. Adkins held a number of development and management roles, including Senior Vice President of Corporate Strategy (2013 - 2014) and Senior Vice President of Systems and Technology Group (2009 - 2013). Mr. Adkins currently serves on the board of directors of W.W. Grainger, Inc., PPL Corporation and United Parcel Service, Inc., and previously served on the board of directors of Pitney Bowes Inc. (2007 – 2013). Mr. Adkins will also be joining the board of directors of PayPal Holdings, Inc. The Board benefits from Mr. Adkins’ global business experience in the technology industry, including emerging technologies and services, international and emerging markets, and supply chain management. In addition, the Board believes he provides additional experience in the areas of corporate governance and strategy development.</w:t>
      </w:r>
    </w:p>
    <w:p>
      <w:pPr>
        <w:spacing w:after="0" w:line="124" w:lineRule="exact"/>
        <w:rPr>
          <w:sz w:val="20"/>
          <w:szCs w:val="20"/>
          <w:color w:val="auto"/>
        </w:rPr>
      </w:pPr>
    </w:p>
    <w:p>
      <w:pPr>
        <w:sectPr>
          <w:pgSz w:w="11900" w:h="16838" w:orient="portrait"/>
          <w:cols w:equalWidth="0" w:num="2">
            <w:col w:w="4380" w:space="220"/>
            <w:col w:w="6780"/>
          </w:cols>
          <w:pgMar w:left="240" w:top="455"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20"/>
                <w:szCs w:val="20"/>
                <w:color w:val="auto"/>
              </w:rPr>
            </w:pPr>
            <w:r>
              <w:rPr>
                <w:rFonts w:ascii="Arial" w:cs="Arial" w:eastAsia="Arial" w:hAnsi="Arial"/>
                <w:sz w:val="18"/>
                <w:szCs w:val="18"/>
                <w:b w:val="1"/>
                <w:bCs w:val="1"/>
                <w:color w:val="auto"/>
              </w:rPr>
              <w:t>William J. Amelio</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7620" w:type="dxa"/>
            <w:vAlign w:val="bottom"/>
          </w:tcPr>
          <w:p>
            <w:pPr>
              <w:ind w:left="160"/>
              <w:spacing w:after="0"/>
              <w:rPr>
                <w:sz w:val="20"/>
                <w:szCs w:val="20"/>
                <w:color w:val="auto"/>
              </w:rPr>
            </w:pPr>
            <w:r>
              <w:rPr>
                <w:rFonts w:ascii="Arial" w:cs="Arial" w:eastAsia="Arial" w:hAnsi="Arial"/>
                <w:sz w:val="18"/>
                <w:szCs w:val="18"/>
                <w:color w:val="auto"/>
              </w:rPr>
              <w:t>2014   Mr. Amelio has served as the CEO of Avnet since July 2016 and as a director since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w w:val="98"/>
              </w:rPr>
              <w:t>2014. He previously served as the President, Chief Executive Officer and as a Director</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of CHC Group Ltd. from 2010 to 2015. In May 2016, CHC Group filed a voluntary</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w w:val="99"/>
              </w:rPr>
              <w:t>petition under Chapter 11 of the United States Bankruptcy Code. From 2005 to 2009,</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Mr. Amelio served as Lenovo’s President and Chief Executive Officer. From 2001 to</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w w:val="98"/>
              </w:rPr>
              <w:t>2005, he was regional Senior Vice President and President, Asia-Pacific and Japan for</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w w:val="97"/>
              </w:rPr>
              <w:t>Dell Inc. Mr. Amelio served on the board of directors of National Semiconductor prior to</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its acquisition by Texas Instruments (2010 – 2011). Through the Amelio Foundation,</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Mr. Amelio and his wife founded Caring for Cambodia, a non-profit organization that</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aims to educate the children of Cambodia through building schools, training teachers</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w w:val="98"/>
              </w:rPr>
              <w:t>and providing for basic human needs. The Board benefits from Mr. Amelio’s extensive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experience in international business operations, corporate leadership and</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management. The Board also benefits from his broad knowledge of the technology</w:t>
            </w:r>
          </w:p>
        </w:tc>
      </w:tr>
      <w:tr>
        <w:trPr>
          <w:trHeight w:val="237"/>
        </w:trPr>
        <w:tc>
          <w:tcPr>
            <w:tcW w:w="2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20" w:type="dxa"/>
            <w:vAlign w:val="bottom"/>
          </w:tcPr>
          <w:p>
            <w:pPr>
              <w:ind w:left="840"/>
              <w:spacing w:after="0"/>
              <w:rPr>
                <w:sz w:val="20"/>
                <w:szCs w:val="20"/>
                <w:color w:val="auto"/>
              </w:rPr>
            </w:pPr>
            <w:r>
              <w:rPr>
                <w:rFonts w:ascii="Arial" w:cs="Arial" w:eastAsia="Arial" w:hAnsi="Arial"/>
                <w:sz w:val="18"/>
                <w:szCs w:val="18"/>
                <w:color w:val="auto"/>
              </w:rPr>
              <w:t>industry globally.</w:t>
            </w:r>
          </w:p>
        </w:tc>
      </w:tr>
      <w:tr>
        <w:trPr>
          <w:trHeight w:val="330"/>
        </w:trPr>
        <w:tc>
          <w:tcPr>
            <w:tcW w:w="2520" w:type="dxa"/>
            <w:vAlign w:val="bottom"/>
          </w:tcPr>
          <w:p>
            <w:pPr>
              <w:spacing w:after="0"/>
              <w:rPr>
                <w:sz w:val="20"/>
                <w:szCs w:val="20"/>
                <w:color w:val="auto"/>
              </w:rPr>
            </w:pPr>
            <w:r>
              <w:rPr>
                <w:rFonts w:ascii="Arial" w:cs="Arial" w:eastAsia="Arial" w:hAnsi="Arial"/>
                <w:sz w:val="18"/>
                <w:szCs w:val="18"/>
                <w:b w:val="1"/>
                <w:bCs w:val="1"/>
                <w:color w:val="auto"/>
              </w:rPr>
              <w:t>J. Veronica Biggins</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7620" w:type="dxa"/>
            <w:vAlign w:val="bottom"/>
          </w:tcPr>
          <w:p>
            <w:pPr>
              <w:ind w:left="160"/>
              <w:spacing w:after="0"/>
              <w:rPr>
                <w:sz w:val="20"/>
                <w:szCs w:val="20"/>
                <w:color w:val="auto"/>
              </w:rPr>
            </w:pPr>
            <w:r>
              <w:rPr>
                <w:rFonts w:ascii="Arial" w:cs="Arial" w:eastAsia="Arial" w:hAnsi="Arial"/>
                <w:sz w:val="18"/>
                <w:szCs w:val="18"/>
                <w:color w:val="auto"/>
              </w:rPr>
              <w:t>1997   Ms. Biggins is a Managing Director and a member of the executive committee of</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Diversified Search LLC, an executive and board search firm. She was Managing</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w w:val="98"/>
              </w:rPr>
              <w:t>Partner of the Atlanta office of Hodge Partners from 2007 until 2011 when it became a</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rPr>
              <w:t>part of Diversified Search. Ms. Biggins served as Assistant to the President of the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20" w:type="dxa"/>
            <w:vAlign w:val="bottom"/>
          </w:tcPr>
          <w:p>
            <w:pPr>
              <w:ind w:left="840"/>
              <w:spacing w:after="0" w:line="202" w:lineRule="exact"/>
              <w:rPr>
                <w:sz w:val="20"/>
                <w:szCs w:val="20"/>
                <w:color w:val="auto"/>
              </w:rPr>
            </w:pPr>
            <w:r>
              <w:rPr>
                <w:rFonts w:ascii="Arial" w:cs="Arial" w:eastAsia="Arial" w:hAnsi="Arial"/>
                <w:sz w:val="18"/>
                <w:szCs w:val="18"/>
                <w:color w:val="auto"/>
                <w:w w:val="99"/>
              </w:rPr>
              <w:t>United States and Director of Presidential Personnel under President William Clinton.</w:t>
            </w:r>
          </w:p>
        </w:tc>
      </w:tr>
      <w:tr>
        <w:trPr>
          <w:trHeight w:val="225"/>
        </w:trPr>
        <w:tc>
          <w:tcPr>
            <w:tcW w:w="2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20" w:type="dxa"/>
            <w:vAlign w:val="bottom"/>
          </w:tcPr>
          <w:p>
            <w:pPr>
              <w:ind w:left="840"/>
              <w:spacing w:after="0"/>
              <w:rPr>
                <w:sz w:val="20"/>
                <w:szCs w:val="20"/>
                <w:color w:val="auto"/>
              </w:rPr>
            </w:pPr>
            <w:r>
              <w:rPr>
                <w:rFonts w:ascii="Arial" w:cs="Arial" w:eastAsia="Arial" w:hAnsi="Arial"/>
                <w:sz w:val="18"/>
                <w:szCs w:val="18"/>
                <w:color w:val="auto"/>
                <w:w w:val="96"/>
              </w:rPr>
              <w:t>Ms. Biggins has served on the board of Southwest Airlines Co. since 2011. Ms. Biggins’</w:t>
            </w:r>
          </w:p>
        </w:tc>
      </w:tr>
    </w:tbl>
    <w:p>
      <w:pPr>
        <w:jc w:val="both"/>
        <w:ind w:left="4600" w:right="60"/>
        <w:spacing w:after="0" w:line="264" w:lineRule="auto"/>
        <w:rPr>
          <w:sz w:val="20"/>
          <w:szCs w:val="20"/>
          <w:color w:val="auto"/>
        </w:rPr>
      </w:pPr>
      <w:r>
        <w:rPr>
          <w:rFonts w:ascii="Arial" w:cs="Arial" w:eastAsia="Arial" w:hAnsi="Arial"/>
          <w:sz w:val="16"/>
          <w:szCs w:val="16"/>
          <w:color w:val="auto"/>
        </w:rPr>
        <w:t>background includes 20 years of experience with NationsBank (now Bank of America) and its predecessor. She previously served as a director of Zep Inc. (2007 – 2012) and AirTran Holdings, Inc. prior to its acquisition by Southwest Airlines (2001 –</w:t>
      </w:r>
    </w:p>
    <w:p>
      <w:pPr>
        <w:spacing w:after="0" w:line="1" w:lineRule="exact"/>
        <w:rPr>
          <w:sz w:val="20"/>
          <w:szCs w:val="20"/>
          <w:color w:val="auto"/>
        </w:rPr>
      </w:pPr>
    </w:p>
    <w:p>
      <w:pPr>
        <w:ind w:left="4600" w:right="620"/>
        <w:spacing w:after="0" w:line="244" w:lineRule="auto"/>
        <w:rPr>
          <w:sz w:val="20"/>
          <w:szCs w:val="20"/>
          <w:color w:val="auto"/>
        </w:rPr>
      </w:pPr>
      <w:r>
        <w:rPr>
          <w:rFonts w:ascii="Arial" w:cs="Arial" w:eastAsia="Arial" w:hAnsi="Arial"/>
          <w:sz w:val="18"/>
          <w:szCs w:val="18"/>
          <w:color w:val="auto"/>
        </w:rPr>
        <w:t>2011). Ms. Biggins serves on a number of non-profit Boards. Ms. Biggins brings extensive experience related to talent management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5" w:right="279" w:bottom="1440" w:gutter="0" w:footer="0" w:header="0"/>
          <w:type w:val="continuous"/>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5" w:right="25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spacing w:after="0"/>
              <w:rPr>
                <w:sz w:val="14"/>
                <w:szCs w:val="14"/>
                <w:color w:val="auto"/>
              </w:rPr>
            </w:pP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vMerge w:val="restart"/>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67"/>
        </w:trPr>
        <w:tc>
          <w:tcPr>
            <w:tcW w:w="31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Principal Occupations During Last Five Years;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Other Directorships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4330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ind w:right="40"/>
        <w:spacing w:after="0" w:line="243" w:lineRule="auto"/>
        <w:rPr>
          <w:sz w:val="20"/>
          <w:szCs w:val="20"/>
          <w:color w:val="auto"/>
        </w:rPr>
      </w:pPr>
      <w:r>
        <w:rPr>
          <w:rFonts w:ascii="Arial" w:cs="Arial" w:eastAsia="Arial" w:hAnsi="Arial"/>
          <w:sz w:val="18"/>
          <w:szCs w:val="18"/>
          <w:color w:val="auto"/>
        </w:rPr>
        <w:t>identifying and recruiting executive talent. In addition, as a result of her tenure as a director, she brings institutional memory and deep insight into the Company’s operation across a variety of economic and competitive environments.</w:t>
      </w:r>
    </w:p>
    <w:p>
      <w:pPr>
        <w:spacing w:after="0" w:line="122" w:lineRule="exact"/>
        <w:rPr>
          <w:sz w:val="20"/>
          <w:szCs w:val="20"/>
          <w:color w:val="auto"/>
        </w:rPr>
      </w:pPr>
    </w:p>
    <w:p>
      <w:pPr>
        <w:sectPr>
          <w:pgSz w:w="11900" w:h="16838" w:orient="portrait"/>
          <w:cols w:equalWidth="0" w:num="2">
            <w:col w:w="4380" w:space="220"/>
            <w:col w:w="6800"/>
          </w:cols>
          <w:pgMar w:left="240" w:top="455"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20"/>
                <w:szCs w:val="20"/>
                <w:color w:val="auto"/>
              </w:rPr>
            </w:pPr>
            <w:r>
              <w:rPr>
                <w:rFonts w:ascii="Arial" w:cs="Arial" w:eastAsia="Arial" w:hAnsi="Arial"/>
                <w:sz w:val="18"/>
                <w:szCs w:val="18"/>
                <w:b w:val="1"/>
                <w:bCs w:val="1"/>
                <w:color w:val="auto"/>
              </w:rPr>
              <w:t>Michael A. Bradley</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7640" w:type="dxa"/>
            <w:vAlign w:val="bottom"/>
          </w:tcPr>
          <w:p>
            <w:pPr>
              <w:ind w:left="160"/>
              <w:spacing w:after="0"/>
              <w:rPr>
                <w:sz w:val="20"/>
                <w:szCs w:val="20"/>
                <w:color w:val="auto"/>
              </w:rPr>
            </w:pPr>
            <w:r>
              <w:rPr>
                <w:rFonts w:ascii="Arial" w:cs="Arial" w:eastAsia="Arial" w:hAnsi="Arial"/>
                <w:sz w:val="18"/>
                <w:szCs w:val="18"/>
                <w:color w:val="auto"/>
              </w:rPr>
              <w:t>2012   Mr. Bradley served as Chief Executive Officer of Teradyne, Inc. from 2004 until 2014</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7"/>
              </w:rPr>
              <w:t>and has served as a director since 2004. He was President of Teradyne (2003 – 2013),</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President of Teradyne’s Semiconductor Test Division (2001 – 2003) and Teradyne’s</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8"/>
              </w:rPr>
              <w:t>Chief Financial Officer (1999 – 2001). Mr. Bradley has also been a director of Entegris,</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Inc. and its predecessor company, Mykrolis Corporation, since 2001. The Board</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benefits from Mr. Bradley’s extensive experience in the semiconductor industry and</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from his experience in running a global technology operation. The Board believes he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provides additional perspective in the areas of corporate governance and financial</w:t>
            </w:r>
          </w:p>
        </w:tc>
      </w:tr>
      <w:tr>
        <w:trPr>
          <w:trHeight w:val="237"/>
        </w:trPr>
        <w:tc>
          <w:tcPr>
            <w:tcW w:w="2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rPr>
              <w:t>reporting.</w:t>
            </w:r>
          </w:p>
        </w:tc>
      </w:tr>
      <w:tr>
        <w:trPr>
          <w:trHeight w:val="330"/>
        </w:trPr>
        <w:tc>
          <w:tcPr>
            <w:tcW w:w="2520" w:type="dxa"/>
            <w:vAlign w:val="bottom"/>
          </w:tcPr>
          <w:p>
            <w:pPr>
              <w:spacing w:after="0"/>
              <w:rPr>
                <w:sz w:val="20"/>
                <w:szCs w:val="20"/>
                <w:color w:val="auto"/>
              </w:rPr>
            </w:pPr>
            <w:r>
              <w:rPr>
                <w:rFonts w:ascii="Arial" w:cs="Arial" w:eastAsia="Arial" w:hAnsi="Arial"/>
                <w:sz w:val="18"/>
                <w:szCs w:val="18"/>
                <w:b w:val="1"/>
                <w:bCs w:val="1"/>
                <w:color w:val="auto"/>
              </w:rPr>
              <w:t>R. Kerry Clark</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7640" w:type="dxa"/>
            <w:vAlign w:val="bottom"/>
          </w:tcPr>
          <w:p>
            <w:pPr>
              <w:ind w:left="160"/>
              <w:spacing w:after="0"/>
              <w:rPr>
                <w:sz w:val="20"/>
                <w:szCs w:val="20"/>
                <w:color w:val="auto"/>
              </w:rPr>
            </w:pPr>
            <w:r>
              <w:rPr>
                <w:rFonts w:ascii="Arial" w:cs="Arial" w:eastAsia="Arial" w:hAnsi="Arial"/>
                <w:sz w:val="18"/>
                <w:szCs w:val="18"/>
                <w:color w:val="auto"/>
              </w:rPr>
              <w:t>2012   R. Kerry Clark served as Chairman and Chief Executive Officer of Cardinal Health, Inc.</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9"/>
              </w:rPr>
              <w:t>until his retirement in 2009. Mr. Clark joined Cardinal Health in 2006 as President and</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7"/>
              </w:rPr>
              <w:t>Chief Executive Officer and became Chairman in 2007. Prior to joining Cardinal Health,</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he held various positions at The Procter &amp; Gamble Company, including President of</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9"/>
              </w:rPr>
              <w:t>P&amp;G Asia; President, Global Market Development and Business Operations; and Vice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Chairman of the Board. He is a director of General Mills (since 2009), Textron, Inc.</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(since 2003) and Anthem, Inc. (since 2014). He is also a director of Hauser Capital</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Partners LLC and Hauser Private Equity LLC. Mr. Clark brings to the Board business</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leadership, corporate strategy and operating expertise. Mr. Clark also lends a global</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business perspective. Additionally, Mr. Clark provides insight and value in corporate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governance, talent development, change management, marketing and business</w:t>
            </w:r>
          </w:p>
        </w:tc>
      </w:tr>
      <w:tr>
        <w:trPr>
          <w:trHeight w:val="237"/>
        </w:trPr>
        <w:tc>
          <w:tcPr>
            <w:tcW w:w="2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rPr>
              <w:t>development.</w:t>
            </w:r>
          </w:p>
        </w:tc>
      </w:tr>
      <w:tr>
        <w:trPr>
          <w:trHeight w:val="330"/>
        </w:trPr>
        <w:tc>
          <w:tcPr>
            <w:tcW w:w="2520" w:type="dxa"/>
            <w:vAlign w:val="bottom"/>
          </w:tcPr>
          <w:p>
            <w:pPr>
              <w:spacing w:after="0"/>
              <w:rPr>
                <w:sz w:val="20"/>
                <w:szCs w:val="20"/>
                <w:color w:val="auto"/>
              </w:rPr>
            </w:pPr>
            <w:r>
              <w:rPr>
                <w:rFonts w:ascii="Arial" w:cs="Arial" w:eastAsia="Arial" w:hAnsi="Arial"/>
                <w:sz w:val="18"/>
                <w:szCs w:val="18"/>
                <w:b w:val="1"/>
                <w:bCs w:val="1"/>
                <w:color w:val="auto"/>
              </w:rPr>
              <w:t>James A. Lawrence</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7640" w:type="dxa"/>
            <w:vAlign w:val="bottom"/>
          </w:tcPr>
          <w:p>
            <w:pPr>
              <w:ind w:left="180"/>
              <w:spacing w:after="0"/>
              <w:rPr>
                <w:sz w:val="20"/>
                <w:szCs w:val="20"/>
                <w:color w:val="auto"/>
              </w:rPr>
            </w:pPr>
            <w:r>
              <w:rPr>
                <w:rFonts w:ascii="Arial" w:cs="Arial" w:eastAsia="Arial" w:hAnsi="Arial"/>
                <w:sz w:val="18"/>
                <w:szCs w:val="18"/>
                <w:color w:val="auto"/>
              </w:rPr>
              <w:t>2011   Mr. Lawrence is Chairman of Lake Harriet Capital, LLC. He previously served as</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7"/>
              </w:rPr>
              <w:t>Chairman of Great North Star LLC (2015 – 2017). Mr. Lawrence is the former Chairman</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7"/>
              </w:rPr>
              <w:t>of Rothschild North America (2012 – 2015), having served as Chief Executive Officer of</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8"/>
              </w:rPr>
              <w:t>Rothschild North America and as co-head of global investment banking (2010 – 2012).</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He previously served as Chief Financial Officer of Unilever PLC (2007 – 2009), Vice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Chairman and Chief Financial Officer of General Mills, Inc. (1998 – 2007), Executive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Vice President and Chief Financial Officer of Northwest Airlines (1996 – 1998) and</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Chief Executive Officer of Pepsi-Cola Asia Middle East Africa Group (1992 – 1996).</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Mr. Lawrence is director of International Airlines Group (since 2010), Smurfit Kappa</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(since 2015) and AerCap Holdings N.V. (since 2017). The Board benefits from</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w w:val="98"/>
              </w:rPr>
              <w:t>Mr. Lawrence’s breadth of global business experience, including strategy development</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and compliance. Additionally, as a former Chief Financial Officer for multiple public</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companies, Mr. Lawrence has extensive experience in finance and accounting,</w:t>
            </w:r>
          </w:p>
        </w:tc>
      </w:tr>
      <w:tr>
        <w:trPr>
          <w:trHeight w:val="237"/>
        </w:trPr>
        <w:tc>
          <w:tcPr>
            <w:tcW w:w="2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rPr>
              <w:t>particularly as it applies to public companies such as Avnet.</w:t>
            </w:r>
          </w:p>
        </w:tc>
      </w:tr>
      <w:tr>
        <w:trPr>
          <w:trHeight w:val="330"/>
        </w:trPr>
        <w:tc>
          <w:tcPr>
            <w:tcW w:w="2520" w:type="dxa"/>
            <w:vAlign w:val="bottom"/>
          </w:tcPr>
          <w:p>
            <w:pPr>
              <w:spacing w:after="0"/>
              <w:rPr>
                <w:sz w:val="20"/>
                <w:szCs w:val="20"/>
                <w:color w:val="auto"/>
              </w:rPr>
            </w:pPr>
            <w:r>
              <w:rPr>
                <w:rFonts w:ascii="Arial" w:cs="Arial" w:eastAsia="Arial" w:hAnsi="Arial"/>
                <w:sz w:val="18"/>
                <w:szCs w:val="18"/>
                <w:b w:val="1"/>
                <w:bCs w:val="1"/>
                <w:color w:val="auto"/>
              </w:rPr>
              <w:t>Avid Modjtabai</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7640" w:type="dxa"/>
            <w:vAlign w:val="bottom"/>
          </w:tcPr>
          <w:p>
            <w:pPr>
              <w:ind w:left="160"/>
              <w:spacing w:after="0"/>
              <w:rPr>
                <w:sz w:val="20"/>
                <w:szCs w:val="20"/>
                <w:color w:val="auto"/>
              </w:rPr>
            </w:pPr>
            <w:r>
              <w:rPr>
                <w:rFonts w:ascii="Arial" w:cs="Arial" w:eastAsia="Arial" w:hAnsi="Arial"/>
                <w:sz w:val="18"/>
                <w:szCs w:val="18"/>
                <w:color w:val="auto"/>
              </w:rPr>
              <w:t>2014   Ms. Modjtabai serves as the Senior Executive Vice President and head of the</w:t>
            </w:r>
          </w:p>
        </w:tc>
      </w:tr>
      <w:tr>
        <w:trPr>
          <w:trHeight w:val="203"/>
        </w:trPr>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ind w:left="840"/>
              <w:spacing w:after="0" w:line="202" w:lineRule="exact"/>
              <w:rPr>
                <w:sz w:val="20"/>
                <w:szCs w:val="20"/>
                <w:color w:val="auto"/>
              </w:rPr>
            </w:pPr>
            <w:r>
              <w:rPr>
                <w:rFonts w:ascii="Arial" w:cs="Arial" w:eastAsia="Arial" w:hAnsi="Arial"/>
                <w:sz w:val="18"/>
                <w:szCs w:val="18"/>
                <w:color w:val="auto"/>
              </w:rPr>
              <w:t>Payments, Virtual Solutions and Innovation Group at Wells Fargo. Previously, she</w:t>
            </w:r>
          </w:p>
        </w:tc>
      </w:tr>
      <w:tr>
        <w:trPr>
          <w:trHeight w:val="237"/>
        </w:trPr>
        <w:tc>
          <w:tcPr>
            <w:tcW w:w="2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40" w:type="dxa"/>
            <w:vAlign w:val="bottom"/>
          </w:tcPr>
          <w:p>
            <w:pPr>
              <w:ind w:left="840"/>
              <w:spacing w:after="0"/>
              <w:rPr>
                <w:sz w:val="20"/>
                <w:szCs w:val="20"/>
                <w:color w:val="auto"/>
              </w:rPr>
            </w:pPr>
            <w:r>
              <w:rPr>
                <w:rFonts w:ascii="Arial" w:cs="Arial" w:eastAsia="Arial" w:hAnsi="Arial"/>
                <w:sz w:val="18"/>
                <w:szCs w:val="18"/>
                <w:color w:val="auto"/>
              </w:rPr>
              <w:t>served as the Group head for Wells Fargo Consumer Lending (2011 –</w:t>
            </w:r>
          </w:p>
        </w:tc>
      </w:tr>
      <w:tr>
        <w:trPr>
          <w:trHeight w:val="351"/>
        </w:trPr>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40" w:type="dxa"/>
            <w:vAlign w:val="bottom"/>
          </w:tcPr>
          <w:p>
            <w:pPr>
              <w:ind w:left="18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00"/>
          </w:cols>
          <w:pgMar w:left="240" w:top="455" w:right="259" w:bottom="1440" w:gutter="0" w:footer="0" w:header="0"/>
          <w:type w:val="continuous"/>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5" w:right="25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spacing w:after="0"/>
              <w:rPr>
                <w:sz w:val="14"/>
                <w:szCs w:val="14"/>
                <w:color w:val="auto"/>
              </w:rPr>
            </w:pP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vMerge w:val="restart"/>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67"/>
        </w:trPr>
        <w:tc>
          <w:tcPr>
            <w:tcW w:w="31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Principal Occupations During Last Five Years;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Other Directorships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4330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ind w:right="180"/>
        <w:spacing w:after="0" w:line="238" w:lineRule="auto"/>
        <w:rPr>
          <w:sz w:val="20"/>
          <w:szCs w:val="20"/>
          <w:color w:val="auto"/>
        </w:rPr>
      </w:pPr>
      <w:r>
        <w:rPr>
          <w:rFonts w:ascii="Arial" w:cs="Arial" w:eastAsia="Arial" w:hAnsi="Arial"/>
          <w:sz w:val="18"/>
          <w:szCs w:val="18"/>
          <w:color w:val="auto"/>
        </w:rPr>
        <w:t>2016). Prior to this, Ms. Modjtabai served in various leadership roles at Wells Fargo, including as the head of its technology and operations group and Chief Information Officer (2008 – 2011), the head of technology and Chief Information Officer (2007 – 2008) and as Director of Human Resources (2005 – 2007). The Board benefits from Ms. Modjtabai’s extensive experience in operations and strategy development. The Board also benefits from her experience in the areas of financial services and change management.</w:t>
      </w:r>
    </w:p>
    <w:p>
      <w:pPr>
        <w:spacing w:after="0" w:line="126" w:lineRule="exact"/>
        <w:rPr>
          <w:sz w:val="20"/>
          <w:szCs w:val="20"/>
          <w:color w:val="auto"/>
        </w:rPr>
      </w:pPr>
    </w:p>
    <w:p>
      <w:pPr>
        <w:sectPr>
          <w:pgSz w:w="11900" w:h="16838" w:orient="portrait"/>
          <w:cols w:equalWidth="0" w:num="2">
            <w:col w:w="4380" w:space="220"/>
            <w:col w:w="6800"/>
          </w:cols>
          <w:pgMar w:left="240" w:top="455" w:right="259" w:bottom="1440" w:gutter="0" w:footer="0" w:header="0"/>
          <w:type w:val="continuous"/>
        </w:sectPr>
      </w:pPr>
    </w:p>
    <w:p>
      <w:pPr>
        <w:ind w:left="3420" w:right="200" w:hanging="4591"/>
        <w:spacing w:after="0" w:line="248" w:lineRule="auto"/>
        <w:tabs>
          <w:tab w:leader="none" w:pos="3400" w:val="left"/>
        </w:tabs>
        <w:rPr>
          <w:sz w:val="20"/>
          <w:szCs w:val="20"/>
          <w:color w:val="auto"/>
        </w:rPr>
      </w:pPr>
      <w:r>
        <w:rPr>
          <w:rFonts w:ascii="Arial" w:cs="Arial" w:eastAsia="Arial" w:hAnsi="Arial"/>
          <w:sz w:val="18"/>
          <w:szCs w:val="18"/>
          <w:b w:val="1"/>
          <w:bCs w:val="1"/>
          <w:color w:val="auto"/>
        </w:rPr>
        <w:t>William H. Schumann, III</w:t>
      </w:r>
      <w:r>
        <w:rPr>
          <w:sz w:val="20"/>
          <w:szCs w:val="20"/>
          <w:color w:val="auto"/>
        </w:rPr>
        <w:tab/>
      </w:r>
      <w:r>
        <w:rPr>
          <w:rFonts w:ascii="Arial" w:cs="Arial" w:eastAsia="Arial" w:hAnsi="Arial"/>
          <w:sz w:val="18"/>
          <w:szCs w:val="18"/>
          <w:color w:val="auto"/>
        </w:rPr>
        <w:t>67 2010 Mr. Schumann retired from FMC Technologies in 2012 where he served as Executive Vice President since 2007 and Chief Financial Officer from 2001 to 2011.</w:t>
      </w:r>
    </w:p>
    <w:p>
      <w:pPr>
        <w:spacing w:after="0" w:line="1" w:lineRule="exact"/>
        <w:rPr>
          <w:sz w:val="20"/>
          <w:szCs w:val="20"/>
          <w:color w:val="auto"/>
        </w:rPr>
      </w:pPr>
    </w:p>
    <w:p>
      <w:pPr>
        <w:ind w:left="4600" w:right="140"/>
        <w:spacing w:after="0" w:line="270" w:lineRule="auto"/>
        <w:rPr>
          <w:sz w:val="20"/>
          <w:szCs w:val="20"/>
          <w:color w:val="auto"/>
        </w:rPr>
      </w:pPr>
      <w:r>
        <w:rPr>
          <w:rFonts w:ascii="Arial" w:cs="Arial" w:eastAsia="Arial" w:hAnsi="Arial"/>
          <w:sz w:val="16"/>
          <w:szCs w:val="16"/>
          <w:color w:val="auto"/>
        </w:rPr>
        <w:t>Mr. Schumann has served on the board of directors of McDermott International since 2012 and Andeavor Corporation since 2016. He previously served on the board of Great Lakes Advisors, Inc. (1993 – 2011), AMCOL International (2012 – 2014) and URS Corporation prior to its acquisition by AECOM Technology Corporation (2014). Mr. Schumann also serves on the board of the Lake Forest Lake Bluff Historical Society. The Board benefits from Mr. Schumann’s experience on other boards and his financial and management expertise, including his extensive expertise in financial and strategic planning, financial reporting, compliance and risk management.</w:t>
      </w:r>
    </w:p>
    <w:p>
      <w:pPr>
        <w:spacing w:after="0" w:line="2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of the date of this Proxy Statement, the average tenure of the Company’s directors is approximately six years, with three having a tenure of less than five years, four having a tenure of between five and 10 years and one having a tenure of more than 10 years.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5" w:right="2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described above, each director nominee brings a diversity of skills and experiences to the Board. A summary of each nominee’s qualifications and experiences is set forth in the matrix below. As the matrix is a summary, it does not include all the skills, experiences, qualifications and diversity that each nominee offers, and the fact that a particular experience, skill or qualification is not listed does not mean that a nominee does not possess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167640</wp:posOffset>
            </wp:positionV>
            <wp:extent cx="4725035" cy="5711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25035" cy="571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5" w:right="4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7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8"/>
          <w:szCs w:val="18"/>
          <w:u w:val="single" w:color="auto"/>
          <w:color w:val="auto"/>
        </w:rPr>
        <w:t>www.ir.avnet.com/corporate-governance.cfm</w:t>
      </w:r>
      <w:r>
        <w:rPr>
          <w:rFonts w:ascii="Arial" w:cs="Arial" w:eastAsia="Arial" w:hAnsi="Arial"/>
          <w:sz w:val="18"/>
          <w:szCs w:val="18"/>
          <w:color w:val="auto"/>
        </w:rPr>
        <w:t>.</w:t>
      </w:r>
    </w:p>
    <w:p>
      <w:pPr>
        <w:spacing w:after="0" w:line="49"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The Audit Committee monitors the activities and performance of the Company’s internal audit function, including scope of reviews, department staffing levels, and reporting and follow-up procedures. The Audit Committee also oversees policies with respect to risk assessment and risk management.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18"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Audit Committee on the nature and fee amounts for all such pre-approved services.</w:t>
      </w:r>
    </w:p>
    <w:p>
      <w:pPr>
        <w:spacing w:after="0" w:line="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Audit Committee has reviewed and discussed the audited financial statements for fiscal 2017 with management and KPMG. This review included a discussion with KPMG and management of Avnet’s accounting principles, the reasonableness of significant estimates and judgments, including disclosure of critical accounting policies, and the conduct of the audit. The Audit Committee has discussed with KPMG the matters required to be discussed under Public Company Accounting Oversight Board (“PCAOB”) standards. The Audit Committee received the written disclosures and the letter from KPMG required by the applicable requirements of the PCAOB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July 1, 2017, for filing with the Securities and Exchange Commission.</w:t>
      </w:r>
    </w:p>
    <w:p>
      <w:pPr>
        <w:sectPr>
          <w:pgSz w:w="11900" w:h="16838" w:orient="portrait"/>
          <w:cols w:equalWidth="0" w:num="1">
            <w:col w:w="11420"/>
          </w:cols>
          <w:pgMar w:left="240" w:top="455" w:right="239" w:bottom="1440" w:gutter="0" w:footer="0" w:header="0"/>
        </w:sectPr>
      </w:pP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James A. Lawrence, Chair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Rodney C. Adkins</w:t>
      </w:r>
    </w:p>
    <w:p>
      <w:pPr>
        <w:ind w:left="1140"/>
        <w:spacing w:after="0"/>
        <w:rPr>
          <w:sz w:val="20"/>
          <w:szCs w:val="20"/>
          <w:color w:val="auto"/>
        </w:rPr>
      </w:pPr>
      <w:r>
        <w:rPr>
          <w:rFonts w:ascii="Arial" w:cs="Arial" w:eastAsia="Arial" w:hAnsi="Arial"/>
          <w:sz w:val="18"/>
          <w:szCs w:val="18"/>
          <w:color w:val="auto"/>
        </w:rPr>
        <w:t>J. Veronica Biggins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Avid Modjtabai</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William H. Schumann, III</w:t>
      </w:r>
    </w:p>
    <w:p>
      <w:pPr>
        <w:spacing w:after="0" w:line="347" w:lineRule="exact"/>
        <w:rPr>
          <w:sz w:val="20"/>
          <w:szCs w:val="20"/>
          <w:color w:val="auto"/>
        </w:rPr>
      </w:pPr>
    </w:p>
    <w:p>
      <w:pPr>
        <w:sectPr>
          <w:pgSz w:w="11900" w:h="16838" w:orient="portrait"/>
          <w:cols w:equalWidth="0" w:num="2">
            <w:col w:w="5380" w:space="720"/>
            <w:col w:w="5320"/>
          </w:cols>
          <w:pgMar w:left="240" w:top="45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5"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ACCOUNTING FIRM FEES</w:t>
      </w:r>
    </w:p>
    <w:p>
      <w:pPr>
        <w:spacing w:after="0" w:line="79"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2017 and fiscal 2016. All the services described in the table were approved in conformity with the Audit Committee’s pre-approval process for independent registered public accounting firm fees.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Fiscal 2017</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2016</w:t>
            </w: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Audit Services</w:t>
            </w:r>
          </w:p>
        </w:tc>
        <w:tc>
          <w:tcPr>
            <w:tcW w:w="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10,384,000</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5,686,000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Audit-Related Services</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97,000</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91,000</w:t>
            </w: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Services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1,055,000</w:t>
            </w:r>
          </w:p>
        </w:tc>
        <w:tc>
          <w:tcPr>
            <w:tcW w:w="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740,000</w:t>
            </w:r>
          </w:p>
        </w:tc>
        <w:tc>
          <w:tcPr>
            <w:tcW w:w="60" w:type="dxa"/>
            <w:vAlign w:val="bottom"/>
            <w:shd w:val="clear" w:color="auto" w:fill="CCEEFF"/>
          </w:tcPr>
          <w:p>
            <w:pPr>
              <w:spacing w:after="0"/>
              <w:rPr>
                <w:sz w:val="17"/>
                <w:szCs w:val="17"/>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11,536,000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6,517,000</w:t>
            </w:r>
          </w:p>
        </w:tc>
        <w:tc>
          <w:tcPr>
            <w:tcW w:w="6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Audit Services. </w:t>
      </w:r>
      <w:r>
        <w:rPr>
          <w:rFonts w:ascii="Arial" w:cs="Arial" w:eastAsia="Arial" w:hAnsi="Arial"/>
          <w:sz w:val="18"/>
          <w:szCs w:val="18"/>
          <w:color w:val="auto"/>
        </w:rPr>
        <w:t>In both fiscal years, Audit Services consisted of work performed by the principal auditor associated with the audit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also included assistance with registration statements filed by the Company, including consents. Included in 2017 is approximately $4.8 million of fees associated with the divestiture of Technology Solutions including fees for its separate financial statement audit.</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 xml:space="preserve">Audit-Related Services. </w:t>
      </w:r>
      <w:r>
        <w:rPr>
          <w:rFonts w:ascii="Arial" w:cs="Arial" w:eastAsia="Arial" w:hAnsi="Arial"/>
          <w:sz w:val="18"/>
          <w:szCs w:val="18"/>
          <w:color w:val="auto"/>
        </w:rPr>
        <w:t>Audit-Related Services included certain compliance-related and training services and, in both fiscal years, a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KPMG LLP proprietary accounting research databases.</w:t>
      </w:r>
    </w:p>
    <w:p>
      <w:pPr>
        <w:spacing w:after="0" w:line="22"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i w:val="1"/>
          <w:iCs w:val="1"/>
          <w:color w:val="auto"/>
        </w:rPr>
        <w:t xml:space="preserve">Tax Services. </w:t>
      </w:r>
      <w:r>
        <w:rPr>
          <w:rFonts w:ascii="Arial" w:cs="Arial" w:eastAsia="Arial" w:hAnsi="Arial"/>
          <w:sz w:val="18"/>
          <w:szCs w:val="18"/>
          <w:color w:val="auto"/>
        </w:rPr>
        <w:t>In both fiscal years, Tax Services consisted primarily of assistance with respect to global tax compliance (federal,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local), tax audits and tax advice associated with organizational structure.</w:t>
      </w:r>
    </w:p>
    <w:p>
      <w:pPr>
        <w:spacing w:after="0" w:line="2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 Management provides quarterly reports to the Audit Committee for pre-approval related to the fees for all projects requiring services by KPMG LLP. All services performed and related fees billed by KPMG LLP during fiscal year 2017 and fiscal year 2016 were pre-approved by the Audit Committee pursuant to regulations of the SEC.</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79"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The following table sets forth information with respect to Avnet’s Common Stock beneficially owned at September 12, 2017, or, in respect of any 5% Holder, the date of such holder’s most recent Schedule 13D or Schedule 13G filed with the SEC, by (a) persons that, to Avnet’s knowledge, were the beneficial owners of more than 5% of Avnet’s outstanding Common Stock (“5% Holders”), (b) each Director and director nominee of Avnet, (c) each of the executive officers named in the Summary Compensation Table in this Proxy Statement,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Stock</w:t>
            </w: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Options</w:t>
            </w: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Common</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Common</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Exercisable</w:t>
            </w: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60" w:type="dxa"/>
            <w:vAlign w:val="bottom"/>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w w:val="93"/>
              </w:rPr>
              <w:t>Within</w:t>
            </w:r>
          </w:p>
        </w:tc>
        <w:tc>
          <w:tcPr>
            <w:tcW w:w="144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97"/>
              </w:rPr>
              <w:t>Beneficially</w:t>
            </w:r>
          </w:p>
        </w:tc>
        <w:tc>
          <w:tcPr>
            <w:tcW w:w="7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6"/>
        </w:trPr>
        <w:tc>
          <w:tcPr>
            <w:tcW w:w="6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920"/>
              <w:spacing w:after="0" w:line="176" w:lineRule="exact"/>
              <w:rPr>
                <w:sz w:val="20"/>
                <w:szCs w:val="20"/>
                <w:color w:val="auto"/>
              </w:rPr>
            </w:pPr>
            <w:r>
              <w:rPr>
                <w:rFonts w:ascii="Arial" w:cs="Arial" w:eastAsia="Arial" w:hAnsi="Arial"/>
                <w:sz w:val="13"/>
                <w:szCs w:val="13"/>
                <w:b w:val="1"/>
                <w:bCs w:val="1"/>
                <w:color w:val="auto"/>
              </w:rPr>
              <w:t>Stock</w:t>
            </w:r>
            <w:r>
              <w:rPr>
                <w:rFonts w:ascii="Arial" w:cs="Arial" w:eastAsia="Arial" w:hAnsi="Arial"/>
                <w:sz w:val="20"/>
                <w:szCs w:val="20"/>
                <w:b w:val="1"/>
                <w:bCs w:val="1"/>
                <w:color w:val="auto"/>
                <w:vertAlign w:val="superscript"/>
              </w:rPr>
              <w:t>(a)</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60 Days</w:t>
            </w: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Owned</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196"/>
        </w:trPr>
        <w:tc>
          <w:tcPr>
            <w:tcW w:w="6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Holders</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60" w:type="dxa"/>
            <w:vAlign w:val="bottom"/>
          </w:tcPr>
          <w:p>
            <w:pPr>
              <w:spacing w:after="0" w:line="184" w:lineRule="exact"/>
              <w:rPr>
                <w:sz w:val="20"/>
                <w:szCs w:val="20"/>
                <w:color w:val="auto"/>
              </w:rPr>
            </w:pPr>
            <w:r>
              <w:rPr>
                <w:rFonts w:ascii="Arial" w:cs="Arial" w:eastAsia="Arial" w:hAnsi="Arial"/>
                <w:sz w:val="17"/>
                <w:szCs w:val="17"/>
                <w:color w:val="auto"/>
              </w:rPr>
              <w:t>The Vanguard Group</w:t>
            </w:r>
            <w:r>
              <w:rPr>
                <w:rFonts w:ascii="Arial" w:cs="Arial" w:eastAsia="Arial" w:hAnsi="Arial"/>
                <w:sz w:val="21"/>
                <w:szCs w:val="21"/>
                <w:color w:val="auto"/>
                <w:vertAlign w:val="superscript"/>
              </w:rPr>
              <w:t>(1)</w:t>
            </w:r>
          </w:p>
        </w:tc>
        <w:tc>
          <w:tcPr>
            <w:tcW w:w="11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11,420,697</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4" w:lineRule="exact"/>
              <w:rPr>
                <w:sz w:val="20"/>
                <w:szCs w:val="20"/>
                <w:color w:val="auto"/>
              </w:rPr>
            </w:pPr>
            <w:r>
              <w:rPr>
                <w:rFonts w:ascii="Arial" w:cs="Arial" w:eastAsia="Arial" w:hAnsi="Arial"/>
                <w:sz w:val="18"/>
                <w:szCs w:val="18"/>
                <w:b w:val="1"/>
                <w:bCs w:val="1"/>
                <w:color w:val="auto"/>
              </w:rPr>
              <w:t>11,420,697</w:t>
            </w:r>
          </w:p>
        </w:tc>
        <w:tc>
          <w:tcPr>
            <w:tcW w:w="500" w:type="dxa"/>
            <w:vAlign w:val="bottom"/>
          </w:tcPr>
          <w:p>
            <w:pPr>
              <w:spacing w:after="0"/>
              <w:rPr>
                <w:sz w:val="15"/>
                <w:szCs w:val="15"/>
                <w:color w:val="auto"/>
              </w:rPr>
            </w:pPr>
          </w:p>
        </w:tc>
        <w:tc>
          <w:tcPr>
            <w:tcW w:w="720" w:type="dxa"/>
            <w:vAlign w:val="bottom"/>
            <w:gridSpan w:val="2"/>
          </w:tcPr>
          <w:p>
            <w:pPr>
              <w:jc w:val="right"/>
              <w:ind w:right="60"/>
              <w:spacing w:after="0" w:line="184" w:lineRule="exact"/>
              <w:rPr>
                <w:sz w:val="20"/>
                <w:szCs w:val="20"/>
                <w:color w:val="auto"/>
              </w:rPr>
            </w:pPr>
            <w:r>
              <w:rPr>
                <w:rFonts w:ascii="Arial" w:cs="Arial" w:eastAsia="Arial" w:hAnsi="Arial"/>
                <w:sz w:val="18"/>
                <w:szCs w:val="18"/>
                <w:b w:val="1"/>
                <w:bCs w:val="1"/>
                <w:color w:val="auto"/>
              </w:rPr>
              <w:t>8.94%</w:t>
            </w:r>
          </w:p>
        </w:tc>
        <w:tc>
          <w:tcPr>
            <w:tcW w:w="0" w:type="dxa"/>
            <w:vAlign w:val="bottom"/>
          </w:tcPr>
          <w:p>
            <w:pPr>
              <w:spacing w:after="0"/>
              <w:rPr>
                <w:sz w:val="1"/>
                <w:szCs w:val="1"/>
                <w:color w:val="auto"/>
              </w:rPr>
            </w:pPr>
          </w:p>
        </w:tc>
      </w:tr>
      <w:tr>
        <w:trPr>
          <w:trHeight w:val="203"/>
        </w:trPr>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100 Vanguard Blvd.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16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BlackRock, Inc.</w:t>
            </w:r>
            <w:r>
              <w:rPr>
                <w:rFonts w:ascii="Arial" w:cs="Arial" w:eastAsia="Arial" w:hAnsi="Arial"/>
                <w:sz w:val="22"/>
                <w:szCs w:val="22"/>
                <w:color w:val="auto"/>
                <w:vertAlign w:val="superscript"/>
              </w:rPr>
              <w:t>(2)</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11,268,791</w:t>
            </w: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11,268,791</w:t>
            </w:r>
          </w:p>
        </w:tc>
        <w:tc>
          <w:tcPr>
            <w:tcW w:w="5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8.80%</w:t>
            </w: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220"/>
              <w:spacing w:after="0" w:line="184" w:lineRule="exact"/>
              <w:rPr>
                <w:sz w:val="20"/>
                <w:szCs w:val="20"/>
                <w:color w:val="auto"/>
              </w:rPr>
            </w:pPr>
            <w:r>
              <w:rPr>
                <w:rFonts w:ascii="Arial" w:cs="Arial" w:eastAsia="Arial" w:hAnsi="Arial"/>
                <w:sz w:val="17"/>
                <w:szCs w:val="17"/>
                <w:color w:val="auto"/>
              </w:rPr>
              <w:t>40 East 52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Street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York, NY 10022</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16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Rodney C. Adkins</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8,274</w:t>
            </w:r>
          </w:p>
        </w:tc>
        <w:tc>
          <w:tcPr>
            <w:tcW w:w="7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8,274</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William J. Amelio</w:t>
            </w:r>
          </w:p>
        </w:tc>
        <w:tc>
          <w:tcPr>
            <w:tcW w:w="1840" w:type="dxa"/>
            <w:vAlign w:val="bottom"/>
            <w:gridSpan w:val="3"/>
          </w:tcPr>
          <w:p>
            <w:pPr>
              <w:jc w:val="right"/>
              <w:ind w:right="560"/>
              <w:spacing w:after="0" w:line="203" w:lineRule="exact"/>
              <w:rPr>
                <w:sz w:val="20"/>
                <w:szCs w:val="20"/>
                <w:color w:val="auto"/>
              </w:rPr>
            </w:pPr>
            <w:r>
              <w:rPr>
                <w:rFonts w:ascii="Arial" w:cs="Arial" w:eastAsia="Arial" w:hAnsi="Arial"/>
                <w:sz w:val="18"/>
                <w:szCs w:val="18"/>
                <w:color w:val="auto"/>
              </w:rPr>
              <w:t>88,953</w:t>
            </w:r>
            <w:r>
              <w:rPr>
                <w:rFonts w:ascii="Arial" w:cs="Arial" w:eastAsia="Arial" w:hAnsi="Arial"/>
                <w:sz w:val="22"/>
                <w:szCs w:val="22"/>
                <w:color w:val="auto"/>
                <w:vertAlign w:val="superscript"/>
              </w:rPr>
              <w:t>(3)</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121,596</w:t>
            </w:r>
          </w:p>
        </w:tc>
        <w:tc>
          <w:tcPr>
            <w:tcW w:w="500" w:type="dxa"/>
            <w:vAlign w:val="bottom"/>
          </w:tcPr>
          <w:p>
            <w:pPr>
              <w:spacing w:after="0"/>
              <w:rPr>
                <w:sz w:val="17"/>
                <w:szCs w:val="17"/>
                <w:color w:val="auto"/>
              </w:rPr>
            </w:pP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210,549</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G. Bartolotta</w:t>
            </w:r>
          </w:p>
        </w:tc>
        <w:tc>
          <w:tcPr>
            <w:tcW w:w="1840" w:type="dxa"/>
            <w:vAlign w:val="bottom"/>
            <w:gridSpan w:val="3"/>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10,436</w:t>
            </w:r>
            <w:r>
              <w:rPr>
                <w:rFonts w:ascii="Arial" w:cs="Arial" w:eastAsia="Arial" w:hAnsi="Arial"/>
                <w:sz w:val="22"/>
                <w:szCs w:val="22"/>
                <w:color w:val="auto"/>
                <w:vertAlign w:val="superscript"/>
              </w:rPr>
              <w:t>(4)</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2,696</w:t>
            </w:r>
          </w:p>
        </w:tc>
        <w:tc>
          <w:tcPr>
            <w:tcW w:w="5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13,132</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J. Veronica Biggins</w:t>
            </w:r>
          </w:p>
        </w:tc>
        <w:tc>
          <w:tcPr>
            <w:tcW w:w="1840" w:type="dxa"/>
            <w:vAlign w:val="bottom"/>
            <w:gridSpan w:val="3"/>
          </w:tcPr>
          <w:p>
            <w:pPr>
              <w:jc w:val="right"/>
              <w:ind w:right="560"/>
              <w:spacing w:after="0" w:line="203" w:lineRule="exact"/>
              <w:rPr>
                <w:sz w:val="20"/>
                <w:szCs w:val="20"/>
                <w:color w:val="auto"/>
              </w:rPr>
            </w:pPr>
            <w:r>
              <w:rPr>
                <w:rFonts w:ascii="Arial" w:cs="Arial" w:eastAsia="Arial" w:hAnsi="Arial"/>
                <w:sz w:val="18"/>
                <w:szCs w:val="18"/>
                <w:color w:val="auto"/>
              </w:rPr>
              <w:t>40,907</w:t>
            </w:r>
            <w:r>
              <w:rPr>
                <w:rFonts w:ascii="Arial" w:cs="Arial" w:eastAsia="Arial" w:hAnsi="Arial"/>
                <w:sz w:val="22"/>
                <w:szCs w:val="22"/>
                <w:color w:val="auto"/>
                <w:vertAlign w:val="superscript"/>
              </w:rPr>
              <w:t>(5)</w:t>
            </w:r>
          </w:p>
        </w:tc>
        <w:tc>
          <w:tcPr>
            <w:tcW w:w="12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40,907</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A. Bradley</w:t>
            </w:r>
          </w:p>
        </w:tc>
        <w:tc>
          <w:tcPr>
            <w:tcW w:w="184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17,003</w:t>
            </w: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17,003</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R. Kerry Clark</w:t>
            </w:r>
          </w:p>
        </w:tc>
        <w:tc>
          <w:tcPr>
            <w:tcW w:w="1840" w:type="dxa"/>
            <w:vAlign w:val="bottom"/>
            <w:gridSpan w:val="3"/>
          </w:tcPr>
          <w:p>
            <w:pPr>
              <w:jc w:val="right"/>
              <w:ind w:right="560"/>
              <w:spacing w:after="0" w:line="203" w:lineRule="exact"/>
              <w:rPr>
                <w:sz w:val="20"/>
                <w:szCs w:val="20"/>
                <w:color w:val="auto"/>
              </w:rPr>
            </w:pPr>
            <w:r>
              <w:rPr>
                <w:rFonts w:ascii="Arial" w:cs="Arial" w:eastAsia="Arial" w:hAnsi="Arial"/>
                <w:sz w:val="18"/>
                <w:szCs w:val="18"/>
                <w:color w:val="auto"/>
              </w:rPr>
              <w:t>20,474</w:t>
            </w:r>
            <w:r>
              <w:rPr>
                <w:rFonts w:ascii="Arial" w:cs="Arial" w:eastAsia="Arial" w:hAnsi="Arial"/>
                <w:sz w:val="22"/>
                <w:szCs w:val="22"/>
                <w:color w:val="auto"/>
                <w:vertAlign w:val="superscript"/>
              </w:rPr>
              <w:t>(6)</w:t>
            </w:r>
          </w:p>
        </w:tc>
        <w:tc>
          <w:tcPr>
            <w:tcW w:w="12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20,474</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Gerard W. Fay</w:t>
            </w:r>
          </w:p>
        </w:tc>
        <w:tc>
          <w:tcPr>
            <w:tcW w:w="1840" w:type="dxa"/>
            <w:vAlign w:val="bottom"/>
            <w:gridSpan w:val="3"/>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49,314</w:t>
            </w:r>
            <w:r>
              <w:rPr>
                <w:rFonts w:ascii="Arial" w:cs="Arial" w:eastAsia="Arial" w:hAnsi="Arial"/>
                <w:sz w:val="22"/>
                <w:szCs w:val="22"/>
                <w:color w:val="auto"/>
                <w:vertAlign w:val="superscript"/>
              </w:rPr>
              <w:t>(7)</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88,318</w:t>
            </w:r>
          </w:p>
        </w:tc>
        <w:tc>
          <w:tcPr>
            <w:tcW w:w="5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137,632</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Richard P. Hamada</w:t>
            </w:r>
          </w:p>
        </w:tc>
        <w:tc>
          <w:tcPr>
            <w:tcW w:w="1840" w:type="dxa"/>
            <w:vAlign w:val="bottom"/>
            <w:gridSpan w:val="3"/>
          </w:tcPr>
          <w:p>
            <w:pPr>
              <w:jc w:val="right"/>
              <w:ind w:right="560"/>
              <w:spacing w:after="0" w:line="203" w:lineRule="exact"/>
              <w:rPr>
                <w:sz w:val="20"/>
                <w:szCs w:val="20"/>
                <w:color w:val="auto"/>
              </w:rPr>
            </w:pPr>
            <w:r>
              <w:rPr>
                <w:rFonts w:ascii="Arial" w:cs="Arial" w:eastAsia="Arial" w:hAnsi="Arial"/>
                <w:sz w:val="18"/>
                <w:szCs w:val="18"/>
                <w:color w:val="auto"/>
              </w:rPr>
              <w:t>33,130</w:t>
            </w:r>
            <w:r>
              <w:rPr>
                <w:rFonts w:ascii="Arial" w:cs="Arial" w:eastAsia="Arial" w:hAnsi="Arial"/>
                <w:sz w:val="22"/>
                <w:szCs w:val="22"/>
                <w:color w:val="auto"/>
                <w:vertAlign w:val="superscript"/>
              </w:rPr>
              <w:t>(8)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152,196</w:t>
            </w:r>
          </w:p>
        </w:tc>
        <w:tc>
          <w:tcPr>
            <w:tcW w:w="500" w:type="dxa"/>
            <w:vAlign w:val="bottom"/>
          </w:tcPr>
          <w:p>
            <w:pPr>
              <w:spacing w:after="0"/>
              <w:rPr>
                <w:sz w:val="17"/>
                <w:szCs w:val="17"/>
                <w:color w:val="auto"/>
              </w:rPr>
            </w:pP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185,326</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700,000</w:t>
            </w:r>
          </w:p>
        </w:tc>
        <w:tc>
          <w:tcPr>
            <w:tcW w:w="7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700,000</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MaryAnn G. Miller</w:t>
            </w:r>
          </w:p>
        </w:tc>
        <w:tc>
          <w:tcPr>
            <w:tcW w:w="1840" w:type="dxa"/>
            <w:vAlign w:val="bottom"/>
            <w:gridSpan w:val="3"/>
          </w:tcPr>
          <w:p>
            <w:pPr>
              <w:jc w:val="right"/>
              <w:ind w:right="560"/>
              <w:spacing w:after="0" w:line="203" w:lineRule="exact"/>
              <w:rPr>
                <w:sz w:val="20"/>
                <w:szCs w:val="20"/>
                <w:color w:val="auto"/>
              </w:rPr>
            </w:pPr>
            <w:r>
              <w:rPr>
                <w:rFonts w:ascii="Arial" w:cs="Arial" w:eastAsia="Arial" w:hAnsi="Arial"/>
                <w:sz w:val="18"/>
                <w:szCs w:val="18"/>
                <w:color w:val="auto"/>
              </w:rPr>
              <w:t>50,725</w:t>
            </w:r>
            <w:r>
              <w:rPr>
                <w:rFonts w:ascii="Arial" w:cs="Arial" w:eastAsia="Arial" w:hAnsi="Arial"/>
                <w:sz w:val="22"/>
                <w:szCs w:val="22"/>
                <w:color w:val="auto"/>
                <w:vertAlign w:val="superscript"/>
              </w:rPr>
              <w:t>(9)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101,410</w:t>
            </w:r>
          </w:p>
        </w:tc>
        <w:tc>
          <w:tcPr>
            <w:tcW w:w="500" w:type="dxa"/>
            <w:vAlign w:val="bottom"/>
          </w:tcPr>
          <w:p>
            <w:pPr>
              <w:spacing w:after="0"/>
              <w:rPr>
                <w:sz w:val="17"/>
                <w:szCs w:val="17"/>
                <w:color w:val="auto"/>
              </w:rPr>
            </w:pP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152,135</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Avid Modjtabai</w:t>
            </w:r>
          </w:p>
        </w:tc>
        <w:tc>
          <w:tcPr>
            <w:tcW w:w="184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10,017</w:t>
            </w: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10,017</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Kevin M. Moriarty</w:t>
            </w:r>
          </w:p>
        </w:tc>
        <w:tc>
          <w:tcPr>
            <w:tcW w:w="1840" w:type="dxa"/>
            <w:vAlign w:val="bottom"/>
            <w:gridSpan w:val="3"/>
          </w:tcPr>
          <w:p>
            <w:pPr>
              <w:jc w:val="right"/>
              <w:ind w:right="500"/>
              <w:spacing w:after="0" w:line="203" w:lineRule="exact"/>
              <w:rPr>
                <w:sz w:val="20"/>
                <w:szCs w:val="20"/>
                <w:color w:val="auto"/>
              </w:rPr>
            </w:pPr>
            <w:r>
              <w:rPr>
                <w:rFonts w:ascii="Arial" w:cs="Arial" w:eastAsia="Arial" w:hAnsi="Arial"/>
                <w:sz w:val="18"/>
                <w:szCs w:val="18"/>
                <w:color w:val="auto"/>
              </w:rPr>
              <w:t>51,684</w:t>
            </w:r>
            <w:r>
              <w:rPr>
                <w:rFonts w:ascii="Arial" w:cs="Arial" w:eastAsia="Arial" w:hAnsi="Arial"/>
                <w:sz w:val="22"/>
                <w:szCs w:val="22"/>
                <w:color w:val="auto"/>
                <w:vertAlign w:val="superscript"/>
              </w:rPr>
              <w:t>(10)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146,186</w:t>
            </w:r>
          </w:p>
        </w:tc>
        <w:tc>
          <w:tcPr>
            <w:tcW w:w="500" w:type="dxa"/>
            <w:vAlign w:val="bottom"/>
          </w:tcPr>
          <w:p>
            <w:pPr>
              <w:spacing w:after="0"/>
              <w:rPr>
                <w:sz w:val="17"/>
                <w:szCs w:val="17"/>
                <w:color w:val="auto"/>
              </w:rPr>
            </w:pP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197,870</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J. O‘Neill</w:t>
            </w:r>
          </w:p>
        </w:tc>
        <w:tc>
          <w:tcPr>
            <w:tcW w:w="1840" w:type="dxa"/>
            <w:vAlign w:val="bottom"/>
            <w:gridSpan w:val="3"/>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9,107</w:t>
            </w:r>
            <w:r>
              <w:rPr>
                <w:rFonts w:ascii="Arial" w:cs="Arial" w:eastAsia="Arial" w:hAnsi="Arial"/>
                <w:sz w:val="22"/>
                <w:szCs w:val="22"/>
                <w:color w:val="auto"/>
                <w:vertAlign w:val="superscript"/>
              </w:rPr>
              <w:t>(11)</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2,471</w:t>
            </w:r>
          </w:p>
        </w:tc>
        <w:tc>
          <w:tcPr>
            <w:tcW w:w="5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11,578</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William H. Schumann, III</w:t>
            </w:r>
          </w:p>
        </w:tc>
        <w:tc>
          <w:tcPr>
            <w:tcW w:w="1840" w:type="dxa"/>
            <w:vAlign w:val="bottom"/>
            <w:gridSpan w:val="3"/>
          </w:tcPr>
          <w:p>
            <w:pPr>
              <w:jc w:val="right"/>
              <w:ind w:right="500"/>
              <w:spacing w:after="0" w:line="203" w:lineRule="exact"/>
              <w:rPr>
                <w:sz w:val="20"/>
                <w:szCs w:val="20"/>
                <w:color w:val="auto"/>
              </w:rPr>
            </w:pPr>
            <w:r>
              <w:rPr>
                <w:rFonts w:ascii="Arial" w:cs="Arial" w:eastAsia="Arial" w:hAnsi="Arial"/>
                <w:sz w:val="18"/>
                <w:szCs w:val="18"/>
                <w:color w:val="auto"/>
              </w:rPr>
              <w:t>43,715</w:t>
            </w:r>
            <w:r>
              <w:rPr>
                <w:rFonts w:ascii="Arial" w:cs="Arial" w:eastAsia="Arial" w:hAnsi="Arial"/>
                <w:sz w:val="22"/>
                <w:szCs w:val="22"/>
                <w:color w:val="auto"/>
                <w:vertAlign w:val="superscript"/>
              </w:rPr>
              <w:t>(12)</w:t>
            </w:r>
          </w:p>
        </w:tc>
        <w:tc>
          <w:tcPr>
            <w:tcW w:w="12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43,715</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Patrick Zammit</w:t>
            </w:r>
          </w:p>
        </w:tc>
        <w:tc>
          <w:tcPr>
            <w:tcW w:w="184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160" w:type="dxa"/>
            <w:vAlign w:val="bottom"/>
          </w:tcPr>
          <w:p>
            <w:pPr>
              <w:spacing w:after="0"/>
              <w:rPr>
                <w:sz w:val="20"/>
                <w:szCs w:val="20"/>
                <w:color w:val="auto"/>
              </w:rPr>
            </w:pPr>
            <w:r>
              <w:rPr>
                <w:rFonts w:ascii="Arial" w:cs="Arial" w:eastAsia="Arial" w:hAnsi="Arial"/>
                <w:sz w:val="18"/>
                <w:szCs w:val="18"/>
                <w:b w:val="1"/>
                <w:bCs w:val="1"/>
                <w:color w:val="auto"/>
              </w:rPr>
              <w:t>All directors and executive officers as a group (19 persons)</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1,257,345</w:t>
            </w:r>
          </w:p>
        </w:tc>
        <w:tc>
          <w:tcPr>
            <w:tcW w:w="70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774,711</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2,032,056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9436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6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8" w:lineRule="exact"/>
        <w:rPr>
          <w:sz w:val="20"/>
          <w:szCs w:val="20"/>
          <w:color w:val="auto"/>
        </w:rPr>
      </w:pPr>
    </w:p>
    <w:p>
      <w:pPr>
        <w:ind w:left="460" w:right="400" w:hanging="452"/>
        <w:spacing w:after="0" w:line="23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2" w:lineRule="exact"/>
        <w:rPr>
          <w:sz w:val="20"/>
          <w:szCs w:val="20"/>
          <w:color w:val="auto"/>
        </w:rPr>
      </w:pPr>
    </w:p>
    <w:p>
      <w:pPr>
        <w:ind w:left="460" w:right="160" w:hanging="452"/>
        <w:spacing w:after="0" w:line="23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4 to a Schedule 13G filed with the Securities and Exchange Commission on February 10, 2017, by The Vanguard Group, which reports sole voting power with respect to 109,092 shares, shared voting power with respect to 25,847 shares, sole dispositive power with respect to 11,296,111 shares and shared dispositive power with respect to 124,586 shares.</w:t>
      </w:r>
    </w:p>
    <w:p>
      <w:pPr>
        <w:spacing w:after="0" w:line="3" w:lineRule="exact"/>
        <w:rPr>
          <w:rFonts w:ascii="Arial" w:cs="Arial" w:eastAsia="Arial" w:hAnsi="Arial"/>
          <w:sz w:val="18"/>
          <w:szCs w:val="18"/>
          <w:color w:val="auto"/>
        </w:rPr>
      </w:pPr>
    </w:p>
    <w:p>
      <w:pPr>
        <w:ind w:left="460" w:right="46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7 to a Schedule 13G filed with the Securities and Exchange Commission on January 19, 2017, by BlackRock, Inc., which reports sole voting power with respect to 10,292,689 shares and sole dispositive power with respect to 11,268,791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Amelio’s information includes 62,846 Restricted Stock Units allocated but not yet delivered.</w:t>
      </w:r>
    </w:p>
    <w:p>
      <w:pPr>
        <w:spacing w:after="0" w:line="17"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Bartolotta’s information includes 9,893 Restricted Stock Units allocated but not yet delivered.</w:t>
      </w:r>
    </w:p>
    <w:p>
      <w:pPr>
        <w:ind w:left="460" w:hanging="452"/>
        <w:spacing w:after="0" w:line="23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Biggins’ information includes 28,716 Phantom Stock Units.</w:t>
      </w:r>
    </w:p>
    <w:p>
      <w:pPr>
        <w:ind w:left="460" w:hanging="452"/>
        <w:spacing w:after="0" w:line="23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Clark’s information includes 20,474 Phantom Stock Units.</w:t>
      </w:r>
    </w:p>
    <w:p>
      <w:pPr>
        <w:ind w:left="460" w:hanging="452"/>
        <w:spacing w:after="0" w:line="23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Fay’s information includes 13,140 Restricted Stock Units allocated but not yet delivered.</w:t>
      </w:r>
    </w:p>
    <w:p>
      <w:pPr>
        <w:ind w:left="460" w:hanging="452"/>
        <w:spacing w:after="0" w:line="23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Hamada’s information includes 33,030 Restricted Stock Units allocated but not yet delivered.</w:t>
      </w:r>
    </w:p>
    <w:p>
      <w:pPr>
        <w:ind w:left="460" w:hanging="452"/>
        <w:spacing w:after="0" w:line="23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Miller’s information includes 16,094 Restricted Stock Units allocated but not yet delivered.</w:t>
      </w:r>
    </w:p>
    <w:p>
      <w:pPr>
        <w:ind w:left="460" w:hanging="452"/>
        <w:spacing w:after="0" w:line="23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Moriarty’s information includes 6,946 shares jointly owned by Mr. Moriarty and his spouse.</w:t>
      </w:r>
    </w:p>
    <w:p>
      <w:pPr>
        <w:ind w:left="460" w:hanging="452"/>
        <w:spacing w:after="0" w:line="23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O’Neill’s information includes 8,651 Restricted Stock Units allocated but not yet delivered.</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Schumann’s information includes 30,427 Phantom Stock Units.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Pursuant to Section 16(a) of the Exchange Act,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2017 all such filing requirements were complied with in a timely manner by all Directors and executive officers, except for one Form 3 for Ms. Bassett that was corrected on Form 5 due to shares that were inadvertently omitted; and one late Form 5 for Ms. Biggins for a gift of 73 shares that was inadvertently omitted in a prior fiscal year.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EXECUTIVE OFFICERS OF THE COMPANY</w:t>
            </w:r>
          </w:p>
        </w:tc>
      </w:tr>
      <w:tr>
        <w:trPr>
          <w:trHeight w:val="276"/>
        </w:trPr>
        <w:tc>
          <w:tcPr>
            <w:tcW w:w="11420" w:type="dxa"/>
            <w:vAlign w:val="bottom"/>
            <w:gridSpan w:val="5"/>
          </w:tcPr>
          <w:p>
            <w:pPr>
              <w:spacing w:after="0"/>
              <w:rPr>
                <w:sz w:val="20"/>
                <w:szCs w:val="20"/>
                <w:color w:val="auto"/>
              </w:rPr>
            </w:pPr>
            <w:r>
              <w:rPr>
                <w:rFonts w:ascii="Arial" w:cs="Arial" w:eastAsia="Arial" w:hAnsi="Arial"/>
                <w:sz w:val="18"/>
                <w:szCs w:val="18"/>
                <w:color w:val="auto"/>
              </w:rPr>
              <w:t>As of September 12, 2017, the executive officers of the Company were:</w:t>
            </w:r>
          </w:p>
        </w:tc>
      </w:tr>
      <w:tr>
        <w:trPr>
          <w:trHeight w:val="349"/>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520" w:type="dxa"/>
            <w:vAlign w:val="bottom"/>
          </w:tcPr>
          <w:p>
            <w:pPr>
              <w:ind w:left="3560"/>
              <w:spacing w:after="0"/>
              <w:rPr>
                <w:sz w:val="20"/>
                <w:szCs w:val="20"/>
                <w:color w:val="auto"/>
              </w:rPr>
            </w:pPr>
            <w:r>
              <w:rPr>
                <w:rFonts w:ascii="Arial" w:cs="Arial" w:eastAsia="Arial" w:hAnsi="Arial"/>
                <w:sz w:val="14"/>
                <w:szCs w:val="14"/>
                <w:b w:val="1"/>
                <w:bCs w:val="1"/>
                <w:color w:val="auto"/>
              </w:rPr>
              <w:t>Office</w:t>
            </w:r>
          </w:p>
        </w:tc>
      </w:tr>
      <w:tr>
        <w:trPr>
          <w:trHeight w:val="196"/>
        </w:trPr>
        <w:tc>
          <w:tcPr>
            <w:tcW w:w="3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William J. Amelio</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59</w:t>
            </w:r>
          </w:p>
        </w:tc>
        <w:tc>
          <w:tcPr>
            <w:tcW w:w="220" w:type="dxa"/>
            <w:vAlign w:val="bottom"/>
            <w:tcBorders>
              <w:top w:val="single" w:sz="8" w:color="CCEEFF"/>
            </w:tcBorders>
            <w:shd w:val="clear" w:color="auto" w:fill="CCEEFF"/>
          </w:tcPr>
          <w:p>
            <w:pPr>
              <w:spacing w:after="0"/>
              <w:rPr>
                <w:sz w:val="17"/>
                <w:szCs w:val="17"/>
                <w:color w:val="auto"/>
              </w:rPr>
            </w:pPr>
          </w:p>
        </w:tc>
        <w:tc>
          <w:tcPr>
            <w:tcW w:w="7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Chief Executive Officer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Peter G. Bartolotta</w:t>
            </w:r>
          </w:p>
        </w:tc>
        <w:tc>
          <w:tcPr>
            <w:tcW w:w="380" w:type="dxa"/>
            <w:vAlign w:val="bottom"/>
          </w:tcPr>
          <w:p>
            <w:pPr>
              <w:jc w:val="center"/>
              <w:spacing w:after="0" w:line="202" w:lineRule="exact"/>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Senior Vice President and Chief Transformation Officer</w:t>
            </w:r>
          </w:p>
        </w:tc>
      </w:tr>
      <w:tr>
        <w:trPr>
          <w:trHeight w:val="203"/>
        </w:trPr>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Therese M. Bassett</w:t>
            </w:r>
          </w:p>
        </w:tc>
        <w:tc>
          <w:tcPr>
            <w:tcW w:w="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54</w:t>
            </w:r>
          </w:p>
        </w:tc>
        <w:tc>
          <w:tcPr>
            <w:tcW w:w="220" w:type="dxa"/>
            <w:vAlign w:val="bottom"/>
            <w:shd w:val="clear" w:color="auto" w:fill="CCEEFF"/>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and Chief Strategy and Innovation Officer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Philip R. Gallagher</w:t>
            </w:r>
          </w:p>
        </w:tc>
        <w:tc>
          <w:tcPr>
            <w:tcW w:w="380" w:type="dxa"/>
            <w:vAlign w:val="bottom"/>
          </w:tcPr>
          <w:p>
            <w:pPr>
              <w:jc w:val="center"/>
              <w:spacing w:after="0" w:line="202" w:lineRule="exact"/>
              <w:rPr>
                <w:sz w:val="20"/>
                <w:szCs w:val="20"/>
                <w:color w:val="auto"/>
              </w:rPr>
            </w:pPr>
            <w:r>
              <w:rPr>
                <w:rFonts w:ascii="Arial" w:cs="Arial" w:eastAsia="Arial" w:hAnsi="Arial"/>
                <w:sz w:val="18"/>
                <w:szCs w:val="18"/>
                <w:color w:val="auto"/>
                <w:w w:val="99"/>
              </w:rPr>
              <w:t>56</w:t>
            </w:r>
          </w:p>
        </w:tc>
        <w:tc>
          <w:tcPr>
            <w:tcW w:w="2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Global President Core Distribution</w:t>
            </w:r>
          </w:p>
        </w:tc>
      </w:tr>
      <w:tr>
        <w:trPr>
          <w:trHeight w:val="203"/>
        </w:trPr>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 A. Jacobson</w:t>
            </w:r>
          </w:p>
        </w:tc>
        <w:tc>
          <w:tcPr>
            <w:tcW w:w="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39</w:t>
            </w:r>
          </w:p>
        </w:tc>
        <w:tc>
          <w:tcPr>
            <w:tcW w:w="220" w:type="dxa"/>
            <w:vAlign w:val="bottom"/>
            <w:shd w:val="clear" w:color="auto" w:fill="CCEEFF"/>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Interim Chief Financial Officer</w:t>
            </w:r>
          </w:p>
        </w:tc>
      </w:tr>
      <w:tr>
        <w:trPr>
          <w:trHeight w:val="184"/>
        </w:trPr>
        <w:tc>
          <w:tcPr>
            <w:tcW w:w="3300" w:type="dxa"/>
            <w:vAlign w:val="bottom"/>
            <w:gridSpan w:val="2"/>
          </w:tcPr>
          <w:p>
            <w:pPr>
              <w:spacing w:after="0" w:line="184" w:lineRule="exact"/>
              <w:rPr>
                <w:sz w:val="20"/>
                <w:szCs w:val="20"/>
                <w:color w:val="auto"/>
              </w:rPr>
            </w:pPr>
            <w:r>
              <w:rPr>
                <w:rFonts w:ascii="Arial" w:cs="Arial" w:eastAsia="Arial" w:hAnsi="Arial"/>
                <w:sz w:val="18"/>
                <w:szCs w:val="18"/>
                <w:color w:val="auto"/>
              </w:rPr>
              <w:t>MaryAnn G. Miller</w:t>
            </w:r>
          </w:p>
        </w:tc>
        <w:tc>
          <w:tcPr>
            <w:tcW w:w="380" w:type="dxa"/>
            <w:vAlign w:val="bottom"/>
          </w:tcPr>
          <w:p>
            <w:pPr>
              <w:jc w:val="center"/>
              <w:spacing w:after="0" w:line="184" w:lineRule="exact"/>
              <w:rPr>
                <w:sz w:val="20"/>
                <w:szCs w:val="20"/>
                <w:color w:val="auto"/>
              </w:rPr>
            </w:pPr>
            <w:r>
              <w:rPr>
                <w:rFonts w:ascii="Arial" w:cs="Arial" w:eastAsia="Arial" w:hAnsi="Arial"/>
                <w:sz w:val="18"/>
                <w:szCs w:val="18"/>
                <w:color w:val="auto"/>
                <w:w w:val="99"/>
              </w:rPr>
              <w:t>60</w:t>
            </w:r>
          </w:p>
        </w:tc>
        <w:tc>
          <w:tcPr>
            <w:tcW w:w="220" w:type="dxa"/>
            <w:vAlign w:val="bottom"/>
          </w:tcPr>
          <w:p>
            <w:pPr>
              <w:spacing w:after="0"/>
              <w:rPr>
                <w:sz w:val="15"/>
                <w:szCs w:val="15"/>
                <w:color w:val="auto"/>
              </w:rPr>
            </w:pPr>
          </w:p>
        </w:tc>
        <w:tc>
          <w:tcPr>
            <w:tcW w:w="7520" w:type="dxa"/>
            <w:vAlign w:val="bottom"/>
          </w:tcPr>
          <w:p>
            <w:pPr>
              <w:spacing w:after="0" w:line="184" w:lineRule="exact"/>
              <w:rPr>
                <w:sz w:val="20"/>
                <w:szCs w:val="20"/>
                <w:color w:val="auto"/>
              </w:rPr>
            </w:pPr>
            <w:r>
              <w:rPr>
                <w:rFonts w:ascii="Arial" w:cs="Arial" w:eastAsia="Arial" w:hAnsi="Arial"/>
                <w:sz w:val="18"/>
                <w:szCs w:val="18"/>
                <w:color w:val="auto"/>
              </w:rPr>
              <w:t>Senior Vice President, Chief Human Resources Officer and Corporate Marketing &amp;</w:t>
            </w:r>
          </w:p>
        </w:tc>
      </w:tr>
      <w:tr>
        <w:trPr>
          <w:trHeight w:val="221"/>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Communications</w:t>
            </w:r>
          </w:p>
        </w:tc>
      </w:tr>
      <w:tr>
        <w:trPr>
          <w:trHeight w:val="203"/>
        </w:trPr>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J. O’Neill</w:t>
            </w:r>
          </w:p>
        </w:tc>
        <w:tc>
          <w:tcPr>
            <w:tcW w:w="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61</w:t>
            </w:r>
          </w:p>
        </w:tc>
        <w:tc>
          <w:tcPr>
            <w:tcW w:w="220" w:type="dxa"/>
            <w:vAlign w:val="bottom"/>
            <w:shd w:val="clear" w:color="auto" w:fill="CCEEFF"/>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General Counsel and Chief Legal Officer</w:t>
            </w:r>
          </w:p>
        </w:tc>
      </w:tr>
      <w:tr>
        <w:trPr>
          <w:trHeight w:val="237"/>
        </w:trPr>
        <w:tc>
          <w:tcPr>
            <w:tcW w:w="3300" w:type="dxa"/>
            <w:vAlign w:val="bottom"/>
            <w:gridSpan w:val="2"/>
          </w:tcPr>
          <w:p>
            <w:pPr>
              <w:spacing w:after="0"/>
              <w:rPr>
                <w:sz w:val="20"/>
                <w:szCs w:val="20"/>
                <w:color w:val="auto"/>
              </w:rPr>
            </w:pPr>
            <w:r>
              <w:rPr>
                <w:rFonts w:ascii="Arial" w:cs="Arial" w:eastAsia="Arial" w:hAnsi="Arial"/>
                <w:sz w:val="18"/>
                <w:szCs w:val="18"/>
                <w:color w:val="auto"/>
              </w:rPr>
              <w:t>Kevin V. Summers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2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Senior Vice President and Chief Information Officer</w:t>
            </w:r>
          </w:p>
        </w:tc>
      </w:tr>
    </w:tbl>
    <w:p>
      <w:pPr>
        <w:spacing w:after="0" w:line="2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Mr. Amelio was appointed Chief Executive Officer in 2016 and has served as a Director of Avnet since 2014. He previously served as the President, Chief Executive Officer and as a Director of CHC Group Ltd. (2010 – 2015), President and Chief Executive Officer of Lenovo (2005 – 2009) and served as regional Senior Vice President and President, Asia-Pacific and Japan for Dell Inc. (2001 – 2005). Mr. Amelio served on the board of directors of National Semiconductor prior to its acquisition by Texas Instruments (2010 – 2011).</w:t>
      </w:r>
    </w:p>
    <w:p>
      <w:pPr>
        <w:spacing w:after="0" w:line="4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Mr. Bartolotta joined the company in 2016 and is the Senior Vice President and Chief Transformation Officer. He previously served as the President of the Helicopter Services division of CHC Helicopter and Chief Operating Officer of CHC Group Ltd. (2012 – 2015), which in May 2016 filed a voluntary petition under Chapter 11 of the United States Bankruptcy Code. He also previously served as Senior Vice President of Lenovo Global Services (2008 – 2012).</w:t>
      </w:r>
    </w:p>
    <w:p>
      <w:pPr>
        <w:spacing w:after="0" w:line="43"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Ms. Bassett was appointed as Senior Vice President and Chief Strategy and Innovation Officer in 2016. She joined the Company in 1993 and has held various roles including export compliance, transportation, business development, marketing and strategic planning. She previously served as Senior Vice President, Talent and Organizational Development (2015 – 2016) and Senior Vice President, Global HR Solutions (2010 – 2015).</w:t>
      </w:r>
    </w:p>
    <w:p>
      <w:pPr>
        <w:spacing w:after="0" w:line="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Mr. Gallagher returned to the Company in 2017 and serves as Global President, Core Distribution Business. He began his career with Avnet in 1983 and held executive leadership positions in sales, marketing and operations during his 30 years at the Company. His last role with Avnet was Global President of Technology Solutions (2009 – 2014). He left Avnet in 2014, and re-entered the work force in 2016 to work for TTI, a leading authorized distributor of interconnect, passive, electromechanical and discrete components, where he served as President, Americas Sales and Marketing from 2016 to 2017.</w:t>
      </w:r>
    </w:p>
    <w:p>
      <w:pPr>
        <w:spacing w:after="0" w:line="4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Mr. Jacobson was appointed as the Company’s Interim Chief Financial Officer effective as of August 19, 2017, having previously served as the Company’s Corporate Controller and Vice President of Global Finance since 2013. Prior to joining the Company, Mr. Jacobson served as the Director of External Reporting and Accounting Research for First Solar Inc. (2011 – 2013), where he led external reporting and provided accounting support for acquisitions and sales of solar power projects.</w:t>
      </w:r>
    </w:p>
    <w:p>
      <w:pPr>
        <w:spacing w:after="0" w:line="4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Ms. Miller was appointed Senior Vice President in 2011 and served as Vice President from 2009 - 2011. She serves as the Company’s Chief Human Resources Officer and Global Marketing &amp; Communications. She previously served as Senior Vice President Global Human Resources (2008 – 2009) and Vice President of Talent and Organizational Effectiveness (2006 – 2008).</w:t>
      </w:r>
    </w:p>
    <w:p>
      <w:pPr>
        <w:spacing w:after="0" w:line="37"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Mr. O’Neill joined the Company in 2016 and is Senior Vice President and General Counsel. He previously served as Vice President and Chief Legal Officer at CHC Group Ltd. (2011 – 2015), which 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May 2016 filed a voluntary petition under Chapter 11 of the United States Bankruptcy Code. He also previously served as Senior Vice President and General Counsel at Lenovo (2006 – 2011). He also served in several global legal roles for Honeywell over a 17 year career.</w:t>
      </w:r>
    </w:p>
    <w:p>
      <w:pPr>
        <w:spacing w:after="0" w:line="22"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Mr. Summers joined the Company in 2016 and is Senior Vice President and Chief Information Officer. Mr. Summers previously served as Senior Vice President and Chief Information Officer for H&amp;R Block (2015 – 2016), Senior Vice President and Global Chief Information Officer for Lowe’s Corporation (2012 – 2014) and Senior Vice President and Global Chief Information Officer for Whirlpool Corporation (2007 – 2012).</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7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2017 Proxy Statement and incorporated by reference into the Company’s annual report on Form 10-K. This Report is provided by the following independent directors, who comprise the Committee:</w:t>
      </w:r>
    </w:p>
    <w:p>
      <w:pPr>
        <w:sectPr>
          <w:pgSz w:w="11900" w:h="16838" w:orient="portrait"/>
          <w:cols w:equalWidth="0" w:num="1">
            <w:col w:w="11420"/>
          </w:cols>
          <w:pgMar w:left="240" w:top="455" w:right="2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 Kerry Clark, Chair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Michael A. Bradley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James A. Lawrence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William H. Schumann, III</w:t>
      </w:r>
    </w:p>
    <w:p>
      <w:pPr>
        <w:spacing w:after="0" w:line="222" w:lineRule="exact"/>
        <w:rPr>
          <w:sz w:val="20"/>
          <w:szCs w:val="20"/>
          <w:color w:val="auto"/>
        </w:rPr>
      </w:pPr>
    </w:p>
    <w:p>
      <w:pPr>
        <w:sectPr>
          <w:pgSz w:w="11900" w:h="16838" w:orient="portrait"/>
          <w:cols w:equalWidth="0" w:num="2">
            <w:col w:w="5460" w:space="720"/>
            <w:col w:w="5240"/>
          </w:cols>
          <w:pgMar w:left="240" w:top="455"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79"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This section explains how the Compensation Committee of Avnet’s Board of Directors made its compensation decisions for fiscal 2017 for the Named Executive Officers (the “NEOs”). The compensation paid to the NEOs for fiscal 2017 is set forth in the Summary Compensation Table in this Proxy Statement. These officers and their titles as of the end of fiscal 2017 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8"/>
              </w:rPr>
              <w:t>Time in</w:t>
            </w:r>
          </w:p>
        </w:tc>
      </w:tr>
      <w:tr>
        <w:trPr>
          <w:trHeight w:val="223"/>
        </w:trPr>
        <w:tc>
          <w:tcPr>
            <w:tcW w:w="840" w:type="dxa"/>
            <w:vAlign w:val="bottom"/>
          </w:tcPr>
          <w:p>
            <w:pPr>
              <w:spacing w:after="0"/>
              <w:rPr>
                <w:sz w:val="20"/>
                <w:szCs w:val="20"/>
                <w:color w:val="auto"/>
              </w:rPr>
            </w:pPr>
            <w:r>
              <w:rPr>
                <w:rFonts w:ascii="Arial" w:cs="Arial" w:eastAsia="Arial" w:hAnsi="Arial"/>
                <w:sz w:val="18"/>
                <w:szCs w:val="18"/>
                <w:b w:val="1"/>
                <w:bCs w:val="1"/>
                <w:color w:val="auto"/>
                <w:w w:val="97"/>
              </w:rPr>
              <w:t>Executive</w:t>
            </w:r>
          </w:p>
        </w:tc>
        <w:tc>
          <w:tcPr>
            <w:tcW w:w="1100" w:type="dxa"/>
            <w:vAlign w:val="bottom"/>
          </w:tcPr>
          <w:p>
            <w:pPr>
              <w:spacing w:after="0"/>
              <w:rPr>
                <w:sz w:val="19"/>
                <w:szCs w:val="19"/>
                <w:color w:val="auto"/>
              </w:rPr>
            </w:pPr>
          </w:p>
        </w:tc>
        <w:tc>
          <w:tcPr>
            <w:tcW w:w="7860" w:type="dxa"/>
            <w:vAlign w:val="bottom"/>
            <w:gridSpan w:val="3"/>
          </w:tcPr>
          <w:p>
            <w:pPr>
              <w:ind w:left="460"/>
              <w:spacing w:after="0"/>
              <w:rPr>
                <w:sz w:val="20"/>
                <w:szCs w:val="20"/>
                <w:color w:val="auto"/>
              </w:rPr>
            </w:pPr>
            <w:r>
              <w:rPr>
                <w:rFonts w:ascii="Arial" w:cs="Arial" w:eastAsia="Arial" w:hAnsi="Arial"/>
                <w:sz w:val="18"/>
                <w:szCs w:val="18"/>
                <w:b w:val="1"/>
                <w:bCs w:val="1"/>
                <w:color w:val="auto"/>
              </w:rPr>
              <w:t>Position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Position (yrs)</w:t>
            </w: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0"/>
        </w:trPr>
        <w:tc>
          <w:tcPr>
            <w:tcW w:w="194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William Amelio</w:t>
            </w:r>
            <w:r>
              <w:rPr>
                <w:rFonts w:ascii="Arial" w:cs="Arial" w:eastAsia="Arial" w:hAnsi="Arial"/>
                <w:sz w:val="21"/>
                <w:szCs w:val="21"/>
                <w:color w:val="auto"/>
                <w:vertAlign w:val="superscript"/>
              </w:rPr>
              <w:t>(1)</w:t>
            </w:r>
          </w:p>
        </w:tc>
        <w:tc>
          <w:tcPr>
            <w:tcW w:w="7860" w:type="dxa"/>
            <w:vAlign w:val="bottom"/>
            <w:gridSpan w:val="3"/>
            <w:shd w:val="clear" w:color="auto" w:fill="CCEEFF"/>
          </w:tcPr>
          <w:p>
            <w:pPr>
              <w:ind w:left="460"/>
              <w:spacing w:after="0" w:line="189" w:lineRule="exact"/>
              <w:rPr>
                <w:sz w:val="20"/>
                <w:szCs w:val="20"/>
                <w:color w:val="auto"/>
              </w:rPr>
            </w:pPr>
            <w:r>
              <w:rPr>
                <w:rFonts w:ascii="Arial" w:cs="Arial" w:eastAsia="Arial" w:hAnsi="Arial"/>
                <w:sz w:val="18"/>
                <w:szCs w:val="18"/>
                <w:color w:val="auto"/>
              </w:rPr>
              <w:t>Chief Executive Officer (“CEO”)</w:t>
            </w:r>
          </w:p>
        </w:tc>
        <w:tc>
          <w:tcPr>
            <w:tcW w:w="16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w:t>
            </w:r>
          </w:p>
        </w:tc>
      </w:tr>
      <w:tr>
        <w:trPr>
          <w:trHeight w:val="203"/>
        </w:trPr>
        <w:tc>
          <w:tcPr>
            <w:tcW w:w="1940" w:type="dxa"/>
            <w:vAlign w:val="bottom"/>
            <w:gridSpan w:val="2"/>
          </w:tcPr>
          <w:p>
            <w:pPr>
              <w:spacing w:after="0" w:line="203" w:lineRule="exact"/>
              <w:rPr>
                <w:sz w:val="20"/>
                <w:szCs w:val="20"/>
                <w:color w:val="auto"/>
              </w:rPr>
            </w:pPr>
            <w:r>
              <w:rPr>
                <w:rFonts w:ascii="Arial" w:cs="Arial" w:eastAsia="Arial" w:hAnsi="Arial"/>
                <w:sz w:val="18"/>
                <w:szCs w:val="18"/>
                <w:color w:val="auto"/>
              </w:rPr>
              <w:t>Kevin Moriarty</w:t>
            </w:r>
            <w:r>
              <w:rPr>
                <w:rFonts w:ascii="Arial" w:cs="Arial" w:eastAsia="Arial" w:hAnsi="Arial"/>
                <w:sz w:val="22"/>
                <w:szCs w:val="22"/>
                <w:color w:val="auto"/>
                <w:vertAlign w:val="superscript"/>
              </w:rPr>
              <w:t>(2)</w:t>
            </w:r>
          </w:p>
        </w:tc>
        <w:tc>
          <w:tcPr>
            <w:tcW w:w="786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Senior Vice President and Chief Financial Officer (“CFO”)</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rPr>
              <w:t>4.5</w:t>
            </w:r>
          </w:p>
        </w:tc>
      </w:tr>
      <w:tr>
        <w:trPr>
          <w:trHeight w:val="203"/>
        </w:trPr>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Bartolotta</w:t>
            </w:r>
          </w:p>
        </w:tc>
        <w:tc>
          <w:tcPr>
            <w:tcW w:w="786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Chief Transformation Officer</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0.7</w:t>
            </w:r>
          </w:p>
        </w:tc>
      </w:tr>
      <w:tr>
        <w:trPr>
          <w:trHeight w:val="184"/>
        </w:trPr>
        <w:tc>
          <w:tcPr>
            <w:tcW w:w="1940" w:type="dxa"/>
            <w:vAlign w:val="bottom"/>
            <w:gridSpan w:val="2"/>
          </w:tcPr>
          <w:p>
            <w:pPr>
              <w:spacing w:after="0" w:line="184" w:lineRule="exact"/>
              <w:rPr>
                <w:sz w:val="20"/>
                <w:szCs w:val="20"/>
                <w:color w:val="auto"/>
              </w:rPr>
            </w:pPr>
            <w:r>
              <w:rPr>
                <w:rFonts w:ascii="Arial" w:cs="Arial" w:eastAsia="Arial" w:hAnsi="Arial"/>
                <w:sz w:val="18"/>
                <w:szCs w:val="18"/>
                <w:color w:val="auto"/>
              </w:rPr>
              <w:t>MaryAnn Miller</w:t>
            </w:r>
          </w:p>
        </w:tc>
        <w:tc>
          <w:tcPr>
            <w:tcW w:w="7860" w:type="dxa"/>
            <w:vAlign w:val="bottom"/>
            <w:gridSpan w:val="3"/>
          </w:tcPr>
          <w:p>
            <w:pPr>
              <w:ind w:left="460"/>
              <w:spacing w:after="0" w:line="184" w:lineRule="exact"/>
              <w:rPr>
                <w:sz w:val="20"/>
                <w:szCs w:val="20"/>
                <w:color w:val="auto"/>
              </w:rPr>
            </w:pPr>
            <w:r>
              <w:rPr>
                <w:rFonts w:ascii="Arial" w:cs="Arial" w:eastAsia="Arial" w:hAnsi="Arial"/>
                <w:sz w:val="18"/>
                <w:szCs w:val="18"/>
                <w:color w:val="auto"/>
                <w:w w:val="99"/>
              </w:rPr>
              <w:t>Senior Vice President and Chief Human Resources Officer (“CHRO”) and Global Marketing &amp;</w:t>
            </w:r>
          </w:p>
        </w:tc>
        <w:tc>
          <w:tcPr>
            <w:tcW w:w="1620" w:type="dxa"/>
            <w:vAlign w:val="bottom"/>
          </w:tcPr>
          <w:p>
            <w:pPr>
              <w:jc w:val="center"/>
              <w:spacing w:after="0" w:line="184" w:lineRule="exact"/>
              <w:rPr>
                <w:sz w:val="20"/>
                <w:szCs w:val="20"/>
                <w:color w:val="auto"/>
              </w:rPr>
            </w:pPr>
            <w:r>
              <w:rPr>
                <w:rFonts w:ascii="Arial" w:cs="Arial" w:eastAsia="Arial" w:hAnsi="Arial"/>
                <w:sz w:val="18"/>
                <w:szCs w:val="18"/>
                <w:color w:val="auto"/>
              </w:rPr>
              <w:t>8.5</w:t>
            </w:r>
          </w:p>
        </w:tc>
      </w:tr>
      <w:tr>
        <w:trPr>
          <w:trHeight w:val="221"/>
        </w:trPr>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60" w:type="dxa"/>
            <w:vAlign w:val="bottom"/>
            <w:gridSpan w:val="3"/>
          </w:tcPr>
          <w:p>
            <w:pPr>
              <w:ind w:left="460"/>
              <w:spacing w:after="0"/>
              <w:rPr>
                <w:sz w:val="20"/>
                <w:szCs w:val="20"/>
                <w:color w:val="auto"/>
              </w:rPr>
            </w:pPr>
            <w:r>
              <w:rPr>
                <w:rFonts w:ascii="Arial" w:cs="Arial" w:eastAsia="Arial" w:hAnsi="Arial"/>
                <w:sz w:val="18"/>
                <w:szCs w:val="18"/>
                <w:color w:val="auto"/>
              </w:rPr>
              <w:t>Communications</w:t>
            </w:r>
          </w:p>
        </w:tc>
        <w:tc>
          <w:tcPr>
            <w:tcW w:w="1620" w:type="dxa"/>
            <w:vAlign w:val="bottom"/>
          </w:tcPr>
          <w:p>
            <w:pPr>
              <w:spacing w:after="0"/>
              <w:rPr>
                <w:sz w:val="19"/>
                <w:szCs w:val="19"/>
                <w:color w:val="auto"/>
              </w:rPr>
            </w:pPr>
          </w:p>
        </w:tc>
      </w:tr>
      <w:tr>
        <w:trPr>
          <w:trHeight w:val="203"/>
        </w:trPr>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O’Neill</w:t>
            </w:r>
          </w:p>
        </w:tc>
        <w:tc>
          <w:tcPr>
            <w:tcW w:w="786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General Counsel and Chief Legal Officer</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0.8</w:t>
            </w:r>
          </w:p>
        </w:tc>
      </w:tr>
      <w:tr>
        <w:trPr>
          <w:trHeight w:val="203"/>
        </w:trPr>
        <w:tc>
          <w:tcPr>
            <w:tcW w:w="1940" w:type="dxa"/>
            <w:vAlign w:val="bottom"/>
            <w:gridSpan w:val="2"/>
          </w:tcPr>
          <w:p>
            <w:pPr>
              <w:spacing w:after="0" w:line="203" w:lineRule="exact"/>
              <w:rPr>
                <w:sz w:val="20"/>
                <w:szCs w:val="20"/>
                <w:color w:val="auto"/>
              </w:rPr>
            </w:pPr>
            <w:r>
              <w:rPr>
                <w:rFonts w:ascii="Arial" w:cs="Arial" w:eastAsia="Arial" w:hAnsi="Arial"/>
                <w:sz w:val="18"/>
                <w:szCs w:val="18"/>
                <w:color w:val="auto"/>
              </w:rPr>
              <w:t>Richard Hamada</w:t>
            </w:r>
            <w:r>
              <w:rPr>
                <w:rFonts w:ascii="Arial" w:cs="Arial" w:eastAsia="Arial" w:hAnsi="Arial"/>
                <w:sz w:val="22"/>
                <w:szCs w:val="22"/>
                <w:color w:val="auto"/>
                <w:vertAlign w:val="superscript"/>
              </w:rPr>
              <w:t>(3)</w:t>
            </w:r>
          </w:p>
        </w:tc>
        <w:tc>
          <w:tcPr>
            <w:tcW w:w="786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Former Chief Executive Officer</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rPr>
              <w:t>6.0</w:t>
            </w:r>
          </w:p>
        </w:tc>
      </w:tr>
      <w:tr>
        <w:trPr>
          <w:trHeight w:val="203"/>
        </w:trPr>
        <w:tc>
          <w:tcPr>
            <w:tcW w:w="1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Gerard Fay</w:t>
            </w:r>
            <w:r>
              <w:rPr>
                <w:rFonts w:ascii="Arial" w:cs="Arial" w:eastAsia="Arial" w:hAnsi="Arial"/>
                <w:sz w:val="22"/>
                <w:szCs w:val="22"/>
                <w:color w:val="auto"/>
                <w:vertAlign w:val="superscript"/>
              </w:rPr>
              <w:t>(4)</w:t>
            </w:r>
          </w:p>
        </w:tc>
        <w:tc>
          <w:tcPr>
            <w:tcW w:w="786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Former Senior Vice President, Avnet, Inc. and President Electronics Marketing</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3.8</w:t>
            </w:r>
          </w:p>
        </w:tc>
      </w:tr>
      <w:tr>
        <w:trPr>
          <w:trHeight w:val="305"/>
        </w:trPr>
        <w:tc>
          <w:tcPr>
            <w:tcW w:w="1940" w:type="dxa"/>
            <w:vAlign w:val="bottom"/>
            <w:gridSpan w:val="2"/>
          </w:tcPr>
          <w:p>
            <w:pPr>
              <w:spacing w:after="0"/>
              <w:rPr>
                <w:sz w:val="20"/>
                <w:szCs w:val="20"/>
                <w:color w:val="auto"/>
              </w:rPr>
            </w:pPr>
            <w:r>
              <w:rPr>
                <w:rFonts w:ascii="Arial" w:cs="Arial" w:eastAsia="Arial" w:hAnsi="Arial"/>
                <w:sz w:val="18"/>
                <w:szCs w:val="18"/>
                <w:color w:val="auto"/>
              </w:rPr>
              <w:t>Patrick Zammit</w:t>
            </w:r>
            <w:r>
              <w:rPr>
                <w:rFonts w:ascii="Arial" w:cs="Arial" w:eastAsia="Arial" w:hAnsi="Arial"/>
                <w:sz w:val="22"/>
                <w:szCs w:val="22"/>
                <w:color w:val="auto"/>
                <w:vertAlign w:val="superscript"/>
              </w:rPr>
              <w:t>(5)</w:t>
            </w:r>
          </w:p>
        </w:tc>
        <w:tc>
          <w:tcPr>
            <w:tcW w:w="7860" w:type="dxa"/>
            <w:vAlign w:val="bottom"/>
            <w:gridSpan w:val="3"/>
          </w:tcPr>
          <w:p>
            <w:pPr>
              <w:ind w:left="460"/>
              <w:spacing w:after="0"/>
              <w:rPr>
                <w:sz w:val="20"/>
                <w:szCs w:val="20"/>
                <w:color w:val="auto"/>
              </w:rPr>
            </w:pPr>
            <w:r>
              <w:rPr>
                <w:rFonts w:ascii="Arial" w:cs="Arial" w:eastAsia="Arial" w:hAnsi="Arial"/>
                <w:sz w:val="18"/>
                <w:szCs w:val="18"/>
                <w:color w:val="auto"/>
              </w:rPr>
              <w:t>Former Senior Vice President, Avnet, Inc. and President Technology Solutions</w:t>
            </w:r>
          </w:p>
        </w:tc>
        <w:tc>
          <w:tcPr>
            <w:tcW w:w="1620" w:type="dxa"/>
            <w:vAlign w:val="bottom"/>
          </w:tcPr>
          <w:p>
            <w:pPr>
              <w:jc w:val="center"/>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1576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Amelio was appointed interim CEO on July 11, 2016, and was appointed CEO on September 9, 2016.</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Moriarty ceased to be CFO after the end of fiscal 2017.</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Hamada ceased to be the CEO during fiscal 2016.</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Fay ceased to be an officer during fiscal 2017.</w:t>
      </w:r>
    </w:p>
    <w:p>
      <w:pPr>
        <w:spacing w:after="0" w:line="76" w:lineRule="exact"/>
        <w:rPr>
          <w:rFonts w:ascii="Arial" w:cs="Arial" w:eastAsia="Arial" w:hAnsi="Arial"/>
          <w:sz w:val="18"/>
          <w:szCs w:val="18"/>
          <w:color w:val="auto"/>
        </w:rPr>
      </w:pPr>
    </w:p>
    <w:p>
      <w:pPr>
        <w:ind w:left="900" w:right="120" w:hanging="446"/>
        <w:spacing w:after="0" w:line="26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Zammit ceased to be an officer as of February 27, 2017, the effective date of the sale of Avnet’s Technology Solutions business to Tech Data.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7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Avnet has designed its compensation programs and practices around a pay-for-performance philosophy that is geared towards the achievement and linkage of both short- and long-term financial and operational goals that the Company believes support the sustained growth of shareholder value. Senior executives are encouraged to think and behave like owners of the business and to consider the impact of their decisions and performance on the aggregate success of the Company as reflected in its total shareholder return (“TSR”).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5"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Performance</w:t>
      </w:r>
    </w:p>
    <w:p>
      <w:pPr>
        <w:spacing w:after="0" w:line="7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the end of fiscal 2017, the Company had two primary operating groups – Electronic Components (“EC”, and formerly “Electronics Marketing”, or “EM”) and Premier Farnell (“PF”). During fiscal 2017, the Company sold its Technology Solutions (“TS”) business to Tech Data Corporation and as such, the financial information presented in the table below excludes the results of TS, which have been reported as discontinued operations effective for the current and prior fiscal years. Sales for fiscal 2017 were $17.44 billion, an increase of 4.2% from fiscal 2016 sales of $16.74 billion, primarily due to the acquisition of PF. Organic sales were flat year over year and increased 1.0% in constant currency. The organic sales increase in constant currency was primarily due to organic growth in the EC Europe, Middle East and Africa region and organic growth in the PF business, offset by declines in the EC Asia region. Gross profit in fiscal 2017 was $2.37 billion, an increase of $291.5 million, or 14.0%, from fiscal 2016, primarily due to the acquisition of PF. In fiscal 2017, the Company returned $365 million to shareholders via its dividend ($89 million) and its share repurchase program ($276 million). For a discussion and reconciliation of organic sales to reported sales, please see “Item 7. Management’s Discussion and Analysis of Financial Condition and Results of Operations” of the Company’s Annual Report on Form 10-K filed with the SEC on August 17,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Performance on key financials is detailed in the table below:</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8"/>
        </w:trPr>
        <w:tc>
          <w:tcPr>
            <w:tcW w:w="5980" w:type="dxa"/>
            <w:vAlign w:val="bottom"/>
          </w:tcPr>
          <w:p>
            <w:pPr>
              <w:spacing w:after="0"/>
              <w:rPr>
                <w:sz w:val="23"/>
                <w:szCs w:val="23"/>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Fiscal 2016</w:t>
            </w:r>
            <w:r>
              <w:rPr>
                <w:rFonts w:ascii="Arial" w:cs="Arial" w:eastAsia="Arial" w:hAnsi="Arial"/>
                <w:sz w:val="22"/>
                <w:szCs w:val="22"/>
                <w:b w:val="1"/>
                <w:bCs w:val="1"/>
                <w:color w:val="auto"/>
                <w:w w:val="99"/>
                <w:vertAlign w:val="superscript"/>
              </w:rPr>
              <w:t>(1)</w:t>
            </w:r>
          </w:p>
        </w:tc>
        <w:tc>
          <w:tcPr>
            <w:tcW w:w="322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Fiscal 2017</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4"/>
              </w:rPr>
              <w:t>% Change</w:t>
            </w: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2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 in millions, except per share data</w:t>
            </w:r>
          </w:p>
        </w:tc>
        <w:tc>
          <w:tcPr>
            <w:tcW w:w="106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16,740.6</w:t>
            </w:r>
          </w:p>
        </w:tc>
        <w:tc>
          <w:tcPr>
            <w:tcW w:w="12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152"/>
              <w:spacing w:after="0" w:line="202" w:lineRule="exact"/>
              <w:rPr>
                <w:sz w:val="20"/>
                <w:szCs w:val="20"/>
                <w:color w:val="auto"/>
              </w:rPr>
            </w:pPr>
            <w:r>
              <w:rPr>
                <w:rFonts w:ascii="Arial" w:cs="Arial" w:eastAsia="Arial" w:hAnsi="Arial"/>
                <w:sz w:val="18"/>
                <w:szCs w:val="18"/>
                <w:color w:val="auto"/>
              </w:rPr>
              <w:t>17,440.0</w:t>
            </w:r>
          </w:p>
        </w:tc>
        <w:tc>
          <w:tcPr>
            <w:tcW w:w="1060" w:type="dxa"/>
            <w:vAlign w:val="bottom"/>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7"/>
              </w:rPr>
              <w:t>4.2%</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572.9</w:t>
            </w:r>
          </w:p>
        </w:tc>
        <w:tc>
          <w:tcPr>
            <w:tcW w:w="12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1152"/>
              <w:spacing w:after="0" w:line="202" w:lineRule="exact"/>
              <w:rPr>
                <w:sz w:val="20"/>
                <w:szCs w:val="20"/>
                <w:color w:val="auto"/>
              </w:rPr>
            </w:pPr>
            <w:r>
              <w:rPr>
                <w:rFonts w:ascii="Arial" w:cs="Arial" w:eastAsia="Arial" w:hAnsi="Arial"/>
                <w:sz w:val="18"/>
                <w:szCs w:val="18"/>
                <w:color w:val="auto"/>
              </w:rPr>
              <w:t>461.4</w:t>
            </w:r>
          </w:p>
        </w:tc>
        <w:tc>
          <w:tcPr>
            <w:tcW w:w="1060" w:type="dxa"/>
            <w:vAlign w:val="bottom"/>
          </w:tcPr>
          <w:p>
            <w:pPr>
              <w:jc w:val="center"/>
              <w:ind w:left="112"/>
              <w:spacing w:after="0" w:line="202" w:lineRule="exact"/>
              <w:rPr>
                <w:sz w:val="20"/>
                <w:szCs w:val="20"/>
                <w:color w:val="auto"/>
              </w:rPr>
            </w:pPr>
            <w:r>
              <w:rPr>
                <w:rFonts w:ascii="Arial" w:cs="Arial" w:eastAsia="Arial" w:hAnsi="Arial"/>
                <w:sz w:val="18"/>
                <w:szCs w:val="18"/>
                <w:color w:val="auto"/>
                <w:w w:val="98"/>
              </w:rPr>
              <w:t>(19.5)%</w:t>
            </w: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Operating income, as adjusted</w:t>
            </w:r>
            <w:r>
              <w:rPr>
                <w:rFonts w:ascii="Arial" w:cs="Arial" w:eastAsia="Arial" w:hAnsi="Arial"/>
                <w:sz w:val="22"/>
                <w:szCs w:val="22"/>
                <w:color w:val="auto"/>
                <w:vertAlign w:val="superscript"/>
              </w:rPr>
              <w:t>(*)</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627.5</w:t>
            </w:r>
          </w:p>
        </w:tc>
        <w:tc>
          <w:tcPr>
            <w:tcW w:w="12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152"/>
              <w:spacing w:after="0" w:line="202" w:lineRule="exact"/>
              <w:rPr>
                <w:sz w:val="20"/>
                <w:szCs w:val="20"/>
                <w:color w:val="auto"/>
              </w:rPr>
            </w:pPr>
            <w:r>
              <w:rPr>
                <w:rFonts w:ascii="Arial" w:cs="Arial" w:eastAsia="Arial" w:hAnsi="Arial"/>
                <w:sz w:val="18"/>
                <w:szCs w:val="18"/>
                <w:color w:val="auto"/>
              </w:rPr>
              <w:t>653.3</w:t>
            </w:r>
          </w:p>
        </w:tc>
        <w:tc>
          <w:tcPr>
            <w:tcW w:w="1060" w:type="dxa"/>
            <w:vAlign w:val="bottom"/>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7"/>
              </w:rPr>
              <w:t>4.1%</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390.9</w:t>
            </w:r>
          </w:p>
        </w:tc>
        <w:tc>
          <w:tcPr>
            <w:tcW w:w="12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1152"/>
              <w:spacing w:after="0" w:line="202" w:lineRule="exact"/>
              <w:rPr>
                <w:sz w:val="20"/>
                <w:szCs w:val="20"/>
                <w:color w:val="auto"/>
              </w:rPr>
            </w:pPr>
            <w:r>
              <w:rPr>
                <w:rFonts w:ascii="Arial" w:cs="Arial" w:eastAsia="Arial" w:hAnsi="Arial"/>
                <w:sz w:val="18"/>
                <w:szCs w:val="18"/>
                <w:color w:val="auto"/>
              </w:rPr>
              <w:t>263.4</w:t>
            </w:r>
          </w:p>
        </w:tc>
        <w:tc>
          <w:tcPr>
            <w:tcW w:w="1060" w:type="dxa"/>
            <w:vAlign w:val="bottom"/>
          </w:tcPr>
          <w:p>
            <w:pPr>
              <w:jc w:val="center"/>
              <w:ind w:left="112"/>
              <w:spacing w:after="0" w:line="202" w:lineRule="exact"/>
              <w:rPr>
                <w:sz w:val="20"/>
                <w:szCs w:val="20"/>
                <w:color w:val="auto"/>
              </w:rPr>
            </w:pPr>
            <w:r>
              <w:rPr>
                <w:rFonts w:ascii="Arial" w:cs="Arial" w:eastAsia="Arial" w:hAnsi="Arial"/>
                <w:sz w:val="18"/>
                <w:szCs w:val="18"/>
                <w:color w:val="auto"/>
                <w:w w:val="98"/>
              </w:rPr>
              <w:t>(32.6)%</w:t>
            </w: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income, as adjusted</w:t>
            </w:r>
            <w:r>
              <w:rPr>
                <w:rFonts w:ascii="Arial" w:cs="Arial" w:eastAsia="Arial" w:hAnsi="Arial"/>
                <w:sz w:val="22"/>
                <w:szCs w:val="22"/>
                <w:color w:val="auto"/>
                <w:vertAlign w:val="superscript"/>
              </w:rPr>
              <w:t>(*)</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403.6</w:t>
            </w:r>
          </w:p>
        </w:tc>
        <w:tc>
          <w:tcPr>
            <w:tcW w:w="12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152"/>
              <w:spacing w:after="0" w:line="202" w:lineRule="exact"/>
              <w:rPr>
                <w:sz w:val="20"/>
                <w:szCs w:val="20"/>
                <w:color w:val="auto"/>
              </w:rPr>
            </w:pPr>
            <w:r>
              <w:rPr>
                <w:rFonts w:ascii="Arial" w:cs="Arial" w:eastAsia="Arial" w:hAnsi="Arial"/>
                <w:sz w:val="18"/>
                <w:szCs w:val="18"/>
                <w:color w:val="auto"/>
              </w:rPr>
              <w:t>416.6</w:t>
            </w:r>
          </w:p>
        </w:tc>
        <w:tc>
          <w:tcPr>
            <w:tcW w:w="1060" w:type="dxa"/>
            <w:vAlign w:val="bottom"/>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7"/>
              </w:rPr>
              <w:t>3.2%</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2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1152"/>
              <w:spacing w:after="0" w:line="202" w:lineRule="exact"/>
              <w:rPr>
                <w:sz w:val="20"/>
                <w:szCs w:val="20"/>
                <w:color w:val="auto"/>
              </w:rPr>
            </w:pPr>
            <w:r>
              <w:rPr>
                <w:rFonts w:ascii="Arial" w:cs="Arial" w:eastAsia="Arial" w:hAnsi="Arial"/>
                <w:sz w:val="18"/>
                <w:szCs w:val="18"/>
                <w:color w:val="auto"/>
              </w:rPr>
              <w:t>2.05</w:t>
            </w:r>
          </w:p>
        </w:tc>
        <w:tc>
          <w:tcPr>
            <w:tcW w:w="1060" w:type="dxa"/>
            <w:vAlign w:val="bottom"/>
          </w:tcPr>
          <w:p>
            <w:pPr>
              <w:jc w:val="center"/>
              <w:ind w:left="112"/>
              <w:spacing w:after="0" w:line="202" w:lineRule="exact"/>
              <w:rPr>
                <w:sz w:val="20"/>
                <w:szCs w:val="20"/>
                <w:color w:val="auto"/>
              </w:rPr>
            </w:pPr>
            <w:r>
              <w:rPr>
                <w:rFonts w:ascii="Arial" w:cs="Arial" w:eastAsia="Arial" w:hAnsi="Arial"/>
                <w:sz w:val="18"/>
                <w:szCs w:val="18"/>
                <w:color w:val="auto"/>
                <w:w w:val="98"/>
              </w:rPr>
              <w:t>(30.0)%</w:t>
            </w: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2"/>
                <w:szCs w:val="22"/>
                <w:color w:val="auto"/>
                <w:vertAlign w:val="superscript"/>
              </w:rPr>
              <w:t>(*)</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2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152"/>
              <w:spacing w:after="0" w:line="202" w:lineRule="exact"/>
              <w:rPr>
                <w:sz w:val="20"/>
                <w:szCs w:val="20"/>
                <w:color w:val="auto"/>
              </w:rPr>
            </w:pPr>
            <w:r>
              <w:rPr>
                <w:rFonts w:ascii="Arial" w:cs="Arial" w:eastAsia="Arial" w:hAnsi="Arial"/>
                <w:sz w:val="18"/>
                <w:szCs w:val="18"/>
                <w:color w:val="auto"/>
              </w:rPr>
              <w:t>3.24</w:t>
            </w:r>
          </w:p>
        </w:tc>
        <w:tc>
          <w:tcPr>
            <w:tcW w:w="1060" w:type="dxa"/>
            <w:vAlign w:val="bottom"/>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7"/>
              </w:rPr>
              <w:t>7.3%</w:t>
            </w:r>
          </w:p>
        </w:tc>
      </w:tr>
      <w:tr>
        <w:trPr>
          <w:trHeight w:val="303"/>
        </w:trPr>
        <w:tc>
          <w:tcPr>
            <w:tcW w:w="5980" w:type="dxa"/>
            <w:vAlign w:val="bottom"/>
          </w:tcPr>
          <w:p>
            <w:pPr>
              <w:spacing w:after="0"/>
              <w:rPr>
                <w:sz w:val="20"/>
                <w:szCs w:val="20"/>
                <w:color w:val="auto"/>
              </w:rPr>
            </w:pPr>
            <w:r>
              <w:rPr>
                <w:rFonts w:ascii="Arial" w:cs="Arial" w:eastAsia="Arial" w:hAnsi="Arial"/>
                <w:sz w:val="18"/>
                <w:szCs w:val="18"/>
                <w:color w:val="auto"/>
              </w:rPr>
              <w:t>Total CEO compensation</w:t>
            </w:r>
            <w:r>
              <w:rPr>
                <w:rFonts w:ascii="Arial" w:cs="Arial" w:eastAsia="Arial" w:hAnsi="Arial"/>
                <w:sz w:val="22"/>
                <w:szCs w:val="22"/>
                <w:color w:val="auto"/>
                <w:vertAlign w:val="superscript"/>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220" w:type="dxa"/>
            <w:vAlign w:val="bottom"/>
          </w:tcPr>
          <w:p>
            <w:pPr>
              <w:ind w:left="104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152"/>
              <w:spacing w:after="0"/>
              <w:rPr>
                <w:sz w:val="20"/>
                <w:szCs w:val="20"/>
                <w:color w:val="auto"/>
              </w:rPr>
            </w:pPr>
            <w:r>
              <w:rPr>
                <w:rFonts w:ascii="Arial" w:cs="Arial" w:eastAsia="Arial" w:hAnsi="Arial"/>
                <w:sz w:val="18"/>
                <w:szCs w:val="18"/>
                <w:color w:val="auto"/>
              </w:rPr>
              <w:t>9.3</w:t>
            </w:r>
          </w:p>
        </w:tc>
        <w:tc>
          <w:tcPr>
            <w:tcW w:w="1060" w:type="dxa"/>
            <w:vAlign w:val="bottom"/>
          </w:tcPr>
          <w:p>
            <w:pPr>
              <w:jc w:val="center"/>
              <w:ind w:left="112"/>
              <w:spacing w:after="0"/>
              <w:rPr>
                <w:sz w:val="20"/>
                <w:szCs w:val="20"/>
                <w:color w:val="auto"/>
              </w:rPr>
            </w:pPr>
            <w:r>
              <w:rPr>
                <w:rFonts w:ascii="Arial" w:cs="Arial" w:eastAsia="Arial" w:hAnsi="Arial"/>
                <w:sz w:val="18"/>
                <w:szCs w:val="18"/>
                <w:color w:val="auto"/>
                <w:w w:val="97"/>
              </w:rPr>
              <w:t>21.2%</w:t>
            </w:r>
          </w:p>
        </w:tc>
      </w:tr>
    </w:tbl>
    <w:p>
      <w:pPr>
        <w:spacing w:after="0" w:line="29" w:lineRule="exact"/>
        <w:rPr>
          <w:sz w:val="20"/>
          <w:szCs w:val="20"/>
          <w:color w:val="auto"/>
        </w:rPr>
      </w:pPr>
    </w:p>
    <w:p>
      <w:pPr>
        <w:ind w:left="800" w:right="540" w:hanging="454"/>
        <w:spacing w:after="0" w:line="229" w:lineRule="auto"/>
        <w:tabs>
          <w:tab w:leader="none" w:pos="80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Financial information is for continuing operations and excludes the Technology Solutions business as the sale of the business was completed February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1576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7" w:lineRule="exact"/>
        <w:rPr>
          <w:sz w:val="20"/>
          <w:szCs w:val="20"/>
          <w:color w:val="auto"/>
        </w:rPr>
      </w:pPr>
    </w:p>
    <w:p>
      <w:pPr>
        <w:ind w:left="800" w:hanging="454"/>
        <w:spacing w:after="0" w:line="233" w:lineRule="auto"/>
        <w:tabs>
          <w:tab w:leader="none" w:pos="80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income from continuing operations and adjusted diluted earnings per share for continuing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Avnet’s normal operating results.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49" w:lineRule="exact"/>
        <w:rPr>
          <w:sz w:val="20"/>
          <w:szCs w:val="20"/>
          <w:color w:val="auto"/>
        </w:rPr>
      </w:pPr>
    </w:p>
    <w:p>
      <w:pPr>
        <w:ind w:left="800" w:right="300" w:hanging="454"/>
        <w:spacing w:after="0" w:line="229" w:lineRule="auto"/>
        <w:tabs>
          <w:tab w:leader="none" w:pos="80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CEO total compensation is based on the compensation reported in the “Adjusted Total” column of the Summary Compensation Table, and Mr. Hamada’s total compensation is included in the “Fiscal 2016” column in the above table.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208280</wp:posOffset>
            </wp:positionV>
            <wp:extent cx="5188585" cy="3095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8858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See (*)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089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7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Compensation Committee’s objective is to establish and administer a compensation program that supports the achievement of Avnet’s business objectives and alignment of executive and shareholder interests by fairly and competitively rewarding short- and long-term performance that enhances shareholder value over time. Avnet’s short- and long-term incentive programs employ multiple performance measures to ensure focus is on the entire business. Further, the incentive programs include awards that vest over several different and overlapping periods to help ensure that performance during any one period is not maximized to the detriment of other periods. In addition to the annual cash incentive awards, equity awards vest over periods ranging from three to four years depending on the award type.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Advisory Vote on Executive Compensation</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At the Company’s annual meeting in November 2016, the Company submitted its executive compensation program to an advisory vote of its shareholders (also known as the “say on pay vote”). This advisory vote received support from approximately 96% of the total votes cast at the annual meeting. The Company pays careful attention to any feedback received from its shareholders about the Company’s executive compensation program, including the say on pay vote. After the annual meeting, the Company conducted a shareholder outreach program with a number of its largest registered shareholders to seek their feedback on the Company’s corporate governance and executive compensation practices. There were no significant concerns expressed during the various discussions with registered shareholders that led the Compensation Committee to make material changes to the Company’s compensation programs. The Compensation Committee carefully considered and continues to consider the results of the say on pay vote and the feedback received from its shareholders in its subsequent executive compensation decision-making.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and Process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the Compensation Committee and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18" w:lineRule="exact"/>
        <w:rPr>
          <w:sz w:val="20"/>
          <w:szCs w:val="20"/>
          <w:color w:val="auto"/>
        </w:rPr>
      </w:pPr>
    </w:p>
    <w:p>
      <w:pPr>
        <w:ind w:left="780" w:right="160" w:hanging="326"/>
        <w:spacing w:after="0" w:line="23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overall compensation structure, policies and programs, and assesses the appropriateness of incentives for management and employees;</w:t>
      </w:r>
    </w:p>
    <w:p>
      <w:pPr>
        <w:spacing w:after="0" w:line="1" w:lineRule="exact"/>
        <w:rPr>
          <w:rFonts w:ascii="Arial" w:cs="Arial" w:eastAsia="Arial" w:hAnsi="Arial"/>
          <w:sz w:val="18"/>
          <w:szCs w:val="18"/>
          <w:color w:val="auto"/>
        </w:rPr>
      </w:pPr>
    </w:p>
    <w:p>
      <w:pPr>
        <w:ind w:left="780" w:hanging="326"/>
        <w:spacing w:after="0" w:line="23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administers long-term incentive plans and all equity-based compensation plans;</w:t>
      </w:r>
    </w:p>
    <w:p>
      <w:pPr>
        <w:ind w:left="780" w:right="740" w:hanging="326"/>
        <w:spacing w:after="0" w:line="23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and evaluates the performance of the CEO, and makes recommendations to the other independent directors regarding compensation of the CEO;</w:t>
      </w:r>
    </w:p>
    <w:p>
      <w:pPr>
        <w:spacing w:after="0" w:line="1" w:lineRule="exact"/>
        <w:rPr>
          <w:rFonts w:ascii="Arial" w:cs="Arial" w:eastAsia="Arial" w:hAnsi="Arial"/>
          <w:sz w:val="18"/>
          <w:szCs w:val="18"/>
          <w:color w:val="auto"/>
        </w:rPr>
      </w:pPr>
    </w:p>
    <w:p>
      <w:pPr>
        <w:ind w:left="780" w:hanging="326"/>
        <w:spacing w:after="0" w:line="23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and approves compensation and oversees evaluation for all executive officers except the CEO;</w:t>
      </w:r>
    </w:p>
    <w:p>
      <w:pPr>
        <w:ind w:left="780" w:right="1000" w:hanging="326"/>
        <w:spacing w:after="0" w:line="23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recommends the target opportunity and actual compensation for the CEO to the independent directors of the Board for their consideration and approval; and</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the compensation arrangements for executive officers to ensure that they do not encourage excess risk-taking.</w:t>
      </w:r>
    </w:p>
    <w:p>
      <w:pPr>
        <w:spacing w:after="0" w:line="5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When setting CEO compensation, the Compensation Committee provides a decision-making framework for use in making a recommendation to the Board. As part of this framework, the Chairman of the Board leads the Board in conducting an annual evaluation of CEO performance relative to the performance goals and objectives established for the Company and the CEO. The CEO’s performance objectives include goals relating to enterprise performance, capital allocation strategies, strategic business plans and succession planning.</w:t>
      </w:r>
    </w:p>
    <w:p>
      <w:pPr>
        <w:spacing w:after="0" w:line="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other executive officers, the Compensation Committee determines target compensation and sets performance goals. After the end of the fiscal year, the Compensation Committee reviews the prior year’s performance and approves or recommends incentive plan payouts for all executive officers.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7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To aid in determining the compensation for the Company’s executive officers, the CEO discusses the performance of each executive officer with the Compensation Committee and provides the Compensation Committee with recommendations on the compensation levels for each individual. When making the recommendations, the CEO considers items such as the value of the job in the marketplace and within the Company, the executive officer’s performance, overall experience and time in the position, and expected future contributions. The Compensation Committee subsequently evaluates all the factors considered by the CEO and reviews compensation summaries that tally the dollar value of the base salary, target annual cash incentive, target long-term incentives and target total direct compensation. These summaries include benchmarking data comparing each of those elements to those of the peer groups, which are further discussed below.</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77"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The Compensation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Compensation Committee and will perform the compensation advisory services requested by the Compensation Committee. Among the services Meridian performed were:</w:t>
      </w:r>
    </w:p>
    <w:p>
      <w:pPr>
        <w:ind w:left="780" w:hanging="326"/>
        <w:spacing w:after="0" w:line="23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apprising the Compensation Committee of compensation-related trends and developments in the marketplace;</w:t>
      </w:r>
    </w:p>
    <w:p>
      <w:pPr>
        <w:ind w:left="780" w:hanging="326"/>
        <w:spacing w:after="0" w:line="23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informing the Compensation Committee of compensation-related regulatory developments;</w:t>
      </w:r>
    </w:p>
    <w:p>
      <w:pPr>
        <w:ind w:left="780" w:hanging="326"/>
        <w:spacing w:after="0" w:line="23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assisting with peer group development and related market data for the Company’s officers;</w:t>
      </w:r>
    </w:p>
    <w:p>
      <w:pPr>
        <w:ind w:left="780" w:hanging="326"/>
        <w:spacing w:after="0" w:line="23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advising on the design of the Company’s incentive compensation programs; and</w:t>
      </w: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such additional reports and analyses as requested by the Compensation Committee from time to time.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5"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Meridian does not provide any services to the Company other than its services to the Compensation Committee. The Compensation Committee has assessed the independence of Meridian pursuant to applicable SEC and NYSE rules and concluded that Meridian’s work for the Compensation Committee does not raise any conflict of interest.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Benchmarking</w:t>
      </w:r>
    </w:p>
    <w:p>
      <w:pPr>
        <w:spacing w:after="0" w:line="77"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To ensure the Compensation Committee has the information necessary to set appropriate compensation levels, the Compensation Committee reviews publicly available executive compensation data from a peer group which consists of companies similar in size to Avnet that are in industries similar to that of Avnet. Avnet’s peer group consists of the following 15 companies: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Arial" w:cs="Arial" w:eastAsia="Arial" w:hAnsi="Arial"/>
                <w:sz w:val="18"/>
                <w:szCs w:val="18"/>
                <w:color w:val="auto"/>
              </w:rPr>
              <w:t>Anixter International Inc.</w:t>
            </w:r>
          </w:p>
        </w:tc>
        <w:tc>
          <w:tcPr>
            <w:tcW w:w="4080" w:type="dxa"/>
            <w:vAlign w:val="bottom"/>
          </w:tcPr>
          <w:p>
            <w:pPr>
              <w:ind w:left="1260"/>
              <w:spacing w:after="0"/>
              <w:rPr>
                <w:sz w:val="20"/>
                <w:szCs w:val="20"/>
                <w:color w:val="auto"/>
              </w:rPr>
            </w:pPr>
            <w:r>
              <w:rPr>
                <w:rFonts w:ascii="Arial" w:cs="Arial" w:eastAsia="Arial" w:hAnsi="Arial"/>
                <w:sz w:val="18"/>
                <w:szCs w:val="18"/>
                <w:color w:val="auto"/>
              </w:rPr>
              <w:t>Genuine Parts Company</w:t>
            </w:r>
          </w:p>
        </w:tc>
        <w:tc>
          <w:tcPr>
            <w:tcW w:w="3060" w:type="dxa"/>
            <w:vAlign w:val="bottom"/>
          </w:tcPr>
          <w:p>
            <w:pPr>
              <w:ind w:left="900"/>
              <w:spacing w:after="0"/>
              <w:rPr>
                <w:sz w:val="20"/>
                <w:szCs w:val="20"/>
                <w:color w:val="auto"/>
              </w:rPr>
            </w:pPr>
            <w:r>
              <w:rPr>
                <w:rFonts w:ascii="Arial" w:cs="Arial" w:eastAsia="Arial" w:hAnsi="Arial"/>
                <w:sz w:val="18"/>
                <w:szCs w:val="18"/>
                <w:color w:val="auto"/>
              </w:rPr>
              <w:t>TE Connectivity Ltd.</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Arrow Electronics, Inc.</w:t>
            </w:r>
          </w:p>
        </w:tc>
        <w:tc>
          <w:tcPr>
            <w:tcW w:w="4080" w:type="dxa"/>
            <w:vAlign w:val="bottom"/>
          </w:tcPr>
          <w:p>
            <w:pPr>
              <w:ind w:left="1260"/>
              <w:spacing w:after="0" w:line="202" w:lineRule="exact"/>
              <w:rPr>
                <w:sz w:val="20"/>
                <w:szCs w:val="20"/>
                <w:color w:val="auto"/>
              </w:rPr>
            </w:pPr>
            <w:r>
              <w:rPr>
                <w:rFonts w:ascii="Arial" w:cs="Arial" w:eastAsia="Arial" w:hAnsi="Arial"/>
                <w:sz w:val="18"/>
                <w:szCs w:val="18"/>
                <w:color w:val="auto"/>
              </w:rPr>
              <w:t>Jabil Circuit, Inc.</w:t>
            </w:r>
          </w:p>
        </w:tc>
        <w:tc>
          <w:tcPr>
            <w:tcW w:w="3060" w:type="dxa"/>
            <w:vAlign w:val="bottom"/>
          </w:tcPr>
          <w:p>
            <w:pPr>
              <w:ind w:left="900"/>
              <w:spacing w:after="0" w:line="202" w:lineRule="exact"/>
              <w:rPr>
                <w:sz w:val="20"/>
                <w:szCs w:val="20"/>
                <w:color w:val="auto"/>
              </w:rPr>
            </w:pPr>
            <w:r>
              <w:rPr>
                <w:rFonts w:ascii="Arial" w:cs="Arial" w:eastAsia="Arial" w:hAnsi="Arial"/>
                <w:sz w:val="18"/>
                <w:szCs w:val="18"/>
                <w:color w:val="auto"/>
              </w:rPr>
              <w:t>Tech Data Corporation</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Celestica Inc.</w:t>
            </w:r>
          </w:p>
        </w:tc>
        <w:tc>
          <w:tcPr>
            <w:tcW w:w="4080" w:type="dxa"/>
            <w:vAlign w:val="bottom"/>
          </w:tcPr>
          <w:p>
            <w:pPr>
              <w:ind w:left="1260"/>
              <w:spacing w:after="0" w:line="202" w:lineRule="exact"/>
              <w:rPr>
                <w:sz w:val="20"/>
                <w:szCs w:val="20"/>
                <w:color w:val="auto"/>
              </w:rPr>
            </w:pPr>
            <w:r>
              <w:rPr>
                <w:rFonts w:ascii="Arial" w:cs="Arial" w:eastAsia="Arial" w:hAnsi="Arial"/>
                <w:sz w:val="18"/>
                <w:szCs w:val="18"/>
                <w:color w:val="auto"/>
              </w:rPr>
              <w:t>Sanmina Corporation</w:t>
            </w:r>
          </w:p>
        </w:tc>
        <w:tc>
          <w:tcPr>
            <w:tcW w:w="3060" w:type="dxa"/>
            <w:vAlign w:val="bottom"/>
          </w:tcPr>
          <w:p>
            <w:pPr>
              <w:ind w:left="900"/>
              <w:spacing w:after="0" w:line="202" w:lineRule="exact"/>
              <w:rPr>
                <w:sz w:val="20"/>
                <w:szCs w:val="20"/>
                <w:color w:val="auto"/>
              </w:rPr>
            </w:pPr>
            <w:r>
              <w:rPr>
                <w:rFonts w:ascii="Arial" w:cs="Arial" w:eastAsia="Arial" w:hAnsi="Arial"/>
                <w:sz w:val="18"/>
                <w:szCs w:val="18"/>
                <w:color w:val="auto"/>
              </w:rPr>
              <w:t>W.W. Grainger, Inc.</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CDW Corporation</w:t>
            </w:r>
          </w:p>
        </w:tc>
        <w:tc>
          <w:tcPr>
            <w:tcW w:w="4080" w:type="dxa"/>
            <w:vAlign w:val="bottom"/>
          </w:tcPr>
          <w:p>
            <w:pPr>
              <w:ind w:left="1260"/>
              <w:spacing w:after="0" w:line="202" w:lineRule="exact"/>
              <w:rPr>
                <w:sz w:val="20"/>
                <w:szCs w:val="20"/>
                <w:color w:val="auto"/>
              </w:rPr>
            </w:pPr>
            <w:r>
              <w:rPr>
                <w:rFonts w:ascii="Arial" w:cs="Arial" w:eastAsia="Arial" w:hAnsi="Arial"/>
                <w:sz w:val="18"/>
                <w:szCs w:val="18"/>
                <w:color w:val="auto"/>
              </w:rPr>
              <w:t>Seagate Technology Plc</w:t>
            </w:r>
          </w:p>
        </w:tc>
        <w:tc>
          <w:tcPr>
            <w:tcW w:w="3060" w:type="dxa"/>
            <w:vAlign w:val="bottom"/>
          </w:tcPr>
          <w:p>
            <w:pPr>
              <w:ind w:left="900"/>
              <w:spacing w:after="0" w:line="202" w:lineRule="exact"/>
              <w:rPr>
                <w:sz w:val="20"/>
                <w:szCs w:val="20"/>
                <w:color w:val="auto"/>
              </w:rPr>
            </w:pPr>
            <w:r>
              <w:rPr>
                <w:rFonts w:ascii="Arial" w:cs="Arial" w:eastAsia="Arial" w:hAnsi="Arial"/>
                <w:sz w:val="18"/>
                <w:szCs w:val="18"/>
                <w:color w:val="auto"/>
              </w:rPr>
              <w:t>Wesco International, Inc.</w:t>
            </w:r>
          </w:p>
        </w:tc>
      </w:tr>
      <w:tr>
        <w:trPr>
          <w:trHeight w:val="237"/>
        </w:trPr>
        <w:tc>
          <w:tcPr>
            <w:tcW w:w="3160" w:type="dxa"/>
            <w:vAlign w:val="bottom"/>
          </w:tcPr>
          <w:p>
            <w:pPr>
              <w:spacing w:after="0"/>
              <w:rPr>
                <w:sz w:val="20"/>
                <w:szCs w:val="20"/>
                <w:color w:val="auto"/>
              </w:rPr>
            </w:pPr>
            <w:r>
              <w:rPr>
                <w:rFonts w:ascii="Arial" w:cs="Arial" w:eastAsia="Arial" w:hAnsi="Arial"/>
                <w:sz w:val="18"/>
                <w:szCs w:val="18"/>
                <w:color w:val="auto"/>
              </w:rPr>
              <w:t>Flex LTD</w:t>
            </w:r>
          </w:p>
        </w:tc>
        <w:tc>
          <w:tcPr>
            <w:tcW w:w="4080" w:type="dxa"/>
            <w:vAlign w:val="bottom"/>
          </w:tcPr>
          <w:p>
            <w:pPr>
              <w:ind w:left="1260"/>
              <w:spacing w:after="0"/>
              <w:rPr>
                <w:sz w:val="20"/>
                <w:szCs w:val="20"/>
                <w:color w:val="auto"/>
              </w:rPr>
            </w:pPr>
            <w:r>
              <w:rPr>
                <w:rFonts w:ascii="Arial" w:cs="Arial" w:eastAsia="Arial" w:hAnsi="Arial"/>
                <w:sz w:val="18"/>
                <w:szCs w:val="18"/>
                <w:color w:val="auto"/>
              </w:rPr>
              <w:t>SYNNEX Corporation</w:t>
            </w:r>
          </w:p>
        </w:tc>
        <w:tc>
          <w:tcPr>
            <w:tcW w:w="3060" w:type="dxa"/>
            <w:vAlign w:val="bottom"/>
          </w:tcPr>
          <w:p>
            <w:pPr>
              <w:ind w:left="900"/>
              <w:spacing w:after="0"/>
              <w:rPr>
                <w:sz w:val="20"/>
                <w:szCs w:val="20"/>
                <w:color w:val="auto"/>
              </w:rPr>
            </w:pPr>
            <w:r>
              <w:rPr>
                <w:rFonts w:ascii="Arial" w:cs="Arial" w:eastAsia="Arial" w:hAnsi="Arial"/>
                <w:sz w:val="18"/>
                <w:szCs w:val="18"/>
                <w:color w:val="auto"/>
                <w:w w:val="96"/>
              </w:rPr>
              <w:t>Western Digital Corporation</w:t>
            </w:r>
          </w:p>
        </w:tc>
      </w:tr>
    </w:tbl>
    <w:p>
      <w:pPr>
        <w:spacing w:after="0" w:line="12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prior years, the Compensation Committee reviewed information from two peer groups. A “core peer group” was comprised of technology distributors and electronic components manufacturing companies that were generally comparable to the Company in terms of revenue and market capitalization. A “supplemental peer group” was comprised of peers of the core peer group that were similar to the Company with respect to business operations, revenue and market capitalization. The supplemental peer group data was used to augment and validate core peer group data by providing a broader data sample from which to evaluate compensation practices. As a result of changes to companies in each of the peer groups, the decision was made to combine the remaining peers into one peer group and to add CDW Corporation.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median revenue and market capitalization for the peer group and Avnet only are shown below:</w:t>
      </w:r>
    </w:p>
    <w:p>
      <w:pPr>
        <w:spacing w:after="0" w:line="75"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18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 xml:space="preserve">Fiscal 2016 </w:t>
            </w: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 in billions)</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w w:val="98"/>
              </w:rPr>
              <w:t>Peer Group/Company</w:t>
            </w: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40" w:type="dxa"/>
            <w:vAlign w:val="bottom"/>
            <w:gridSpan w:val="4"/>
          </w:tcPr>
          <w:p>
            <w:pPr>
              <w:jc w:val="right"/>
              <w:ind w:right="60"/>
              <w:spacing w:after="0" w:line="176" w:lineRule="exact"/>
              <w:rPr>
                <w:sz w:val="20"/>
                <w:szCs w:val="20"/>
                <w:color w:val="auto"/>
              </w:rPr>
            </w:pPr>
            <w:r>
              <w:rPr>
                <w:rFonts w:ascii="Arial" w:cs="Arial" w:eastAsia="Arial" w:hAnsi="Arial"/>
                <w:sz w:val="18"/>
                <w:szCs w:val="18"/>
                <w:b w:val="1"/>
                <w:bCs w:val="1"/>
                <w:color w:val="auto"/>
              </w:rPr>
              <w:t>Median Market</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auto"/>
            </w:tcBorders>
            <w:vMerge w:val="continue"/>
          </w:tcPr>
          <w:p>
            <w:pPr>
              <w:spacing w:after="0"/>
              <w:rPr>
                <w:sz w:val="19"/>
                <w:szCs w:val="19"/>
                <w:color w:val="auto"/>
              </w:rPr>
            </w:pPr>
          </w:p>
        </w:tc>
        <w:tc>
          <w:tcPr>
            <w:tcW w:w="4200" w:type="dxa"/>
            <w:vAlign w:val="bottom"/>
            <w:gridSpan w:val="3"/>
          </w:tcPr>
          <w:p>
            <w:pPr>
              <w:jc w:val="right"/>
              <w:spacing w:after="0"/>
              <w:rPr>
                <w:sz w:val="20"/>
                <w:szCs w:val="20"/>
                <w:color w:val="auto"/>
              </w:rPr>
            </w:pPr>
            <w:r>
              <w:rPr>
                <w:rFonts w:ascii="Arial" w:cs="Arial" w:eastAsia="Arial" w:hAnsi="Arial"/>
                <w:sz w:val="18"/>
                <w:szCs w:val="18"/>
                <w:b w:val="1"/>
                <w:bCs w:val="1"/>
                <w:color w:val="auto"/>
              </w:rPr>
              <w:t>Median Revenue</w:t>
            </w:r>
          </w:p>
        </w:tc>
        <w:tc>
          <w:tcPr>
            <w:tcW w:w="1360" w:type="dxa"/>
            <w:vAlign w:val="bottom"/>
          </w:tcPr>
          <w:p>
            <w:pPr>
              <w:spacing w:after="0"/>
              <w:rPr>
                <w:sz w:val="19"/>
                <w:szCs w:val="19"/>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Capitalization</w:t>
            </w:r>
          </w:p>
        </w:tc>
        <w:tc>
          <w:tcPr>
            <w:tcW w:w="0" w:type="dxa"/>
            <w:vAlign w:val="bottom"/>
          </w:tcPr>
          <w:p>
            <w:pPr>
              <w:spacing w:after="0"/>
              <w:rPr>
                <w:sz w:val="1"/>
                <w:szCs w:val="1"/>
                <w:color w:val="auto"/>
              </w:rPr>
            </w:pPr>
          </w:p>
        </w:tc>
      </w:tr>
      <w:tr>
        <w:trPr>
          <w:trHeight w:val="190"/>
        </w:trPr>
        <w:tc>
          <w:tcPr>
            <w:tcW w:w="1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Peer Group</w:t>
            </w:r>
          </w:p>
        </w:tc>
        <w:tc>
          <w:tcPr>
            <w:tcW w:w="28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13.0</w:t>
            </w:r>
          </w:p>
        </w:tc>
        <w:tc>
          <w:tcPr>
            <w:tcW w:w="1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r>
              <w:rPr>
                <w:rFonts w:ascii="Arial" w:cs="Arial" w:eastAsia="Arial" w:hAnsi="Arial"/>
                <w:sz w:val="18"/>
                <w:szCs w:val="18"/>
                <w:color w:val="auto"/>
              </w:rPr>
              <w:t>Avnet</w:t>
            </w:r>
          </w:p>
        </w:tc>
        <w:tc>
          <w:tcPr>
            <w:tcW w:w="3740" w:type="dxa"/>
            <w:vAlign w:val="bottom"/>
            <w:gridSpan w:val="2"/>
          </w:tcPr>
          <w:p>
            <w:pPr>
              <w:jc w:val="right"/>
              <w:ind w:right="76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166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Additionally, the Compensation Committee reviews general industry survey data for similar roles at companies with comparable revenue and market capitalization. For fiscal 2017, the survey data came from the </w:t>
      </w:r>
      <w:r>
        <w:rPr>
          <w:rFonts w:ascii="Arial" w:cs="Arial" w:eastAsia="Arial" w:hAnsi="Arial"/>
          <w:sz w:val="18"/>
          <w:szCs w:val="18"/>
          <w:i w:val="1"/>
          <w:iCs w:val="1"/>
          <w:color w:val="auto"/>
        </w:rPr>
        <w:t>2016 Towers Watson Data Services US Compensation Data Bank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Executive Survey</w:t>
      </w:r>
      <w:r>
        <w:rPr>
          <w:rFonts w:ascii="Arial" w:cs="Arial" w:eastAsia="Arial" w:hAnsi="Arial"/>
          <w:sz w:val="18"/>
          <w:szCs w:val="18"/>
          <w:color w:val="auto"/>
        </w:rPr>
        <w:t>.</w:t>
      </w:r>
    </w:p>
    <w:p>
      <w:pPr>
        <w:spacing w:after="0" w:line="3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pay, annual cash incentive, long-term incentives and total direct compensation. Primary market data for the CEO, CFO and operating group presidents reflects peer proxy data. Primary market data for other executives consists of peer group proxy data, where available, and general industry survey data. The Compensation Committee does not view benchmarking as a prescriptive determinant of individual compensation. Rather, the Compensation Committee uses the market median as a general guide in its decisions on the target amount and mix of each element of compensation. An individual executive officer’s target compensation also takes into account other factors, such as experience in the position and long-term performance of the individual. An executive officer’s actual compensation may be above or below target compensation and will vary from year to year based on corporate and/or business unit financial results, as well as individual performance, reinforcing the Company’s pay-for-performance culture.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Pay Programs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8"/>
                <w:szCs w:val="18"/>
                <w:b w:val="1"/>
                <w:bCs w:val="1"/>
                <w:color w:val="auto"/>
                <w:w w:val="98"/>
              </w:rPr>
              <w:t>Element of Compensation</w:t>
            </w:r>
          </w:p>
        </w:tc>
        <w:tc>
          <w:tcPr>
            <w:tcW w:w="26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Objectives</w:t>
            </w:r>
          </w:p>
        </w:tc>
        <w:tc>
          <w:tcPr>
            <w:tcW w:w="1560" w:type="dxa"/>
            <w:vAlign w:val="bottom"/>
          </w:tcPr>
          <w:p>
            <w:pPr>
              <w:spacing w:after="0"/>
              <w:rPr>
                <w:sz w:val="19"/>
                <w:szCs w:val="19"/>
                <w:color w:val="auto"/>
              </w:rPr>
            </w:pPr>
          </w:p>
        </w:tc>
        <w:tc>
          <w:tcPr>
            <w:tcW w:w="2100" w:type="dxa"/>
            <w:vAlign w:val="bottom"/>
            <w:gridSpan w:val="2"/>
          </w:tcPr>
          <w:p>
            <w:pPr>
              <w:jc w:val="center"/>
              <w:ind w:right="892"/>
              <w:spacing w:after="0"/>
              <w:rPr>
                <w:sz w:val="20"/>
                <w:szCs w:val="20"/>
                <w:color w:val="auto"/>
              </w:rPr>
            </w:pPr>
            <w:r>
              <w:rPr>
                <w:rFonts w:ascii="Arial" w:cs="Arial" w:eastAsia="Arial" w:hAnsi="Arial"/>
                <w:sz w:val="18"/>
                <w:szCs w:val="18"/>
                <w:b w:val="1"/>
                <w:bCs w:val="1"/>
                <w:color w:val="auto"/>
                <w:w w:val="99"/>
              </w:rPr>
              <w:t>Key Features</w:t>
            </w:r>
          </w:p>
        </w:tc>
      </w:tr>
      <w:tr>
        <w:trPr>
          <w:trHeight w:val="177"/>
        </w:trPr>
        <w:tc>
          <w:tcPr>
            <w:tcW w:w="940" w:type="dxa"/>
            <w:vAlign w:val="bottom"/>
          </w:tcPr>
          <w:p>
            <w:pPr>
              <w:spacing w:after="0" w:line="177" w:lineRule="exact"/>
              <w:rPr>
                <w:sz w:val="20"/>
                <w:szCs w:val="20"/>
                <w:color w:val="auto"/>
              </w:rPr>
            </w:pPr>
            <w:r>
              <w:rPr>
                <w:rFonts w:ascii="Arial" w:cs="Arial" w:eastAsia="Arial" w:hAnsi="Arial"/>
                <w:sz w:val="18"/>
                <w:szCs w:val="18"/>
                <w:color w:val="auto"/>
                <w:w w:val="94"/>
              </w:rPr>
              <w:t>Base Salary</w:t>
            </w:r>
          </w:p>
        </w:tc>
        <w:tc>
          <w:tcPr>
            <w:tcW w:w="2220" w:type="dxa"/>
            <w:vAlign w:val="bottom"/>
            <w:tcBorders>
              <w:top w:val="single" w:sz="8" w:color="auto"/>
            </w:tcBorders>
          </w:tcPr>
          <w:p>
            <w:pPr>
              <w:spacing w:after="0"/>
              <w:rPr>
                <w:sz w:val="15"/>
                <w:szCs w:val="15"/>
                <w:color w:val="auto"/>
              </w:rPr>
            </w:pPr>
          </w:p>
        </w:tc>
        <w:tc>
          <w:tcPr>
            <w:tcW w:w="2620" w:type="dxa"/>
            <w:vAlign w:val="bottom"/>
          </w:tcPr>
          <w:p>
            <w:pPr>
              <w:ind w:left="1260"/>
              <w:spacing w:after="0" w:line="177" w:lineRule="exact"/>
              <w:rPr>
                <w:sz w:val="20"/>
                <w:szCs w:val="20"/>
                <w:color w:val="auto"/>
              </w:rPr>
            </w:pPr>
            <w:r>
              <w:rPr>
                <w:rFonts w:ascii="Arial" w:cs="Arial" w:eastAsia="Arial" w:hAnsi="Arial"/>
                <w:sz w:val="18"/>
                <w:szCs w:val="18"/>
                <w:color w:val="auto"/>
                <w:w w:val="97"/>
              </w:rPr>
              <w:t>Attract and retain</w:t>
            </w:r>
          </w:p>
        </w:tc>
        <w:tc>
          <w:tcPr>
            <w:tcW w:w="900" w:type="dxa"/>
            <w:vAlign w:val="bottom"/>
            <w:tcBorders>
              <w:top w:val="single" w:sz="8" w:color="auto"/>
            </w:tcBorders>
          </w:tcPr>
          <w:p>
            <w:pPr>
              <w:ind w:left="40"/>
              <w:spacing w:after="0" w:line="177" w:lineRule="exact"/>
              <w:rPr>
                <w:sz w:val="20"/>
                <w:szCs w:val="20"/>
                <w:color w:val="auto"/>
              </w:rPr>
            </w:pPr>
            <w:r>
              <w:rPr>
                <w:rFonts w:ascii="Arial" w:cs="Arial" w:eastAsia="Arial" w:hAnsi="Arial"/>
                <w:sz w:val="18"/>
                <w:szCs w:val="18"/>
                <w:color w:val="auto"/>
              </w:rPr>
              <w:t>executive</w:t>
            </w:r>
          </w:p>
        </w:tc>
        <w:tc>
          <w:tcPr>
            <w:tcW w:w="980" w:type="dxa"/>
            <w:vAlign w:val="bottom"/>
          </w:tcPr>
          <w:p>
            <w:pPr>
              <w:spacing w:after="0"/>
              <w:rPr>
                <w:sz w:val="15"/>
                <w:szCs w:val="15"/>
                <w:color w:val="auto"/>
              </w:rPr>
            </w:pPr>
          </w:p>
        </w:tc>
        <w:tc>
          <w:tcPr>
            <w:tcW w:w="1560" w:type="dxa"/>
            <w:vAlign w:val="bottom"/>
          </w:tcPr>
          <w:p>
            <w:pPr>
              <w:ind w:left="480"/>
              <w:spacing w:after="0" w:line="177" w:lineRule="exact"/>
              <w:rPr>
                <w:sz w:val="20"/>
                <w:szCs w:val="20"/>
                <w:color w:val="auto"/>
              </w:rPr>
            </w:pPr>
            <w:r>
              <w:rPr>
                <w:rFonts w:ascii="Arial" w:cs="Arial" w:eastAsia="Arial" w:hAnsi="Arial"/>
                <w:sz w:val="18"/>
                <w:szCs w:val="18"/>
                <w:color w:val="auto"/>
                <w:w w:val="92"/>
              </w:rPr>
              <w:t>Reflects skills,</w:t>
            </w:r>
          </w:p>
        </w:tc>
        <w:tc>
          <w:tcPr>
            <w:tcW w:w="11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7"/>
              </w:rPr>
              <w:t>contributions</w:t>
            </w:r>
          </w:p>
        </w:tc>
        <w:tc>
          <w:tcPr>
            <w:tcW w:w="980" w:type="dxa"/>
            <w:vAlign w:val="bottom"/>
          </w:tcPr>
          <w:p>
            <w:pPr>
              <w:spacing w:after="0" w:line="177" w:lineRule="exact"/>
              <w:rPr>
                <w:sz w:val="20"/>
                <w:szCs w:val="20"/>
                <w:color w:val="auto"/>
              </w:rPr>
            </w:pPr>
            <w:r>
              <w:rPr>
                <w:rFonts w:ascii="Arial" w:cs="Arial" w:eastAsia="Arial" w:hAnsi="Arial"/>
                <w:sz w:val="18"/>
                <w:szCs w:val="18"/>
                <w:color w:val="auto"/>
                <w:w w:val="95"/>
              </w:rPr>
              <w:t>and success</w:t>
            </w:r>
          </w:p>
        </w:tc>
      </w:tr>
      <w:tr>
        <w:trPr>
          <w:trHeight w:val="237"/>
        </w:trPr>
        <w:tc>
          <w:tcPr>
            <w:tcW w:w="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500" w:type="dxa"/>
            <w:vAlign w:val="bottom"/>
            <w:gridSpan w:val="3"/>
          </w:tcPr>
          <w:p>
            <w:pPr>
              <w:ind w:left="1260"/>
              <w:spacing w:after="0"/>
              <w:rPr>
                <w:sz w:val="20"/>
                <w:szCs w:val="20"/>
                <w:color w:val="auto"/>
              </w:rPr>
            </w:pPr>
            <w:r>
              <w:rPr>
                <w:rFonts w:ascii="Arial" w:cs="Arial" w:eastAsia="Arial" w:hAnsi="Arial"/>
                <w:sz w:val="18"/>
                <w:szCs w:val="18"/>
                <w:color w:val="auto"/>
              </w:rPr>
              <w:t>talent in a competitive marketplace.</w:t>
            </w:r>
          </w:p>
        </w:tc>
        <w:tc>
          <w:tcPr>
            <w:tcW w:w="3660" w:type="dxa"/>
            <w:vAlign w:val="bottom"/>
            <w:gridSpan w:val="3"/>
          </w:tcPr>
          <w:p>
            <w:pPr>
              <w:ind w:left="480"/>
              <w:spacing w:after="0"/>
              <w:rPr>
                <w:sz w:val="20"/>
                <w:szCs w:val="20"/>
                <w:color w:val="auto"/>
              </w:rPr>
            </w:pPr>
            <w:r>
              <w:rPr>
                <w:rFonts w:ascii="Arial" w:cs="Arial" w:eastAsia="Arial" w:hAnsi="Arial"/>
                <w:sz w:val="18"/>
                <w:szCs w:val="18"/>
                <w:color w:val="auto"/>
              </w:rPr>
              <w:t>over time in role.</w:t>
            </w:r>
          </w:p>
        </w:tc>
      </w:tr>
      <w:tr>
        <w:trPr>
          <w:trHeight w:val="249"/>
        </w:trPr>
        <w:tc>
          <w:tcPr>
            <w:tcW w:w="9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60" w:type="dxa"/>
            <w:vAlign w:val="bottom"/>
            <w:gridSpan w:val="3"/>
          </w:tcPr>
          <w:p>
            <w:pPr>
              <w:ind w:left="480"/>
              <w:spacing w:after="0"/>
              <w:rPr>
                <w:sz w:val="20"/>
                <w:szCs w:val="20"/>
                <w:color w:val="auto"/>
              </w:rPr>
            </w:pPr>
            <w:r>
              <w:rPr>
                <w:rFonts w:ascii="Arial" w:cs="Arial" w:eastAsia="Arial" w:hAnsi="Arial"/>
                <w:sz w:val="18"/>
                <w:szCs w:val="18"/>
                <w:color w:val="auto"/>
              </w:rPr>
              <w:t>Reviewed annually to ensure</w:t>
            </w:r>
          </w:p>
        </w:tc>
      </w:tr>
      <w:tr>
        <w:trPr>
          <w:trHeight w:val="203"/>
        </w:trPr>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6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competitiveness and alignment with</w:t>
            </w:r>
          </w:p>
        </w:tc>
      </w:tr>
      <w:tr>
        <w:trPr>
          <w:trHeight w:val="237"/>
        </w:trPr>
        <w:tc>
          <w:tcPr>
            <w:tcW w:w="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60" w:type="dxa"/>
            <w:vAlign w:val="bottom"/>
            <w:gridSpan w:val="3"/>
          </w:tcPr>
          <w:p>
            <w:pPr>
              <w:ind w:left="480"/>
              <w:spacing w:after="0"/>
              <w:rPr>
                <w:sz w:val="20"/>
                <w:szCs w:val="20"/>
                <w:color w:val="auto"/>
              </w:rPr>
            </w:pPr>
            <w:r>
              <w:rPr>
                <w:rFonts w:ascii="Arial" w:cs="Arial" w:eastAsia="Arial" w:hAnsi="Arial"/>
                <w:sz w:val="18"/>
                <w:szCs w:val="18"/>
                <w:color w:val="auto"/>
              </w:rPr>
              <w:t>individual performance.</w:t>
            </w:r>
          </w:p>
        </w:tc>
      </w:tr>
    </w:tbl>
    <w:p>
      <w:pPr>
        <w:spacing w:after="0" w:line="195" w:lineRule="exact"/>
        <w:rPr>
          <w:sz w:val="20"/>
          <w:szCs w:val="20"/>
          <w:color w:val="auto"/>
        </w:rPr>
      </w:pPr>
    </w:p>
    <w:p>
      <w:pPr>
        <w:sectPr>
          <w:pgSz w:w="11900" w:h="16838" w:orient="portrait"/>
          <w:cols w:equalWidth="0" w:num="1">
            <w:col w:w="11340"/>
          </w:cols>
          <w:pgMar w:left="240" w:top="455" w:right="319" w:bottom="1440" w:gutter="0" w:footer="0" w:header="0"/>
        </w:sectPr>
      </w:pPr>
    </w:p>
    <w:p>
      <w:pPr>
        <w:spacing w:after="0"/>
        <w:tabs>
          <w:tab w:leader="none" w:pos="4400" w:val="left"/>
        </w:tabs>
        <w:rPr>
          <w:sz w:val="20"/>
          <w:szCs w:val="20"/>
          <w:color w:val="auto"/>
        </w:rPr>
      </w:pPr>
      <w:r>
        <w:rPr>
          <w:rFonts w:ascii="Arial" w:cs="Arial" w:eastAsia="Arial" w:hAnsi="Arial"/>
          <w:sz w:val="18"/>
          <w:szCs w:val="18"/>
          <w:color w:val="auto"/>
        </w:rPr>
        <w:t>Annual Cash Incentive</w:t>
      </w:r>
      <w:r>
        <w:rPr>
          <w:sz w:val="20"/>
          <w:szCs w:val="20"/>
          <w:color w:val="auto"/>
        </w:rPr>
        <w:tab/>
      </w:r>
      <w:r>
        <w:rPr>
          <w:rFonts w:ascii="Arial" w:cs="Arial" w:eastAsia="Arial" w:hAnsi="Arial"/>
          <w:sz w:val="16"/>
          <w:szCs w:val="16"/>
          <w:color w:val="auto"/>
        </w:rPr>
        <w:t>Link variable compensation to corporate</w:t>
      </w:r>
    </w:p>
    <w:p>
      <w:pPr>
        <w:spacing w:after="0" w:line="1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and/or business unit short-term performance</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as well as strategic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Long-Term Incentive</w:t>
      </w:r>
      <w:r>
        <w:rPr>
          <w:sz w:val="20"/>
          <w:szCs w:val="20"/>
          <w:color w:val="auto"/>
        </w:rPr>
        <w:tab/>
      </w:r>
      <w:r>
        <w:rPr>
          <w:rFonts w:ascii="Arial" w:cs="Arial" w:eastAsia="Arial" w:hAnsi="Arial"/>
          <w:sz w:val="16"/>
          <w:szCs w:val="16"/>
          <w:color w:val="auto"/>
        </w:rPr>
        <w:t>Align executives with shareholders by</w:t>
      </w:r>
    </w:p>
    <w:p>
      <w:pPr>
        <w:spacing w:after="0" w:line="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rewarding long-term shareholder value</w:t>
      </w:r>
    </w:p>
    <w:p>
      <w:pPr>
        <w:ind w:left="4420"/>
        <w:spacing w:after="0"/>
        <w:rPr>
          <w:sz w:val="20"/>
          <w:szCs w:val="20"/>
          <w:color w:val="auto"/>
        </w:rPr>
      </w:pPr>
      <w:r>
        <w:rPr>
          <w:rFonts w:ascii="Arial" w:cs="Arial" w:eastAsia="Arial" w:hAnsi="Arial"/>
          <w:sz w:val="18"/>
          <w:szCs w:val="18"/>
          <w:color w:val="auto"/>
        </w:rPr>
        <w:t>creation.</w:t>
      </w:r>
    </w:p>
    <w:p>
      <w:pPr>
        <w:spacing w:after="0" w:line="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Reward stock price appreciation and tie</w:t>
      </w:r>
    </w:p>
    <w:p>
      <w:pPr>
        <w:spacing w:after="0" w:line="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executive wealth accumulation to long-term</w:t>
      </w:r>
    </w:p>
    <w:p>
      <w:pPr>
        <w:ind w:left="4420"/>
        <w:spacing w:after="0"/>
        <w:rPr>
          <w:sz w:val="20"/>
          <w:szCs w:val="20"/>
          <w:color w:val="auto"/>
        </w:rPr>
      </w:pPr>
      <w:r>
        <w:rPr>
          <w:rFonts w:ascii="Arial" w:cs="Arial" w:eastAsia="Arial" w:hAnsi="Arial"/>
          <w:sz w:val="18"/>
          <w:szCs w:val="18"/>
          <w:color w:val="auto"/>
        </w:rPr>
        <w:t>performance.</w:t>
      </w:r>
    </w:p>
    <w:p>
      <w:pPr>
        <w:spacing w:after="0" w:line="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Reward contributions to specific business</w:t>
      </w:r>
    </w:p>
    <w:p>
      <w:pPr>
        <w:spacing w:after="0" w:line="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initiatives.</w:t>
      </w:r>
    </w:p>
    <w:p>
      <w:pPr>
        <w:spacing w:after="0" w:line="20" w:lineRule="exact"/>
        <w:rPr>
          <w:sz w:val="20"/>
          <w:szCs w:val="20"/>
          <w:color w:val="auto"/>
        </w:rPr>
      </w:pPr>
      <w:r>
        <w:rPr>
          <w:sz w:val="20"/>
          <w:szCs w:val="20"/>
          <w:color w:val="auto"/>
        </w:rPr>
        <w:br w:type="column"/>
      </w:r>
    </w:p>
    <w:p>
      <w:pPr>
        <w:jc w:val="both"/>
        <w:ind w:right="160"/>
        <w:spacing w:after="0" w:line="298" w:lineRule="auto"/>
        <w:rPr>
          <w:sz w:val="20"/>
          <w:szCs w:val="20"/>
          <w:color w:val="auto"/>
        </w:rPr>
      </w:pPr>
      <w:r>
        <w:rPr>
          <w:rFonts w:ascii="Arial" w:cs="Arial" w:eastAsia="Arial" w:hAnsi="Arial"/>
          <w:sz w:val="16"/>
          <w:szCs w:val="16"/>
          <w:color w:val="auto"/>
        </w:rPr>
        <w:t>Key financial measures used to assess performance and align executives with shareholders’ interests.</w:t>
      </w:r>
    </w:p>
    <w:p>
      <w:pPr>
        <w:spacing w:after="0" w:line="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Payouts dependent on meeting net income, operating margin and individual strategic goals.</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Encourages retention through multi-year vesting (three to four years) and shareholder alignment through the use of performance goals.</w:t>
      </w:r>
    </w:p>
    <w:p>
      <w:pPr>
        <w:spacing w:after="0" w:line="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Performance units vest, if at all, at end of three-year period depending on meeting relative economic profit and relative total shareholder return goals.</w:t>
      </w:r>
    </w:p>
    <w:p>
      <w:pPr>
        <w:spacing w:after="0" w:line="4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Performance-based stock options vest upon achievement of threshold performance levels.</w:t>
      </w:r>
    </w:p>
    <w:p>
      <w:pPr>
        <w:spacing w:after="0" w:line="131" w:lineRule="exact"/>
        <w:rPr>
          <w:sz w:val="20"/>
          <w:szCs w:val="20"/>
          <w:color w:val="auto"/>
        </w:rPr>
      </w:pPr>
    </w:p>
    <w:p>
      <w:pPr>
        <w:sectPr>
          <w:pgSz w:w="11900" w:h="16838" w:orient="portrait"/>
          <w:cols w:equalWidth="0" w:num="2">
            <w:col w:w="7880" w:space="260"/>
            <w:col w:w="3200"/>
          </w:cols>
          <w:pgMar w:left="240" w:top="455" w:right="319" w:bottom="1440" w:gutter="0" w:footer="0" w:header="0"/>
          <w:type w:val="continuous"/>
        </w:sectPr>
      </w:pPr>
    </w:p>
    <w:p>
      <w:pPr>
        <w:spacing w:after="0"/>
        <w:rPr>
          <w:sz w:val="20"/>
          <w:szCs w:val="20"/>
          <w:color w:val="auto"/>
        </w:rPr>
      </w:pPr>
      <w:r>
        <w:rPr>
          <w:rFonts w:ascii="Arial" w:cs="Arial" w:eastAsia="Arial" w:hAnsi="Arial"/>
          <w:sz w:val="18"/>
          <w:szCs w:val="18"/>
          <w:color w:val="auto"/>
        </w:rPr>
        <w:t>In addition, each NEO is also eligible to receive certain other benefits as described in the “Additional Compensation Elements” section below.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 Mix</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compensation mix at target for the CEO and the other NEOs for fiscal 2017 demonstrates that a significant portion of CEO and NEO pay is based on variable compensation. The pay mix charts below include the current CEO and NEOs, and include the performance-based stock options granted under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5" w:right="31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the Shareholder Value Incentive Plan, discussed below. The Company’s long-term incentive compensation mix has traditionally been 50% performance share units, 25% stock options and 25%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26035</wp:posOffset>
            </wp:positionV>
            <wp:extent cx="4673600" cy="21012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360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Avnet’s Practices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programs incorporate a number of compensation governance practices:</w:t>
      </w:r>
    </w:p>
    <w:p>
      <w:pPr>
        <w:spacing w:after="0" w:line="55" w:lineRule="exact"/>
        <w:rPr>
          <w:sz w:val="20"/>
          <w:szCs w:val="20"/>
          <w:color w:val="auto"/>
        </w:rPr>
      </w:pPr>
    </w:p>
    <w:p>
      <w:pPr>
        <w:ind w:left="780" w:hanging="326"/>
        <w:spacing w:after="0" w:line="24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Pay-for-Performance Alignment. </w:t>
      </w:r>
      <w:r>
        <w:rPr>
          <w:rFonts w:ascii="Arial" w:cs="Arial" w:eastAsia="Arial" w:hAnsi="Arial"/>
          <w:sz w:val="18"/>
          <w:szCs w:val="18"/>
          <w:color w:val="auto"/>
        </w:rPr>
        <w:t>A significant portion of total compensation is dependent upon the achievement of short- and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and operational goals that are designed to increase shareholder value over time. As executives gain responsibility and seniority at Avnet and exercise more direct influence over the Company’s financial and operational performance, base salary as a percentage of total compensation will typically decrease and performance-based pay will increase.</w:t>
      </w:r>
    </w:p>
    <w:p>
      <w:pPr>
        <w:spacing w:after="0" w:line="42" w:lineRule="exact"/>
        <w:rPr>
          <w:rFonts w:ascii="Arial" w:cs="Arial" w:eastAsia="Arial" w:hAnsi="Arial"/>
          <w:sz w:val="18"/>
          <w:szCs w:val="18"/>
          <w:color w:val="auto"/>
        </w:rPr>
      </w:pPr>
    </w:p>
    <w:p>
      <w:pPr>
        <w:ind w:left="780" w:right="220" w:hanging="326"/>
        <w:spacing w:after="0" w:line="252"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Long-Term Incentive Compensation. </w:t>
      </w:r>
      <w:r>
        <w:rPr>
          <w:rFonts w:ascii="Arial" w:cs="Arial" w:eastAsia="Arial" w:hAnsi="Arial"/>
          <w:sz w:val="18"/>
          <w:szCs w:val="18"/>
          <w:color w:val="auto"/>
        </w:rPr>
        <w:t>Avnet’s equity compensation program is designed to provide a meaningful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the goal of having executive officers think and behave like owners over the long term. Equity awards vest over periods ranging from three to four years depending on the award type.</w:t>
      </w:r>
    </w:p>
    <w:p>
      <w:pPr>
        <w:spacing w:after="0" w:line="36" w:lineRule="exact"/>
        <w:rPr>
          <w:rFonts w:ascii="Arial" w:cs="Arial" w:eastAsia="Arial" w:hAnsi="Arial"/>
          <w:sz w:val="18"/>
          <w:szCs w:val="18"/>
          <w:color w:val="auto"/>
        </w:rPr>
      </w:pPr>
    </w:p>
    <w:p>
      <w:pPr>
        <w:ind w:left="780" w:right="20" w:hanging="326"/>
        <w:spacing w:after="0" w:line="252"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Holistic View of Performance. </w:t>
      </w:r>
      <w:r>
        <w:rPr>
          <w:rFonts w:ascii="Arial" w:cs="Arial" w:eastAsia="Arial" w:hAnsi="Arial"/>
          <w:sz w:val="18"/>
          <w:szCs w:val="18"/>
          <w:color w:val="auto"/>
        </w:rPr>
        <w:t>Avnet’s annual and long-term incentive programs employ multiple performance measures to assure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is on the entire business. Further, the incentive programs include awards that vest over several different and overlapping periods to help ensure that performance during any one period is not maximized to the detriment of other periods.</w:t>
      </w:r>
    </w:p>
    <w:p>
      <w:pPr>
        <w:spacing w:after="0" w:line="36" w:lineRule="exact"/>
        <w:rPr>
          <w:rFonts w:ascii="Arial" w:cs="Arial" w:eastAsia="Arial" w:hAnsi="Arial"/>
          <w:sz w:val="18"/>
          <w:szCs w:val="18"/>
          <w:color w:val="auto"/>
        </w:rPr>
      </w:pPr>
    </w:p>
    <w:p>
      <w:pPr>
        <w:ind w:left="780" w:right="100" w:hanging="326"/>
        <w:spacing w:after="0" w:line="317"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Caps. </w:t>
      </w:r>
      <w:r>
        <w:rPr>
          <w:rFonts w:ascii="Arial" w:cs="Arial" w:eastAsia="Arial" w:hAnsi="Arial"/>
          <w:sz w:val="16"/>
          <w:szCs w:val="16"/>
          <w:color w:val="auto"/>
        </w:rPr>
        <w:t>Awards under the Company’s annual cash incentive plan and performance share unit awards under the Company’s Long-Term Incentive Plan (“LTIP”) are capped at a percentage of the target to ensure such awards do not encourage excessive risk-taking.</w:t>
      </w:r>
    </w:p>
    <w:p>
      <w:pPr>
        <w:ind w:left="780" w:right="220" w:hanging="326"/>
        <w:spacing w:after="0" w:line="26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Company has stock ownership guidelines for its executive officers and, as of July 1, 2017,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executive officers was in compliance with these guidelines.</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Recoupment. </w:t>
      </w:r>
      <w:r>
        <w:rPr>
          <w:rFonts w:ascii="Arial" w:cs="Arial" w:eastAsia="Arial" w:hAnsi="Arial"/>
          <w:sz w:val="18"/>
          <w:szCs w:val="18"/>
          <w:color w:val="auto"/>
        </w:rPr>
        <w:t>The Company has adopted an incentive compensation recoupment policy.</w:t>
      </w:r>
    </w:p>
    <w:p>
      <w:pPr>
        <w:spacing w:after="0" w:line="76" w:lineRule="exact"/>
        <w:rPr>
          <w:rFonts w:ascii="Arial" w:cs="Arial" w:eastAsia="Arial" w:hAnsi="Arial"/>
          <w:sz w:val="18"/>
          <w:szCs w:val="18"/>
          <w:color w:val="auto"/>
        </w:rPr>
      </w:pPr>
    </w:p>
    <w:p>
      <w:pPr>
        <w:jc w:val="both"/>
        <w:ind w:left="780" w:right="260" w:hanging="326"/>
        <w:spacing w:after="0" w:line="317"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Risk Assessment. </w:t>
      </w:r>
      <w:r>
        <w:rPr>
          <w:rFonts w:ascii="Arial" w:cs="Arial" w:eastAsia="Arial" w:hAnsi="Arial"/>
          <w:sz w:val="16"/>
          <w:szCs w:val="16"/>
          <w:color w:val="auto"/>
        </w:rPr>
        <w:t>The Compensation Committee has assessed the Company’s compensation programs and concluded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policies and practices do not create risks that are reasonably likely to have a material adverse effect on the Company.</w:t>
      </w:r>
    </w:p>
    <w:p>
      <w:pPr>
        <w:ind w:left="780" w:right="760" w:hanging="326"/>
        <w:spacing w:after="0" w:line="26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Independence. </w:t>
      </w:r>
      <w:r>
        <w:rPr>
          <w:rFonts w:ascii="Arial" w:cs="Arial" w:eastAsia="Arial" w:hAnsi="Arial"/>
          <w:sz w:val="18"/>
          <w:szCs w:val="18"/>
          <w:color w:val="auto"/>
        </w:rPr>
        <w:t>The Compensation Committee is made up entirely of independent directors and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Committee’s independent compensation consultant did not provide any separate services to management.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780" w:right="260" w:hanging="326"/>
        <w:spacing w:after="0" w:line="271"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Hedging or Pledging are Prohibited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insider trading policy prohibits directors and executive officers from hedging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pledging Avnet securities.</w:t>
      </w:r>
    </w:p>
    <w:p>
      <w:pPr>
        <w:spacing w:after="0" w:line="20" w:lineRule="exact"/>
        <w:rPr>
          <w:rFonts w:ascii="Arial" w:cs="Arial" w:eastAsia="Arial" w:hAnsi="Arial"/>
          <w:sz w:val="18"/>
          <w:szCs w:val="18"/>
          <w:color w:val="auto"/>
        </w:rPr>
      </w:pPr>
    </w:p>
    <w:p>
      <w:pPr>
        <w:ind w:left="780" w:right="260" w:hanging="326"/>
        <w:spacing w:after="0" w:line="26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Gross-Ups on Excise Taxes. </w:t>
      </w:r>
      <w:r>
        <w:rPr>
          <w:rFonts w:ascii="Arial" w:cs="Arial" w:eastAsia="Arial" w:hAnsi="Arial"/>
          <w:sz w:val="18"/>
          <w:szCs w:val="18"/>
          <w:color w:val="auto"/>
        </w:rPr>
        <w:t>The Company’s change of control agreements do not provide for excise tax reimbursements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the Company’s executive officers.</w:t>
      </w:r>
    </w:p>
    <w:p>
      <w:pPr>
        <w:spacing w:after="0" w:line="22" w:lineRule="exact"/>
        <w:rPr>
          <w:rFonts w:ascii="Arial" w:cs="Arial" w:eastAsia="Arial" w:hAnsi="Arial"/>
          <w:sz w:val="18"/>
          <w:szCs w:val="18"/>
          <w:color w:val="auto"/>
        </w:rPr>
      </w:pPr>
    </w:p>
    <w:p>
      <w:pPr>
        <w:ind w:left="780" w:right="40" w:hanging="326"/>
        <w:spacing w:after="0" w:line="26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Dividends or Dividend Equivalents on Unearned/Unvested Equity. </w:t>
      </w:r>
      <w:r>
        <w:rPr>
          <w:rFonts w:ascii="Arial" w:cs="Arial" w:eastAsia="Arial" w:hAnsi="Arial"/>
          <w:sz w:val="18"/>
          <w:szCs w:val="18"/>
          <w:color w:val="auto"/>
        </w:rPr>
        <w:t>The Company does not pay dividends or dividend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unearned or unvested equity awards.</w:t>
      </w:r>
    </w:p>
    <w:p>
      <w:pPr>
        <w:spacing w:after="0" w:line="20" w:lineRule="exact"/>
        <w:rPr>
          <w:rFonts w:ascii="Arial" w:cs="Arial" w:eastAsia="Arial" w:hAnsi="Arial"/>
          <w:sz w:val="18"/>
          <w:szCs w:val="18"/>
          <w:color w:val="auto"/>
        </w:rPr>
      </w:pPr>
    </w:p>
    <w:p>
      <w:pPr>
        <w:ind w:left="780" w:right="80" w:hanging="326"/>
        <w:spacing w:after="0" w:line="271"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Repricing of Awards is Prohibited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Repricing of stock options and stock appreciation rights is prohibited without shareholder approval.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have a history of repricing equity awards.</w:t>
      </w:r>
    </w:p>
    <w:p>
      <w:pPr>
        <w:spacing w:after="0" w:line="18"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No Above-Market Returns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offer preferential or above-market returns on deferred compensation.</w:t>
      </w:r>
    </w:p>
    <w:p>
      <w:pPr>
        <w:spacing w:after="0" w:line="76" w:lineRule="exact"/>
        <w:rPr>
          <w:rFonts w:ascii="Arial" w:cs="Arial" w:eastAsia="Arial" w:hAnsi="Arial"/>
          <w:sz w:val="18"/>
          <w:szCs w:val="18"/>
          <w:color w:val="auto"/>
        </w:rPr>
      </w:pPr>
    </w:p>
    <w:p>
      <w:pPr>
        <w:ind w:left="780" w:right="440" w:hanging="326"/>
        <w:spacing w:after="0" w:line="271"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Stock Options are Granted at Fair Market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grant stock options with an exercise price below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value of the Company’s Common Stock on the date of the grant.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fiscal 2016 and fiscal 2017, the annualized salaries as of the end of the applicable fiscal year are as follows:</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240" w:type="dxa"/>
            <w:vAlign w:val="bottom"/>
            <w:gridSpan w:val="2"/>
          </w:tcPr>
          <w:p>
            <w:pPr>
              <w:jc w:val="center"/>
              <w:ind w:left="972"/>
              <w:spacing w:after="0"/>
              <w:rPr>
                <w:sz w:val="20"/>
                <w:szCs w:val="20"/>
                <w:color w:val="auto"/>
              </w:rPr>
            </w:pPr>
            <w:r>
              <w:rPr>
                <w:rFonts w:ascii="Arial" w:cs="Arial" w:eastAsia="Arial" w:hAnsi="Arial"/>
                <w:sz w:val="18"/>
                <w:szCs w:val="18"/>
                <w:b w:val="1"/>
                <w:bCs w:val="1"/>
                <w:color w:val="auto"/>
                <w:w w:val="95"/>
              </w:rPr>
              <w:t>2016 Year End</w:t>
            </w:r>
          </w:p>
        </w:tc>
        <w:tc>
          <w:tcPr>
            <w:tcW w:w="2360" w:type="dxa"/>
            <w:vAlign w:val="bottom"/>
            <w:gridSpan w:val="2"/>
          </w:tcPr>
          <w:p>
            <w:pPr>
              <w:jc w:val="center"/>
              <w:ind w:left="852"/>
              <w:spacing w:after="0"/>
              <w:rPr>
                <w:sz w:val="20"/>
                <w:szCs w:val="20"/>
                <w:color w:val="auto"/>
              </w:rPr>
            </w:pPr>
            <w:r>
              <w:rPr>
                <w:rFonts w:ascii="Arial" w:cs="Arial" w:eastAsia="Arial" w:hAnsi="Arial"/>
                <w:sz w:val="18"/>
                <w:szCs w:val="18"/>
                <w:b w:val="1"/>
                <w:bCs w:val="1"/>
                <w:color w:val="auto"/>
                <w:w w:val="95"/>
              </w:rPr>
              <w:t>2017 Year End</w:t>
            </w:r>
          </w:p>
        </w:tc>
        <w:tc>
          <w:tcPr>
            <w:tcW w:w="0" w:type="dxa"/>
            <w:vAlign w:val="bottom"/>
          </w:tcPr>
          <w:p>
            <w:pPr>
              <w:spacing w:after="0"/>
              <w:rPr>
                <w:sz w:val="1"/>
                <w:szCs w:val="1"/>
                <w:color w:val="auto"/>
              </w:rPr>
            </w:pPr>
          </w:p>
        </w:tc>
      </w:tr>
      <w:tr>
        <w:trPr>
          <w:trHeight w:val="203"/>
        </w:trPr>
        <w:tc>
          <w:tcPr>
            <w:tcW w:w="40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NEO</w:t>
            </w:r>
          </w:p>
        </w:tc>
        <w:tc>
          <w:tcPr>
            <w:tcW w:w="106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Annualized</w:t>
            </w:r>
          </w:p>
        </w:tc>
        <w:tc>
          <w:tcPr>
            <w:tcW w:w="1060" w:type="dxa"/>
            <w:vAlign w:val="bottom"/>
          </w:tcPr>
          <w:p>
            <w:pPr>
              <w:spacing w:after="0"/>
              <w:rPr>
                <w:sz w:val="17"/>
                <w:szCs w:val="17"/>
                <w:color w:val="auto"/>
              </w:rPr>
            </w:pPr>
          </w:p>
        </w:tc>
        <w:tc>
          <w:tcPr>
            <w:tcW w:w="130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Annualized</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Base Salary</w:t>
            </w:r>
          </w:p>
        </w:tc>
        <w:tc>
          <w:tcPr>
            <w:tcW w:w="10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5"/>
              </w:rPr>
              <w:t>Base Salary</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100"/>
              <w:spacing w:after="0" w:line="197" w:lineRule="exact"/>
              <w:rPr>
                <w:sz w:val="20"/>
                <w:szCs w:val="20"/>
                <w:color w:val="auto"/>
              </w:rPr>
            </w:pPr>
            <w:r>
              <w:rPr>
                <w:rFonts w:ascii="Arial" w:cs="Arial" w:eastAsia="Arial" w:hAnsi="Arial"/>
                <w:sz w:val="18"/>
                <w:szCs w:val="18"/>
                <w:color w:val="auto"/>
              </w:rPr>
              <w:t>Mr. Amelio</w:t>
            </w:r>
            <w:r>
              <w:rPr>
                <w:rFonts w:ascii="Arial" w:cs="Arial" w:eastAsia="Arial" w:hAnsi="Arial"/>
                <w:sz w:val="22"/>
                <w:szCs w:val="22"/>
                <w:color w:val="auto"/>
                <w:vertAlign w:val="superscript"/>
              </w:rPr>
              <w:t>(1)</w:t>
            </w: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$1,000,000</w:t>
            </w:r>
          </w:p>
        </w:tc>
        <w:tc>
          <w:tcPr>
            <w:tcW w:w="0" w:type="dxa"/>
            <w:vAlign w:val="bottom"/>
          </w:tcPr>
          <w:p>
            <w:pPr>
              <w:spacing w:after="0"/>
              <w:rPr>
                <w:sz w:val="1"/>
                <w:szCs w:val="1"/>
                <w:color w:val="auto"/>
              </w:rPr>
            </w:pPr>
          </w:p>
        </w:tc>
      </w:tr>
      <w:tr>
        <w:trPr>
          <w:trHeight w:val="203"/>
        </w:trPr>
        <w:tc>
          <w:tcPr>
            <w:tcW w:w="4080" w:type="dxa"/>
            <w:vAlign w:val="bottom"/>
          </w:tcPr>
          <w:p>
            <w:pPr>
              <w:ind w:left="100"/>
              <w:spacing w:after="0" w:line="202" w:lineRule="exact"/>
              <w:rPr>
                <w:sz w:val="20"/>
                <w:szCs w:val="20"/>
                <w:color w:val="auto"/>
              </w:rPr>
            </w:pPr>
            <w:r>
              <w:rPr>
                <w:rFonts w:ascii="Arial" w:cs="Arial" w:eastAsia="Arial" w:hAnsi="Arial"/>
                <w:sz w:val="18"/>
                <w:szCs w:val="18"/>
                <w:color w:val="auto"/>
              </w:rPr>
              <w:t>Mr. Moriarty</w:t>
            </w:r>
          </w:p>
        </w:tc>
        <w:tc>
          <w:tcPr>
            <w:tcW w:w="2240" w:type="dxa"/>
            <w:vAlign w:val="bottom"/>
            <w:gridSpan w:val="2"/>
          </w:tcPr>
          <w:p>
            <w:pPr>
              <w:jc w:val="center"/>
              <w:ind w:left="972"/>
              <w:spacing w:after="0" w:line="202" w:lineRule="exact"/>
              <w:rPr>
                <w:sz w:val="20"/>
                <w:szCs w:val="20"/>
                <w:color w:val="auto"/>
              </w:rPr>
            </w:pPr>
            <w:r>
              <w:rPr>
                <w:rFonts w:ascii="Arial" w:cs="Arial" w:eastAsia="Arial" w:hAnsi="Arial"/>
                <w:sz w:val="18"/>
                <w:szCs w:val="18"/>
                <w:color w:val="auto"/>
                <w:w w:val="98"/>
              </w:rPr>
              <w:t>$650,000</w:t>
            </w:r>
          </w:p>
        </w:tc>
        <w:tc>
          <w:tcPr>
            <w:tcW w:w="2360" w:type="dxa"/>
            <w:vAlign w:val="bottom"/>
            <w:gridSpan w:val="2"/>
          </w:tcPr>
          <w:p>
            <w:pPr>
              <w:jc w:val="center"/>
              <w:ind w:left="952"/>
              <w:spacing w:after="0" w:line="202" w:lineRule="exact"/>
              <w:rPr>
                <w:sz w:val="20"/>
                <w:szCs w:val="20"/>
                <w:color w:val="auto"/>
              </w:rPr>
            </w:pPr>
            <w:r>
              <w:rPr>
                <w:rFonts w:ascii="Arial" w:cs="Arial" w:eastAsia="Arial" w:hAnsi="Arial"/>
                <w:sz w:val="18"/>
                <w:szCs w:val="18"/>
                <w:color w:val="auto"/>
                <w:w w:val="95"/>
              </w:rPr>
              <w:t>$650,000</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Mr. Bartolotta</w:t>
            </w:r>
          </w:p>
        </w:tc>
        <w:tc>
          <w:tcPr>
            <w:tcW w:w="2240" w:type="dxa"/>
            <w:vAlign w:val="bottom"/>
            <w:gridSpan w:val="2"/>
            <w:shd w:val="clear" w:color="auto" w:fill="CCEEFF"/>
          </w:tcPr>
          <w:p>
            <w:pPr>
              <w:jc w:val="center"/>
              <w:ind w:left="972"/>
              <w:spacing w:after="0" w:line="202" w:lineRule="exact"/>
              <w:rPr>
                <w:sz w:val="20"/>
                <w:szCs w:val="20"/>
                <w:color w:val="auto"/>
              </w:rPr>
            </w:pPr>
            <w:r>
              <w:rPr>
                <w:rFonts w:ascii="Arial" w:cs="Arial" w:eastAsia="Arial" w:hAnsi="Arial"/>
                <w:sz w:val="18"/>
                <w:szCs w:val="18"/>
                <w:color w:val="auto"/>
                <w:w w:val="99"/>
              </w:rPr>
              <w:t>-</w:t>
            </w:r>
          </w:p>
        </w:tc>
        <w:tc>
          <w:tcPr>
            <w:tcW w:w="2360" w:type="dxa"/>
            <w:vAlign w:val="bottom"/>
            <w:gridSpan w:val="2"/>
            <w:shd w:val="clear" w:color="auto" w:fill="CCEEFF"/>
          </w:tcPr>
          <w:p>
            <w:pPr>
              <w:jc w:val="center"/>
              <w:ind w:left="952"/>
              <w:spacing w:after="0" w:line="202" w:lineRule="exact"/>
              <w:rPr>
                <w:sz w:val="20"/>
                <w:szCs w:val="20"/>
                <w:color w:val="auto"/>
              </w:rPr>
            </w:pPr>
            <w:r>
              <w:rPr>
                <w:rFonts w:ascii="Arial" w:cs="Arial" w:eastAsia="Arial" w:hAnsi="Arial"/>
                <w:sz w:val="18"/>
                <w:szCs w:val="18"/>
                <w:color w:val="auto"/>
                <w:w w:val="95"/>
              </w:rPr>
              <w:t>$550,000</w:t>
            </w:r>
          </w:p>
        </w:tc>
        <w:tc>
          <w:tcPr>
            <w:tcW w:w="0" w:type="dxa"/>
            <w:vAlign w:val="bottom"/>
          </w:tcPr>
          <w:p>
            <w:pPr>
              <w:spacing w:after="0"/>
              <w:rPr>
                <w:sz w:val="1"/>
                <w:szCs w:val="1"/>
                <w:color w:val="auto"/>
              </w:rPr>
            </w:pPr>
          </w:p>
        </w:tc>
      </w:tr>
      <w:tr>
        <w:trPr>
          <w:trHeight w:val="203"/>
        </w:trPr>
        <w:tc>
          <w:tcPr>
            <w:tcW w:w="4080" w:type="dxa"/>
            <w:vAlign w:val="bottom"/>
          </w:tcPr>
          <w:p>
            <w:pPr>
              <w:ind w:left="100"/>
              <w:spacing w:after="0" w:line="202" w:lineRule="exact"/>
              <w:rPr>
                <w:sz w:val="20"/>
                <w:szCs w:val="20"/>
                <w:color w:val="auto"/>
              </w:rPr>
            </w:pPr>
            <w:r>
              <w:rPr>
                <w:rFonts w:ascii="Arial" w:cs="Arial" w:eastAsia="Arial" w:hAnsi="Arial"/>
                <w:sz w:val="18"/>
                <w:szCs w:val="18"/>
                <w:color w:val="auto"/>
              </w:rPr>
              <w:t>Ms. Miller</w:t>
            </w:r>
          </w:p>
        </w:tc>
        <w:tc>
          <w:tcPr>
            <w:tcW w:w="2240" w:type="dxa"/>
            <w:vAlign w:val="bottom"/>
            <w:gridSpan w:val="2"/>
          </w:tcPr>
          <w:p>
            <w:pPr>
              <w:jc w:val="center"/>
              <w:ind w:left="972"/>
              <w:spacing w:after="0" w:line="202" w:lineRule="exact"/>
              <w:rPr>
                <w:sz w:val="20"/>
                <w:szCs w:val="20"/>
                <w:color w:val="auto"/>
              </w:rPr>
            </w:pPr>
            <w:r>
              <w:rPr>
                <w:rFonts w:ascii="Arial" w:cs="Arial" w:eastAsia="Arial" w:hAnsi="Arial"/>
                <w:sz w:val="18"/>
                <w:szCs w:val="18"/>
                <w:color w:val="auto"/>
                <w:w w:val="98"/>
              </w:rPr>
              <w:t>$540,000</w:t>
            </w:r>
          </w:p>
        </w:tc>
        <w:tc>
          <w:tcPr>
            <w:tcW w:w="2360" w:type="dxa"/>
            <w:vAlign w:val="bottom"/>
            <w:gridSpan w:val="2"/>
          </w:tcPr>
          <w:p>
            <w:pPr>
              <w:jc w:val="center"/>
              <w:ind w:left="952"/>
              <w:spacing w:after="0" w:line="202" w:lineRule="exact"/>
              <w:rPr>
                <w:sz w:val="20"/>
                <w:szCs w:val="20"/>
                <w:color w:val="auto"/>
              </w:rPr>
            </w:pPr>
            <w:r>
              <w:rPr>
                <w:rFonts w:ascii="Arial" w:cs="Arial" w:eastAsia="Arial" w:hAnsi="Arial"/>
                <w:sz w:val="18"/>
                <w:szCs w:val="18"/>
                <w:color w:val="auto"/>
                <w:w w:val="95"/>
              </w:rPr>
              <w:t>$540,000</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Mr. O’Neill</w:t>
            </w:r>
          </w:p>
        </w:tc>
        <w:tc>
          <w:tcPr>
            <w:tcW w:w="2240" w:type="dxa"/>
            <w:vAlign w:val="bottom"/>
            <w:gridSpan w:val="2"/>
            <w:shd w:val="clear" w:color="auto" w:fill="CCEEFF"/>
          </w:tcPr>
          <w:p>
            <w:pPr>
              <w:jc w:val="center"/>
              <w:ind w:left="972"/>
              <w:spacing w:after="0" w:line="202" w:lineRule="exact"/>
              <w:rPr>
                <w:sz w:val="20"/>
                <w:szCs w:val="20"/>
                <w:color w:val="auto"/>
              </w:rPr>
            </w:pPr>
            <w:r>
              <w:rPr>
                <w:rFonts w:ascii="Arial" w:cs="Arial" w:eastAsia="Arial" w:hAnsi="Arial"/>
                <w:sz w:val="18"/>
                <w:szCs w:val="18"/>
                <w:color w:val="auto"/>
                <w:w w:val="99"/>
              </w:rPr>
              <w:t>-</w:t>
            </w:r>
          </w:p>
        </w:tc>
        <w:tc>
          <w:tcPr>
            <w:tcW w:w="2360" w:type="dxa"/>
            <w:vAlign w:val="bottom"/>
            <w:gridSpan w:val="2"/>
            <w:shd w:val="clear" w:color="auto" w:fill="CCEEFF"/>
          </w:tcPr>
          <w:p>
            <w:pPr>
              <w:jc w:val="center"/>
              <w:ind w:left="952"/>
              <w:spacing w:after="0" w:line="202" w:lineRule="exact"/>
              <w:rPr>
                <w:sz w:val="20"/>
                <w:szCs w:val="20"/>
                <w:color w:val="auto"/>
              </w:rPr>
            </w:pPr>
            <w:r>
              <w:rPr>
                <w:rFonts w:ascii="Arial" w:cs="Arial" w:eastAsia="Arial" w:hAnsi="Arial"/>
                <w:sz w:val="18"/>
                <w:szCs w:val="18"/>
                <w:color w:val="auto"/>
                <w:w w:val="95"/>
              </w:rPr>
              <w:t>$490,000</w:t>
            </w:r>
          </w:p>
        </w:tc>
        <w:tc>
          <w:tcPr>
            <w:tcW w:w="0" w:type="dxa"/>
            <w:vAlign w:val="bottom"/>
          </w:tcPr>
          <w:p>
            <w:pPr>
              <w:spacing w:after="0"/>
              <w:rPr>
                <w:sz w:val="1"/>
                <w:szCs w:val="1"/>
                <w:color w:val="auto"/>
              </w:rPr>
            </w:pPr>
          </w:p>
        </w:tc>
      </w:tr>
      <w:tr>
        <w:trPr>
          <w:trHeight w:val="203"/>
        </w:trPr>
        <w:tc>
          <w:tcPr>
            <w:tcW w:w="4080" w:type="dxa"/>
            <w:vAlign w:val="bottom"/>
          </w:tcPr>
          <w:p>
            <w:pPr>
              <w:ind w:left="100"/>
              <w:spacing w:after="0" w:line="202" w:lineRule="exact"/>
              <w:rPr>
                <w:sz w:val="20"/>
                <w:szCs w:val="20"/>
                <w:color w:val="auto"/>
              </w:rPr>
            </w:pPr>
            <w:r>
              <w:rPr>
                <w:rFonts w:ascii="Arial" w:cs="Arial" w:eastAsia="Arial" w:hAnsi="Arial"/>
                <w:sz w:val="18"/>
                <w:szCs w:val="18"/>
                <w:color w:val="auto"/>
              </w:rPr>
              <w:t>Mr. Hamada</w:t>
            </w:r>
          </w:p>
        </w:tc>
        <w:tc>
          <w:tcPr>
            <w:tcW w:w="2240" w:type="dxa"/>
            <w:vAlign w:val="bottom"/>
            <w:gridSpan w:val="2"/>
          </w:tcPr>
          <w:p>
            <w:pPr>
              <w:jc w:val="center"/>
              <w:ind w:left="952"/>
              <w:spacing w:after="0" w:line="202" w:lineRule="exact"/>
              <w:rPr>
                <w:sz w:val="20"/>
                <w:szCs w:val="20"/>
                <w:color w:val="auto"/>
              </w:rPr>
            </w:pPr>
            <w:r>
              <w:rPr>
                <w:rFonts w:ascii="Arial" w:cs="Arial" w:eastAsia="Arial" w:hAnsi="Arial"/>
                <w:sz w:val="18"/>
                <w:szCs w:val="18"/>
                <w:color w:val="auto"/>
                <w:w w:val="97"/>
              </w:rPr>
              <w:t>$1,000,000</w:t>
            </w:r>
          </w:p>
        </w:tc>
        <w:tc>
          <w:tcPr>
            <w:tcW w:w="2360" w:type="dxa"/>
            <w:vAlign w:val="bottom"/>
            <w:gridSpan w:val="2"/>
          </w:tcPr>
          <w:p>
            <w:pPr>
              <w:jc w:val="center"/>
              <w:ind w:left="952"/>
              <w:spacing w:after="0" w:line="202" w:lineRule="exact"/>
              <w:rPr>
                <w:sz w:val="20"/>
                <w:szCs w:val="20"/>
                <w:color w:val="auto"/>
              </w:rPr>
            </w:pPr>
            <w:r>
              <w:rPr>
                <w:rFonts w:ascii="Arial" w:cs="Arial" w:eastAsia="Arial" w:hAnsi="Arial"/>
                <w:sz w:val="18"/>
                <w:szCs w:val="18"/>
                <w:color w:val="auto"/>
                <w:w w:val="97"/>
              </w:rPr>
              <w:t>$1,000,000</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Mr. Fay</w:t>
            </w:r>
          </w:p>
        </w:tc>
        <w:tc>
          <w:tcPr>
            <w:tcW w:w="2240" w:type="dxa"/>
            <w:vAlign w:val="bottom"/>
            <w:gridSpan w:val="2"/>
            <w:shd w:val="clear" w:color="auto" w:fill="CCEEFF"/>
          </w:tcPr>
          <w:p>
            <w:pPr>
              <w:jc w:val="center"/>
              <w:ind w:left="972"/>
              <w:spacing w:after="0" w:line="202" w:lineRule="exact"/>
              <w:rPr>
                <w:sz w:val="20"/>
                <w:szCs w:val="20"/>
                <w:color w:val="auto"/>
              </w:rPr>
            </w:pPr>
            <w:r>
              <w:rPr>
                <w:rFonts w:ascii="Arial" w:cs="Arial" w:eastAsia="Arial" w:hAnsi="Arial"/>
                <w:sz w:val="18"/>
                <w:szCs w:val="18"/>
                <w:color w:val="auto"/>
                <w:w w:val="98"/>
              </w:rPr>
              <w:t>$600,000</w:t>
            </w:r>
          </w:p>
        </w:tc>
        <w:tc>
          <w:tcPr>
            <w:tcW w:w="2360" w:type="dxa"/>
            <w:vAlign w:val="bottom"/>
            <w:gridSpan w:val="2"/>
            <w:shd w:val="clear" w:color="auto" w:fill="CCEEFF"/>
          </w:tcPr>
          <w:p>
            <w:pPr>
              <w:jc w:val="center"/>
              <w:ind w:left="952"/>
              <w:spacing w:after="0" w:line="202" w:lineRule="exact"/>
              <w:rPr>
                <w:sz w:val="20"/>
                <w:szCs w:val="20"/>
                <w:color w:val="auto"/>
              </w:rPr>
            </w:pPr>
            <w:r>
              <w:rPr>
                <w:rFonts w:ascii="Arial" w:cs="Arial" w:eastAsia="Arial" w:hAnsi="Arial"/>
                <w:sz w:val="18"/>
                <w:szCs w:val="18"/>
                <w:color w:val="auto"/>
                <w:w w:val="95"/>
              </w:rPr>
              <w:t>$600,000</w:t>
            </w:r>
          </w:p>
        </w:tc>
        <w:tc>
          <w:tcPr>
            <w:tcW w:w="0" w:type="dxa"/>
            <w:vAlign w:val="bottom"/>
          </w:tcPr>
          <w:p>
            <w:pPr>
              <w:spacing w:after="0"/>
              <w:rPr>
                <w:sz w:val="1"/>
                <w:szCs w:val="1"/>
                <w:color w:val="auto"/>
              </w:rPr>
            </w:pPr>
          </w:p>
        </w:tc>
      </w:tr>
      <w:tr>
        <w:trPr>
          <w:trHeight w:val="305"/>
        </w:trPr>
        <w:tc>
          <w:tcPr>
            <w:tcW w:w="4080" w:type="dxa"/>
            <w:vAlign w:val="bottom"/>
          </w:tcPr>
          <w:p>
            <w:pPr>
              <w:ind w:left="100"/>
              <w:spacing w:after="0"/>
              <w:rPr>
                <w:sz w:val="20"/>
                <w:szCs w:val="20"/>
                <w:color w:val="auto"/>
              </w:rPr>
            </w:pPr>
            <w:r>
              <w:rPr>
                <w:rFonts w:ascii="Arial" w:cs="Arial" w:eastAsia="Arial" w:hAnsi="Arial"/>
                <w:sz w:val="18"/>
                <w:szCs w:val="18"/>
                <w:color w:val="auto"/>
              </w:rPr>
              <w:t>Mr. Zammit</w:t>
            </w:r>
            <w:r>
              <w:rPr>
                <w:rFonts w:ascii="Arial" w:cs="Arial" w:eastAsia="Arial" w:hAnsi="Arial"/>
                <w:sz w:val="22"/>
                <w:szCs w:val="22"/>
                <w:color w:val="auto"/>
                <w:vertAlign w:val="superscript"/>
              </w:rPr>
              <w:t>(2)</w:t>
            </w:r>
          </w:p>
        </w:tc>
        <w:tc>
          <w:tcPr>
            <w:tcW w:w="2240" w:type="dxa"/>
            <w:vAlign w:val="bottom"/>
            <w:gridSpan w:val="2"/>
          </w:tcPr>
          <w:p>
            <w:pPr>
              <w:jc w:val="center"/>
              <w:ind w:left="972"/>
              <w:spacing w:after="0"/>
              <w:rPr>
                <w:sz w:val="20"/>
                <w:szCs w:val="20"/>
                <w:color w:val="auto"/>
              </w:rPr>
            </w:pPr>
            <w:r>
              <w:rPr>
                <w:rFonts w:ascii="Arial" w:cs="Arial" w:eastAsia="Arial" w:hAnsi="Arial"/>
                <w:sz w:val="18"/>
                <w:szCs w:val="18"/>
                <w:color w:val="auto"/>
                <w:w w:val="98"/>
              </w:rPr>
              <w:t>$488,400</w:t>
            </w:r>
          </w:p>
        </w:tc>
        <w:tc>
          <w:tcPr>
            <w:tcW w:w="2360" w:type="dxa"/>
            <w:vAlign w:val="bottom"/>
            <w:gridSpan w:val="2"/>
          </w:tcPr>
          <w:p>
            <w:pPr>
              <w:jc w:val="center"/>
              <w:ind w:left="952"/>
              <w:spacing w:after="0"/>
              <w:rPr>
                <w:sz w:val="20"/>
                <w:szCs w:val="20"/>
                <w:color w:val="auto"/>
              </w:rPr>
            </w:pPr>
            <w:r>
              <w:rPr>
                <w:rFonts w:ascii="Arial" w:cs="Arial" w:eastAsia="Arial" w:hAnsi="Arial"/>
                <w:sz w:val="18"/>
                <w:szCs w:val="18"/>
                <w:color w:val="auto"/>
                <w:w w:val="95"/>
              </w:rPr>
              <w:t>$479,208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0121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 w:lineRule="exact"/>
        <w:rPr>
          <w:sz w:val="20"/>
          <w:szCs w:val="20"/>
          <w:color w:val="auto"/>
        </w:rPr>
      </w:pPr>
    </w:p>
    <w:p>
      <w:pPr>
        <w:ind w:left="800" w:right="880" w:hanging="454"/>
        <w:spacing w:after="0" w:line="269"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Amelio’s annual salary was $850,000 from July 11, 2016, through December 31, 2016. His annual salary was increased to $1,000,000 on January 1, 2017.</w:t>
      </w:r>
    </w:p>
    <w:p>
      <w:pPr>
        <w:spacing w:after="0" w:line="22" w:lineRule="exact"/>
        <w:rPr>
          <w:rFonts w:ascii="Arial" w:cs="Arial" w:eastAsia="Arial" w:hAnsi="Arial"/>
          <w:sz w:val="18"/>
          <w:szCs w:val="18"/>
          <w:color w:val="auto"/>
        </w:rPr>
      </w:pPr>
    </w:p>
    <w:p>
      <w:pPr>
        <w:ind w:left="800" w:right="340" w:hanging="454"/>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For purposes of this CD&amp;A, when discussing Mr. Zammit’s cash compensation for 2017, the Company assumed an exchange rate of $1.09 to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1.00, and an exchange rate of $1.11 to </w:t>
      </w:r>
      <w:r>
        <w:rPr>
          <w:rFonts w:ascii="Times New Roman" w:cs="Times New Roman" w:eastAsia="Times New Roman" w:hAnsi="Times New Roman"/>
          <w:sz w:val="18"/>
          <w:szCs w:val="18"/>
          <w:color w:val="auto"/>
        </w:rPr>
        <w:t>€</w:t>
      </w:r>
      <w:r>
        <w:rPr>
          <w:rFonts w:ascii="Arial" w:cs="Arial" w:eastAsia="Arial" w:hAnsi="Arial"/>
          <w:sz w:val="18"/>
          <w:szCs w:val="18"/>
          <w:color w:val="auto"/>
        </w:rPr>
        <w:t>1.00 for 2016.</w:t>
      </w:r>
    </w:p>
    <w:p>
      <w:pPr>
        <w:spacing w:after="0" w:line="3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generally implements base pay increases for executive officers on a fiscal year basis, with occasional mid-year increases to reflect a promotion, changing circumstances, or the addition of experience or responsibilities. In determining increases to base salaries, the Compensation Committee considered the benchmarking data, the NEO’s experience in the position and the long-term performance of the individual NEO. Due to the Company’s operating profit performance in fiscal 2016, the Compensation Committee decided to keep executives’ salaries flat year-over-year with the exception of Mr. Amelio, whose salary was increased during the year to reflect his appointment to CEO from interim CEO.</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Executive officers are eligible to receive annual cash incentive compensation pursuant to the Executive Incentive Plan (the “Incentive Plan”) based on the financial performance of the Company and, where appropriate, the business unit for which the executive officer has direct responsibility. In addition, a portion of the annual cash incentive opportunity is tied to individual performance against pre-established strategic goals. For fiscal 2017, 80% of each NEO’s target annual cash incentive related to financial goals and 20% related to individual performance goals, with the exception of Mr. Amelio. For the first half of fiscal 2017, Mr. Amelio’s target annual cash incentive was related to individual performance goals. For the second half of fiscal 2017, Mr. Amelio’s target annual cash incentive was calculated in the same manner as the other NEOs.</w:t>
      </w:r>
    </w:p>
    <w:p>
      <w:pPr>
        <w:spacing w:after="0" w:line="1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fiscal 2017, payouts to the NEOs for performance related to the Incentive Plan ranged from 65% to 89% of target annual incentive opportunity based on the financial results outlined below and based on the Compensation Committee’s assessment of each NEO’s performance relative to their respective strategic initiatives:</w:t>
      </w:r>
    </w:p>
    <w:p>
      <w:pPr>
        <w:spacing w:after="0" w:line="3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after tax, as defined below (“NIAT”), was $395.6 million;</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 margin was 3.66%;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income before tax, as defined below (“NIBT”), for EM (including PF) and TS was $699.1 million and $126.2 million, respectively; and</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 margin for EM (including PF) and TS was 4.29% and 2.68%,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target annual cash incentive compensation for fiscal 2016 and fiscal 2017 for the NEOs is set forth in the following table:</w:t>
      </w:r>
    </w:p>
    <w:p>
      <w:pPr>
        <w:spacing w:after="0" w:line="75"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NEO</w:t>
            </w:r>
          </w:p>
        </w:tc>
        <w:tc>
          <w:tcPr>
            <w:tcW w:w="2580" w:type="dxa"/>
            <w:vAlign w:val="bottom"/>
          </w:tcPr>
          <w:p>
            <w:pPr>
              <w:spacing w:after="0"/>
              <w:rPr>
                <w:sz w:val="19"/>
                <w:szCs w:val="19"/>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2017</w:t>
            </w:r>
          </w:p>
        </w:tc>
      </w:tr>
      <w:tr>
        <w:trPr>
          <w:trHeight w:val="203"/>
        </w:trPr>
        <w:tc>
          <w:tcPr>
            <w:tcW w:w="3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Mr. Amelio</w:t>
            </w:r>
            <w:r>
              <w:rPr>
                <w:rFonts w:ascii="Arial" w:cs="Arial" w:eastAsia="Arial" w:hAnsi="Arial"/>
                <w:sz w:val="22"/>
                <w:szCs w:val="22"/>
                <w:color w:val="auto"/>
                <w:vertAlign w:val="superscript"/>
              </w:rPr>
              <w:t>(1)</w:t>
            </w:r>
          </w:p>
        </w:tc>
        <w:tc>
          <w:tcPr>
            <w:tcW w:w="2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1,298,764</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Mr. Moriarty</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650,000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650,000</w:t>
            </w:r>
          </w:p>
        </w:tc>
      </w:tr>
      <w:tr>
        <w:trPr>
          <w:trHeight w:val="203"/>
        </w:trPr>
        <w:tc>
          <w:tcPr>
            <w:tcW w:w="3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Mr. Bartolotta</w:t>
            </w:r>
            <w:r>
              <w:rPr>
                <w:rFonts w:ascii="Arial" w:cs="Arial" w:eastAsia="Arial" w:hAnsi="Arial"/>
                <w:sz w:val="22"/>
                <w:szCs w:val="22"/>
                <w:color w:val="auto"/>
                <w:vertAlign w:val="superscript"/>
              </w:rPr>
              <w:t>(2)</w:t>
            </w:r>
          </w:p>
        </w:tc>
        <w:tc>
          <w:tcPr>
            <w:tcW w:w="2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380,769</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Ms. Miller</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410,000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410,000</w:t>
            </w:r>
          </w:p>
        </w:tc>
      </w:tr>
      <w:tr>
        <w:trPr>
          <w:trHeight w:val="203"/>
        </w:trPr>
        <w:tc>
          <w:tcPr>
            <w:tcW w:w="3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Mr. O’Neill</w:t>
            </w:r>
            <w:r>
              <w:rPr>
                <w:rFonts w:ascii="Arial" w:cs="Arial" w:eastAsia="Arial" w:hAnsi="Arial"/>
                <w:sz w:val="22"/>
                <w:szCs w:val="22"/>
                <w:color w:val="auto"/>
                <w:vertAlign w:val="superscript"/>
              </w:rPr>
              <w:t>(3)</w:t>
            </w:r>
          </w:p>
        </w:tc>
        <w:tc>
          <w:tcPr>
            <w:tcW w:w="2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282,692</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Mr. Hamada</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1,500,000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600,000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600,000</w:t>
            </w:r>
          </w:p>
        </w:tc>
      </w:tr>
      <w:tr>
        <w:trPr>
          <w:trHeight w:val="305"/>
        </w:trPr>
        <w:tc>
          <w:tcPr>
            <w:tcW w:w="3620" w:type="dxa"/>
            <w:vAlign w:val="bottom"/>
          </w:tcPr>
          <w:p>
            <w:pPr>
              <w:spacing w:after="0"/>
              <w:rPr>
                <w:sz w:val="20"/>
                <w:szCs w:val="20"/>
                <w:color w:val="auto"/>
              </w:rPr>
            </w:pPr>
            <w:r>
              <w:rPr>
                <w:rFonts w:ascii="Arial" w:cs="Arial" w:eastAsia="Arial" w:hAnsi="Arial"/>
                <w:sz w:val="18"/>
                <w:szCs w:val="18"/>
                <w:color w:val="auto"/>
              </w:rPr>
              <w:t>Mr. Zammit</w:t>
            </w:r>
            <w:r>
              <w:rPr>
                <w:rFonts w:ascii="Arial" w:cs="Arial" w:eastAsia="Arial" w:hAnsi="Arial"/>
                <w:sz w:val="22"/>
                <w:szCs w:val="22"/>
                <w:color w:val="auto"/>
                <w:vertAlign w:val="superscript"/>
              </w:rPr>
              <w:t>(4)</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488,400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60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8" w:lineRule="exact"/>
        <w:rPr>
          <w:sz w:val="20"/>
          <w:szCs w:val="20"/>
          <w:color w:val="auto"/>
        </w:rPr>
      </w:pPr>
    </w:p>
    <w:p>
      <w:pPr>
        <w:ind w:left="800" w:right="160" w:hanging="454"/>
        <w:spacing w:after="0" w:line="252"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Amelio’s annual cash incentive target was 100% of his base from July 11, 2016, to August 31, 2016. Mr. Amelio’s annual cash incentive target was increased to 150% of base salary beginning September 1, 2016, consistent with his confirmation as CEO. Amount shown in the table is prorated to reflect these changes.</w:t>
      </w:r>
    </w:p>
    <w:p>
      <w:pPr>
        <w:spacing w:after="0" w:line="36" w:lineRule="exact"/>
        <w:rPr>
          <w:rFonts w:ascii="Arial" w:cs="Arial" w:eastAsia="Arial" w:hAnsi="Arial"/>
          <w:sz w:val="18"/>
          <w:szCs w:val="18"/>
          <w:color w:val="auto"/>
        </w:rPr>
      </w:pPr>
    </w:p>
    <w:p>
      <w:pPr>
        <w:ind w:left="800" w:right="440" w:hanging="454"/>
        <w:spacing w:after="0" w:line="26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Bartolotta’s annual cash incentive target is 100% of base salary. Amount shown in the table is prorated to reflect his hire date of October 24, 2016.</w:t>
      </w:r>
    </w:p>
    <w:p>
      <w:pPr>
        <w:spacing w:after="0" w:line="22" w:lineRule="exact"/>
        <w:rPr>
          <w:rFonts w:ascii="Arial" w:cs="Arial" w:eastAsia="Arial" w:hAnsi="Arial"/>
          <w:sz w:val="18"/>
          <w:szCs w:val="18"/>
          <w:color w:val="auto"/>
        </w:rPr>
      </w:pPr>
    </w:p>
    <w:p>
      <w:pPr>
        <w:ind w:left="800" w:right="760" w:hanging="454"/>
        <w:spacing w:after="0" w:line="26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O’Neill’s annual cash incentive target is 75% of base salary. Amount shown in the table is prorated to reflect his hire date of September 27, 2016.</w:t>
      </w:r>
    </w:p>
    <w:p>
      <w:pPr>
        <w:spacing w:after="0" w:line="22" w:lineRule="exact"/>
        <w:rPr>
          <w:rFonts w:ascii="Arial" w:cs="Arial" w:eastAsia="Arial" w:hAnsi="Arial"/>
          <w:sz w:val="18"/>
          <w:szCs w:val="18"/>
          <w:color w:val="auto"/>
        </w:rPr>
      </w:pPr>
    </w:p>
    <w:p>
      <w:pPr>
        <w:ind w:left="800" w:right="20" w:hanging="454"/>
        <w:spacing w:after="0" w:line="26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Zammit’s annual cash incentive target is 100% of base salary. Amount shown in the table is prorated to reflect his termination date of February 27, 2017.</w:t>
      </w:r>
    </w:p>
    <w:p>
      <w:pPr>
        <w:spacing w:after="0" w:line="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u w:val="single" w:color="auto"/>
          <w:color w:val="auto"/>
        </w:rPr>
        <w:t>Financial Performance Goals</w:t>
      </w:r>
      <w:r>
        <w:rPr>
          <w:rFonts w:ascii="Arial" w:cs="Arial" w:eastAsia="Arial" w:hAnsi="Arial"/>
          <w:sz w:val="18"/>
          <w:szCs w:val="18"/>
          <w:color w:val="auto"/>
        </w:rPr>
        <w:t>. Financial performance goals are reviewed in conjunction with the Company’s budget for the upcoming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When determining the budget, the Board seeks to ensure that it is fair, challenging and forward-looking, without encouraging excessive risk-taking. Additionally, when determining the fiscal 2017 budget, the Board considered the Company’s results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317" w:lineRule="auto"/>
        <w:rPr>
          <w:sz w:val="20"/>
          <w:szCs w:val="20"/>
          <w:color w:val="auto"/>
        </w:rPr>
      </w:pPr>
      <w:r>
        <w:rPr>
          <w:rFonts w:ascii="Arial" w:cs="Arial" w:eastAsia="Arial" w:hAnsi="Arial"/>
          <w:sz w:val="16"/>
          <w:szCs w:val="16"/>
          <w:color w:val="auto"/>
        </w:rPr>
        <w:t>fiscal 2016, projected growth and the operating environment as projected by industry analysts. At its August meeting, the Compensation Committee or the Board, as appropriate, finalized the financial goals and the target cash incentive compensation relating to such financial goals.</w:t>
      </w:r>
    </w:p>
    <w:p>
      <w:pPr>
        <w:ind w:right="220"/>
        <w:spacing w:after="0" w:line="287" w:lineRule="auto"/>
        <w:rPr>
          <w:sz w:val="20"/>
          <w:szCs w:val="20"/>
          <w:color w:val="auto"/>
        </w:rPr>
      </w:pPr>
      <w:r>
        <w:rPr>
          <w:rFonts w:ascii="Arial" w:cs="Arial" w:eastAsia="Arial" w:hAnsi="Arial"/>
          <w:sz w:val="16"/>
          <w:szCs w:val="16"/>
          <w:color w:val="auto"/>
        </w:rPr>
        <w:t>Company-wide performance goals are based on the percentage achievement of Avnet’s fiscal 2017 net income after tax, excluding certain items (“NIAT”), and adjusted operating income margin (“OI Margin”). Operating group performance goals are based upon the achievement of the applicable operating group’s fiscal 2017 net income before tax, excluding certain items (“NIBT”), and OI Margin with respect to the applicable operating group. These measures were selected to drive profitable growth. Corporate and business unit goals by NEO are discussed below:</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gridSpan w:val="4"/>
          </w:tcPr>
          <w:p>
            <w:pPr>
              <w:jc w:val="right"/>
              <w:ind w:right="1340"/>
              <w:spacing w:after="0"/>
              <w:rPr>
                <w:sz w:val="20"/>
                <w:szCs w:val="20"/>
                <w:color w:val="auto"/>
              </w:rPr>
            </w:pPr>
            <w:r>
              <w:rPr>
                <w:rFonts w:ascii="Arial" w:cs="Arial" w:eastAsia="Arial" w:hAnsi="Arial"/>
                <w:sz w:val="18"/>
                <w:szCs w:val="18"/>
                <w:b w:val="1"/>
                <w:bCs w:val="1"/>
                <w:color w:val="auto"/>
                <w:w w:val="95"/>
              </w:rPr>
              <w:t>Corporate</w:t>
            </w:r>
          </w:p>
        </w:tc>
        <w:tc>
          <w:tcPr>
            <w:tcW w:w="440" w:type="dxa"/>
            <w:vAlign w:val="bottom"/>
          </w:tcPr>
          <w:p>
            <w:pPr>
              <w:spacing w:after="0"/>
              <w:rPr>
                <w:sz w:val="19"/>
                <w:szCs w:val="19"/>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w w:val="96"/>
              </w:rPr>
              <w:t>Business Unit</w:t>
            </w:r>
          </w:p>
        </w:tc>
        <w:tc>
          <w:tcPr>
            <w:tcW w:w="0" w:type="dxa"/>
            <w:vAlign w:val="bottom"/>
          </w:tcPr>
          <w:p>
            <w:pPr>
              <w:spacing w:after="0"/>
              <w:rPr>
                <w:sz w:val="1"/>
                <w:szCs w:val="1"/>
                <w:color w:val="auto"/>
              </w:rPr>
            </w:pPr>
          </w:p>
        </w:tc>
      </w:tr>
      <w:tr>
        <w:trPr>
          <w:trHeight w:val="196"/>
        </w:trPr>
        <w:tc>
          <w:tcPr>
            <w:tcW w:w="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7"/>
              </w:rPr>
              <w:t>Executive</w:t>
            </w:r>
          </w:p>
        </w:tc>
        <w:tc>
          <w:tcPr>
            <w:tcW w:w="1320" w:type="dxa"/>
            <w:vAlign w:val="bottom"/>
          </w:tcPr>
          <w:p>
            <w:pPr>
              <w:spacing w:after="0"/>
              <w:rPr>
                <w:sz w:val="17"/>
                <w:szCs w:val="17"/>
                <w:color w:val="auto"/>
              </w:rPr>
            </w:pPr>
          </w:p>
        </w:tc>
        <w:tc>
          <w:tcPr>
            <w:tcW w:w="2460" w:type="dxa"/>
            <w:vAlign w:val="bottom"/>
            <w:gridSpan w:val="2"/>
          </w:tcPr>
          <w:p>
            <w:pPr>
              <w:jc w:val="right"/>
              <w:ind w:right="560"/>
              <w:spacing w:after="0" w:line="196" w:lineRule="exact"/>
              <w:rPr>
                <w:sz w:val="20"/>
                <w:szCs w:val="20"/>
                <w:color w:val="auto"/>
              </w:rPr>
            </w:pPr>
            <w:r>
              <w:rPr>
                <w:rFonts w:ascii="Arial" w:cs="Arial" w:eastAsia="Arial" w:hAnsi="Arial"/>
                <w:sz w:val="18"/>
                <w:szCs w:val="18"/>
                <w:b w:val="1"/>
                <w:bCs w:val="1"/>
                <w:color w:val="auto"/>
                <w:w w:val="97"/>
              </w:rPr>
              <w:t>Financial Performance</w:t>
            </w:r>
          </w:p>
        </w:tc>
        <w:tc>
          <w:tcPr>
            <w:tcW w:w="5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NIAT</w:t>
            </w: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OI</w:t>
            </w:r>
          </w:p>
        </w:tc>
        <w:tc>
          <w:tcPr>
            <w:tcW w:w="1320" w:type="dxa"/>
            <w:vAlign w:val="bottom"/>
            <w:gridSpan w:val="2"/>
          </w:tcPr>
          <w:p>
            <w:pPr>
              <w:jc w:val="right"/>
              <w:ind w:right="820"/>
              <w:spacing w:after="0" w:line="196" w:lineRule="exact"/>
              <w:rPr>
                <w:sz w:val="20"/>
                <w:szCs w:val="20"/>
                <w:color w:val="auto"/>
              </w:rPr>
            </w:pPr>
            <w:r>
              <w:rPr>
                <w:rFonts w:ascii="Arial" w:cs="Arial" w:eastAsia="Arial" w:hAnsi="Arial"/>
                <w:sz w:val="18"/>
                <w:szCs w:val="18"/>
                <w:b w:val="1"/>
                <w:bCs w:val="1"/>
                <w:color w:val="auto"/>
                <w:w w:val="81"/>
              </w:rPr>
              <w:t>Margin</w:t>
            </w:r>
          </w:p>
        </w:tc>
        <w:tc>
          <w:tcPr>
            <w:tcW w:w="4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5"/>
              </w:rPr>
              <w:t>NIBT</w:t>
            </w:r>
          </w:p>
        </w:tc>
        <w:tc>
          <w:tcPr>
            <w:tcW w:w="8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w w:val="83"/>
              </w:rPr>
              <w:t>OI</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6"/>
              </w:rPr>
              <w:t>Margin</w:t>
            </w:r>
          </w:p>
        </w:tc>
        <w:tc>
          <w:tcPr>
            <w:tcW w:w="0" w:type="dxa"/>
            <w:vAlign w:val="bottom"/>
          </w:tcPr>
          <w:p>
            <w:pPr>
              <w:spacing w:after="0"/>
              <w:rPr>
                <w:sz w:val="1"/>
                <w:szCs w:val="1"/>
                <w:color w:val="auto"/>
              </w:rPr>
            </w:pPr>
          </w:p>
        </w:tc>
      </w:tr>
      <w:tr>
        <w:trPr>
          <w:trHeight w:val="20"/>
        </w:trPr>
        <w:tc>
          <w:tcPr>
            <w:tcW w:w="2160" w:type="dxa"/>
            <w:vAlign w:val="bottom"/>
            <w:gridSpan w:val="2"/>
            <w:vMerge w:val="restart"/>
            <w:shd w:val="clear" w:color="auto" w:fill="CCEEFF"/>
          </w:tcPr>
          <w:p>
            <w:pPr>
              <w:spacing w:after="0" w:line="209" w:lineRule="exact"/>
              <w:rPr>
                <w:sz w:val="20"/>
                <w:szCs w:val="20"/>
                <w:color w:val="auto"/>
              </w:rPr>
            </w:pPr>
            <w:r>
              <w:rPr>
                <w:rFonts w:ascii="Arial" w:cs="Arial" w:eastAsia="Arial" w:hAnsi="Arial"/>
                <w:sz w:val="18"/>
                <w:szCs w:val="18"/>
                <w:color w:val="auto"/>
              </w:rPr>
              <w:t>Mr. Amelio</w:t>
            </w:r>
            <w:r>
              <w:rPr>
                <w:rFonts w:ascii="Arial" w:cs="Arial" w:eastAsia="Arial" w:hAnsi="Arial"/>
                <w:sz w:val="22"/>
                <w:szCs w:val="22"/>
                <w:color w:val="auto"/>
                <w:vertAlign w:val="superscript"/>
              </w:rPr>
              <w:t>(1)</w:t>
            </w:r>
          </w:p>
        </w:tc>
        <w:tc>
          <w:tcPr>
            <w:tcW w:w="19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60" w:type="dxa"/>
            <w:vAlign w:val="bottom"/>
            <w:gridSpan w:val="2"/>
            <w:vMerge w:val="continue"/>
            <w:shd w:val="clear" w:color="auto" w:fill="CCEEFF"/>
          </w:tcPr>
          <w:p>
            <w:pPr>
              <w:spacing w:after="0"/>
              <w:rPr>
                <w:sz w:val="16"/>
                <w:szCs w:val="16"/>
                <w:color w:val="auto"/>
              </w:rPr>
            </w:pPr>
          </w:p>
        </w:tc>
        <w:tc>
          <w:tcPr>
            <w:tcW w:w="2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60%</w:t>
            </w:r>
          </w:p>
        </w:tc>
        <w:tc>
          <w:tcPr>
            <w:tcW w:w="8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64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40%</w:t>
            </w:r>
          </w:p>
        </w:tc>
        <w:tc>
          <w:tcPr>
            <w:tcW w:w="4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24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80%</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17"/>
                <w:szCs w:val="17"/>
                <w:color w:val="auto"/>
              </w:rPr>
            </w:pPr>
          </w:p>
        </w:tc>
        <w:tc>
          <w:tcPr>
            <w:tcW w:w="218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40%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0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Bartolotta</w:t>
            </w:r>
          </w:p>
        </w:tc>
        <w:tc>
          <w:tcPr>
            <w:tcW w:w="2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60%</w:t>
            </w:r>
          </w:p>
        </w:tc>
        <w:tc>
          <w:tcPr>
            <w:tcW w:w="80" w:type="dxa"/>
            <w:vAlign w:val="bottom"/>
            <w:shd w:val="clear" w:color="auto" w:fill="CCEEFF"/>
          </w:tcPr>
          <w:p>
            <w:pPr>
              <w:spacing w:after="0"/>
              <w:rPr>
                <w:sz w:val="17"/>
                <w:szCs w:val="17"/>
                <w:color w:val="auto"/>
              </w:rPr>
            </w:pPr>
          </w:p>
        </w:tc>
        <w:tc>
          <w:tcPr>
            <w:tcW w:w="2180" w:type="dxa"/>
            <w:vAlign w:val="bottom"/>
            <w:gridSpan w:val="4"/>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40%</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Ms. Miller</w:t>
            </w:r>
          </w:p>
        </w:tc>
        <w:tc>
          <w:tcPr>
            <w:tcW w:w="24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80%</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17"/>
                <w:szCs w:val="17"/>
                <w:color w:val="auto"/>
              </w:rPr>
            </w:pPr>
          </w:p>
        </w:tc>
        <w:tc>
          <w:tcPr>
            <w:tcW w:w="218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40%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0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O’Neill</w:t>
            </w:r>
          </w:p>
        </w:tc>
        <w:tc>
          <w:tcPr>
            <w:tcW w:w="2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60%</w:t>
            </w:r>
          </w:p>
        </w:tc>
        <w:tc>
          <w:tcPr>
            <w:tcW w:w="80" w:type="dxa"/>
            <w:vAlign w:val="bottom"/>
            <w:shd w:val="clear" w:color="auto" w:fill="CCEEFF"/>
          </w:tcPr>
          <w:p>
            <w:pPr>
              <w:spacing w:after="0"/>
              <w:rPr>
                <w:sz w:val="17"/>
                <w:szCs w:val="17"/>
                <w:color w:val="auto"/>
              </w:rPr>
            </w:pPr>
          </w:p>
        </w:tc>
        <w:tc>
          <w:tcPr>
            <w:tcW w:w="2180" w:type="dxa"/>
            <w:vAlign w:val="bottom"/>
            <w:gridSpan w:val="4"/>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40%</w:t>
            </w:r>
          </w:p>
        </w:tc>
        <w:tc>
          <w:tcPr>
            <w:tcW w:w="4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Mr. Hamada</w:t>
            </w:r>
          </w:p>
        </w:tc>
        <w:tc>
          <w:tcPr>
            <w:tcW w:w="24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100%</w:t>
            </w:r>
          </w:p>
        </w:tc>
        <w:tc>
          <w:tcPr>
            <w:tcW w:w="420" w:type="dxa"/>
            <w:vAlign w:val="bottom"/>
          </w:tcPr>
          <w:p>
            <w:pPr>
              <w:ind w:left="40"/>
              <w:spacing w:after="0" w:line="202" w:lineRule="exact"/>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17"/>
                <w:szCs w:val="17"/>
                <w:color w:val="auto"/>
              </w:rPr>
            </w:pPr>
          </w:p>
        </w:tc>
        <w:tc>
          <w:tcPr>
            <w:tcW w:w="218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40%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0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24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30%</w:t>
            </w:r>
          </w:p>
        </w:tc>
        <w:tc>
          <w:tcPr>
            <w:tcW w:w="80" w:type="dxa"/>
            <w:vAlign w:val="bottom"/>
            <w:shd w:val="clear" w:color="auto" w:fill="CCEEFF"/>
          </w:tcPr>
          <w:p>
            <w:pPr>
              <w:spacing w:after="0"/>
              <w:rPr>
                <w:sz w:val="17"/>
                <w:szCs w:val="17"/>
                <w:color w:val="auto"/>
              </w:rPr>
            </w:pPr>
          </w:p>
        </w:tc>
        <w:tc>
          <w:tcPr>
            <w:tcW w:w="2180" w:type="dxa"/>
            <w:vAlign w:val="bottom"/>
            <w:gridSpan w:val="4"/>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30%</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8"/>
                <w:szCs w:val="18"/>
                <w:color w:val="auto"/>
              </w:rPr>
              <w:t>Mr. Zammit</w:t>
            </w:r>
          </w:p>
        </w:tc>
        <w:tc>
          <w:tcPr>
            <w:tcW w:w="246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420" w:type="dxa"/>
            <w:vAlign w:val="bottom"/>
          </w:tcPr>
          <w:p>
            <w:pPr>
              <w:ind w:left="40"/>
              <w:spacing w:after="0"/>
              <w:rPr>
                <w:sz w:val="20"/>
                <w:szCs w:val="20"/>
                <w:color w:val="auto"/>
              </w:rPr>
            </w:pPr>
            <w:r>
              <w:rPr>
                <w:rFonts w:ascii="Arial" w:cs="Arial" w:eastAsia="Arial" w:hAnsi="Arial"/>
                <w:sz w:val="18"/>
                <w:szCs w:val="18"/>
                <w:color w:val="auto"/>
                <w:w w:val="99"/>
              </w:rPr>
              <w:t>18%</w:t>
            </w:r>
          </w:p>
        </w:tc>
        <w:tc>
          <w:tcPr>
            <w:tcW w:w="80" w:type="dxa"/>
            <w:vAlign w:val="bottom"/>
          </w:tcPr>
          <w:p>
            <w:pPr>
              <w:spacing w:after="0"/>
              <w:rPr>
                <w:sz w:val="20"/>
                <w:szCs w:val="20"/>
                <w:color w:val="auto"/>
              </w:rPr>
            </w:pPr>
          </w:p>
        </w:tc>
        <w:tc>
          <w:tcPr>
            <w:tcW w:w="2180" w:type="dxa"/>
            <w:vAlign w:val="bottom"/>
            <w:gridSpan w:val="4"/>
          </w:tcPr>
          <w:p>
            <w:pPr>
              <w:jc w:val="right"/>
              <w:ind w:right="66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592"/>
              <w:spacing w:after="0"/>
              <w:rPr>
                <w:sz w:val="20"/>
                <w:szCs w:val="20"/>
                <w:color w:val="auto"/>
              </w:rPr>
            </w:pPr>
            <w:r>
              <w:rPr>
                <w:rFonts w:ascii="Arial" w:cs="Arial" w:eastAsia="Arial" w:hAnsi="Arial"/>
                <w:sz w:val="18"/>
                <w:szCs w:val="18"/>
                <w:color w:val="auto"/>
              </w:rPr>
              <w:t>42%</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46990</wp:posOffset>
            </wp:positionV>
            <wp:extent cx="5060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75" w:lineRule="exact"/>
        <w:rPr>
          <w:sz w:val="20"/>
          <w:szCs w:val="20"/>
          <w:color w:val="auto"/>
        </w:rPr>
      </w:pPr>
    </w:p>
    <w:p>
      <w:pPr>
        <w:ind w:left="1360" w:hanging="44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goals were applied to Mr. Amelio’s second half of the year annual cash incentive calculation.</w:t>
      </w:r>
    </w:p>
    <w:p>
      <w:pPr>
        <w:spacing w:after="0" w:line="7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During the fiscal year, the Company acquired Premier Farnell and sold the TS business. As a result, the original fiscal 2017 performance goals were updated and approved by the Compensation Committee to reflect these changes. Premier Farnell was added for the second half of the year to the Avnet and EM goals and TS was removed from the Avnet full year goal as it was deemed a discontinued operation. TS goals were adjusted to exclude the post-sale portion of the goals. A summary of the original and modified financial performance goals for fiscal 2017 is presented in the table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80" w:type="dxa"/>
            <w:vAlign w:val="bottom"/>
            <w:gridSpan w:val="3"/>
          </w:tcPr>
          <w:p>
            <w:pPr>
              <w:ind w:left="2080"/>
              <w:spacing w:after="0"/>
              <w:rPr>
                <w:sz w:val="20"/>
                <w:szCs w:val="20"/>
                <w:color w:val="auto"/>
              </w:rPr>
            </w:pPr>
            <w:r>
              <w:rPr>
                <w:rFonts w:ascii="Arial" w:cs="Arial" w:eastAsia="Arial" w:hAnsi="Arial"/>
                <w:sz w:val="18"/>
                <w:szCs w:val="18"/>
                <w:b w:val="1"/>
                <w:bCs w:val="1"/>
                <w:color w:val="auto"/>
              </w:rPr>
              <w:t>Original Incentive Performance Goals</w:t>
            </w: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3"/>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w w:val="98"/>
              </w:rPr>
              <w:t>Company/Business Unit</w:t>
            </w:r>
          </w:p>
        </w:tc>
        <w:tc>
          <w:tcPr>
            <w:tcW w:w="3560" w:type="dxa"/>
            <w:vAlign w:val="bottom"/>
          </w:tcPr>
          <w:p>
            <w:pPr>
              <w:spacing w:after="0"/>
              <w:rPr>
                <w:sz w:val="19"/>
                <w:szCs w:val="19"/>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NIAT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000s)</w:t>
            </w: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w w:val="95"/>
              </w:rPr>
              <w:t xml:space="preserve">NIBT </w:t>
            </w: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000s)</w:t>
            </w:r>
          </w:p>
        </w:tc>
        <w:tc>
          <w:tcPr>
            <w:tcW w:w="10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6"/>
              </w:rPr>
              <w:t>OI Margin</w:t>
            </w:r>
          </w:p>
        </w:tc>
      </w:tr>
      <w:tr>
        <w:trPr>
          <w:trHeight w:val="196"/>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Avnet</w:t>
            </w:r>
          </w:p>
        </w:tc>
        <w:tc>
          <w:tcPr>
            <w:tcW w:w="35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$585.2</w:t>
            </w:r>
          </w:p>
        </w:tc>
        <w:tc>
          <w:tcPr>
            <w:tcW w:w="10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3.68%</w:t>
            </w:r>
          </w:p>
        </w:tc>
      </w:tr>
      <w:tr>
        <w:trPr>
          <w:trHeight w:val="203"/>
        </w:trPr>
        <w:tc>
          <w:tcPr>
            <w:tcW w:w="20" w:type="dxa"/>
            <w:vAlign w:val="bottom"/>
          </w:tcPr>
          <w:p>
            <w:pPr>
              <w:spacing w:after="0"/>
              <w:rPr>
                <w:sz w:val="17"/>
                <w:szCs w:val="17"/>
                <w:color w:val="auto"/>
              </w:rPr>
            </w:pPr>
          </w:p>
        </w:tc>
        <w:tc>
          <w:tcPr>
            <w:tcW w:w="2040" w:type="dxa"/>
            <w:vAlign w:val="bottom"/>
          </w:tcPr>
          <w:p>
            <w:pPr>
              <w:spacing w:after="0" w:line="202" w:lineRule="exact"/>
              <w:rPr>
                <w:sz w:val="20"/>
                <w:szCs w:val="20"/>
                <w:color w:val="auto"/>
              </w:rPr>
            </w:pPr>
            <w:r>
              <w:rPr>
                <w:rFonts w:ascii="Arial" w:cs="Arial" w:eastAsia="Arial" w:hAnsi="Arial"/>
                <w:sz w:val="18"/>
                <w:szCs w:val="18"/>
                <w:color w:val="auto"/>
              </w:rPr>
              <w:t>EM</w:t>
            </w:r>
          </w:p>
        </w:tc>
        <w:tc>
          <w:tcPr>
            <w:tcW w:w="4640" w:type="dxa"/>
            <w:vAlign w:val="bottom"/>
            <w:gridSpan w:val="2"/>
          </w:tcPr>
          <w:p>
            <w:pPr>
              <w:jc w:val="center"/>
              <w:ind w:left="3492"/>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$787.9</w:t>
            </w:r>
          </w:p>
        </w:tc>
        <w:tc>
          <w:tcPr>
            <w:tcW w:w="2600" w:type="dxa"/>
            <w:vAlign w:val="bottom"/>
            <w:gridSpan w:val="2"/>
          </w:tcPr>
          <w:p>
            <w:pPr>
              <w:jc w:val="center"/>
              <w:ind w:left="972"/>
              <w:spacing w:after="0" w:line="202" w:lineRule="exact"/>
              <w:rPr>
                <w:sz w:val="20"/>
                <w:szCs w:val="20"/>
                <w:color w:val="auto"/>
              </w:rPr>
            </w:pPr>
            <w:r>
              <w:rPr>
                <w:rFonts w:ascii="Arial" w:cs="Arial" w:eastAsia="Arial" w:hAnsi="Arial"/>
                <w:sz w:val="18"/>
                <w:szCs w:val="18"/>
                <w:color w:val="auto"/>
                <w:w w:val="97"/>
              </w:rPr>
              <w:t>4.84%</w:t>
            </w: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4640" w:type="dxa"/>
            <w:vAlign w:val="bottom"/>
            <w:gridSpan w:val="2"/>
            <w:shd w:val="clear" w:color="auto" w:fill="CCEEFF"/>
          </w:tcPr>
          <w:p>
            <w:pPr>
              <w:jc w:val="center"/>
              <w:ind w:left="3492"/>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$265.1</w:t>
            </w:r>
          </w:p>
        </w:tc>
        <w:tc>
          <w:tcPr>
            <w:tcW w:w="2600" w:type="dxa"/>
            <w:vAlign w:val="bottom"/>
            <w:gridSpan w:val="2"/>
            <w:shd w:val="clear" w:color="auto" w:fill="CCEEFF"/>
          </w:tcPr>
          <w:p>
            <w:pPr>
              <w:jc w:val="center"/>
              <w:ind w:left="972"/>
              <w:spacing w:after="0" w:line="202" w:lineRule="exact"/>
              <w:rPr>
                <w:sz w:val="20"/>
                <w:szCs w:val="20"/>
                <w:color w:val="auto"/>
              </w:rPr>
            </w:pPr>
            <w:r>
              <w:rPr>
                <w:rFonts w:ascii="Arial" w:cs="Arial" w:eastAsia="Arial" w:hAnsi="Arial"/>
                <w:sz w:val="18"/>
                <w:szCs w:val="18"/>
                <w:color w:val="auto"/>
                <w:w w:val="97"/>
              </w:rPr>
              <w:t>3.17%</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40" w:type="dxa"/>
            <w:vAlign w:val="bottom"/>
            <w:gridSpan w:val="3"/>
          </w:tcPr>
          <w:p>
            <w:pPr>
              <w:ind w:left="2040"/>
              <w:spacing w:after="0"/>
              <w:rPr>
                <w:sz w:val="20"/>
                <w:szCs w:val="20"/>
                <w:color w:val="auto"/>
              </w:rPr>
            </w:pPr>
            <w:r>
              <w:rPr>
                <w:rFonts w:ascii="Arial" w:cs="Arial" w:eastAsia="Arial" w:hAnsi="Arial"/>
                <w:sz w:val="18"/>
                <w:szCs w:val="18"/>
                <w:b w:val="1"/>
                <w:bCs w:val="1"/>
                <w:color w:val="auto"/>
              </w:rPr>
              <w:t>Modified Incentive Performance Goals</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w w:val="98"/>
              </w:rPr>
              <w:t>Company/Business Unit</w:t>
            </w:r>
          </w:p>
        </w:tc>
        <w:tc>
          <w:tcPr>
            <w:tcW w:w="354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NIAT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000s)</w:t>
            </w: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w w:val="95"/>
              </w:rPr>
              <w:t xml:space="preserve">NIBT </w:t>
            </w: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000s)</w:t>
            </w:r>
          </w:p>
        </w:tc>
        <w:tc>
          <w:tcPr>
            <w:tcW w:w="1040" w:type="dxa"/>
            <w:vAlign w:val="bottom"/>
          </w:tcPr>
          <w:p>
            <w:pPr>
              <w:spacing w:after="0"/>
              <w:rPr>
                <w:sz w:val="19"/>
                <w:szCs w:val="19"/>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b w:val="1"/>
                <w:bCs w:val="1"/>
                <w:color w:val="auto"/>
              </w:rPr>
              <w:t>OI Margin</w:t>
            </w:r>
          </w:p>
        </w:tc>
      </w:tr>
      <w:tr>
        <w:trPr>
          <w:trHeight w:val="196"/>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Avnet (including PF)</w:t>
            </w:r>
          </w:p>
        </w:tc>
        <w:tc>
          <w:tcPr>
            <w:tcW w:w="35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$435.0</w:t>
            </w:r>
          </w:p>
        </w:tc>
        <w:tc>
          <w:tcPr>
            <w:tcW w:w="10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line="202" w:lineRule="exact"/>
              <w:rPr>
                <w:sz w:val="20"/>
                <w:szCs w:val="20"/>
                <w:color w:val="auto"/>
              </w:rPr>
            </w:pPr>
            <w:r>
              <w:rPr>
                <w:rFonts w:ascii="Arial" w:cs="Arial" w:eastAsia="Arial" w:hAnsi="Arial"/>
                <w:sz w:val="18"/>
                <w:szCs w:val="18"/>
                <w:color w:val="auto"/>
              </w:rPr>
              <w:t>EM (including PF)</w:t>
            </w:r>
          </w:p>
        </w:tc>
        <w:tc>
          <w:tcPr>
            <w:tcW w:w="4620" w:type="dxa"/>
            <w:vAlign w:val="bottom"/>
            <w:gridSpan w:val="2"/>
          </w:tcPr>
          <w:p>
            <w:pPr>
              <w:jc w:val="center"/>
              <w:ind w:left="3456"/>
              <w:spacing w:after="0"/>
              <w:rPr>
                <w:sz w:val="20"/>
                <w:szCs w:val="20"/>
                <w:color w:val="auto"/>
              </w:rPr>
            </w:pPr>
            <w:r>
              <w:rPr>
                <w:rFonts w:ascii="Arial" w:cs="Arial" w:eastAsia="Arial" w:hAnsi="Arial"/>
                <w:sz w:val="16"/>
                <w:szCs w:val="16"/>
                <w:color w:val="auto"/>
                <w:w w:val="74"/>
              </w:rPr>
              <w:t>-</w:t>
            </w:r>
          </w:p>
        </w:tc>
        <w:tc>
          <w:tcPr>
            <w:tcW w:w="102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$809.0</w:t>
            </w:r>
          </w:p>
        </w:tc>
        <w:tc>
          <w:tcPr>
            <w:tcW w:w="2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4620" w:type="dxa"/>
            <w:vAlign w:val="bottom"/>
            <w:gridSpan w:val="2"/>
            <w:shd w:val="clear" w:color="auto" w:fill="CCEEFF"/>
          </w:tcPr>
          <w:p>
            <w:pPr>
              <w:jc w:val="center"/>
              <w:ind w:left="3456"/>
              <w:spacing w:after="0"/>
              <w:rPr>
                <w:sz w:val="20"/>
                <w:szCs w:val="20"/>
                <w:color w:val="auto"/>
              </w:rPr>
            </w:pPr>
            <w:r>
              <w:rPr>
                <w:rFonts w:ascii="Arial" w:cs="Arial" w:eastAsia="Arial" w:hAnsi="Arial"/>
                <w:sz w:val="16"/>
                <w:szCs w:val="16"/>
                <w:color w:val="auto"/>
                <w:w w:val="74"/>
              </w:rPr>
              <w:t>-</w:t>
            </w: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$157.8</w:t>
            </w:r>
          </w:p>
        </w:tc>
        <w:tc>
          <w:tcPr>
            <w:tcW w:w="2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7"/>
                <w:szCs w:val="17"/>
                <w:color w:val="auto"/>
              </w:rPr>
            </w:pPr>
          </w:p>
        </w:tc>
      </w:tr>
    </w:tbl>
    <w:p>
      <w:pPr>
        <w:spacing w:after="0" w:line="1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Performance for NIAT and NIBT is calculated based on the ratio of actual performance to the target goal. For OI Margin, performance is calculated by adding or deducting 0.5% from 100% for every 1 basis point deviation from the baseline and adding an additional 0.5% (for a total of 1.0%) for every basis point above the target. If NIAT or NIBT performance attainment is less than 100% of the target goal, each 1% change in attainment will result in a 2% change in the incentive payout; if NIAT or NIBT performance attainment is greater than 100% of the target goal, each 1% change in attainment will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result in a 4% change in the incentive payout. If OI Margin performance attainment is less than 100% of baseline, each 1% change in attainment will result in a 2% change in the incentive payout; for OI Margin attainment from baseline to target, the payout factor is linear; for OI Margin attainment greater than target, each 1% change in attainment will result in a 4% change in the incentive payout. Maximum cash incentive compensation relating to the financial performance is capped at 200% of target and no cash incentive compensation will be earned if actual performance is less than 70% of the financial target.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80" w:type="dxa"/>
            <w:vAlign w:val="bottom"/>
            <w:gridSpan w:val="3"/>
          </w:tcPr>
          <w:p>
            <w:pPr>
              <w:spacing w:after="0"/>
              <w:rPr>
                <w:sz w:val="20"/>
                <w:szCs w:val="20"/>
                <w:color w:val="auto"/>
              </w:rPr>
            </w:pPr>
            <w:r>
              <w:rPr>
                <w:rFonts w:ascii="Arial" w:cs="Arial" w:eastAsia="Arial" w:hAnsi="Arial"/>
                <w:sz w:val="18"/>
                <w:szCs w:val="18"/>
                <w:color w:val="auto"/>
              </w:rPr>
              <w:t>The table below outlines the payout ranges that apply to the financial goals.</w:t>
            </w:r>
          </w:p>
        </w:tc>
        <w:tc>
          <w:tcPr>
            <w:tcW w:w="1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Payout Range</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w w:val="99"/>
              </w:rPr>
              <w:t>Performance Level</w:t>
            </w:r>
          </w:p>
        </w:tc>
        <w:tc>
          <w:tcPr>
            <w:tcW w:w="4640" w:type="dxa"/>
            <w:vAlign w:val="bottom"/>
            <w:vMerge w:val="restart"/>
          </w:tcPr>
          <w:p>
            <w:pPr>
              <w:spacing w:after="0"/>
              <w:rPr>
                <w:sz w:val="15"/>
                <w:szCs w:val="15"/>
                <w:color w:val="auto"/>
              </w:rPr>
            </w:pPr>
          </w:p>
        </w:tc>
        <w:tc>
          <w:tcPr>
            <w:tcW w:w="1720" w:type="dxa"/>
            <w:vAlign w:val="bottom"/>
          </w:tcPr>
          <w:p>
            <w:pPr>
              <w:ind w:left="1320"/>
              <w:spacing w:after="0" w:line="176" w:lineRule="exact"/>
              <w:rPr>
                <w:sz w:val="20"/>
                <w:szCs w:val="20"/>
                <w:color w:val="auto"/>
              </w:rPr>
            </w:pPr>
            <w:r>
              <w:rPr>
                <w:rFonts w:ascii="Arial" w:cs="Arial" w:eastAsia="Arial" w:hAnsi="Arial"/>
                <w:sz w:val="18"/>
                <w:szCs w:val="18"/>
                <w:b w:val="1"/>
                <w:bCs w:val="1"/>
                <w:color w:val="auto"/>
              </w:rPr>
              <w:t>(as</w:t>
            </w:r>
          </w:p>
        </w:tc>
        <w:tc>
          <w:tcPr>
            <w:tcW w:w="12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99"/>
              </w:rPr>
              <w:t>percentage of</w:t>
            </w:r>
          </w:p>
        </w:tc>
        <w:tc>
          <w:tcPr>
            <w:tcW w:w="400" w:type="dxa"/>
            <w:vAlign w:val="bottom"/>
          </w:tcPr>
          <w:p>
            <w:pPr>
              <w:spacing w:after="0" w:line="176" w:lineRule="exact"/>
              <w:rPr>
                <w:sz w:val="20"/>
                <w:szCs w:val="20"/>
                <w:color w:val="auto"/>
              </w:rPr>
            </w:pPr>
            <w:r>
              <w:rPr>
                <w:rFonts w:ascii="Arial" w:cs="Arial" w:eastAsia="Arial" w:hAnsi="Arial"/>
                <w:sz w:val="18"/>
                <w:szCs w:val="18"/>
                <w:b w:val="1"/>
                <w:bCs w:val="1"/>
                <w:color w:val="auto"/>
                <w:w w:val="75"/>
              </w:rPr>
              <w:t>target</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3320" w:type="dxa"/>
            <w:vAlign w:val="bottom"/>
            <w:gridSpan w:val="3"/>
          </w:tcPr>
          <w:p>
            <w:pPr>
              <w:ind w:left="1400"/>
              <w:spacing w:after="0"/>
              <w:rPr>
                <w:sz w:val="20"/>
                <w:szCs w:val="20"/>
                <w:color w:val="auto"/>
              </w:rPr>
            </w:pPr>
            <w:r>
              <w:rPr>
                <w:rFonts w:ascii="Arial" w:cs="Arial" w:eastAsia="Arial" w:hAnsi="Arial"/>
                <w:sz w:val="18"/>
                <w:szCs w:val="18"/>
                <w:b w:val="1"/>
                <w:bCs w:val="1"/>
                <w:color w:val="auto"/>
              </w:rPr>
              <w:t>incentive opportunity)</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Below 70% of performance goal</w:t>
            </w:r>
          </w:p>
        </w:tc>
        <w:tc>
          <w:tcPr>
            <w:tcW w:w="2920" w:type="dxa"/>
            <w:vAlign w:val="bottom"/>
            <w:gridSpan w:val="2"/>
            <w:shd w:val="clear" w:color="auto" w:fill="CCEEFF"/>
          </w:tcPr>
          <w:p>
            <w:pPr>
              <w:jc w:val="center"/>
              <w:ind w:left="1632"/>
              <w:spacing w:after="0" w:line="196" w:lineRule="exact"/>
              <w:rPr>
                <w:sz w:val="20"/>
                <w:szCs w:val="20"/>
                <w:color w:val="auto"/>
              </w:rPr>
            </w:pPr>
            <w:r>
              <w:rPr>
                <w:rFonts w:ascii="Arial" w:cs="Arial" w:eastAsia="Arial" w:hAnsi="Arial"/>
                <w:sz w:val="18"/>
                <w:szCs w:val="18"/>
                <w:color w:val="auto"/>
                <w:w w:val="92"/>
              </w:rPr>
              <w:t>0%</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Between 70% and less than 100% of performance goal</w:t>
            </w:r>
          </w:p>
        </w:tc>
        <w:tc>
          <w:tcPr>
            <w:tcW w:w="2920" w:type="dxa"/>
            <w:vAlign w:val="bottom"/>
            <w:gridSpan w:val="2"/>
          </w:tcPr>
          <w:p>
            <w:pPr>
              <w:jc w:val="center"/>
              <w:ind w:left="1652"/>
              <w:spacing w:after="0" w:line="202" w:lineRule="exact"/>
              <w:rPr>
                <w:sz w:val="20"/>
                <w:szCs w:val="20"/>
                <w:color w:val="auto"/>
              </w:rPr>
            </w:pPr>
            <w:r>
              <w:rPr>
                <w:rFonts w:ascii="Arial" w:cs="Arial" w:eastAsia="Arial" w:hAnsi="Arial"/>
                <w:sz w:val="18"/>
                <w:szCs w:val="18"/>
                <w:color w:val="auto"/>
                <w:w w:val="97"/>
              </w:rPr>
              <w:t>40% - 98%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Target of 100%</w:t>
            </w:r>
          </w:p>
        </w:tc>
        <w:tc>
          <w:tcPr>
            <w:tcW w:w="2920" w:type="dxa"/>
            <w:vAlign w:val="bottom"/>
            <w:gridSpan w:val="2"/>
            <w:shd w:val="clear" w:color="auto" w:fill="CCEEFF"/>
          </w:tcPr>
          <w:p>
            <w:pPr>
              <w:jc w:val="center"/>
              <w:ind w:left="1632"/>
              <w:spacing w:after="0" w:line="202" w:lineRule="exact"/>
              <w:rPr>
                <w:sz w:val="20"/>
                <w:szCs w:val="20"/>
                <w:color w:val="auto"/>
              </w:rPr>
            </w:pPr>
            <w:r>
              <w:rPr>
                <w:rFonts w:ascii="Arial" w:cs="Arial" w:eastAsia="Arial" w:hAnsi="Arial"/>
                <w:sz w:val="18"/>
                <w:szCs w:val="18"/>
                <w:color w:val="auto"/>
                <w:w w:val="95"/>
              </w:rPr>
              <w:t>100%</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Between 101% and 125% of performance goal</w:t>
            </w:r>
          </w:p>
        </w:tc>
        <w:tc>
          <w:tcPr>
            <w:tcW w:w="2920" w:type="dxa"/>
            <w:vAlign w:val="bottom"/>
            <w:gridSpan w:val="2"/>
          </w:tcPr>
          <w:p>
            <w:pPr>
              <w:jc w:val="center"/>
              <w:ind w:left="1632"/>
              <w:spacing w:after="0" w:line="202" w:lineRule="exact"/>
              <w:rPr>
                <w:sz w:val="20"/>
                <w:szCs w:val="20"/>
                <w:color w:val="auto"/>
              </w:rPr>
            </w:pPr>
            <w:r>
              <w:rPr>
                <w:rFonts w:ascii="Arial" w:cs="Arial" w:eastAsia="Arial" w:hAnsi="Arial"/>
                <w:sz w:val="18"/>
                <w:szCs w:val="18"/>
                <w:color w:val="auto"/>
                <w:w w:val="96"/>
              </w:rPr>
              <w:t>104% - 200%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Above 125% of performance goal</w:t>
            </w:r>
          </w:p>
        </w:tc>
        <w:tc>
          <w:tcPr>
            <w:tcW w:w="2920" w:type="dxa"/>
            <w:vAlign w:val="bottom"/>
            <w:gridSpan w:val="2"/>
            <w:shd w:val="clear" w:color="auto" w:fill="CCEEFF"/>
          </w:tcPr>
          <w:p>
            <w:pPr>
              <w:jc w:val="center"/>
              <w:ind w:left="1632"/>
              <w:spacing w:after="0" w:line="202" w:lineRule="exact"/>
              <w:rPr>
                <w:sz w:val="20"/>
                <w:szCs w:val="20"/>
                <w:color w:val="auto"/>
              </w:rPr>
            </w:pPr>
            <w:r>
              <w:rPr>
                <w:rFonts w:ascii="Arial" w:cs="Arial" w:eastAsia="Arial" w:hAnsi="Arial"/>
                <w:sz w:val="18"/>
                <w:szCs w:val="18"/>
                <w:color w:val="auto"/>
                <w:w w:val="95"/>
              </w:rPr>
              <w:t>200%</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u w:val="single" w:color="auto"/>
          <w:color w:val="auto"/>
        </w:rPr>
        <w:t>Individual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For Mr. Amelio’s second half of the year and each other NEO’s full year, 20% of their annual cash incentive was tied</w:t>
      </w:r>
      <w:r>
        <w:rPr>
          <w:rFonts w:ascii="Arial" w:cs="Arial" w:eastAsia="Arial" w:hAnsi="Arial"/>
          <w:sz w:val="18"/>
          <w:szCs w:val="18"/>
          <w:i w:val="1"/>
          <w:iCs w:val="1"/>
          <w:color w:val="auto"/>
        </w:rPr>
        <w:t xml:space="preserve"> </w:t>
      </w:r>
      <w:r>
        <w:rPr>
          <w:rFonts w:ascii="Arial" w:cs="Arial" w:eastAsia="Arial" w:hAnsi="Arial"/>
          <w:sz w:val="18"/>
          <w:szCs w:val="18"/>
          <w:color w:val="auto"/>
        </w:rPr>
        <w:t>to achievement of pre-established individual objectives and strategic initiatives. These objectives, which may vary by NEO, focus on areas that provide immediate value, as well as those that are important for building future growth capability. These areas include efficiency initiatives, financial planning initiatives and goals with respect to specific businesses or functions. Maximum cash incentive compensation relating to the individual performance goals is capped at 200% of target.</w:t>
      </w:r>
    </w:p>
    <w:p>
      <w:pPr>
        <w:spacing w:after="0" w:line="4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short-term incentive plan for Mr. Amelio for the first half of the year was based on achievement of pre-established objectives, which included achievement of acquisition and integration milestones, efficiency initiatives, financial metrics, and effective change management planning and implementation. Mr. Amelio’s incentive payout for the first half of the fiscal year was 110% of target.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Payout</w:t>
      </w:r>
      <w:r>
        <w:rPr>
          <w:rFonts w:ascii="Arial" w:cs="Arial" w:eastAsia="Arial" w:hAnsi="Arial"/>
          <w:sz w:val="18"/>
          <w:szCs w:val="18"/>
          <w:color w:val="auto"/>
        </w:rPr>
        <w:t>. The NEOs were paid the following annual cash incentive amounts for fiscal 2017 performance:</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Target Cash</w:t>
            </w:r>
          </w:p>
        </w:tc>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Cash Incentive Paid</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Percentage of</w:t>
            </w:r>
          </w:p>
        </w:tc>
      </w:tr>
      <w:tr>
        <w:trPr>
          <w:trHeight w:val="223"/>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NEO</w:t>
            </w:r>
          </w:p>
        </w:tc>
        <w:tc>
          <w:tcPr>
            <w:tcW w:w="134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Incentive</w:t>
            </w:r>
          </w:p>
        </w:tc>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for Fiscal 2017</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Target Achieved</w:t>
            </w:r>
          </w:p>
        </w:tc>
      </w:tr>
      <w:tr>
        <w:trPr>
          <w:trHeight w:val="20"/>
        </w:trPr>
        <w:tc>
          <w:tcPr>
            <w:tcW w:w="3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28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Mr. Amelio</w:t>
            </w:r>
            <w:r>
              <w:rPr>
                <w:rFonts w:ascii="Arial" w:cs="Arial" w:eastAsia="Arial" w:hAnsi="Arial"/>
                <w:sz w:val="22"/>
                <w:szCs w:val="22"/>
                <w:color w:val="auto"/>
                <w:vertAlign w:val="superscript"/>
              </w:rPr>
              <w:t>(1)</w:t>
            </w:r>
          </w:p>
        </w:tc>
        <w:tc>
          <w:tcPr>
            <w:tcW w:w="13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180"/>
              <w:spacing w:after="0" w:line="196" w:lineRule="exact"/>
              <w:rPr>
                <w:sz w:val="20"/>
                <w:szCs w:val="20"/>
                <w:color w:val="auto"/>
              </w:rPr>
            </w:pPr>
            <w:r>
              <w:rPr>
                <w:rFonts w:ascii="Arial" w:cs="Arial" w:eastAsia="Arial" w:hAnsi="Arial"/>
                <w:sz w:val="18"/>
                <w:szCs w:val="18"/>
                <w:color w:val="auto"/>
                <w:w w:val="94"/>
              </w:rPr>
              <w:t>1,298,764</w:t>
            </w: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1,166,161</w:t>
            </w:r>
          </w:p>
        </w:tc>
        <w:tc>
          <w:tcPr>
            <w:tcW w:w="1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89.8%</w:t>
            </w: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180"/>
              <w:spacing w:after="0" w:line="202" w:lineRule="exact"/>
              <w:rPr>
                <w:sz w:val="20"/>
                <w:szCs w:val="20"/>
                <w:color w:val="auto"/>
              </w:rPr>
            </w:pPr>
            <w:r>
              <w:rPr>
                <w:rFonts w:ascii="Arial" w:cs="Arial" w:eastAsia="Arial" w:hAnsi="Arial"/>
                <w:sz w:val="18"/>
                <w:szCs w:val="18"/>
                <w:color w:val="auto"/>
              </w:rPr>
              <w:t>650,000</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487,518</w:t>
            </w:r>
          </w:p>
        </w:tc>
        <w:tc>
          <w:tcPr>
            <w:tcW w:w="1160" w:type="dxa"/>
            <w:vAlign w:val="bottom"/>
          </w:tcPr>
          <w:p>
            <w:pPr>
              <w:spacing w:after="0"/>
              <w:rPr>
                <w:sz w:val="17"/>
                <w:szCs w:val="17"/>
                <w:color w:val="auto"/>
              </w:rPr>
            </w:pP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Bartolotta</w:t>
            </w:r>
          </w:p>
        </w:tc>
        <w:tc>
          <w:tcPr>
            <w:tcW w:w="1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180"/>
              <w:spacing w:after="0" w:line="202" w:lineRule="exact"/>
              <w:rPr>
                <w:sz w:val="20"/>
                <w:szCs w:val="20"/>
                <w:color w:val="auto"/>
              </w:rPr>
            </w:pPr>
            <w:r>
              <w:rPr>
                <w:rFonts w:ascii="Arial" w:cs="Arial" w:eastAsia="Arial" w:hAnsi="Arial"/>
                <w:sz w:val="18"/>
                <w:szCs w:val="18"/>
                <w:color w:val="auto"/>
              </w:rPr>
              <w:t>380,769</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285,588</w:t>
            </w:r>
          </w:p>
        </w:tc>
        <w:tc>
          <w:tcPr>
            <w:tcW w:w="1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Ms. Miller</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180"/>
              <w:spacing w:after="0" w:line="202" w:lineRule="exact"/>
              <w:rPr>
                <w:sz w:val="20"/>
                <w:szCs w:val="20"/>
                <w:color w:val="auto"/>
              </w:rPr>
            </w:pPr>
            <w:r>
              <w:rPr>
                <w:rFonts w:ascii="Arial" w:cs="Arial" w:eastAsia="Arial" w:hAnsi="Arial"/>
                <w:sz w:val="18"/>
                <w:szCs w:val="18"/>
                <w:color w:val="auto"/>
              </w:rPr>
              <w:t>410,000</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307,511</w:t>
            </w: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O’Neill</w:t>
            </w:r>
          </w:p>
        </w:tc>
        <w:tc>
          <w:tcPr>
            <w:tcW w:w="1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180"/>
              <w:spacing w:after="0" w:line="202" w:lineRule="exact"/>
              <w:rPr>
                <w:sz w:val="20"/>
                <w:szCs w:val="20"/>
                <w:color w:val="auto"/>
              </w:rPr>
            </w:pPr>
            <w:r>
              <w:rPr>
                <w:rFonts w:ascii="Arial" w:cs="Arial" w:eastAsia="Arial" w:hAnsi="Arial"/>
                <w:sz w:val="18"/>
                <w:szCs w:val="18"/>
                <w:color w:val="auto"/>
              </w:rPr>
              <w:t>282,692</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212,027</w:t>
            </w:r>
          </w:p>
        </w:tc>
        <w:tc>
          <w:tcPr>
            <w:tcW w:w="1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Mr. Hamada</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180"/>
              <w:spacing w:after="0" w:line="202" w:lineRule="exact"/>
              <w:rPr>
                <w:sz w:val="20"/>
                <w:szCs w:val="20"/>
                <w:color w:val="auto"/>
              </w:rPr>
            </w:pPr>
            <w:r>
              <w:rPr>
                <w:rFonts w:ascii="Arial" w:cs="Arial" w:eastAsia="Arial" w:hAnsi="Arial"/>
                <w:sz w:val="18"/>
                <w:szCs w:val="18"/>
                <w:color w:val="auto"/>
                <w:w w:val="94"/>
              </w:rPr>
              <w:t>1,500,000</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1,006,740</w:t>
            </w:r>
          </w:p>
        </w:tc>
        <w:tc>
          <w:tcPr>
            <w:tcW w:w="1160" w:type="dxa"/>
            <w:vAlign w:val="bottom"/>
          </w:tcPr>
          <w:p>
            <w:pPr>
              <w:spacing w:after="0"/>
              <w:rPr>
                <w:sz w:val="17"/>
                <w:szCs w:val="17"/>
                <w:color w:val="auto"/>
              </w:rPr>
            </w:pP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67.1%</w:t>
            </w: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180"/>
              <w:spacing w:after="0" w:line="202" w:lineRule="exact"/>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393,814</w:t>
            </w:r>
          </w:p>
        </w:tc>
        <w:tc>
          <w:tcPr>
            <w:tcW w:w="1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65.6%</w:t>
            </w:r>
          </w:p>
        </w:tc>
      </w:tr>
      <w:tr>
        <w:trPr>
          <w:trHeight w:val="305"/>
        </w:trPr>
        <w:tc>
          <w:tcPr>
            <w:tcW w:w="2280" w:type="dxa"/>
            <w:vAlign w:val="bottom"/>
            <w:gridSpan w:val="2"/>
          </w:tcPr>
          <w:p>
            <w:pPr>
              <w:spacing w:after="0"/>
              <w:rPr>
                <w:sz w:val="20"/>
                <w:szCs w:val="20"/>
                <w:color w:val="auto"/>
              </w:rPr>
            </w:pPr>
            <w:r>
              <w:rPr>
                <w:rFonts w:ascii="Arial" w:cs="Arial" w:eastAsia="Arial" w:hAnsi="Arial"/>
                <w:sz w:val="18"/>
                <w:szCs w:val="18"/>
                <w:color w:val="auto"/>
              </w:rPr>
              <w:t>Mr. Zammit</w:t>
            </w:r>
            <w:r>
              <w:rPr>
                <w:rFonts w:ascii="Arial" w:cs="Arial" w:eastAsia="Arial" w:hAnsi="Arial"/>
                <w:sz w:val="22"/>
                <w:szCs w:val="22"/>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180"/>
              <w:spacing w:after="0"/>
              <w:rPr>
                <w:sz w:val="20"/>
                <w:szCs w:val="20"/>
                <w:color w:val="auto"/>
              </w:rPr>
            </w:pPr>
            <w:r>
              <w:rPr>
                <w:rFonts w:ascii="Arial" w:cs="Arial" w:eastAsia="Arial" w:hAnsi="Arial"/>
                <w:sz w:val="18"/>
                <w:szCs w:val="18"/>
                <w:color w:val="auto"/>
              </w:rPr>
              <w:t>313,562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232,248</w:t>
            </w:r>
          </w:p>
        </w:tc>
        <w:tc>
          <w:tcPr>
            <w:tcW w:w="1160" w:type="dxa"/>
            <w:vAlign w:val="bottom"/>
          </w:tcPr>
          <w:p>
            <w:pPr>
              <w:spacing w:after="0"/>
              <w:rPr>
                <w:sz w:val="24"/>
                <w:szCs w:val="24"/>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0121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 w:lineRule="exact"/>
        <w:rPr>
          <w:sz w:val="20"/>
          <w:szCs w:val="20"/>
          <w:color w:val="auto"/>
        </w:rPr>
      </w:pPr>
    </w:p>
    <w:p>
      <w:pPr>
        <w:ind w:left="800" w:right="220" w:hanging="454"/>
        <w:spacing w:after="0" w:line="252"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Amelio’s first half of the year incentive target was $548,764 with a performance payout percentage of 110% resulting in an actual payout of $603,640. Mr. Amelio’s second half of the year incentive target was $750,000 with a performance payout percentage of 75% resulting in an actual payout of $562,521.</w:t>
      </w:r>
    </w:p>
    <w:p>
      <w:pPr>
        <w:spacing w:after="0" w:line="36" w:lineRule="exact"/>
        <w:rPr>
          <w:rFonts w:ascii="Arial" w:cs="Arial" w:eastAsia="Arial" w:hAnsi="Arial"/>
          <w:sz w:val="18"/>
          <w:szCs w:val="18"/>
          <w:color w:val="auto"/>
        </w:rPr>
      </w:pPr>
    </w:p>
    <w:p>
      <w:pPr>
        <w:ind w:left="800" w:hanging="454"/>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Zammit’s target and paid incentive have been prorated.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target cash incentive earned with respect to the financial performance goals were calculated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8"/>
          </w:tcPr>
          <w:p>
            <w:pPr>
              <w:ind w:left="300"/>
              <w:spacing w:after="0"/>
              <w:rPr>
                <w:sz w:val="20"/>
                <w:szCs w:val="20"/>
                <w:color w:val="auto"/>
              </w:rPr>
            </w:pPr>
            <w:r>
              <w:rPr>
                <w:rFonts w:ascii="Arial" w:cs="Arial" w:eastAsia="Arial" w:hAnsi="Arial"/>
                <w:sz w:val="14"/>
                <w:szCs w:val="14"/>
                <w:b w:val="1"/>
                <w:bCs w:val="1"/>
                <w:color w:val="auto"/>
              </w:rPr>
              <w:t xml:space="preserve">NIAT/NIBT </w:t>
            </w:r>
            <w:r>
              <w:rPr>
                <w:rFonts w:ascii="Arial" w:cs="Arial" w:eastAsia="Arial" w:hAnsi="Arial"/>
                <w:sz w:val="14"/>
                <w:szCs w:val="14"/>
                <w:color w:val="auto"/>
              </w:rPr>
              <w:t>($Millions)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OI Margin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76" w:lineRule="exact"/>
              <w:rPr>
                <w:sz w:val="20"/>
                <w:szCs w:val="20"/>
                <w:color w:val="auto"/>
              </w:rPr>
            </w:pPr>
            <w:r>
              <w:rPr>
                <w:rFonts w:ascii="Arial" w:cs="Arial" w:eastAsia="Arial" w:hAnsi="Arial"/>
                <w:sz w:val="18"/>
                <w:szCs w:val="18"/>
                <w:b w:val="1"/>
                <w:bCs w:val="1"/>
                <w:color w:val="auto"/>
                <w:w w:val="96"/>
              </w:rPr>
              <w:t>Company/</w:t>
            </w:r>
          </w:p>
        </w:tc>
        <w:tc>
          <w:tcPr>
            <w:tcW w:w="11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4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7"/>
                <w:szCs w:val="17"/>
                <w:color w:val="auto"/>
              </w:rPr>
            </w:pPr>
          </w:p>
        </w:tc>
        <w:tc>
          <w:tcPr>
            <w:tcW w:w="920" w:type="dxa"/>
            <w:vAlign w:val="bottom"/>
            <w:gridSpan w:val="4"/>
          </w:tcPr>
          <w:p>
            <w:pPr>
              <w:jc w:val="center"/>
              <w:ind w:right="340"/>
              <w:spacing w:after="0" w:line="176" w:lineRule="exact"/>
              <w:rPr>
                <w:sz w:val="20"/>
                <w:szCs w:val="20"/>
                <w:color w:val="auto"/>
              </w:rPr>
            </w:pPr>
            <w:r>
              <w:rPr>
                <w:rFonts w:ascii="Arial" w:cs="Arial" w:eastAsia="Arial" w:hAnsi="Arial"/>
                <w:sz w:val="18"/>
                <w:szCs w:val="18"/>
                <w:b w:val="1"/>
                <w:bCs w:val="1"/>
                <w:color w:val="auto"/>
                <w:w w:val="96"/>
              </w:rPr>
              <w:t>Payout</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87"/>
              </w:rPr>
              <w:t>%</w:t>
            </w:r>
          </w:p>
        </w:tc>
        <w:tc>
          <w:tcPr>
            <w:tcW w:w="340" w:type="dxa"/>
            <w:vAlign w:val="bottom"/>
          </w:tcPr>
          <w:p>
            <w:pPr>
              <w:spacing w:after="0"/>
              <w:rPr>
                <w:sz w:val="17"/>
                <w:szCs w:val="17"/>
                <w:color w:val="auto"/>
              </w:rPr>
            </w:pPr>
          </w:p>
        </w:tc>
        <w:tc>
          <w:tcPr>
            <w:tcW w:w="1000" w:type="dxa"/>
            <w:vAlign w:val="bottom"/>
            <w:gridSpan w:val="5"/>
          </w:tcPr>
          <w:p>
            <w:pPr>
              <w:jc w:val="center"/>
              <w:ind w:right="20"/>
              <w:spacing w:after="0" w:line="176" w:lineRule="exact"/>
              <w:rPr>
                <w:sz w:val="20"/>
                <w:szCs w:val="20"/>
                <w:color w:val="auto"/>
              </w:rPr>
            </w:pPr>
            <w:r>
              <w:rPr>
                <w:rFonts w:ascii="Arial" w:cs="Arial" w:eastAsia="Arial" w:hAnsi="Arial"/>
                <w:sz w:val="18"/>
                <w:szCs w:val="18"/>
                <w:b w:val="1"/>
                <w:bCs w:val="1"/>
                <w:color w:val="auto"/>
                <w:w w:val="96"/>
              </w:rPr>
              <w:t>Payout</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vMerge w:val="restart"/>
          </w:tcPr>
          <w:p>
            <w:pPr>
              <w:spacing w:after="0" w:line="170" w:lineRule="exact"/>
              <w:rPr>
                <w:sz w:val="20"/>
                <w:szCs w:val="20"/>
                <w:color w:val="auto"/>
              </w:rPr>
            </w:pPr>
            <w:r>
              <w:rPr>
                <w:rFonts w:ascii="Arial" w:cs="Arial" w:eastAsia="Arial" w:hAnsi="Arial"/>
                <w:sz w:val="18"/>
                <w:szCs w:val="18"/>
                <w:b w:val="1"/>
                <w:bCs w:val="1"/>
                <w:color w:val="auto"/>
              </w:rPr>
              <w:t>Business</w:t>
            </w:r>
          </w:p>
        </w:tc>
        <w:tc>
          <w:tcPr>
            <w:tcW w:w="320" w:type="dxa"/>
            <w:vAlign w:val="bottom"/>
            <w:vMerge w:val="restart"/>
          </w:tcPr>
          <w:p>
            <w:pPr>
              <w:spacing w:after="0" w:line="163" w:lineRule="exact"/>
              <w:rPr>
                <w:sz w:val="20"/>
                <w:szCs w:val="20"/>
                <w:color w:val="auto"/>
              </w:rPr>
            </w:pPr>
            <w:r>
              <w:rPr>
                <w:rFonts w:ascii="Arial" w:cs="Arial" w:eastAsia="Arial" w:hAnsi="Arial"/>
                <w:sz w:val="18"/>
                <w:szCs w:val="18"/>
                <w:b w:val="1"/>
                <w:bCs w:val="1"/>
                <w:color w:val="auto"/>
                <w:w w:val="85"/>
              </w:rPr>
              <w:t>Unit</w:t>
            </w:r>
          </w:p>
        </w:tc>
        <w:tc>
          <w:tcPr>
            <w:tcW w:w="800" w:type="dxa"/>
            <w:vAlign w:val="bottom"/>
            <w:vMerge w:val="restart"/>
          </w:tcPr>
          <w:p>
            <w:pPr>
              <w:spacing w:after="0" w:line="20" w:lineRule="exact"/>
              <w:rPr>
                <w:sz w:val="1"/>
                <w:szCs w:val="1"/>
                <w:color w:val="auto"/>
              </w:rPr>
            </w:pPr>
          </w:p>
        </w:tc>
        <w:tc>
          <w:tcPr>
            <w:tcW w:w="1580" w:type="dxa"/>
            <w:vAlign w:val="bottom"/>
            <w:gridSpan w:val="3"/>
            <w:vMerge w:val="restart"/>
          </w:tcPr>
          <w:p>
            <w:pPr>
              <w:ind w:left="820"/>
              <w:spacing w:after="0" w:line="170" w:lineRule="exact"/>
              <w:rPr>
                <w:sz w:val="20"/>
                <w:szCs w:val="20"/>
                <w:color w:val="auto"/>
              </w:rPr>
            </w:pPr>
            <w:r>
              <w:rPr>
                <w:rFonts w:ascii="Arial" w:cs="Arial" w:eastAsia="Arial" w:hAnsi="Arial"/>
                <w:sz w:val="18"/>
                <w:szCs w:val="18"/>
                <w:b w:val="1"/>
                <w:bCs w:val="1"/>
                <w:color w:val="auto"/>
              </w:rPr>
              <w:t>Target</w:t>
            </w:r>
          </w:p>
        </w:tc>
        <w:tc>
          <w:tcPr>
            <w:tcW w:w="1000" w:type="dxa"/>
            <w:vAlign w:val="bottom"/>
            <w:gridSpan w:val="3"/>
            <w:vMerge w:val="restart"/>
          </w:tcPr>
          <w:p>
            <w:pPr>
              <w:ind w:left="220"/>
              <w:spacing w:after="0" w:line="170" w:lineRule="exact"/>
              <w:rPr>
                <w:sz w:val="20"/>
                <w:szCs w:val="20"/>
                <w:color w:val="auto"/>
              </w:rPr>
            </w:pPr>
            <w:r>
              <w:rPr>
                <w:rFonts w:ascii="Arial" w:cs="Arial" w:eastAsia="Arial" w:hAnsi="Arial"/>
                <w:sz w:val="18"/>
                <w:szCs w:val="18"/>
                <w:b w:val="1"/>
                <w:bCs w:val="1"/>
                <w:color w:val="auto"/>
              </w:rPr>
              <w:t>Actual</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tcBorders>
            <w:gridSpan w:val="3"/>
            <w:vMerge w:val="restart"/>
          </w:tcPr>
          <w:p>
            <w:pPr>
              <w:jc w:val="right"/>
              <w:ind w:right="220"/>
              <w:spacing w:after="0" w:line="170"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line="20" w:lineRule="exact"/>
              <w:rPr>
                <w:sz w:val="1"/>
                <w:szCs w:val="1"/>
                <w:color w:val="auto"/>
              </w:rPr>
            </w:pPr>
          </w:p>
        </w:tc>
        <w:tc>
          <w:tcPr>
            <w:tcW w:w="1040" w:type="dxa"/>
            <w:vAlign w:val="bottom"/>
            <w:gridSpan w:val="3"/>
            <w:vMerge w:val="restart"/>
          </w:tcPr>
          <w:p>
            <w:pPr>
              <w:jc w:val="right"/>
              <w:ind w:right="340"/>
              <w:spacing w:after="0" w:line="170" w:lineRule="exact"/>
              <w:rPr>
                <w:sz w:val="20"/>
                <w:szCs w:val="20"/>
                <w:color w:val="auto"/>
              </w:rPr>
            </w:pPr>
            <w:r>
              <w:rPr>
                <w:rFonts w:ascii="Arial" w:cs="Arial" w:eastAsia="Arial" w:hAnsi="Arial"/>
                <w:sz w:val="18"/>
                <w:szCs w:val="18"/>
                <w:b w:val="1"/>
                <w:bCs w:val="1"/>
                <w:color w:val="auto"/>
              </w:rPr>
              <w:t>Target</w:t>
            </w:r>
          </w:p>
        </w:tc>
        <w:tc>
          <w:tcPr>
            <w:tcW w:w="1260" w:type="dxa"/>
            <w:vAlign w:val="bottom"/>
            <w:gridSpan w:val="3"/>
            <w:vMerge w:val="restart"/>
          </w:tcPr>
          <w:p>
            <w:pPr>
              <w:jc w:val="right"/>
              <w:ind w:right="520"/>
              <w:spacing w:after="0" w:line="170" w:lineRule="exact"/>
              <w:rPr>
                <w:sz w:val="20"/>
                <w:szCs w:val="20"/>
                <w:color w:val="auto"/>
              </w:rPr>
            </w:pPr>
            <w:r>
              <w:rPr>
                <w:rFonts w:ascii="Arial" w:cs="Arial" w:eastAsia="Arial" w:hAnsi="Arial"/>
                <w:sz w:val="18"/>
                <w:szCs w:val="18"/>
                <w:b w:val="1"/>
                <w:bCs w:val="1"/>
                <w:color w:val="auto"/>
              </w:rPr>
              <w:t>Actual</w:t>
            </w: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520" w:type="dxa"/>
            <w:vAlign w:val="bottom"/>
            <w:gridSpan w:val="5"/>
          </w:tcPr>
          <w:p>
            <w:pPr>
              <w:jc w:val="right"/>
              <w:ind w:right="520"/>
              <w:spacing w:after="0" w:line="156" w:lineRule="exact"/>
              <w:rPr>
                <w:sz w:val="20"/>
                <w:szCs w:val="20"/>
                <w:color w:val="auto"/>
              </w:rPr>
            </w:pPr>
            <w:r>
              <w:rPr>
                <w:rFonts w:ascii="Arial" w:cs="Arial" w:eastAsia="Arial" w:hAnsi="Arial"/>
                <w:sz w:val="18"/>
                <w:szCs w:val="18"/>
                <w:b w:val="1"/>
                <w:bCs w:val="1"/>
                <w:color w:val="auto"/>
              </w:rPr>
              <w:t>Achieved</w:t>
            </w:r>
          </w:p>
        </w:tc>
        <w:tc>
          <w:tcPr>
            <w:tcW w:w="5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120" w:type="dxa"/>
            <w:vAlign w:val="bottom"/>
            <w:gridSpan w:val="4"/>
          </w:tcPr>
          <w:p>
            <w:pPr>
              <w:jc w:val="center"/>
              <w:ind w:right="340"/>
              <w:spacing w:after="0" w:line="156" w:lineRule="exact"/>
              <w:rPr>
                <w:sz w:val="20"/>
                <w:szCs w:val="20"/>
                <w:color w:val="auto"/>
              </w:rPr>
            </w:pPr>
            <w:r>
              <w:rPr>
                <w:rFonts w:ascii="Arial" w:cs="Arial" w:eastAsia="Arial" w:hAnsi="Arial"/>
                <w:sz w:val="18"/>
                <w:szCs w:val="18"/>
                <w:b w:val="1"/>
                <w:bCs w:val="1"/>
                <w:color w:val="auto"/>
                <w:w w:val="97"/>
              </w:rPr>
              <w:t>Achieved</w:t>
            </w:r>
          </w:p>
        </w:tc>
        <w:tc>
          <w:tcPr>
            <w:tcW w:w="780" w:type="dxa"/>
            <w:vAlign w:val="bottom"/>
            <w:gridSpan w:val="4"/>
          </w:tcPr>
          <w:p>
            <w:pPr>
              <w:jc w:val="right"/>
              <w:ind w:right="220"/>
              <w:spacing w:after="0" w:line="15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Avnet</w:t>
            </w:r>
          </w:p>
        </w:tc>
        <w:tc>
          <w:tcPr>
            <w:tcW w:w="8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800"/>
              <w:spacing w:after="0" w:line="203" w:lineRule="exact"/>
              <w:rPr>
                <w:sz w:val="20"/>
                <w:szCs w:val="20"/>
                <w:color w:val="auto"/>
              </w:rPr>
            </w:pPr>
            <w:r>
              <w:rPr>
                <w:rFonts w:ascii="Arial" w:cs="Arial" w:eastAsia="Arial" w:hAnsi="Arial"/>
                <w:sz w:val="18"/>
                <w:szCs w:val="18"/>
                <w:color w:val="auto"/>
              </w:rPr>
              <w:t>$435.0</w:t>
            </w:r>
          </w:p>
        </w:tc>
        <w:tc>
          <w:tcPr>
            <w:tcW w:w="1000" w:type="dxa"/>
            <w:vAlign w:val="bottom"/>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rPr>
              <w:t>$395.5</w:t>
            </w:r>
          </w:p>
        </w:tc>
        <w:tc>
          <w:tcPr>
            <w:tcW w:w="1520" w:type="dxa"/>
            <w:vAlign w:val="bottom"/>
            <w:gridSpan w:val="5"/>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90.93%</w:t>
            </w:r>
          </w:p>
        </w:tc>
        <w:tc>
          <w:tcPr>
            <w:tcW w:w="920" w:type="dxa"/>
            <w:vAlign w:val="bottom"/>
            <w:gridSpan w:val="4"/>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81.86%</w:t>
            </w:r>
          </w:p>
        </w:tc>
        <w:tc>
          <w:tcPr>
            <w:tcW w:w="1040" w:type="dxa"/>
            <w:vAlign w:val="bottom"/>
            <w:gridSpan w:val="3"/>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4.21%</w:t>
            </w:r>
          </w:p>
        </w:tc>
        <w:tc>
          <w:tcPr>
            <w:tcW w:w="1260" w:type="dxa"/>
            <w:vAlign w:val="bottom"/>
            <w:gridSpan w:val="3"/>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3.66%</w:t>
            </w:r>
          </w:p>
        </w:tc>
        <w:tc>
          <w:tcPr>
            <w:tcW w:w="1120" w:type="dxa"/>
            <w:vAlign w:val="bottom"/>
            <w:gridSpan w:val="4"/>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72.5%</w:t>
            </w:r>
          </w:p>
        </w:tc>
        <w:tc>
          <w:tcPr>
            <w:tcW w:w="1000" w:type="dxa"/>
            <w:vAlign w:val="bottom"/>
            <w:gridSpan w:val="5"/>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1980" w:type="dxa"/>
            <w:vAlign w:val="bottom"/>
            <w:gridSpan w:val="3"/>
          </w:tcPr>
          <w:p>
            <w:pPr>
              <w:spacing w:after="0" w:line="202" w:lineRule="exact"/>
              <w:rPr>
                <w:sz w:val="20"/>
                <w:szCs w:val="20"/>
                <w:color w:val="auto"/>
              </w:rPr>
            </w:pPr>
            <w:r>
              <w:rPr>
                <w:rFonts w:ascii="Arial" w:cs="Arial" w:eastAsia="Arial" w:hAnsi="Arial"/>
                <w:sz w:val="18"/>
                <w:szCs w:val="18"/>
                <w:color w:val="auto"/>
              </w:rPr>
              <w:t>EM</w:t>
            </w:r>
          </w:p>
        </w:tc>
        <w:tc>
          <w:tcPr>
            <w:tcW w:w="158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$809.0</w:t>
            </w:r>
          </w:p>
        </w:tc>
        <w:tc>
          <w:tcPr>
            <w:tcW w:w="10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$699.1</w:t>
            </w:r>
          </w:p>
        </w:tc>
        <w:tc>
          <w:tcPr>
            <w:tcW w:w="1520" w:type="dxa"/>
            <w:vAlign w:val="bottom"/>
            <w:gridSpan w:val="5"/>
          </w:tcPr>
          <w:p>
            <w:pPr>
              <w:jc w:val="right"/>
              <w:ind w:right="360"/>
              <w:spacing w:after="0" w:line="202" w:lineRule="exact"/>
              <w:rPr>
                <w:sz w:val="20"/>
                <w:szCs w:val="20"/>
                <w:color w:val="auto"/>
              </w:rPr>
            </w:pPr>
            <w:r>
              <w:rPr>
                <w:rFonts w:ascii="Arial" w:cs="Arial" w:eastAsia="Arial" w:hAnsi="Arial"/>
                <w:sz w:val="18"/>
                <w:szCs w:val="18"/>
                <w:color w:val="auto"/>
              </w:rPr>
              <w:t>86.42%</w:t>
            </w:r>
          </w:p>
        </w:tc>
        <w:tc>
          <w:tcPr>
            <w:tcW w:w="9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72.83%</w:t>
            </w:r>
          </w:p>
        </w:tc>
        <w:tc>
          <w:tcPr>
            <w:tcW w:w="10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4.94%</w:t>
            </w:r>
          </w:p>
        </w:tc>
        <w:tc>
          <w:tcPr>
            <w:tcW w:w="12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4.29%</w:t>
            </w:r>
          </w:p>
        </w:tc>
        <w:tc>
          <w:tcPr>
            <w:tcW w:w="112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67.5%</w:t>
            </w:r>
          </w:p>
        </w:tc>
        <w:tc>
          <w:tcPr>
            <w:tcW w:w="100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3"/>
        </w:trPr>
        <w:tc>
          <w:tcPr>
            <w:tcW w:w="1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1580" w:type="dxa"/>
            <w:vAlign w:val="bottom"/>
            <w:gridSpan w:val="3"/>
            <w:shd w:val="clear" w:color="auto" w:fill="CCEEFF"/>
          </w:tcPr>
          <w:p>
            <w:pPr>
              <w:ind w:left="800"/>
              <w:spacing w:after="0" w:line="202" w:lineRule="exact"/>
              <w:rPr>
                <w:sz w:val="20"/>
                <w:szCs w:val="20"/>
                <w:color w:val="auto"/>
              </w:rPr>
            </w:pPr>
            <w:r>
              <w:rPr>
                <w:rFonts w:ascii="Arial" w:cs="Arial" w:eastAsia="Arial" w:hAnsi="Arial"/>
                <w:sz w:val="18"/>
                <w:szCs w:val="18"/>
                <w:color w:val="auto"/>
              </w:rPr>
              <w:t>$157.8</w:t>
            </w:r>
          </w:p>
        </w:tc>
        <w:tc>
          <w:tcPr>
            <w:tcW w:w="10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$126.2</w:t>
            </w:r>
          </w:p>
        </w:tc>
        <w:tc>
          <w:tcPr>
            <w:tcW w:w="1520" w:type="dxa"/>
            <w:vAlign w:val="bottom"/>
            <w:gridSpan w:val="5"/>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79.95%</w:t>
            </w:r>
          </w:p>
        </w:tc>
        <w:tc>
          <w:tcPr>
            <w:tcW w:w="9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59.90%</w:t>
            </w:r>
          </w:p>
        </w:tc>
        <w:tc>
          <w:tcPr>
            <w:tcW w:w="10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2.89%</w:t>
            </w:r>
          </w:p>
        </w:tc>
        <w:tc>
          <w:tcPr>
            <w:tcW w:w="12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2.68%</w:t>
            </w:r>
          </w:p>
        </w:tc>
        <w:tc>
          <w:tcPr>
            <w:tcW w:w="11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89.5%</w:t>
            </w:r>
          </w:p>
        </w:tc>
        <w:tc>
          <w:tcPr>
            <w:tcW w:w="100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Performance relative to pre-established individual objectives and strategic initiatives as a percentage of target for fiscal 2017 were: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auto"/>
              </w:rPr>
              <w:t>Mr. Amelio:</w:t>
            </w:r>
          </w:p>
        </w:tc>
        <w:tc>
          <w:tcPr>
            <w:tcW w:w="6160" w:type="dxa"/>
            <w:vAlign w:val="bottom"/>
          </w:tcPr>
          <w:p>
            <w:pPr>
              <w:ind w:left="440"/>
              <w:spacing w:after="0"/>
              <w:rPr>
                <w:sz w:val="20"/>
                <w:szCs w:val="20"/>
                <w:color w:val="auto"/>
              </w:rPr>
            </w:pPr>
            <w:r>
              <w:rPr>
                <w:rFonts w:ascii="Arial" w:cs="Arial" w:eastAsia="Arial" w:hAnsi="Arial"/>
                <w:sz w:val="18"/>
                <w:szCs w:val="18"/>
                <w:color w:val="auto"/>
                <w:w w:val="96"/>
              </w:rPr>
              <w:t>110% for the first half of the year and 107% for the second half of the year</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Mr. Moriarty:</w:t>
            </w:r>
          </w:p>
        </w:tc>
        <w:tc>
          <w:tcPr>
            <w:tcW w:w="6160" w:type="dxa"/>
            <w:vAlign w:val="bottom"/>
          </w:tcPr>
          <w:p>
            <w:pPr>
              <w:ind w:left="44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Mr. Bartolotta:</w:t>
            </w:r>
          </w:p>
        </w:tc>
        <w:tc>
          <w:tcPr>
            <w:tcW w:w="6160" w:type="dxa"/>
            <w:vAlign w:val="bottom"/>
          </w:tcPr>
          <w:p>
            <w:pPr>
              <w:ind w:left="44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Ms. Miller:</w:t>
            </w:r>
          </w:p>
        </w:tc>
        <w:tc>
          <w:tcPr>
            <w:tcW w:w="6160" w:type="dxa"/>
            <w:vAlign w:val="bottom"/>
          </w:tcPr>
          <w:p>
            <w:pPr>
              <w:ind w:left="44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Mr. O’Neill:</w:t>
            </w:r>
          </w:p>
        </w:tc>
        <w:tc>
          <w:tcPr>
            <w:tcW w:w="6160" w:type="dxa"/>
            <w:vAlign w:val="bottom"/>
          </w:tcPr>
          <w:p>
            <w:pPr>
              <w:ind w:left="44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Mr. Zammit:</w:t>
            </w:r>
          </w:p>
        </w:tc>
        <w:tc>
          <w:tcPr>
            <w:tcW w:w="6160" w:type="dxa"/>
            <w:vAlign w:val="bottom"/>
          </w:tcPr>
          <w:p>
            <w:pPr>
              <w:ind w:left="44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Mr. Fay:</w:t>
            </w:r>
          </w:p>
        </w:tc>
        <w:tc>
          <w:tcPr>
            <w:tcW w:w="6160" w:type="dxa"/>
            <w:vAlign w:val="bottom"/>
          </w:tcPr>
          <w:p>
            <w:pPr>
              <w:ind w:left="440"/>
              <w:spacing w:after="0" w:line="202" w:lineRule="exact"/>
              <w:rPr>
                <w:sz w:val="20"/>
                <w:szCs w:val="20"/>
                <w:color w:val="auto"/>
              </w:rPr>
            </w:pPr>
            <w:r>
              <w:rPr>
                <w:rFonts w:ascii="Arial" w:cs="Arial" w:eastAsia="Arial" w:hAnsi="Arial"/>
                <w:sz w:val="18"/>
                <w:szCs w:val="18"/>
                <w:color w:val="auto"/>
              </w:rPr>
              <w:t>107%</w:t>
            </w:r>
          </w:p>
        </w:tc>
      </w:tr>
      <w:tr>
        <w:trPr>
          <w:trHeight w:val="237"/>
        </w:trPr>
        <w:tc>
          <w:tcPr>
            <w:tcW w:w="1520" w:type="dxa"/>
            <w:vAlign w:val="bottom"/>
          </w:tcPr>
          <w:p>
            <w:pPr>
              <w:spacing w:after="0"/>
              <w:rPr>
                <w:sz w:val="20"/>
                <w:szCs w:val="20"/>
                <w:color w:val="auto"/>
              </w:rPr>
            </w:pPr>
            <w:r>
              <w:rPr>
                <w:rFonts w:ascii="Arial" w:cs="Arial" w:eastAsia="Arial" w:hAnsi="Arial"/>
                <w:sz w:val="18"/>
                <w:szCs w:val="18"/>
                <w:color w:val="auto"/>
              </w:rPr>
              <w:t>Mr. Hamada:</w:t>
            </w:r>
          </w:p>
        </w:tc>
        <w:tc>
          <w:tcPr>
            <w:tcW w:w="6160" w:type="dxa"/>
            <w:vAlign w:val="bottom"/>
          </w:tcPr>
          <w:p>
            <w:pPr>
              <w:ind w:left="440"/>
              <w:spacing w:after="0"/>
              <w:rPr>
                <w:sz w:val="20"/>
                <w:szCs w:val="20"/>
                <w:color w:val="auto"/>
              </w:rPr>
            </w:pPr>
            <w:r>
              <w:rPr>
                <w:rFonts w:ascii="Arial" w:cs="Arial" w:eastAsia="Arial" w:hAnsi="Arial"/>
                <w:sz w:val="18"/>
                <w:szCs w:val="18"/>
                <w:color w:val="auto"/>
              </w:rPr>
              <w:t>Paid solely based on financials</w:t>
            </w:r>
          </w:p>
        </w:tc>
      </w:tr>
    </w:tbl>
    <w:p>
      <w:pPr>
        <w:spacing w:after="0" w:line="4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actual annual cash incentive earned for fiscal 2017 was a result of financial performance, as well as a result of the performance relative to the individual strategic objectives. Based on overall performance below target levels, fiscal 2017 Incentive Plan payouts for all NEOs were below target. For additional information regarding the fiscal 2017 performance of the Company and its operating groups, please refer to the Company’s Annual Report on Form 10-K for the year ended July 1, 2017.</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7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Compensation Committee uses long-term incentive compensation in the form of equity awards for all executive officers as a valuable compensation component. Equity awards under the LTIP provide a strong incentive to increase shareholder value over time and improve TSR, as well as aid in retention.</w:t>
      </w:r>
    </w:p>
    <w:p>
      <w:pPr>
        <w:spacing w:after="0" w:line="3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Avnet utilizes a portfolio approach to long-term incentive awards to better align executive compensation to shareholder interests, provide executive officers with an opportunity to benefit from stock price appreciation and ensure that a portion of long-term pay is tied to performance relative to peer companies. Executive officers do not have a set target for long-term incentive compensation at the beginning of each year (e.g., target value as a percentage of base salary). Rather, at the beginning of each year, long-term incentive awards are determined based on a variety of factors including market competitiveness and the executive officer’s prior-year performance. As a result, the target value of awards on grant date for an executive officer can vary from year to year.</w:t>
      </w:r>
    </w:p>
    <w:p>
      <w:pPr>
        <w:spacing w:after="0" w:line="49"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The Compensation Committee generally awards a mix of restricted stock units (“RSUs”), stock options, and performance share units (“PSUs”) to the Company’s executive officers. In fiscal 2017, Avnet granted stock options, including time-based and performance-based, time-based RSUs, and PSUs to each of the NEOs. With respect to the target value of the LTIP awards to the NEOs, generally, RSUs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represent 25% of the award, stock options represent 25% of the award and PSUs represent 50% of the award. The fiscal 2017 approved LTIP awards are listed in the following table.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Target Value of</w:t>
            </w:r>
          </w:p>
        </w:tc>
        <w:tc>
          <w:tcPr>
            <w:tcW w:w="0" w:type="dxa"/>
            <w:vAlign w:val="bottom"/>
          </w:tcPr>
          <w:p>
            <w:pPr>
              <w:spacing w:after="0"/>
              <w:rPr>
                <w:sz w:val="1"/>
                <w:szCs w:val="1"/>
                <w:color w:val="auto"/>
              </w:rPr>
            </w:pPr>
          </w:p>
        </w:tc>
      </w:tr>
      <w:tr>
        <w:trPr>
          <w:trHeight w:val="203"/>
        </w:trPr>
        <w:tc>
          <w:tcPr>
            <w:tcW w:w="2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NEO</w:t>
            </w: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80" w:type="dxa"/>
            <w:vAlign w:val="bottom"/>
            <w:gridSpan w:val="2"/>
          </w:tcPr>
          <w:p>
            <w:pPr>
              <w:jc w:val="center"/>
              <w:ind w:right="600"/>
              <w:spacing w:after="0" w:line="202" w:lineRule="exact"/>
              <w:rPr>
                <w:sz w:val="20"/>
                <w:szCs w:val="20"/>
                <w:color w:val="auto"/>
              </w:rPr>
            </w:pPr>
            <w:r>
              <w:rPr>
                <w:rFonts w:ascii="Arial" w:cs="Arial" w:eastAsia="Arial" w:hAnsi="Arial"/>
                <w:sz w:val="18"/>
                <w:szCs w:val="18"/>
                <w:b w:val="1"/>
                <w:bCs w:val="1"/>
                <w:color w:val="auto"/>
                <w:w w:val="97"/>
              </w:rPr>
              <w:t>Stock</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right"/>
              <w:ind w:right="900"/>
              <w:spacing w:after="0" w:line="202" w:lineRule="exact"/>
              <w:rPr>
                <w:sz w:val="20"/>
                <w:szCs w:val="20"/>
                <w:color w:val="auto"/>
              </w:rPr>
            </w:pPr>
            <w:r>
              <w:rPr>
                <w:rFonts w:ascii="Arial" w:cs="Arial" w:eastAsia="Arial" w:hAnsi="Arial"/>
                <w:sz w:val="18"/>
                <w:szCs w:val="18"/>
                <w:b w:val="1"/>
                <w:bCs w:val="1"/>
                <w:color w:val="auto"/>
                <w:w w:val="93"/>
              </w:rPr>
              <w:t>Target Value of</w:t>
            </w:r>
          </w:p>
        </w:tc>
        <w:tc>
          <w:tcPr>
            <w:tcW w:w="13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8"/>
              </w:rPr>
              <w:t>LTIP Awards ($)</w:t>
            </w:r>
          </w:p>
        </w:tc>
        <w:tc>
          <w:tcPr>
            <w:tcW w:w="0" w:type="dxa"/>
            <w:vAlign w:val="bottom"/>
          </w:tcPr>
          <w:p>
            <w:pPr>
              <w:spacing w:after="0"/>
              <w:rPr>
                <w:sz w:val="1"/>
                <w:szCs w:val="1"/>
                <w:color w:val="auto"/>
              </w:rPr>
            </w:pPr>
          </w:p>
        </w:tc>
      </w:tr>
      <w:tr>
        <w:trPr>
          <w:trHeight w:val="210"/>
        </w:trPr>
        <w:tc>
          <w:tcPr>
            <w:tcW w:w="226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PSUs (#)</w:t>
            </w:r>
          </w:p>
        </w:tc>
        <w:tc>
          <w:tcPr>
            <w:tcW w:w="1680" w:type="dxa"/>
            <w:vAlign w:val="bottom"/>
            <w:gridSpan w:val="2"/>
          </w:tcPr>
          <w:p>
            <w:pPr>
              <w:jc w:val="center"/>
              <w:ind w:right="580"/>
              <w:spacing w:after="0" w:line="210" w:lineRule="exact"/>
              <w:rPr>
                <w:sz w:val="20"/>
                <w:szCs w:val="20"/>
                <w:color w:val="auto"/>
              </w:rPr>
            </w:pPr>
            <w:r>
              <w:rPr>
                <w:rFonts w:ascii="Arial" w:cs="Arial" w:eastAsia="Arial" w:hAnsi="Arial"/>
                <w:sz w:val="18"/>
                <w:szCs w:val="18"/>
                <w:b w:val="1"/>
                <w:bCs w:val="1"/>
                <w:color w:val="auto"/>
                <w:w w:val="93"/>
              </w:rPr>
              <w:t>Options (#)</w:t>
            </w:r>
            <w:r>
              <w:rPr>
                <w:rFonts w:ascii="Arial" w:cs="Arial" w:eastAsia="Arial" w:hAnsi="Arial"/>
                <w:sz w:val="22"/>
                <w:szCs w:val="22"/>
                <w:b w:val="1"/>
                <w:bCs w:val="1"/>
                <w:color w:val="auto"/>
                <w:w w:val="93"/>
                <w:vertAlign w:val="superscript"/>
              </w:rPr>
              <w:t>(1)</w:t>
            </w:r>
          </w:p>
        </w:tc>
        <w:tc>
          <w:tcPr>
            <w:tcW w:w="740" w:type="dxa"/>
            <w:vAlign w:val="bottom"/>
          </w:tcPr>
          <w:p>
            <w:pPr>
              <w:spacing w:after="0"/>
              <w:rPr>
                <w:sz w:val="20"/>
                <w:szCs w:val="20"/>
                <w:color w:val="auto"/>
              </w:rPr>
            </w:pPr>
            <w:r>
              <w:rPr>
                <w:rFonts w:ascii="Arial" w:cs="Arial" w:eastAsia="Arial" w:hAnsi="Arial"/>
                <w:sz w:val="18"/>
                <w:szCs w:val="18"/>
                <w:b w:val="1"/>
                <w:bCs w:val="1"/>
                <w:color w:val="auto"/>
                <w:w w:val="95"/>
              </w:rPr>
              <w:t>RSUs (#)</w:t>
            </w:r>
          </w:p>
        </w:tc>
        <w:tc>
          <w:tcPr>
            <w:tcW w:w="620" w:type="dxa"/>
            <w:vAlign w:val="bottom"/>
          </w:tcPr>
          <w:p>
            <w:pPr>
              <w:spacing w:after="0"/>
              <w:rPr>
                <w:sz w:val="18"/>
                <w:szCs w:val="18"/>
                <w:color w:val="auto"/>
              </w:rPr>
            </w:pPr>
          </w:p>
        </w:tc>
        <w:tc>
          <w:tcPr>
            <w:tcW w:w="2240" w:type="dxa"/>
            <w:vAlign w:val="bottom"/>
            <w:gridSpan w:val="3"/>
          </w:tcPr>
          <w:p>
            <w:pPr>
              <w:spacing w:after="0" w:line="210" w:lineRule="exact"/>
              <w:rPr>
                <w:sz w:val="20"/>
                <w:szCs w:val="20"/>
                <w:color w:val="auto"/>
              </w:rPr>
            </w:pPr>
            <w:r>
              <w:rPr>
                <w:rFonts w:ascii="Arial" w:cs="Arial" w:eastAsia="Arial" w:hAnsi="Arial"/>
                <w:sz w:val="18"/>
                <w:szCs w:val="18"/>
                <w:b w:val="1"/>
                <w:bCs w:val="1"/>
                <w:color w:val="auto"/>
              </w:rPr>
              <w:t xml:space="preserve">LTIP 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r>
              <w:rPr>
                <w:rFonts w:ascii="Arial" w:cs="Arial" w:eastAsia="Arial" w:hAnsi="Arial"/>
                <w:sz w:val="22"/>
                <w:szCs w:val="22"/>
                <w:b w:val="1"/>
                <w:bCs w:val="1"/>
                <w:color w:val="auto"/>
                <w:vertAlign w:val="superscript"/>
              </w:rPr>
              <w:t>(1)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Excluding SVIP</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Mr. Amelio</w:t>
            </w:r>
          </w:p>
        </w:tc>
        <w:tc>
          <w:tcPr>
            <w:tcW w:w="1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57,760</w:t>
            </w: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359,446</w:t>
            </w: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54,651</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10,000,000</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920" w:type="dxa"/>
            <w:vAlign w:val="bottom"/>
            <w:gridSpan w:val="2"/>
          </w:tcPr>
          <w:p>
            <w:pPr>
              <w:ind w:left="1200"/>
              <w:spacing w:after="0" w:line="202" w:lineRule="exact"/>
              <w:rPr>
                <w:sz w:val="20"/>
                <w:szCs w:val="20"/>
                <w:color w:val="auto"/>
              </w:rPr>
            </w:pPr>
            <w:r>
              <w:rPr>
                <w:rFonts w:ascii="Arial" w:cs="Arial" w:eastAsia="Arial" w:hAnsi="Arial"/>
                <w:sz w:val="18"/>
                <w:szCs w:val="18"/>
                <w:color w:val="auto"/>
              </w:rPr>
              <w:t>19,140</w:t>
            </w:r>
          </w:p>
        </w:tc>
        <w:tc>
          <w:tcPr>
            <w:tcW w:w="6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120,078</w:t>
            </w:r>
          </w:p>
        </w:tc>
        <w:tc>
          <w:tcPr>
            <w:tcW w:w="60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7"/>
              </w:rPr>
              <w:t>9,572</w:t>
            </w:r>
          </w:p>
        </w:tc>
        <w:tc>
          <w:tcPr>
            <w:tcW w:w="720" w:type="dxa"/>
            <w:vAlign w:val="bottom"/>
            <w:gridSpan w:val="2"/>
          </w:tcPr>
          <w:p>
            <w:pPr>
              <w:ind w:left="620"/>
              <w:spacing w:after="0" w:line="202" w:lineRule="exact"/>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2,881,000</w:t>
            </w:r>
            <w:r>
              <w:rPr>
                <w:rFonts w:ascii="Arial" w:cs="Arial" w:eastAsia="Arial" w:hAnsi="Arial"/>
                <w:sz w:val="22"/>
                <w:szCs w:val="22"/>
                <w:color w:val="auto"/>
                <w:vertAlign w:val="superscript"/>
              </w:rPr>
              <w:t>(2)</w:t>
            </w: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1,581,000</w:t>
            </w:r>
          </w:p>
        </w:tc>
        <w:tc>
          <w:tcPr>
            <w:tcW w:w="0" w:type="dxa"/>
            <w:vAlign w:val="bottom"/>
          </w:tcPr>
          <w:p>
            <w:pPr>
              <w:spacing w:after="0"/>
              <w:rPr>
                <w:sz w:val="1"/>
                <w:szCs w:val="1"/>
                <w:color w:val="auto"/>
              </w:rPr>
            </w:pPr>
          </w:p>
        </w:tc>
      </w:tr>
      <w:tr>
        <w:trPr>
          <w:trHeight w:val="203"/>
        </w:trPr>
        <w:tc>
          <w:tcPr>
            <w:tcW w:w="2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Bartolotta</w:t>
            </w:r>
          </w:p>
        </w:tc>
        <w:tc>
          <w:tcPr>
            <w:tcW w:w="1920" w:type="dxa"/>
            <w:vAlign w:val="bottom"/>
            <w:gridSpan w:val="2"/>
            <w:shd w:val="clear" w:color="auto" w:fill="CCEEFF"/>
          </w:tcPr>
          <w:p>
            <w:pPr>
              <w:ind w:left="1200"/>
              <w:spacing w:after="0" w:line="202" w:lineRule="exact"/>
              <w:rPr>
                <w:sz w:val="20"/>
                <w:szCs w:val="20"/>
                <w:color w:val="auto"/>
              </w:rPr>
            </w:pPr>
            <w:r>
              <w:rPr>
                <w:rFonts w:ascii="Arial" w:cs="Arial" w:eastAsia="Arial" w:hAnsi="Arial"/>
                <w:sz w:val="18"/>
                <w:szCs w:val="18"/>
                <w:color w:val="auto"/>
              </w:rPr>
              <w:t>6,456</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85,108</w:t>
            </w: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3,228</w:t>
            </w:r>
          </w:p>
        </w:tc>
        <w:tc>
          <w:tcPr>
            <w:tcW w:w="7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1,650,000</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Ms. Miller</w:t>
            </w:r>
          </w:p>
        </w:tc>
        <w:tc>
          <w:tcPr>
            <w:tcW w:w="1920" w:type="dxa"/>
            <w:vAlign w:val="bottom"/>
            <w:gridSpan w:val="2"/>
          </w:tcPr>
          <w:p>
            <w:pPr>
              <w:ind w:left="1200"/>
              <w:spacing w:after="0" w:line="202" w:lineRule="exact"/>
              <w:rPr>
                <w:sz w:val="20"/>
                <w:szCs w:val="20"/>
                <w:color w:val="auto"/>
              </w:rPr>
            </w:pPr>
            <w:r>
              <w:rPr>
                <w:rFonts w:ascii="Arial" w:cs="Arial" w:eastAsia="Arial" w:hAnsi="Arial"/>
                <w:sz w:val="18"/>
                <w:szCs w:val="18"/>
                <w:color w:val="auto"/>
              </w:rPr>
              <w:t>11,823</w:t>
            </w:r>
          </w:p>
        </w:tc>
        <w:tc>
          <w:tcPr>
            <w:tcW w:w="6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84,101</w:t>
            </w:r>
          </w:p>
        </w:tc>
        <w:tc>
          <w:tcPr>
            <w:tcW w:w="60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7"/>
              </w:rPr>
              <w:t>5,912</w:t>
            </w:r>
          </w:p>
        </w:tc>
        <w:tc>
          <w:tcPr>
            <w:tcW w:w="720" w:type="dxa"/>
            <w:vAlign w:val="bottom"/>
            <w:gridSpan w:val="2"/>
          </w:tcPr>
          <w:p>
            <w:pPr>
              <w:ind w:left="6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1,926,500</w:t>
            </w:r>
          </w:p>
        </w:tc>
        <w:tc>
          <w:tcPr>
            <w:tcW w:w="800" w:type="dxa"/>
            <w:vAlign w:val="bottom"/>
          </w:tcPr>
          <w:p>
            <w:pPr>
              <w:spacing w:after="0"/>
              <w:rPr>
                <w:sz w:val="17"/>
                <w:szCs w:val="17"/>
                <w:color w:val="auto"/>
              </w:rPr>
            </w:pP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976,500</w:t>
            </w:r>
          </w:p>
        </w:tc>
        <w:tc>
          <w:tcPr>
            <w:tcW w:w="0" w:type="dxa"/>
            <w:vAlign w:val="bottom"/>
          </w:tcPr>
          <w:p>
            <w:pPr>
              <w:spacing w:after="0"/>
              <w:rPr>
                <w:sz w:val="1"/>
                <w:szCs w:val="1"/>
                <w:color w:val="auto"/>
              </w:rPr>
            </w:pPr>
          </w:p>
        </w:tc>
      </w:tr>
      <w:tr>
        <w:trPr>
          <w:trHeight w:val="203"/>
        </w:trPr>
        <w:tc>
          <w:tcPr>
            <w:tcW w:w="2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O’Neill</w:t>
            </w:r>
          </w:p>
        </w:tc>
        <w:tc>
          <w:tcPr>
            <w:tcW w:w="1920" w:type="dxa"/>
            <w:vAlign w:val="bottom"/>
            <w:gridSpan w:val="2"/>
            <w:shd w:val="clear" w:color="auto" w:fill="CCEEFF"/>
          </w:tcPr>
          <w:p>
            <w:pPr>
              <w:ind w:left="1200"/>
              <w:spacing w:after="0" w:line="202" w:lineRule="exact"/>
              <w:rPr>
                <w:sz w:val="20"/>
                <w:szCs w:val="20"/>
                <w:color w:val="auto"/>
              </w:rPr>
            </w:pPr>
            <w:r>
              <w:rPr>
                <w:rFonts w:ascii="Arial" w:cs="Arial" w:eastAsia="Arial" w:hAnsi="Arial"/>
                <w:sz w:val="18"/>
                <w:szCs w:val="18"/>
                <w:color w:val="auto"/>
              </w:rPr>
              <w:t>5,867</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67,823</w:t>
            </w: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2,932</w:t>
            </w:r>
          </w:p>
        </w:tc>
        <w:tc>
          <w:tcPr>
            <w:tcW w:w="7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1,332,500</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Mr. Hamada</w:t>
            </w:r>
          </w:p>
        </w:tc>
        <w:tc>
          <w:tcPr>
            <w:tcW w:w="1920" w:type="dxa"/>
            <w:vAlign w:val="bottom"/>
            <w:gridSpan w:val="2"/>
          </w:tcPr>
          <w:p>
            <w:pPr>
              <w:ind w:left="1200"/>
              <w:spacing w:after="0" w:line="202" w:lineRule="exact"/>
              <w:rPr>
                <w:sz w:val="20"/>
                <w:szCs w:val="20"/>
                <w:color w:val="auto"/>
              </w:rPr>
            </w:pPr>
            <w:r>
              <w:rPr>
                <w:rFonts w:ascii="Arial" w:cs="Arial" w:eastAsia="Arial" w:hAnsi="Arial"/>
                <w:sz w:val="18"/>
                <w:szCs w:val="18"/>
                <w:color w:val="auto"/>
              </w:rPr>
              <w:t>30,267</w:t>
            </w:r>
          </w:p>
        </w:tc>
        <w:tc>
          <w:tcPr>
            <w:tcW w:w="6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8"/>
              </w:rPr>
              <w:t>50,980</w:t>
            </w:r>
          </w:p>
        </w:tc>
        <w:tc>
          <w:tcPr>
            <w:tcW w:w="60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8"/>
              </w:rPr>
              <w:t>15,132</w:t>
            </w:r>
          </w:p>
        </w:tc>
        <w:tc>
          <w:tcPr>
            <w:tcW w:w="720" w:type="dxa"/>
            <w:vAlign w:val="bottom"/>
            <w:gridSpan w:val="2"/>
          </w:tcPr>
          <w:p>
            <w:pPr>
              <w:ind w:left="62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2,500,000</w:t>
            </w:r>
          </w:p>
        </w:tc>
        <w:tc>
          <w:tcPr>
            <w:tcW w:w="800" w:type="dxa"/>
            <w:vAlign w:val="bottom"/>
          </w:tcPr>
          <w:p>
            <w:pPr>
              <w:spacing w:after="0"/>
              <w:rPr>
                <w:sz w:val="17"/>
                <w:szCs w:val="17"/>
                <w:color w:val="auto"/>
              </w:rPr>
            </w:pPr>
          </w:p>
        </w:tc>
        <w:tc>
          <w:tcPr>
            <w:tcW w:w="3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03"/>
        </w:trPr>
        <w:tc>
          <w:tcPr>
            <w:tcW w:w="2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920" w:type="dxa"/>
            <w:vAlign w:val="bottom"/>
            <w:gridSpan w:val="2"/>
            <w:shd w:val="clear" w:color="auto" w:fill="CCEEFF"/>
          </w:tcPr>
          <w:p>
            <w:pPr>
              <w:ind w:left="1200"/>
              <w:spacing w:after="0" w:line="202" w:lineRule="exact"/>
              <w:rPr>
                <w:sz w:val="20"/>
                <w:szCs w:val="20"/>
                <w:color w:val="auto"/>
              </w:rPr>
            </w:pPr>
            <w:r>
              <w:rPr>
                <w:rFonts w:ascii="Arial" w:cs="Arial" w:eastAsia="Arial" w:hAnsi="Arial"/>
                <w:sz w:val="18"/>
                <w:szCs w:val="18"/>
                <w:color w:val="auto"/>
              </w:rPr>
              <w:t>14,073</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104,785</w:t>
            </w: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7,036</w:t>
            </w:r>
          </w:p>
        </w:tc>
        <w:tc>
          <w:tcPr>
            <w:tcW w:w="7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w w:val="79"/>
              </w:rPr>
              <w:t>$</w:t>
            </w:r>
          </w:p>
        </w:tc>
        <w:tc>
          <w:tcPr>
            <w:tcW w:w="214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2,362,500</w:t>
            </w:r>
            <w:r>
              <w:rPr>
                <w:rFonts w:ascii="Arial" w:cs="Arial" w:eastAsia="Arial" w:hAnsi="Arial"/>
                <w:sz w:val="22"/>
                <w:szCs w:val="22"/>
                <w:color w:val="auto"/>
                <w:vertAlign w:val="superscript"/>
              </w:rPr>
              <w:t>(2)</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1,162,500</w:t>
            </w:r>
          </w:p>
        </w:tc>
        <w:tc>
          <w:tcPr>
            <w:tcW w:w="0" w:type="dxa"/>
            <w:vAlign w:val="bottom"/>
          </w:tcPr>
          <w:p>
            <w:pPr>
              <w:spacing w:after="0"/>
              <w:rPr>
                <w:sz w:val="1"/>
                <w:szCs w:val="1"/>
                <w:color w:val="auto"/>
              </w:rPr>
            </w:pPr>
          </w:p>
        </w:tc>
      </w:tr>
      <w:tr>
        <w:trPr>
          <w:trHeight w:val="237"/>
        </w:trPr>
        <w:tc>
          <w:tcPr>
            <w:tcW w:w="2260" w:type="dxa"/>
            <w:vAlign w:val="bottom"/>
            <w:gridSpan w:val="2"/>
          </w:tcPr>
          <w:p>
            <w:pPr>
              <w:spacing w:after="0"/>
              <w:rPr>
                <w:sz w:val="20"/>
                <w:szCs w:val="20"/>
                <w:color w:val="auto"/>
              </w:rPr>
            </w:pPr>
            <w:r>
              <w:rPr>
                <w:rFonts w:ascii="Arial" w:cs="Arial" w:eastAsia="Arial" w:hAnsi="Arial"/>
                <w:sz w:val="18"/>
                <w:szCs w:val="18"/>
                <w:color w:val="auto"/>
              </w:rPr>
              <w:t>Mr. Zammit</w:t>
            </w:r>
          </w:p>
        </w:tc>
        <w:tc>
          <w:tcPr>
            <w:tcW w:w="1920" w:type="dxa"/>
            <w:vAlign w:val="bottom"/>
            <w:gridSpan w:val="2"/>
          </w:tcPr>
          <w:p>
            <w:pPr>
              <w:ind w:left="1200"/>
              <w:spacing w:after="0"/>
              <w:rPr>
                <w:sz w:val="20"/>
                <w:szCs w:val="20"/>
                <w:color w:val="auto"/>
              </w:rPr>
            </w:pPr>
            <w:r>
              <w:rPr>
                <w:rFonts w:ascii="Arial" w:cs="Arial" w:eastAsia="Arial" w:hAnsi="Arial"/>
                <w:sz w:val="18"/>
                <w:szCs w:val="18"/>
                <w:color w:val="auto"/>
              </w:rPr>
              <w:t>13,512</w:t>
            </w:r>
          </w:p>
        </w:tc>
        <w:tc>
          <w:tcPr>
            <w:tcW w:w="6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22,756</w:t>
            </w:r>
          </w:p>
        </w:tc>
        <w:tc>
          <w:tcPr>
            <w:tcW w:w="6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6,756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800"/>
              <w:spacing w:after="0"/>
              <w:rPr>
                <w:sz w:val="20"/>
                <w:szCs w:val="20"/>
                <w:color w:val="auto"/>
              </w:rPr>
            </w:pPr>
            <w:r>
              <w:rPr>
                <w:rFonts w:ascii="Arial" w:cs="Arial" w:eastAsia="Arial" w:hAnsi="Arial"/>
                <w:sz w:val="18"/>
                <w:szCs w:val="18"/>
                <w:color w:val="auto"/>
              </w:rPr>
              <w:t>1,116,000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1,116,000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75" w:lineRule="exact"/>
        <w:rPr>
          <w:sz w:val="20"/>
          <w:szCs w:val="20"/>
          <w:color w:val="auto"/>
        </w:rPr>
      </w:pPr>
    </w:p>
    <w:p>
      <w:pPr>
        <w:ind w:left="800" w:right="660" w:hanging="454"/>
        <w:spacing w:after="0" w:line="269"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include stock options from the annual grant and the one-time grant of performance-based stock options pursuant to the Shareholder Value Incentive Plan grant, as discussed below.</w:t>
      </w:r>
    </w:p>
    <w:p>
      <w:pPr>
        <w:spacing w:after="0" w:line="22" w:lineRule="exact"/>
        <w:rPr>
          <w:rFonts w:ascii="Arial" w:cs="Arial" w:eastAsia="Arial" w:hAnsi="Arial"/>
          <w:sz w:val="18"/>
          <w:szCs w:val="18"/>
          <w:color w:val="auto"/>
        </w:rPr>
      </w:pPr>
    </w:p>
    <w:p>
      <w:pPr>
        <w:ind w:left="800" w:right="40" w:hanging="454"/>
        <w:spacing w:after="0" w:line="252"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result of his departure from the Company, Mr. Moriarty’s PBSOs granted under the Shareholder Value Incentive Plan, which is more fully described below, will not vest and will be cancelled. Mr. Fay’s PBSOs granted pursuant to such plan were cancelled when he ceased to be an officer of the Company.</w:t>
      </w:r>
    </w:p>
    <w:p>
      <w:pPr>
        <w:spacing w:after="0" w:line="3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u w:val="single" w:color="auto"/>
          <w:color w:val="auto"/>
        </w:rPr>
        <w:t>Performance Share Units</w:t>
      </w:r>
      <w:r>
        <w:rPr>
          <w:rFonts w:ascii="Arial" w:cs="Arial" w:eastAsia="Arial" w:hAnsi="Arial"/>
          <w:sz w:val="16"/>
          <w:szCs w:val="16"/>
          <w:color w:val="auto"/>
        </w:rPr>
        <w:t>. The Compensation Committee believes a combination of Return on Capital Employed (“ROCE”) and Relative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Profit (“EP”) are measures of long-term performance driven by effective profitability and balance sheet management, and are key factors in creating shareholder value. Using annual performance periods makes these goals more meaningful to the executive officers and enhances the line of sight between performance and award results. In addition, the Compensation Committee uses relative TSR as a payout measure to promote a closer alignment between long-term incentive payments and shareholder returns delivered during the three-year performance period.</w:t>
      </w:r>
    </w:p>
    <w:p>
      <w:pPr>
        <w:spacing w:after="0" w:line="1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PSUs awarded in fiscal 2017 vest based upon a three-year performance period covering the Company’s fiscal years 2017, 2018 and 2019. Vesting of these PSUs is subject to Avnet achieving Average Three Year ROCE and Relative EP, as defined below, equal to at least the respective threshold levels set forth below. The weighted average results of Average Three Year ROCE and Relative EP are modified by Relative TSR +/-20%. Average Three Year ROCE and Relative EP are equally weighted for determining PSU payouts. While Relative EP is calculated for each year during the performance period, the PSUs associated with that performance measure do not vest until the end of the three-year performance period. For Relative EP, the Compensation Committee selected the S&amp;P SuperComposite Technology Distributors Index – Sub-Industry Index, excluding Avnet, as the comparator group. It is comprised of technology distributors that are the most comparable to Avnet in terms of revenue, market capitalization and business environment. For Relative TSR, the Compensation Committee selected the broader S&amp;P MidCap400 Information Technology Index as the comparator group to provide for more stability and continuity in the relative TSR peer group composition and performance levels.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PSU awards:</w:t>
      </w:r>
    </w:p>
    <w:p>
      <w:pPr>
        <w:spacing w:after="0" w:line="77" w:lineRule="exact"/>
        <w:rPr>
          <w:sz w:val="20"/>
          <w:szCs w:val="20"/>
          <w:color w:val="auto"/>
        </w:rPr>
      </w:pPr>
    </w:p>
    <w:p>
      <w:pPr>
        <w:ind w:left="780" w:right="320" w:hanging="326"/>
        <w:spacing w:after="0" w:line="26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Capital Employed” means operating income less income tax, divided by average total capital, which is debt less cash plus total equity.</w:t>
      </w:r>
    </w:p>
    <w:p>
      <w:pPr>
        <w:spacing w:after="0" w:line="22" w:lineRule="exact"/>
        <w:rPr>
          <w:rFonts w:ascii="Arial" w:cs="Arial" w:eastAsia="Arial" w:hAnsi="Arial"/>
          <w:sz w:val="18"/>
          <w:szCs w:val="18"/>
          <w:color w:val="auto"/>
        </w:rPr>
      </w:pPr>
    </w:p>
    <w:p>
      <w:pPr>
        <w:ind w:left="780" w:right="400" w:hanging="326"/>
        <w:spacing w:after="0" w:line="252"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EP” means, with respect to each fiscal year in the three-year Relative EP performance period, Avnet’s economic profit per dollar of average capital for such fiscal year as compared to the economic profit per dollar of average capital of the companies in the S&amp;P SuperComposite Technology Distributors Index — Sub-Industry Index, excluding Avnet.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80" w:right="20" w:hanging="326"/>
        <w:spacing w:after="0" w:line="24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Profit” for a business means operating income after tax (assuming an effective tax rate of 35%), less a capital charge of 10% on the amount of capital invested in the business. For purposes of the PSUs, “operating income” excludes certain items as determined by the Compensation Committee, such as restructuring charges, asset write-downs, impairments and financial impacts of accounting, tax and regulatory changes, etc.</w:t>
      </w:r>
    </w:p>
    <w:p>
      <w:pPr>
        <w:spacing w:after="0" w:line="42" w:lineRule="exact"/>
        <w:rPr>
          <w:rFonts w:ascii="Arial" w:cs="Arial" w:eastAsia="Arial" w:hAnsi="Arial"/>
          <w:sz w:val="18"/>
          <w:szCs w:val="18"/>
          <w:color w:val="auto"/>
        </w:rPr>
      </w:pPr>
    </w:p>
    <w:p>
      <w:pPr>
        <w:ind w:left="780" w:right="380" w:hanging="326"/>
        <w:spacing w:after="0" w:line="252"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“Relative TSR” means the percentile rank (from 0%ile for the lowest to 100%ile for the highest) of Avnet’s “Total Shareholder Return” compared to the individual total shareholder return of each company in the S&amp;P MidCap400 Information Technology Index over the three-year performance period.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Shareholder Return” means the percent calculated using the following formula: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Average stock price at the end of period – average stock price at the start of period + dividends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Average stock price at the start of period</w:t>
      </w:r>
    </w:p>
    <w:p>
      <w:pPr>
        <w:spacing w:after="0" w:line="55" w:lineRule="exact"/>
        <w:rPr>
          <w:sz w:val="20"/>
          <w:szCs w:val="20"/>
          <w:color w:val="auto"/>
        </w:rPr>
      </w:pPr>
    </w:p>
    <w:p>
      <w:pPr>
        <w:ind w:left="460" w:right="360"/>
        <w:spacing w:after="0" w:line="252" w:lineRule="auto"/>
        <w:rPr>
          <w:sz w:val="20"/>
          <w:szCs w:val="20"/>
          <w:color w:val="auto"/>
        </w:rPr>
      </w:pPr>
      <w:r>
        <w:rPr>
          <w:rFonts w:ascii="Arial" w:cs="Arial" w:eastAsia="Arial" w:hAnsi="Arial"/>
          <w:sz w:val="18"/>
          <w:szCs w:val="18"/>
          <w:color w:val="auto"/>
        </w:rPr>
        <w:t>When calculating the average stock price at the beginning and end of the relevant period, the Company uses the 30-trading day average immediately before and including the start day and the 30-trading day average immediately before and including the end day of the applicable period.</w:t>
      </w:r>
    </w:p>
    <w:p>
      <w:pPr>
        <w:spacing w:after="0" w:line="11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Based upon the Company’s actual ROCE, Relative EP and Relative TSR, the recipient is eligible to receive a percentage of the target number of shares ranging from 0% to 200% of the participant’s targeted number of shares as set forth below. Actual ROCE is calculated each year for three years and averaged, then compared to the Plan to determine Plan achievement. Relative EP is calculated each year during the three-year performance period, the payout percentage of target set forth below is multiplied by one-third and the number of PSUs associated with each year’s Relative EP performance vest at the end of the three-year performance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Average ROCE</w:t>
            </w:r>
          </w:p>
        </w:tc>
        <w:tc>
          <w:tcPr>
            <w:tcW w:w="3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96"/>
        </w:trPr>
        <w:tc>
          <w:tcPr>
            <w:tcW w:w="4620" w:type="dxa"/>
            <w:vAlign w:val="bottom"/>
            <w:gridSpan w:val="4"/>
            <w:shd w:val="clear" w:color="auto" w:fill="CCEEFF"/>
          </w:tcPr>
          <w:p>
            <w:pPr>
              <w:ind w:left="880"/>
              <w:spacing w:after="0" w:line="196" w:lineRule="exact"/>
              <w:rPr>
                <w:sz w:val="20"/>
                <w:szCs w:val="20"/>
                <w:color w:val="auto"/>
              </w:rPr>
            </w:pPr>
            <w:r>
              <w:rPr>
                <w:rFonts w:ascii="Arial" w:cs="Arial" w:eastAsia="Arial" w:hAnsi="Arial"/>
                <w:sz w:val="18"/>
                <w:szCs w:val="18"/>
                <w:color w:val="auto"/>
              </w:rPr>
              <w:t>ROCE three year average goal</w:t>
            </w:r>
          </w:p>
        </w:tc>
        <w:tc>
          <w:tcPr>
            <w:tcW w:w="2480" w:type="dxa"/>
            <w:vAlign w:val="bottom"/>
            <w:shd w:val="clear" w:color="auto" w:fill="CCEEFF"/>
          </w:tcPr>
          <w:p>
            <w:pPr>
              <w:jc w:val="center"/>
              <w:ind w:left="632"/>
              <w:spacing w:after="0" w:line="196" w:lineRule="exact"/>
              <w:rPr>
                <w:sz w:val="20"/>
                <w:szCs w:val="20"/>
                <w:color w:val="auto"/>
              </w:rPr>
            </w:pPr>
            <w:r>
              <w:rPr>
                <w:rFonts w:ascii="Arial" w:cs="Arial" w:eastAsia="Arial" w:hAnsi="Arial"/>
                <w:sz w:val="18"/>
                <w:szCs w:val="18"/>
                <w:color w:val="auto"/>
                <w:w w:val="94"/>
              </w:rPr>
              <w:t>&lt;10.65%</w:t>
            </w:r>
          </w:p>
        </w:tc>
        <w:tc>
          <w:tcPr>
            <w:tcW w:w="880" w:type="dxa"/>
            <w:vAlign w:val="bottom"/>
            <w:shd w:val="clear" w:color="auto" w:fill="CCEEFF"/>
          </w:tcPr>
          <w:p>
            <w:pPr>
              <w:jc w:val="center"/>
              <w:ind w:right="152"/>
              <w:spacing w:after="0" w:line="196" w:lineRule="exact"/>
              <w:rPr>
                <w:sz w:val="20"/>
                <w:szCs w:val="20"/>
                <w:color w:val="auto"/>
              </w:rPr>
            </w:pPr>
            <w:r>
              <w:rPr>
                <w:rFonts w:ascii="Arial" w:cs="Arial" w:eastAsia="Arial" w:hAnsi="Arial"/>
                <w:sz w:val="18"/>
                <w:szCs w:val="18"/>
                <w:color w:val="auto"/>
                <w:w w:val="98"/>
              </w:rPr>
              <w:t>10.65%</w:t>
            </w:r>
          </w:p>
        </w:tc>
        <w:tc>
          <w:tcPr>
            <w:tcW w:w="1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11.33%</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11.67%</w:t>
            </w:r>
          </w:p>
        </w:tc>
        <w:tc>
          <w:tcPr>
            <w:tcW w:w="1020" w:type="dxa"/>
            <w:vAlign w:val="bottom"/>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98"/>
              </w:rPr>
              <w:t>12.00%</w:t>
            </w:r>
          </w:p>
        </w:tc>
      </w:tr>
      <w:tr>
        <w:trPr>
          <w:trHeight w:val="237"/>
        </w:trPr>
        <w:tc>
          <w:tcPr>
            <w:tcW w:w="4620" w:type="dxa"/>
            <w:vAlign w:val="bottom"/>
            <w:gridSpan w:val="4"/>
          </w:tcPr>
          <w:p>
            <w:pPr>
              <w:ind w:left="880"/>
              <w:spacing w:after="0"/>
              <w:rPr>
                <w:sz w:val="20"/>
                <w:szCs w:val="20"/>
                <w:color w:val="auto"/>
              </w:rPr>
            </w:pPr>
            <w:r>
              <w:rPr>
                <w:rFonts w:ascii="Arial" w:cs="Arial" w:eastAsia="Arial" w:hAnsi="Arial"/>
                <w:sz w:val="18"/>
                <w:szCs w:val="18"/>
                <w:color w:val="auto"/>
              </w:rPr>
              <w:t>Payout Percent of Target</w:t>
            </w:r>
          </w:p>
        </w:tc>
        <w:tc>
          <w:tcPr>
            <w:tcW w:w="2480" w:type="dxa"/>
            <w:vAlign w:val="bottom"/>
          </w:tcPr>
          <w:p>
            <w:pPr>
              <w:jc w:val="center"/>
              <w:ind w:left="632"/>
              <w:spacing w:after="0"/>
              <w:rPr>
                <w:sz w:val="20"/>
                <w:szCs w:val="20"/>
                <w:color w:val="auto"/>
              </w:rPr>
            </w:pPr>
            <w:r>
              <w:rPr>
                <w:rFonts w:ascii="Arial" w:cs="Arial" w:eastAsia="Arial" w:hAnsi="Arial"/>
                <w:sz w:val="18"/>
                <w:szCs w:val="18"/>
                <w:color w:val="auto"/>
                <w:w w:val="92"/>
              </w:rPr>
              <w:t>0%</w:t>
            </w:r>
          </w:p>
        </w:tc>
        <w:tc>
          <w:tcPr>
            <w:tcW w:w="880" w:type="dxa"/>
            <w:vAlign w:val="bottom"/>
          </w:tcPr>
          <w:p>
            <w:pPr>
              <w:jc w:val="center"/>
              <w:ind w:right="152"/>
              <w:spacing w:after="0"/>
              <w:rPr>
                <w:sz w:val="20"/>
                <w:szCs w:val="20"/>
                <w:color w:val="auto"/>
              </w:rPr>
            </w:pPr>
            <w:r>
              <w:rPr>
                <w:rFonts w:ascii="Arial" w:cs="Arial" w:eastAsia="Arial" w:hAnsi="Arial"/>
                <w:sz w:val="18"/>
                <w:szCs w:val="18"/>
                <w:color w:val="auto"/>
                <w:w w:val="99"/>
              </w:rPr>
              <w:t>40%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100%</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150%</w:t>
            </w:r>
          </w:p>
        </w:tc>
        <w:tc>
          <w:tcPr>
            <w:tcW w:w="1020" w:type="dxa"/>
            <w:vAlign w:val="bottom"/>
          </w:tcPr>
          <w:p>
            <w:pPr>
              <w:jc w:val="center"/>
              <w:ind w:left="12"/>
              <w:spacing w:after="0"/>
              <w:rPr>
                <w:sz w:val="20"/>
                <w:szCs w:val="20"/>
                <w:color w:val="auto"/>
              </w:rPr>
            </w:pPr>
            <w:r>
              <w:rPr>
                <w:rFonts w:ascii="Arial" w:cs="Arial" w:eastAsia="Arial" w:hAnsi="Arial"/>
                <w:sz w:val="18"/>
                <w:szCs w:val="18"/>
                <w:color w:val="auto"/>
                <w:w w:val="95"/>
              </w:rPr>
              <w:t>200%</w:t>
            </w:r>
          </w:p>
        </w:tc>
      </w:tr>
      <w:tr>
        <w:trPr>
          <w:trHeight w:val="276"/>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Relative EP</w:t>
            </w:r>
          </w:p>
        </w:tc>
        <w:tc>
          <w:tcPr>
            <w:tcW w:w="3640" w:type="dxa"/>
            <w:vAlign w:val="bottom"/>
            <w:gridSpan w:val="3"/>
          </w:tcPr>
          <w:p>
            <w:pPr>
              <w:spacing w:after="0"/>
              <w:rPr>
                <w:sz w:val="24"/>
                <w:szCs w:val="24"/>
                <w:color w:val="auto"/>
              </w:rPr>
            </w:pPr>
          </w:p>
        </w:tc>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4620" w:type="dxa"/>
            <w:vAlign w:val="bottom"/>
            <w:gridSpan w:val="4"/>
            <w:shd w:val="clear" w:color="auto" w:fill="CCEEFF"/>
          </w:tcPr>
          <w:p>
            <w:pPr>
              <w:ind w:left="880"/>
              <w:spacing w:after="0" w:line="196" w:lineRule="exact"/>
              <w:rPr>
                <w:sz w:val="20"/>
                <w:szCs w:val="20"/>
                <w:color w:val="auto"/>
              </w:rPr>
            </w:pPr>
            <w:r>
              <w:rPr>
                <w:rFonts w:ascii="Arial" w:cs="Arial" w:eastAsia="Arial" w:hAnsi="Arial"/>
                <w:sz w:val="18"/>
                <w:szCs w:val="18"/>
                <w:color w:val="auto"/>
              </w:rPr>
              <w:t>Relative EP relative to the Index</w:t>
            </w:r>
          </w:p>
        </w:tc>
        <w:tc>
          <w:tcPr>
            <w:tcW w:w="2480" w:type="dxa"/>
            <w:vAlign w:val="bottom"/>
            <w:shd w:val="clear" w:color="auto" w:fill="CCEEFF"/>
          </w:tcPr>
          <w:p>
            <w:pPr>
              <w:jc w:val="center"/>
              <w:ind w:left="632"/>
              <w:spacing w:after="0" w:line="196" w:lineRule="exact"/>
              <w:rPr>
                <w:sz w:val="20"/>
                <w:szCs w:val="20"/>
                <w:color w:val="auto"/>
              </w:rPr>
            </w:pPr>
            <w:r>
              <w:rPr>
                <w:rFonts w:ascii="Arial" w:cs="Arial" w:eastAsia="Arial" w:hAnsi="Arial"/>
                <w:sz w:val="18"/>
                <w:szCs w:val="18"/>
                <w:color w:val="auto"/>
                <w:w w:val="95"/>
              </w:rPr>
              <w:t>-10%</w:t>
            </w:r>
          </w:p>
        </w:tc>
        <w:tc>
          <w:tcPr>
            <w:tcW w:w="880" w:type="dxa"/>
            <w:vAlign w:val="bottom"/>
            <w:shd w:val="clear" w:color="auto" w:fill="CCEEFF"/>
          </w:tcPr>
          <w:p>
            <w:pPr>
              <w:jc w:val="center"/>
              <w:ind w:right="152"/>
              <w:spacing w:after="0" w:line="196" w:lineRule="exact"/>
              <w:rPr>
                <w:sz w:val="20"/>
                <w:szCs w:val="20"/>
                <w:color w:val="auto"/>
              </w:rPr>
            </w:pPr>
            <w:r>
              <w:rPr>
                <w:rFonts w:ascii="Arial" w:cs="Arial" w:eastAsia="Arial" w:hAnsi="Arial"/>
                <w:sz w:val="18"/>
                <w:szCs w:val="18"/>
                <w:color w:val="auto"/>
                <w:w w:val="99"/>
              </w:rPr>
              <w:t>-5%</w:t>
            </w:r>
          </w:p>
        </w:tc>
        <w:tc>
          <w:tcPr>
            <w:tcW w:w="1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0%</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+5%</w:t>
            </w:r>
          </w:p>
        </w:tc>
        <w:tc>
          <w:tcPr>
            <w:tcW w:w="1020" w:type="dxa"/>
            <w:vAlign w:val="bottom"/>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94"/>
              </w:rPr>
              <w:t>+10%</w:t>
            </w:r>
          </w:p>
        </w:tc>
      </w:tr>
      <w:tr>
        <w:trPr>
          <w:trHeight w:val="237"/>
        </w:trPr>
        <w:tc>
          <w:tcPr>
            <w:tcW w:w="4620" w:type="dxa"/>
            <w:vAlign w:val="bottom"/>
            <w:gridSpan w:val="4"/>
          </w:tcPr>
          <w:p>
            <w:pPr>
              <w:ind w:left="880"/>
              <w:spacing w:after="0"/>
              <w:rPr>
                <w:sz w:val="20"/>
                <w:szCs w:val="20"/>
                <w:color w:val="auto"/>
              </w:rPr>
            </w:pPr>
            <w:r>
              <w:rPr>
                <w:rFonts w:ascii="Arial" w:cs="Arial" w:eastAsia="Arial" w:hAnsi="Arial"/>
                <w:sz w:val="18"/>
                <w:szCs w:val="18"/>
                <w:color w:val="auto"/>
              </w:rPr>
              <w:t>Payout Percent of Target</w:t>
            </w:r>
          </w:p>
        </w:tc>
        <w:tc>
          <w:tcPr>
            <w:tcW w:w="2480" w:type="dxa"/>
            <w:vAlign w:val="bottom"/>
          </w:tcPr>
          <w:p>
            <w:pPr>
              <w:jc w:val="center"/>
              <w:ind w:left="632"/>
              <w:spacing w:after="0"/>
              <w:rPr>
                <w:sz w:val="20"/>
                <w:szCs w:val="20"/>
                <w:color w:val="auto"/>
              </w:rPr>
            </w:pPr>
            <w:r>
              <w:rPr>
                <w:rFonts w:ascii="Arial" w:cs="Arial" w:eastAsia="Arial" w:hAnsi="Arial"/>
                <w:sz w:val="18"/>
                <w:szCs w:val="18"/>
                <w:color w:val="auto"/>
                <w:w w:val="92"/>
              </w:rPr>
              <w:t>0%</w:t>
            </w:r>
          </w:p>
        </w:tc>
        <w:tc>
          <w:tcPr>
            <w:tcW w:w="880" w:type="dxa"/>
            <w:vAlign w:val="bottom"/>
          </w:tcPr>
          <w:p>
            <w:pPr>
              <w:jc w:val="center"/>
              <w:ind w:right="152"/>
              <w:spacing w:after="0"/>
              <w:rPr>
                <w:sz w:val="20"/>
                <w:szCs w:val="20"/>
                <w:color w:val="auto"/>
              </w:rPr>
            </w:pPr>
            <w:r>
              <w:rPr>
                <w:rFonts w:ascii="Arial" w:cs="Arial" w:eastAsia="Arial" w:hAnsi="Arial"/>
                <w:sz w:val="18"/>
                <w:szCs w:val="18"/>
                <w:color w:val="auto"/>
                <w:w w:val="99"/>
              </w:rPr>
              <w:t>50%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100%</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150%</w:t>
            </w:r>
          </w:p>
        </w:tc>
        <w:tc>
          <w:tcPr>
            <w:tcW w:w="1020" w:type="dxa"/>
            <w:vAlign w:val="bottom"/>
          </w:tcPr>
          <w:p>
            <w:pPr>
              <w:jc w:val="center"/>
              <w:ind w:left="12"/>
              <w:spacing w:after="0"/>
              <w:rPr>
                <w:sz w:val="20"/>
                <w:szCs w:val="20"/>
                <w:color w:val="auto"/>
              </w:rPr>
            </w:pPr>
            <w:r>
              <w:rPr>
                <w:rFonts w:ascii="Arial" w:cs="Arial" w:eastAsia="Arial" w:hAnsi="Arial"/>
                <w:sz w:val="18"/>
                <w:szCs w:val="18"/>
                <w:color w:val="auto"/>
                <w:w w:val="95"/>
              </w:rPr>
              <w:t>200%</w:t>
            </w:r>
          </w:p>
        </w:tc>
      </w:tr>
      <w:tr>
        <w:trPr>
          <w:trHeight w:val="276"/>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Relative TSR</w:t>
            </w:r>
          </w:p>
        </w:tc>
        <w:tc>
          <w:tcPr>
            <w:tcW w:w="3520" w:type="dxa"/>
            <w:vAlign w:val="bottom"/>
            <w:gridSpan w:val="2"/>
          </w:tcPr>
          <w:p>
            <w:pPr>
              <w:spacing w:after="0"/>
              <w:rPr>
                <w:sz w:val="24"/>
                <w:szCs w:val="24"/>
                <w:color w:val="auto"/>
              </w:rPr>
            </w:pPr>
          </w:p>
        </w:tc>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4620" w:type="dxa"/>
            <w:vAlign w:val="bottom"/>
            <w:gridSpan w:val="4"/>
            <w:shd w:val="clear" w:color="auto" w:fill="CCEEFF"/>
          </w:tcPr>
          <w:p>
            <w:pPr>
              <w:ind w:left="880"/>
              <w:spacing w:after="0" w:line="196" w:lineRule="exact"/>
              <w:rPr>
                <w:sz w:val="20"/>
                <w:szCs w:val="20"/>
                <w:color w:val="auto"/>
              </w:rPr>
            </w:pPr>
            <w:r>
              <w:rPr>
                <w:rFonts w:ascii="Arial" w:cs="Arial" w:eastAsia="Arial" w:hAnsi="Arial"/>
                <w:sz w:val="18"/>
                <w:szCs w:val="18"/>
                <w:color w:val="auto"/>
              </w:rPr>
              <w:t>Percentile Rank</w:t>
            </w:r>
          </w:p>
        </w:tc>
        <w:tc>
          <w:tcPr>
            <w:tcW w:w="2480" w:type="dxa"/>
            <w:vAlign w:val="bottom"/>
            <w:shd w:val="clear" w:color="auto" w:fill="CCEEFF"/>
          </w:tcPr>
          <w:p>
            <w:pPr>
              <w:jc w:val="center"/>
              <w:ind w:left="1752"/>
              <w:spacing w:after="0" w:line="196" w:lineRule="exact"/>
              <w:rPr>
                <w:sz w:val="20"/>
                <w:szCs w:val="20"/>
                <w:color w:val="auto"/>
              </w:rPr>
            </w:pPr>
            <w:r>
              <w:rPr>
                <w:rFonts w:ascii="Arial" w:cs="Arial" w:eastAsia="Arial" w:hAnsi="Arial"/>
                <w:sz w:val="18"/>
                <w:szCs w:val="18"/>
                <w:color w:val="auto"/>
                <w:w w:val="99"/>
              </w:rPr>
              <w:t>&lt;30%ile</w:t>
            </w: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50%ile</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75%ile+</w:t>
            </w:r>
          </w:p>
        </w:tc>
        <w:tc>
          <w:tcPr>
            <w:tcW w:w="1020" w:type="dxa"/>
            <w:vAlign w:val="bottom"/>
            <w:shd w:val="clear" w:color="auto" w:fill="CCEEFF"/>
          </w:tcPr>
          <w:p>
            <w:pPr>
              <w:spacing w:after="0"/>
              <w:rPr>
                <w:sz w:val="17"/>
                <w:szCs w:val="17"/>
                <w:color w:val="auto"/>
              </w:rPr>
            </w:pPr>
          </w:p>
        </w:tc>
      </w:tr>
      <w:tr>
        <w:trPr>
          <w:trHeight w:val="162"/>
        </w:trPr>
        <w:tc>
          <w:tcPr>
            <w:tcW w:w="4620" w:type="dxa"/>
            <w:vAlign w:val="bottom"/>
            <w:gridSpan w:val="4"/>
          </w:tcPr>
          <w:p>
            <w:pPr>
              <w:ind w:left="880"/>
              <w:spacing w:after="0" w:line="162" w:lineRule="exact"/>
              <w:rPr>
                <w:sz w:val="20"/>
                <w:szCs w:val="20"/>
                <w:color w:val="auto"/>
              </w:rPr>
            </w:pPr>
            <w:r>
              <w:rPr>
                <w:rFonts w:ascii="Arial" w:cs="Arial" w:eastAsia="Arial" w:hAnsi="Arial"/>
                <w:sz w:val="18"/>
                <w:szCs w:val="18"/>
                <w:color w:val="auto"/>
              </w:rPr>
              <w:t>Payout Percent of Target</w:t>
            </w:r>
          </w:p>
        </w:tc>
        <w:tc>
          <w:tcPr>
            <w:tcW w:w="2480" w:type="dxa"/>
            <w:vAlign w:val="bottom"/>
          </w:tcPr>
          <w:p>
            <w:pPr>
              <w:jc w:val="right"/>
              <w:ind w:right="32"/>
              <w:spacing w:after="0" w:line="162" w:lineRule="exact"/>
              <w:rPr>
                <w:sz w:val="20"/>
                <w:szCs w:val="20"/>
                <w:color w:val="auto"/>
              </w:rPr>
            </w:pPr>
            <w:r>
              <w:rPr>
                <w:rFonts w:ascii="Arial" w:cs="Arial" w:eastAsia="Arial" w:hAnsi="Arial"/>
                <w:sz w:val="18"/>
                <w:szCs w:val="18"/>
                <w:color w:val="auto"/>
              </w:rPr>
              <w:t>-20%</w:t>
            </w:r>
          </w:p>
        </w:tc>
        <w:tc>
          <w:tcPr>
            <w:tcW w:w="8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1180" w:type="dxa"/>
            <w:vAlign w:val="bottom"/>
          </w:tcPr>
          <w:p>
            <w:pPr>
              <w:jc w:val="center"/>
              <w:spacing w:after="0" w:line="162" w:lineRule="exact"/>
              <w:rPr>
                <w:sz w:val="20"/>
                <w:szCs w:val="20"/>
                <w:color w:val="auto"/>
              </w:rPr>
            </w:pPr>
            <w:r>
              <w:rPr>
                <w:rFonts w:ascii="Arial" w:cs="Arial" w:eastAsia="Arial" w:hAnsi="Arial"/>
                <w:sz w:val="18"/>
                <w:szCs w:val="18"/>
                <w:color w:val="auto"/>
                <w:w w:val="98"/>
              </w:rPr>
              <w:t>+20%</w:t>
            </w:r>
          </w:p>
        </w:tc>
        <w:tc>
          <w:tcPr>
            <w:tcW w:w="1020" w:type="dxa"/>
            <w:vAlign w:val="bottom"/>
          </w:tcPr>
          <w:p>
            <w:pPr>
              <w:spacing w:after="0"/>
              <w:rPr>
                <w:sz w:val="14"/>
                <w:szCs w:val="14"/>
                <w:color w:val="auto"/>
              </w:rPr>
            </w:pPr>
          </w:p>
        </w:tc>
      </w:t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Adjustment</w:t>
            </w: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98" w:lineRule="exact"/>
        <w:rPr>
          <w:sz w:val="20"/>
          <w:szCs w:val="20"/>
          <w:color w:val="auto"/>
        </w:rPr>
      </w:pPr>
    </w:p>
    <w:p>
      <w:pPr>
        <w:ind w:right="840"/>
        <w:spacing w:after="0" w:line="269" w:lineRule="auto"/>
        <w:rPr>
          <w:sz w:val="20"/>
          <w:szCs w:val="20"/>
          <w:color w:val="auto"/>
        </w:rPr>
      </w:pPr>
      <w:r>
        <w:rPr>
          <w:rFonts w:ascii="Arial" w:cs="Arial" w:eastAsia="Arial" w:hAnsi="Arial"/>
          <w:sz w:val="18"/>
          <w:szCs w:val="18"/>
          <w:color w:val="auto"/>
        </w:rPr>
        <w:t>If Avnet’s actual Average ROCE, annual Relative EP or Relative TSR is between two achievement levels set forth in the table above, the percentage vesting shall be determined by linear interpolation.</w:t>
      </w:r>
    </w:p>
    <w:p>
      <w:pPr>
        <w:spacing w:after="0" w:line="22"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i w:val="1"/>
          <w:iCs w:val="1"/>
          <w:u w:val="single" w:color="auto"/>
          <w:color w:val="auto"/>
        </w:rPr>
        <w:t>Performance Share Units Earned</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The payout percentages for the PSU awards for the past five years are set forth in the following table:</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243"/>
        </w:trPr>
        <w:tc>
          <w:tcPr>
            <w:tcW w:w="1940" w:type="dxa"/>
            <w:vAlign w:val="bottom"/>
          </w:tcPr>
          <w:p>
            <w:pPr>
              <w:spacing w:after="0"/>
              <w:rPr>
                <w:sz w:val="21"/>
                <w:szCs w:val="21"/>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Performance Period</w:t>
            </w:r>
          </w:p>
        </w:tc>
        <w:tc>
          <w:tcPr>
            <w:tcW w:w="2940" w:type="dxa"/>
            <w:vAlign w:val="bottom"/>
          </w:tcPr>
          <w:p>
            <w:pPr>
              <w:spacing w:after="0"/>
              <w:rPr>
                <w:sz w:val="21"/>
                <w:szCs w:val="21"/>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Payout</w:t>
            </w:r>
          </w:p>
        </w:tc>
      </w:tr>
      <w:tr>
        <w:trPr>
          <w:trHeight w:val="190"/>
        </w:trPr>
        <w:tc>
          <w:tcPr>
            <w:tcW w:w="3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Fiscal Years 2015 – 2017</w:t>
            </w:r>
          </w:p>
        </w:tc>
        <w:tc>
          <w:tcPr>
            <w:tcW w:w="29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45%</w:t>
            </w:r>
          </w:p>
        </w:tc>
      </w:tr>
      <w:tr>
        <w:trPr>
          <w:trHeight w:val="203"/>
        </w:trPr>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2014 – 2016</w:t>
            </w:r>
          </w:p>
        </w:tc>
        <w:tc>
          <w:tcPr>
            <w:tcW w:w="4120" w:type="dxa"/>
            <w:vAlign w:val="bottom"/>
            <w:gridSpan w:val="2"/>
          </w:tcPr>
          <w:p>
            <w:pPr>
              <w:jc w:val="center"/>
              <w:ind w:left="2832"/>
              <w:spacing w:after="0" w:line="202" w:lineRule="exact"/>
              <w:rPr>
                <w:sz w:val="20"/>
                <w:szCs w:val="20"/>
                <w:color w:val="auto"/>
              </w:rPr>
            </w:pPr>
            <w:r>
              <w:rPr>
                <w:rFonts w:ascii="Arial" w:cs="Arial" w:eastAsia="Arial" w:hAnsi="Arial"/>
                <w:sz w:val="18"/>
                <w:szCs w:val="18"/>
                <w:color w:val="auto"/>
                <w:w w:val="99"/>
              </w:rPr>
              <w:t>89%</w:t>
            </w:r>
          </w:p>
        </w:tc>
      </w:tr>
      <w:tr>
        <w:trPr>
          <w:trHeight w:val="203"/>
        </w:trPr>
        <w:tc>
          <w:tcPr>
            <w:tcW w:w="3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2013 – 2015</w:t>
            </w:r>
          </w:p>
        </w:tc>
        <w:tc>
          <w:tcPr>
            <w:tcW w:w="4120" w:type="dxa"/>
            <w:vAlign w:val="bottom"/>
            <w:gridSpan w:val="2"/>
            <w:shd w:val="clear" w:color="auto" w:fill="CCEEFF"/>
          </w:tcPr>
          <w:p>
            <w:pPr>
              <w:jc w:val="center"/>
              <w:ind w:left="2832"/>
              <w:spacing w:after="0" w:line="202" w:lineRule="exact"/>
              <w:rPr>
                <w:sz w:val="20"/>
                <w:szCs w:val="20"/>
                <w:color w:val="auto"/>
              </w:rPr>
            </w:pPr>
            <w:r>
              <w:rPr>
                <w:rFonts w:ascii="Arial" w:cs="Arial" w:eastAsia="Arial" w:hAnsi="Arial"/>
                <w:sz w:val="18"/>
                <w:szCs w:val="18"/>
                <w:color w:val="auto"/>
                <w:w w:val="95"/>
              </w:rPr>
              <w:t>107%</w:t>
            </w:r>
          </w:p>
        </w:tc>
      </w:tr>
      <w:tr>
        <w:trPr>
          <w:trHeight w:val="203"/>
        </w:trPr>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2012 – 2014</w:t>
            </w:r>
          </w:p>
        </w:tc>
        <w:tc>
          <w:tcPr>
            <w:tcW w:w="4120" w:type="dxa"/>
            <w:vAlign w:val="bottom"/>
            <w:gridSpan w:val="2"/>
          </w:tcPr>
          <w:p>
            <w:pPr>
              <w:jc w:val="center"/>
              <w:ind w:left="2832"/>
              <w:spacing w:after="0" w:line="202" w:lineRule="exact"/>
              <w:rPr>
                <w:sz w:val="20"/>
                <w:szCs w:val="20"/>
                <w:color w:val="auto"/>
              </w:rPr>
            </w:pPr>
            <w:r>
              <w:rPr>
                <w:rFonts w:ascii="Arial" w:cs="Arial" w:eastAsia="Arial" w:hAnsi="Arial"/>
                <w:sz w:val="18"/>
                <w:szCs w:val="18"/>
                <w:color w:val="auto"/>
                <w:w w:val="99"/>
              </w:rPr>
              <w:t>94%</w:t>
            </w:r>
          </w:p>
        </w:tc>
      </w:tr>
      <w:tr>
        <w:trPr>
          <w:trHeight w:val="203"/>
        </w:trPr>
        <w:tc>
          <w:tcPr>
            <w:tcW w:w="3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2011 – 2013</w:t>
            </w:r>
          </w:p>
        </w:tc>
        <w:tc>
          <w:tcPr>
            <w:tcW w:w="4120" w:type="dxa"/>
            <w:vAlign w:val="bottom"/>
            <w:gridSpan w:val="2"/>
            <w:shd w:val="clear" w:color="auto" w:fill="CCEEFF"/>
          </w:tcPr>
          <w:p>
            <w:pPr>
              <w:jc w:val="center"/>
              <w:ind w:left="2832"/>
              <w:spacing w:after="0" w:line="202" w:lineRule="exact"/>
              <w:rPr>
                <w:sz w:val="20"/>
                <w:szCs w:val="20"/>
                <w:color w:val="auto"/>
              </w:rPr>
            </w:pPr>
            <w:r>
              <w:rPr>
                <w:rFonts w:ascii="Arial" w:cs="Arial" w:eastAsia="Arial" w:hAnsi="Arial"/>
                <w:sz w:val="18"/>
                <w:szCs w:val="18"/>
                <w:color w:val="auto"/>
                <w:w w:val="99"/>
              </w:rPr>
              <w:t>90%</w:t>
            </w:r>
          </w:p>
        </w:tc>
      </w:tr>
      <w:tr>
        <w:trPr>
          <w:trHeight w:val="367"/>
        </w:trPr>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40" w:type="dxa"/>
            <w:vAlign w:val="bottom"/>
          </w:tcPr>
          <w:p>
            <w:pPr>
              <w:jc w:val="right"/>
              <w:ind w:right="2512"/>
              <w:spacing w:after="0"/>
              <w:rPr>
                <w:sz w:val="20"/>
                <w:szCs w:val="20"/>
                <w:color w:val="auto"/>
              </w:rPr>
            </w:pPr>
            <w:r>
              <w:rPr>
                <w:rFonts w:ascii="Arial" w:cs="Arial" w:eastAsia="Arial" w:hAnsi="Arial"/>
                <w:sz w:val="18"/>
                <w:szCs w:val="18"/>
                <w:color w:val="auto"/>
              </w:rPr>
              <w:t>35</w:t>
            </w:r>
          </w:p>
        </w:tc>
        <w:tc>
          <w:tcPr>
            <w:tcW w:w="11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provide the opportunity for compensation only if the Company’s stock price appreciates from the date of grant,</w:t>
      </w:r>
      <w:r>
        <w:rPr>
          <w:rFonts w:ascii="Arial" w:cs="Arial" w:eastAsia="Arial" w:hAnsi="Arial"/>
          <w:sz w:val="16"/>
          <w:szCs w:val="16"/>
          <w:i w:val="1"/>
          <w:iCs w:val="1"/>
          <w:color w:val="auto"/>
        </w:rPr>
        <w:t xml:space="preserve"> </w:t>
      </w:r>
      <w:r>
        <w:rPr>
          <w:rFonts w:ascii="Arial" w:cs="Arial" w:eastAsia="Arial" w:hAnsi="Arial"/>
          <w:sz w:val="16"/>
          <w:szCs w:val="16"/>
          <w:color w:val="auto"/>
        </w:rPr>
        <w:t>enhancing the alignment of executive officer pay with shareholder interests. Options typically vest annually in equal installments over a four-year period. The exercise price reflects the closing stock price on the date of grant. The vesting parameters are designed to enhance NEO retention.</w:t>
      </w:r>
    </w:p>
    <w:p>
      <w:pPr>
        <w:spacing w:after="0" w:line="3"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color w:val="auto"/>
        </w:rPr>
        <w:t>. RSUs typically vest in four equal installments over three-and-a-half years and are intended to enhance the retention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NEOs over an extended period.</w:t>
      </w:r>
    </w:p>
    <w:p>
      <w:pPr>
        <w:spacing w:after="0" w:line="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u w:val="single" w:color="auto"/>
          <w:color w:val="auto"/>
        </w:rPr>
        <w:t>Shareholder Value Incentive Plan (SVIP)</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2017, the Board provided an additional equity grant in the form of performance-based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(“PBSOs”). This special one-time PBSO grant is part of the Company’s transformation initiative and is designed to motivate executives to achieve stretch performance goals that are challenging and improve Company profitability and enhance shareholder value. The PBSOs were granted in January 2017 with an exercise price of $47.23 per share. The PBSOs will vest only upon the achievement of specifically identified initiatives related to improving profitability, cash flows and margins, as well as reducing expenses, as determined by the Compensation Committee. If achieved, the PBSO performance initiatives will represent significant improvement in the Company’s operating performance as measured by growth in EBITDA. Depending on achievement of the performance initiatives by December 31, 2018, 60% of the PBSOs are eligible for vesting, with the remaining 40% eligible for vesting at the end of fiscal 2019. Depending on the achievement of the performance initiatives and related improvement in profitability, the number of vested PBSOs may increase by up to 50% of the PBSOs granted. In addition, the number of PBSOs granted may increase by up to 20% if the Company achieves a specifically identified inventory efficiency goal. In no event will the number of PBSOs that vest exceed 150% of the number granted in January 2017. The specific PBSO performance targets are not included in this Compensation Discussion and Analysis section because the metrics are derived from internal initiatives that are highly confidential and not publicly disclosed. At the time of this filing, the realizable value of these PBSOs is zero as the threshold level of the stretch improvement goals has not yet been achieved and as such these options would not become vested, and, even if vested, the options currently have no intrinsic value as the current stock price has not appreciated above the option exercise price.</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Compensation Elements</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u w:val="single" w:color="auto"/>
          <w:color w:val="auto"/>
        </w:rPr>
        <w:t>Retirement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Avnet provides a retirement benefit to certain employees under a tax-qualified retirement plan and a retirement benefit under</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retirement plans. The Avnet pension plan (the “Pension Plan”) is a type of tax-qualified defined benefit plan commonly referred to as a cash balance plan. Cash balance plans are similar in nature to a defined contribution plan in that a participant’s benefit is defined in terms of a stated account balance. As a cash balance plan, the Pension Plan provides the Company with the benefit of applying any earnings on the Plan’s investments beyond the fixed return provided to participants toward the Company’s future cash funding obligations. The nonqualified retirement plans consist of the Avnet restoration pension plan (the “Restoration Plan”) and the supplemental executive officers’ retirement plan (the “SERP”). The plans are more fully described in the “Pension Benefits” section. Only U.S. employees are eligible to participate in the Pension and Restoration Plans. Mr. Zammit, as a former resident of France and a current resident of Belgium, is a participant in the Company’s pension plans established in France and Belgium. The SERP was closed to new participants effective December 31, 2011, and the Restoration Plan was adopted effective January 1, 2012. Pursuant to the terms of the Restoration Plan and the SERP, any benefit payable under the Restoration Plan reduces the benefit payable under the SERP. These plans are important retention tools in the Avnet compensation program because the receipt of benefits under these plans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performance-based element. The Company balances the effectiveness of these plans as a compensation and retention tool with the cost of these plans.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u w:val="single" w:color="auto"/>
          <w:color w:val="auto"/>
        </w:rPr>
        <w:t>Deferred Compensation</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maintains a Deferred Compensation Plan for highly compensated U.S. employees, which includes each</w:t>
      </w:r>
      <w:r>
        <w:rPr>
          <w:rFonts w:ascii="Arial" w:cs="Arial" w:eastAsia="Arial" w:hAnsi="Arial"/>
          <w:sz w:val="18"/>
          <w:szCs w:val="18"/>
          <w:i w:val="1"/>
          <w:iCs w:val="1"/>
          <w:color w:val="auto"/>
        </w:rPr>
        <w:t xml:space="preserve"> </w:t>
      </w:r>
      <w:r>
        <w:rPr>
          <w:rFonts w:ascii="Arial" w:cs="Arial" w:eastAsia="Arial" w:hAnsi="Arial"/>
          <w:sz w:val="18"/>
          <w:szCs w:val="18"/>
          <w:color w:val="auto"/>
        </w:rPr>
        <w:t>NEO with the exception of Mr. Zammit. The program permits these employees to set aside a portion of their income for retirement on a pre-tax basis, in addition to the amounts allowed under the Company’s 401(k) Plan, at a minimal administrative cost to the Company. Under this unfunded program, amounts deferred by a participant are credited with earnings based upon the returns actually obtained through the “deemed investment” selected by the participant, as described in more detail following the Nonqualified Deferred Compensation Table. The Company does not offer preferential or above market returns on the compensation deferred.</w:t>
      </w:r>
    </w:p>
    <w:p>
      <w:pPr>
        <w:spacing w:after="0" w:line="4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u w:val="single" w:color="auto"/>
          <w:color w:val="auto"/>
        </w:rPr>
        <w:t>Executive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NEOs with a limited number of perquisites that the Company and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are reasonable and consistent with Avnet’s overall compensation program, and necessary to remain competitive. Costs associated with the perquisites provided by the Company are included in the “All Other Compensation” column in the Summary Compensation Table.</w:t>
      </w:r>
    </w:p>
    <w:p>
      <w:pPr>
        <w:spacing w:after="0" w:line="3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Generally, the Company does not increase payment to any employees, including NEOs, to cover personal income taxes. However, certain expatriate allowances, relocation reimbursements and tax equalization payments are made to employees assigned to work outside his or her home country and the Company will cover the personal income taxes due on these items. Mr. Zammit is a resident of Belgium and, as such, is subject to personal income taxes in Belgium. In addition, as Mr. Zammit’s position as TS President required that he periodically conduct business in the United States, he is subject to state and federal personal income taxes in the United States. As a result of his role as TS President, the Company agreed to make certain tax equalization payments (including tax gross-up payments) to him to ensure that the position was tax neutral to</w:t>
      </w:r>
    </w:p>
    <w:p>
      <w:pPr>
        <w:ind w:right="80"/>
        <w:spacing w:after="0" w:line="244" w:lineRule="auto"/>
        <w:rPr>
          <w:sz w:val="20"/>
          <w:szCs w:val="20"/>
          <w:color w:val="auto"/>
        </w:rPr>
      </w:pPr>
      <w:r>
        <w:rPr>
          <w:rFonts w:ascii="Arial" w:cs="Arial" w:eastAsia="Arial" w:hAnsi="Arial"/>
          <w:sz w:val="18"/>
          <w:szCs w:val="18"/>
          <w:color w:val="auto"/>
        </w:rPr>
        <w:t>Mr. Zammit. These payments to Mr. Zammit ceased upon the sale of Avnet’s TS business to Tech Data. Costs associated with the tax equalization payments provided by the Company are included in the “All Other Compensation” column in the Summary Compensation Table.</w:t>
      </w:r>
    </w:p>
    <w:p>
      <w:pPr>
        <w:spacing w:after="0" w:line="43" w:lineRule="exact"/>
        <w:rPr>
          <w:sz w:val="20"/>
          <w:szCs w:val="20"/>
          <w:color w:val="auto"/>
        </w:rPr>
      </w:pPr>
    </w:p>
    <w:p>
      <w:pPr>
        <w:ind w:right="60"/>
        <w:spacing w:after="0"/>
        <w:rPr>
          <w:sz w:val="20"/>
          <w:szCs w:val="20"/>
          <w:color w:val="auto"/>
        </w:rPr>
      </w:pPr>
      <w:r>
        <w:rPr>
          <w:rFonts w:ascii="Arial" w:cs="Arial" w:eastAsia="Arial" w:hAnsi="Arial"/>
          <w:sz w:val="18"/>
          <w:szCs w:val="18"/>
          <w:i w:val="1"/>
          <w:iCs w:val="1"/>
          <w:u w:val="single" w:color="auto"/>
          <w:color w:val="auto"/>
        </w:rPr>
        <w:t>Change of Control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NEO has a change of control agreement with the Company. The change of control agreements are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encourage retention in the face of the disruptive impact of an actual or attempted change of control of the Company. The agreements are also intended to align executive officer and shareholder interests by enabling executive officers to consider corporate transactions that are in the best interests of the shareholders and other constituents of the Company without undue concern over whether the transactions may jeopardize the executive officers’ own employment. The change of control agreements do not provide for excise tax reimbursements to any of the Company’s executive officers. More detailed descriptions of these programs are included in the “Potential Payouts Upon Termination and Change of Control” section.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7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With a significant portion of each executive officer’s total compensation delivered in the form of equity-based incentives, executive officers have a substantial interest and incentive to ensure profitable growth of the Company and to drive long-term shareholder value. To further reinforce this focus, the Compensation Committee has established stock ownership guidelines for all executive officers. The guidelines provide that the executive officers are required to hold shares of the Company’s Common Stock or unvested RSUs, with a market value equal to a multiple of each officer’s base salary, as set forth below:</w:t>
      </w:r>
    </w:p>
    <w:p>
      <w:pPr>
        <w:sectPr>
          <w:pgSz w:w="11900" w:h="16838" w:orient="portrait"/>
          <w:cols w:equalWidth="0" w:num="1">
            <w:col w:w="11420"/>
          </w:cols>
          <w:pgMar w:left="240" w:top="455" w:right="2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5 times base salary</w:t>
      </w:r>
    </w:p>
    <w:p>
      <w:pPr>
        <w:spacing w:after="0" w:line="53" w:lineRule="exact"/>
        <w:rPr>
          <w:sz w:val="20"/>
          <w:szCs w:val="20"/>
          <w:color w:val="auto"/>
        </w:rPr>
      </w:pPr>
    </w:p>
    <w:p>
      <w:pPr>
        <w:sectPr>
          <w:pgSz w:w="11900" w:h="16838" w:orient="portrait"/>
          <w:cols w:equalWidth="0" w:num="2">
            <w:col w:w="4320" w:space="720"/>
            <w:col w:w="6380"/>
          </w:cols>
          <w:pgMar w:left="240" w:top="455" w:right="239" w:bottom="1440" w:gutter="0" w:footer="0" w:header="0"/>
          <w:type w:val="continuous"/>
        </w:sectPr>
      </w:pPr>
    </w:p>
    <w:p>
      <w:pPr>
        <w:spacing w:after="0"/>
        <w:rPr>
          <w:sz w:val="20"/>
          <w:szCs w:val="20"/>
          <w:color w:val="auto"/>
        </w:rPr>
      </w:pPr>
      <w:r>
        <w:rPr>
          <w:rFonts w:ascii="Arial" w:cs="Arial" w:eastAsia="Arial" w:hAnsi="Arial"/>
          <w:sz w:val="16"/>
          <w:szCs w:val="16"/>
          <w:color w:val="auto"/>
        </w:rPr>
        <w:t>Chief Financial Officer, General Counsel and President, Core</w:t>
      </w:r>
    </w:p>
    <w:p>
      <w:pPr>
        <w:sectPr>
          <w:pgSz w:w="11900" w:h="16838" w:orient="portrait"/>
          <w:cols w:equalWidth="0" w:num="1">
            <w:col w:w="11420"/>
          </w:cols>
          <w:pgMar w:left="240" w:top="45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Distribution</w:t>
      </w:r>
    </w:p>
    <w:p>
      <w:pPr>
        <w:spacing w:after="0"/>
        <w:rPr>
          <w:sz w:val="20"/>
          <w:szCs w:val="20"/>
          <w:color w:val="auto"/>
        </w:rPr>
      </w:pPr>
      <w:r>
        <w:rPr>
          <w:rFonts w:ascii="Arial" w:cs="Arial" w:eastAsia="Arial" w:hAnsi="Arial"/>
          <w:sz w:val="16"/>
          <w:szCs w:val="16"/>
          <w:color w:val="auto"/>
        </w:rPr>
        <w:t>Other 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with market value equal to 3 times base salary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1 times base salary</w:t>
      </w:r>
    </w:p>
    <w:p>
      <w:pPr>
        <w:spacing w:after="0" w:line="145" w:lineRule="exact"/>
        <w:rPr>
          <w:sz w:val="20"/>
          <w:szCs w:val="20"/>
          <w:color w:val="auto"/>
        </w:rPr>
      </w:pPr>
    </w:p>
    <w:p>
      <w:pPr>
        <w:sectPr>
          <w:pgSz w:w="11900" w:h="16838" w:orient="portrait"/>
          <w:cols w:equalWidth="0" w:num="2">
            <w:col w:w="4320" w:space="720"/>
            <w:col w:w="6380"/>
          </w:cols>
          <w:pgMar w:left="240" w:top="45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5"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Until the ownership level under the Company’s stock ownership guidelines is met, executive officers must hold at least 50% of any net shares he or she receives upon the exercise of options or upon the delivery of any RSU or PSU awards. Currently, all NEOs who are subject to these guidelines satisfy these requirements.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Insider Trading and Hedging/Pledging Policy</w:t>
      </w:r>
    </w:p>
    <w:p>
      <w:pPr>
        <w:spacing w:after="0" w:line="7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Company’s insider trading policy expressly prohibits ownership of financial instruments or participation in investment strategies that hedge the economic risk of owning the Company’s securities. Additionally, executive officers and directors are prohibited from hedging or pledging Avnet securities as collateral for loans. The Company’s insider trading policy prohibits executive officers and directors from trading in securities of Avnet or engaging in any other action to take advantage of, or pass on to others, material nonpublic information relating to Avnet or any other company with which Avnet has a relationship, including Avnet’s customers, suppliers or potential parties in a business transaction.</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Recoupment Policy</w:t>
      </w:r>
    </w:p>
    <w:p>
      <w:pPr>
        <w:spacing w:after="0" w:line="77"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Pursuant to the Company’s incentive compensation recoupment policy, in the event of a restatement of the Company’s financial results due to the misconduct of any employee, the Independent Directors are authorized to take action to recoup all or part of any incentive compensation received by an executive officer. For purposes of this policy, incentive compensation includes any cash or stock-based award under the Company’s Incentive Plan or LTIP, the amount of which is determined in whole or in part upon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7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Equity award decisions are generally made at the Board or Compensation Committee’s regularly scheduled meetings in August, which are generally scheduled at least one year in advance. Pursuant to the Company’s equity incentive plans, the exercise price of each stock option awarded to the executive officers is the closing price of Avnet’s Common Stock on the date of grant. Options and other equity-based awards may be granted in connection with a new hire or a promotion, in which case awards may be granted at the Compensation Committee meeting at or about the time of hiring or promotion. Grants are made without regard to anticipated earnings or major announcements by the Company.</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162(m) of the Internal Revenue Code of 1986, as amended (the “Code”), limits to $1 million the amount of remuneration that Avnet may deduct in any calendar year for its CEO and three other highest-paid NEOs, other than the CFO. The limitation applies only to compensation that is not considered “performance based” as defined in the Section 162(m) regulations.</w:t>
      </w:r>
    </w:p>
    <w:p>
      <w:pPr>
        <w:spacing w:after="0" w:line="3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designing the Company’s compensation programs, the Compensation Committee considers the effect of Section 162(m) of the Code, as well as other factors relevant to the Company’s business needs. The Company has historically taken, and intends to continue to take, reasonable and appropriate actions with respect to achieving deductibility of annual incentive and long-term compensation. To maintain flexibility, the Compensation Committee does not have a policy requiring all compensation to be deductible.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following table sets forth information concerning the compensation provided by Avnet for the years indicated to the Named Executive Officers.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Change in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Pension</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and</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Deferred</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00" w:type="dxa"/>
            <w:vAlign w:val="bottom"/>
            <w:gridSpan w:val="3"/>
            <w:vMerge w:val="continue"/>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8"/>
              </w:rPr>
              <w:t>Awards</w:t>
            </w: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6"/>
              </w:rPr>
              <w:t>Compensation</w:t>
            </w:r>
          </w:p>
        </w:tc>
        <w:tc>
          <w:tcPr>
            <w:tcW w:w="116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6"/>
              </w:rPr>
              <w:t>Earnings</w:t>
            </w:r>
          </w:p>
        </w:tc>
        <w:tc>
          <w:tcPr>
            <w:tcW w:w="116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6"/>
              </w:rPr>
              <w:t>Compensation</w:t>
            </w:r>
          </w:p>
        </w:tc>
        <w:tc>
          <w:tcPr>
            <w:tcW w:w="940" w:type="dxa"/>
            <w:vAlign w:val="bottom"/>
            <w:gridSpan w:val="2"/>
            <w:vMerge w:val="continue"/>
          </w:tcPr>
          <w:p>
            <w:pPr>
              <w:spacing w:after="0"/>
              <w:rPr>
                <w:sz w:val="12"/>
                <w:szCs w:val="12"/>
                <w:color w:val="auto"/>
              </w:rPr>
            </w:pPr>
          </w:p>
        </w:tc>
        <w:tc>
          <w:tcPr>
            <w:tcW w:w="680" w:type="dxa"/>
            <w:vAlign w:val="bottom"/>
            <w:gridSpan w:val="2"/>
          </w:tcPr>
          <w:p>
            <w:pPr>
              <w:ind w:left="160"/>
              <w:spacing w:after="0" w:line="14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480" w:type="dxa"/>
            <w:vAlign w:val="bottom"/>
            <w:tcBorders>
              <w:bottom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6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22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(2)</w:t>
            </w:r>
          </w:p>
        </w:tc>
        <w:tc>
          <w:tcPr>
            <w:tcW w:w="22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(3)</w:t>
            </w:r>
          </w:p>
        </w:tc>
        <w:tc>
          <w:tcPr>
            <w:tcW w:w="22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6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(b)</w:t>
            </w:r>
          </w:p>
        </w:tc>
        <w:tc>
          <w:tcPr>
            <w:tcW w:w="260" w:type="dxa"/>
            <w:vAlign w:val="bottom"/>
            <w:vMerge w:val="continue"/>
          </w:tcPr>
          <w:p>
            <w:pPr>
              <w:spacing w:after="0"/>
              <w:rPr>
                <w:sz w:val="11"/>
                <w:szCs w:val="11"/>
                <w:color w:val="auto"/>
              </w:rPr>
            </w:pPr>
          </w:p>
        </w:tc>
        <w:tc>
          <w:tcPr>
            <w:tcW w:w="66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(c)</w:t>
            </w:r>
          </w:p>
        </w:tc>
        <w:tc>
          <w:tcPr>
            <w:tcW w:w="200" w:type="dxa"/>
            <w:vAlign w:val="bottom"/>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(e)</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(f)</w:t>
            </w:r>
          </w:p>
        </w:tc>
        <w:tc>
          <w:tcPr>
            <w:tcW w:w="22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w:t>
            </w:r>
          </w:p>
        </w:tc>
        <w:tc>
          <w:tcPr>
            <w:tcW w:w="22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(h)</w:t>
            </w:r>
          </w:p>
        </w:tc>
        <w:tc>
          <w:tcPr>
            <w:tcW w:w="22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(i)</w:t>
            </w:r>
          </w:p>
        </w:tc>
        <w:tc>
          <w:tcPr>
            <w:tcW w:w="220" w:type="dxa"/>
            <w:vAlign w:val="bottom"/>
            <w:vMerge w:val="continue"/>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(j)</w:t>
            </w:r>
          </w:p>
        </w:tc>
        <w:tc>
          <w:tcPr>
            <w:tcW w:w="2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William Amelio</w:t>
            </w:r>
          </w:p>
        </w:tc>
        <w:tc>
          <w:tcPr>
            <w:tcW w:w="6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892,308</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4,994,200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4,188,048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1,166,161</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68,630</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11,309,347</w:t>
            </w: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9,253,603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100" w:type="dxa"/>
            <w:vAlign w:val="bottom"/>
            <w:gridSpan w:val="3"/>
          </w:tcPr>
          <w:p>
            <w:pPr>
              <w:ind w:left="220"/>
              <w:spacing w:after="0" w:line="122" w:lineRule="exact"/>
              <w:rPr>
                <w:sz w:val="20"/>
                <w:szCs w:val="20"/>
                <w:color w:val="auto"/>
              </w:rPr>
            </w:pPr>
            <w:r>
              <w:rPr>
                <w:rFonts w:ascii="Arial" w:cs="Arial" w:eastAsia="Arial" w:hAnsi="Arial"/>
                <w:sz w:val="14"/>
                <w:szCs w:val="14"/>
                <w:color w:val="auto"/>
              </w:rPr>
              <w:t>Chief Executive Officer</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00" w:type="dxa"/>
            <w:vAlign w:val="bottom"/>
            <w:gridSpan w:val="3"/>
          </w:tcPr>
          <w:p>
            <w:pPr>
              <w:spacing w:after="0" w:line="159" w:lineRule="exact"/>
              <w:rPr>
                <w:sz w:val="20"/>
                <w:szCs w:val="20"/>
                <w:color w:val="auto"/>
              </w:rPr>
            </w:pPr>
            <w:r>
              <w:rPr>
                <w:rFonts w:ascii="Arial" w:cs="Arial" w:eastAsia="Arial" w:hAnsi="Arial"/>
                <w:sz w:val="12"/>
                <w:szCs w:val="12"/>
                <w:color w:val="auto"/>
              </w:rPr>
              <w:t>Kevin Moriarty</w:t>
            </w:r>
            <w:r>
              <w:rPr>
                <w:rFonts w:ascii="Arial" w:cs="Arial" w:eastAsia="Arial" w:hAnsi="Arial"/>
                <w:sz w:val="18"/>
                <w:szCs w:val="18"/>
                <w:color w:val="auto"/>
                <w:vertAlign w:val="superscript"/>
              </w:rPr>
              <w:t>(5)</w:t>
            </w:r>
          </w:p>
        </w:tc>
        <w:tc>
          <w:tcPr>
            <w:tcW w:w="6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2017</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650,000</w:t>
            </w:r>
          </w:p>
        </w:tc>
        <w:tc>
          <w:tcPr>
            <w:tcW w:w="20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1,136,150</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1,383,650</w:t>
            </w:r>
          </w:p>
        </w:tc>
        <w:tc>
          <w:tcPr>
            <w:tcW w:w="220" w:type="dxa"/>
            <w:vAlign w:val="bottom"/>
          </w:tcPr>
          <w:p>
            <w:pPr>
              <w:spacing w:after="0"/>
              <w:rPr>
                <w:sz w:val="13"/>
                <w:szCs w:val="13"/>
                <w:color w:val="auto"/>
              </w:rPr>
            </w:pP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487,518</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109,058</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22,427</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3,788,803</w:t>
            </w:r>
          </w:p>
        </w:tc>
        <w:tc>
          <w:tcPr>
            <w:tcW w:w="220" w:type="dxa"/>
            <w:vAlign w:val="bottom"/>
          </w:tcPr>
          <w:p>
            <w:pPr>
              <w:spacing w:after="0"/>
              <w:rPr>
                <w:sz w:val="13"/>
                <w:szCs w:val="13"/>
                <w:color w:val="auto"/>
              </w:rPr>
            </w:pPr>
          </w:p>
        </w:tc>
        <w:tc>
          <w:tcPr>
            <w:tcW w:w="640" w:type="dxa"/>
            <w:vAlign w:val="bottom"/>
          </w:tcPr>
          <w:p>
            <w:pPr>
              <w:ind w:left="40"/>
              <w:spacing w:after="0" w:line="159" w:lineRule="exact"/>
              <w:rPr>
                <w:sz w:val="20"/>
                <w:szCs w:val="20"/>
                <w:color w:val="auto"/>
              </w:rPr>
            </w:pPr>
            <w:r>
              <w:rPr>
                <w:rFonts w:ascii="Arial" w:cs="Arial" w:eastAsia="Arial" w:hAnsi="Arial"/>
                <w:sz w:val="14"/>
                <w:szCs w:val="14"/>
                <w:color w:val="auto"/>
                <w:w w:val="93"/>
              </w:rPr>
              <w:t>2,719,815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00" w:type="dxa"/>
            <w:vAlign w:val="bottom"/>
            <w:gridSpan w:val="3"/>
          </w:tcPr>
          <w:p>
            <w:pPr>
              <w:ind w:left="220"/>
              <w:spacing w:after="0"/>
              <w:rPr>
                <w:sz w:val="20"/>
                <w:szCs w:val="20"/>
                <w:color w:val="auto"/>
              </w:rPr>
            </w:pPr>
            <w:r>
              <w:rPr>
                <w:rFonts w:ascii="Arial" w:cs="Arial" w:eastAsia="Arial" w:hAnsi="Arial"/>
                <w:sz w:val="14"/>
                <w:szCs w:val="14"/>
                <w:color w:val="auto"/>
              </w:rPr>
              <w:t>Senior Vice President and</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2016</w:t>
            </w:r>
          </w:p>
        </w:tc>
        <w:tc>
          <w:tcPr>
            <w:tcW w:w="660" w:type="dxa"/>
            <w:vAlign w:val="bottom"/>
          </w:tcPr>
          <w:p>
            <w:pPr>
              <w:jc w:val="right"/>
              <w:spacing w:after="0"/>
              <w:rPr>
                <w:sz w:val="20"/>
                <w:szCs w:val="20"/>
                <w:color w:val="auto"/>
              </w:rPr>
            </w:pPr>
            <w:r>
              <w:rPr>
                <w:rFonts w:ascii="Arial" w:cs="Arial" w:eastAsia="Arial" w:hAnsi="Arial"/>
                <w:sz w:val="14"/>
                <w:szCs w:val="14"/>
                <w:color w:val="auto"/>
              </w:rPr>
              <w:t>650,000</w:t>
            </w:r>
          </w:p>
        </w:tc>
        <w:tc>
          <w:tcPr>
            <w:tcW w:w="2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1,218,706</w:t>
            </w:r>
          </w:p>
        </w:tc>
        <w:tc>
          <w:tcPr>
            <w:tcW w:w="640" w:type="dxa"/>
            <w:vAlign w:val="bottom"/>
          </w:tcPr>
          <w:p>
            <w:pPr>
              <w:jc w:val="right"/>
              <w:spacing w:after="0"/>
              <w:rPr>
                <w:sz w:val="20"/>
                <w:szCs w:val="20"/>
                <w:color w:val="auto"/>
              </w:rPr>
            </w:pPr>
            <w:r>
              <w:rPr>
                <w:rFonts w:ascii="Arial" w:cs="Arial" w:eastAsia="Arial" w:hAnsi="Arial"/>
                <w:sz w:val="14"/>
                <w:szCs w:val="14"/>
                <w:color w:val="auto"/>
              </w:rPr>
              <w:t>380,821</w:t>
            </w:r>
          </w:p>
        </w:tc>
        <w:tc>
          <w:tcPr>
            <w:tcW w:w="2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530,795</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153,563</w:t>
            </w:r>
          </w:p>
        </w:tc>
        <w:tc>
          <w:tcPr>
            <w:tcW w:w="940" w:type="dxa"/>
            <w:vAlign w:val="bottom"/>
          </w:tcPr>
          <w:p>
            <w:pPr>
              <w:jc w:val="right"/>
              <w:spacing w:after="0"/>
              <w:rPr>
                <w:sz w:val="20"/>
                <w:szCs w:val="20"/>
                <w:color w:val="auto"/>
              </w:rPr>
            </w:pPr>
            <w:r>
              <w:rPr>
                <w:rFonts w:ascii="Arial" w:cs="Arial" w:eastAsia="Arial" w:hAnsi="Arial"/>
                <w:sz w:val="14"/>
                <w:szCs w:val="14"/>
                <w:color w:val="auto"/>
              </w:rPr>
              <w:t>26,472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2,960,357</w:t>
            </w:r>
          </w:p>
        </w:tc>
        <w:tc>
          <w:tcPr>
            <w:tcW w:w="2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w w:val="93"/>
              </w:rPr>
              <w:t>2,960,357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Financial Officer</w:t>
            </w:r>
          </w:p>
        </w:tc>
        <w:tc>
          <w:tcPr>
            <w:tcW w:w="6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1,022,396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286,286</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603,206</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105,686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2,637,854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2,637,854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tcPr>
          <w:p>
            <w:pPr>
              <w:spacing w:after="0" w:line="149" w:lineRule="exact"/>
              <w:rPr>
                <w:sz w:val="20"/>
                <w:szCs w:val="20"/>
                <w:color w:val="auto"/>
              </w:rPr>
            </w:pPr>
            <w:r>
              <w:rPr>
                <w:rFonts w:ascii="Arial" w:cs="Arial" w:eastAsia="Arial" w:hAnsi="Arial"/>
                <w:sz w:val="14"/>
                <w:szCs w:val="14"/>
                <w:color w:val="auto"/>
              </w:rPr>
              <w:t>Peter Bartolotta</w:t>
            </w: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380,769</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396,895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1,014,735</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285,588</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49,256</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2,127,243</w:t>
            </w:r>
          </w:p>
        </w:tc>
        <w:tc>
          <w:tcPr>
            <w:tcW w:w="2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1,222,720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Transformation Officer</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tcPr>
          <w:p>
            <w:pPr>
              <w:spacing w:after="0" w:line="149" w:lineRule="exact"/>
              <w:rPr>
                <w:sz w:val="20"/>
                <w:szCs w:val="20"/>
                <w:color w:val="auto"/>
              </w:rPr>
            </w:pPr>
            <w:r>
              <w:rPr>
                <w:rFonts w:ascii="Arial" w:cs="Arial" w:eastAsia="Arial" w:hAnsi="Arial"/>
                <w:sz w:val="14"/>
                <w:szCs w:val="14"/>
                <w:color w:val="auto"/>
              </w:rPr>
              <w:t>MaryAnn Miller</w:t>
            </w: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540,000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701,783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975,521</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307,511</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88,177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20,216</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2,633,208</w:t>
            </w:r>
          </w:p>
        </w:tc>
        <w:tc>
          <w:tcPr>
            <w:tcW w:w="2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1,852,028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6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752,719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235,223</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332,759</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364,218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26,871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2,251,790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2,251,790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Chief Human Resources</w:t>
            </w: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681,454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190,889</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377,004</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158,216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20,372</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1,927,935</w:t>
            </w:r>
          </w:p>
        </w:tc>
        <w:tc>
          <w:tcPr>
            <w:tcW w:w="2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1,927,935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00" w:type="dxa"/>
            <w:vAlign w:val="bottom"/>
            <w:gridSpan w:val="3"/>
            <w:shd w:val="clear" w:color="auto" w:fill="CCEEFF"/>
          </w:tcPr>
          <w:p>
            <w:pPr>
              <w:ind w:left="220"/>
              <w:spacing w:after="0" w:line="132" w:lineRule="exact"/>
              <w:rPr>
                <w:sz w:val="20"/>
                <w:szCs w:val="20"/>
                <w:color w:val="auto"/>
              </w:rPr>
            </w:pPr>
            <w:r>
              <w:rPr>
                <w:rFonts w:ascii="Arial" w:cs="Arial" w:eastAsia="Arial" w:hAnsi="Arial"/>
                <w:sz w:val="14"/>
                <w:szCs w:val="14"/>
                <w:color w:val="auto"/>
              </w:rPr>
              <w:t>Officer and Global Marketing and</w:t>
            </w: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Communications</w:t>
            </w: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100" w:type="dxa"/>
            <w:vAlign w:val="bottom"/>
            <w:gridSpan w:val="3"/>
          </w:tcPr>
          <w:p>
            <w:pPr>
              <w:spacing w:after="0" w:line="132" w:lineRule="exact"/>
              <w:rPr>
                <w:sz w:val="20"/>
                <w:szCs w:val="20"/>
                <w:color w:val="auto"/>
              </w:rPr>
            </w:pPr>
            <w:r>
              <w:rPr>
                <w:rFonts w:ascii="Arial" w:cs="Arial" w:eastAsia="Arial" w:hAnsi="Arial"/>
                <w:sz w:val="14"/>
                <w:szCs w:val="14"/>
                <w:color w:val="auto"/>
              </w:rPr>
              <w:t>Michael O’Neill</w:t>
            </w:r>
          </w:p>
        </w:tc>
        <w:tc>
          <w:tcPr>
            <w:tcW w:w="620" w:type="dxa"/>
            <w:vAlign w:val="bottom"/>
            <w:gridSpan w:val="2"/>
          </w:tcPr>
          <w:p>
            <w:pPr>
              <w:ind w:left="60"/>
              <w:spacing w:after="0" w:line="132" w:lineRule="exact"/>
              <w:rPr>
                <w:sz w:val="20"/>
                <w:szCs w:val="20"/>
                <w:color w:val="auto"/>
              </w:rPr>
            </w:pPr>
            <w:r>
              <w:rPr>
                <w:rFonts w:ascii="Arial" w:cs="Arial" w:eastAsia="Arial" w:hAnsi="Arial"/>
                <w:sz w:val="14"/>
                <w:szCs w:val="14"/>
                <w:color w:val="auto"/>
              </w:rPr>
              <w:t>2017</w:t>
            </w:r>
          </w:p>
        </w:tc>
        <w:tc>
          <w:tcPr>
            <w:tcW w:w="660" w:type="dxa"/>
            <w:vAlign w:val="bottom"/>
          </w:tcPr>
          <w:p>
            <w:pPr>
              <w:jc w:val="right"/>
              <w:spacing w:after="0" w:line="132" w:lineRule="exact"/>
              <w:rPr>
                <w:sz w:val="20"/>
                <w:szCs w:val="20"/>
                <w:color w:val="auto"/>
              </w:rPr>
            </w:pPr>
            <w:r>
              <w:rPr>
                <w:rFonts w:ascii="Arial" w:cs="Arial" w:eastAsia="Arial" w:hAnsi="Arial"/>
                <w:sz w:val="14"/>
                <w:szCs w:val="14"/>
                <w:color w:val="auto"/>
              </w:rPr>
              <w:t>376,923</w:t>
            </w:r>
          </w:p>
        </w:tc>
        <w:tc>
          <w:tcPr>
            <w:tcW w:w="200" w:type="dxa"/>
            <w:vAlign w:val="bottom"/>
          </w:tcPr>
          <w:p>
            <w:pPr>
              <w:spacing w:after="0"/>
              <w:rPr>
                <w:sz w:val="11"/>
                <w:szCs w:val="11"/>
                <w:color w:val="auto"/>
              </w:rPr>
            </w:pPr>
          </w:p>
        </w:tc>
        <w:tc>
          <w:tcPr>
            <w:tcW w:w="88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342,057</w:t>
            </w:r>
          </w:p>
        </w:tc>
        <w:tc>
          <w:tcPr>
            <w:tcW w:w="86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799,115</w:t>
            </w: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212,027</w:t>
            </w: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32" w:lineRule="exact"/>
              <w:rPr>
                <w:sz w:val="20"/>
                <w:szCs w:val="20"/>
                <w:color w:val="auto"/>
              </w:rPr>
            </w:pPr>
            <w:r>
              <w:rPr>
                <w:rFonts w:ascii="Arial" w:cs="Arial" w:eastAsia="Arial" w:hAnsi="Arial"/>
                <w:sz w:val="14"/>
                <w:szCs w:val="14"/>
                <w:color w:val="auto"/>
              </w:rPr>
              <w:t>12,480</w:t>
            </w:r>
          </w:p>
        </w:tc>
        <w:tc>
          <w:tcPr>
            <w:tcW w:w="220" w:type="dxa"/>
            <w:vAlign w:val="bottom"/>
          </w:tcPr>
          <w:p>
            <w:pPr>
              <w:spacing w:after="0"/>
              <w:rPr>
                <w:sz w:val="11"/>
                <w:szCs w:val="11"/>
                <w:color w:val="auto"/>
              </w:rPr>
            </w:pPr>
          </w:p>
        </w:tc>
        <w:tc>
          <w:tcPr>
            <w:tcW w:w="720" w:type="dxa"/>
            <w:vAlign w:val="bottom"/>
          </w:tcPr>
          <w:p>
            <w:pPr>
              <w:jc w:val="right"/>
              <w:spacing w:after="0" w:line="132" w:lineRule="exact"/>
              <w:rPr>
                <w:sz w:val="20"/>
                <w:szCs w:val="20"/>
                <w:color w:val="auto"/>
              </w:rPr>
            </w:pPr>
            <w:r>
              <w:rPr>
                <w:rFonts w:ascii="Arial" w:cs="Arial" w:eastAsia="Arial" w:hAnsi="Arial"/>
                <w:sz w:val="14"/>
                <w:szCs w:val="14"/>
                <w:color w:val="auto"/>
              </w:rPr>
              <w:t>1,742,602</w:t>
            </w:r>
          </w:p>
        </w:tc>
        <w:tc>
          <w:tcPr>
            <w:tcW w:w="2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4"/>
                <w:szCs w:val="14"/>
                <w:color w:val="auto"/>
                <w:w w:val="93"/>
              </w:rPr>
              <w:t>1,037,484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100" w:type="dxa"/>
            <w:vAlign w:val="bottom"/>
            <w:gridSpan w:val="3"/>
          </w:tcPr>
          <w:p>
            <w:pPr>
              <w:ind w:left="220"/>
              <w:spacing w:after="0" w:line="139" w:lineRule="exact"/>
              <w:rPr>
                <w:sz w:val="20"/>
                <w:szCs w:val="20"/>
                <w:color w:val="auto"/>
              </w:rPr>
            </w:pPr>
            <w:r>
              <w:rPr>
                <w:rFonts w:ascii="Arial" w:cs="Arial" w:eastAsia="Arial" w:hAnsi="Arial"/>
                <w:sz w:val="14"/>
                <w:szCs w:val="14"/>
                <w:color w:val="auto"/>
              </w:rPr>
              <w:t>General Counsel and Chief Legal Officer</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00" w:type="dxa"/>
            <w:vAlign w:val="bottom"/>
            <w:gridSpan w:val="3"/>
          </w:tcPr>
          <w:p>
            <w:pPr>
              <w:spacing w:after="0" w:line="176" w:lineRule="exact"/>
              <w:rPr>
                <w:sz w:val="20"/>
                <w:szCs w:val="20"/>
                <w:color w:val="auto"/>
              </w:rPr>
            </w:pPr>
            <w:r>
              <w:rPr>
                <w:rFonts w:ascii="Arial" w:cs="Arial" w:eastAsia="Arial" w:hAnsi="Arial"/>
                <w:sz w:val="13"/>
                <w:szCs w:val="13"/>
                <w:color w:val="auto"/>
              </w:rPr>
              <w:t xml:space="preserve">Richard Hamada </w:t>
            </w:r>
            <w:r>
              <w:rPr>
                <w:rFonts w:ascii="Arial" w:cs="Arial" w:eastAsia="Arial" w:hAnsi="Arial"/>
                <w:sz w:val="20"/>
                <w:szCs w:val="20"/>
                <w:color w:val="auto"/>
                <w:vertAlign w:val="superscript"/>
              </w:rPr>
              <w:t>(6)</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2017</w:t>
            </w:r>
          </w:p>
        </w:tc>
        <w:tc>
          <w:tcPr>
            <w:tcW w:w="66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1,796,460</w:t>
            </w:r>
          </w:p>
        </w:tc>
        <w:tc>
          <w:tcPr>
            <w:tcW w:w="640" w:type="dxa"/>
            <w:vAlign w:val="bottom"/>
          </w:tcPr>
          <w:p>
            <w:pPr>
              <w:jc w:val="right"/>
              <w:spacing w:after="0"/>
              <w:rPr>
                <w:sz w:val="20"/>
                <w:szCs w:val="20"/>
                <w:color w:val="auto"/>
              </w:rPr>
            </w:pPr>
            <w:r>
              <w:rPr>
                <w:rFonts w:ascii="Arial" w:cs="Arial" w:eastAsia="Arial" w:hAnsi="Arial"/>
                <w:sz w:val="14"/>
                <w:szCs w:val="14"/>
                <w:color w:val="auto"/>
              </w:rPr>
              <w:t>497,565</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1,006,740</w:t>
            </w: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23,923</w:t>
            </w:r>
          </w:p>
        </w:tc>
        <w:tc>
          <w:tcPr>
            <w:tcW w:w="940" w:type="dxa"/>
            <w:vAlign w:val="bottom"/>
          </w:tcPr>
          <w:p>
            <w:pPr>
              <w:jc w:val="right"/>
              <w:spacing w:after="0"/>
              <w:rPr>
                <w:sz w:val="20"/>
                <w:szCs w:val="20"/>
                <w:color w:val="auto"/>
              </w:rPr>
            </w:pPr>
            <w:r>
              <w:rPr>
                <w:rFonts w:ascii="Arial" w:cs="Arial" w:eastAsia="Arial" w:hAnsi="Arial"/>
                <w:sz w:val="14"/>
                <w:szCs w:val="14"/>
                <w:color w:val="auto"/>
              </w:rPr>
              <w:t>32,127</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4,356,815</w:t>
            </w:r>
          </w:p>
        </w:tc>
        <w:tc>
          <w:tcPr>
            <w:tcW w:w="22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w w:val="93"/>
              </w:rPr>
              <w:t>4,356,815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Former Chief Executive</w:t>
            </w:r>
          </w:p>
        </w:tc>
        <w:tc>
          <w:tcPr>
            <w:tcW w:w="6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3,584,578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1,120,055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1,149,912</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744,449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7,634,644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7,634,644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ind w:left="220"/>
              <w:spacing w:after="0" w:line="149" w:lineRule="exact"/>
              <w:rPr>
                <w:sz w:val="20"/>
                <w:szCs w:val="20"/>
                <w:color w:val="auto"/>
              </w:rPr>
            </w:pPr>
            <w:r>
              <w:rPr>
                <w:rFonts w:ascii="Arial" w:cs="Arial" w:eastAsia="Arial" w:hAnsi="Arial"/>
                <w:sz w:val="14"/>
                <w:szCs w:val="14"/>
                <w:color w:val="auto"/>
              </w:rPr>
              <w:t>Officer</w:t>
            </w:r>
          </w:p>
        </w:tc>
        <w:tc>
          <w:tcPr>
            <w:tcW w:w="480" w:type="dxa"/>
            <w:vAlign w:val="bottom"/>
          </w:tcPr>
          <w:p>
            <w:pPr>
              <w:jc w:val="right"/>
              <w:ind w:right="304"/>
              <w:spacing w:after="0"/>
              <w:rPr>
                <w:sz w:val="20"/>
                <w:szCs w:val="20"/>
                <w:color w:val="auto"/>
              </w:rPr>
            </w:pPr>
            <w:r>
              <w:rPr>
                <w:rFonts w:ascii="Arial" w:cs="Arial" w:eastAsia="Arial" w:hAnsi="Arial"/>
                <w:sz w:val="11"/>
                <w:szCs w:val="11"/>
                <w:color w:val="auto"/>
                <w:w w:val="74"/>
              </w:rPr>
              <w:t>(7)</w:t>
            </w:r>
          </w:p>
        </w:tc>
        <w:tc>
          <w:tcPr>
            <w:tcW w:w="1920" w:type="dxa"/>
            <w:vAlign w:val="bottom"/>
          </w:tcPr>
          <w:p>
            <w:pPr>
              <w:spacing w:after="0"/>
              <w:rPr>
                <w:sz w:val="12"/>
                <w:szCs w:val="12"/>
                <w:color w:val="auto"/>
              </w:rPr>
            </w:pP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950,000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3,300,087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924,207</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1,354,240</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161,057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48,444</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6,738,035</w:t>
            </w:r>
          </w:p>
        </w:tc>
        <w:tc>
          <w:tcPr>
            <w:tcW w:w="2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6,738,035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Gerard Fay</w:t>
            </w:r>
          </w:p>
        </w:tc>
        <w:tc>
          <w:tcPr>
            <w:tcW w:w="4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835,293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1,218,107</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393,814</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95,204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3,160,760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2,174,004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00" w:type="dxa"/>
            <w:vAlign w:val="bottom"/>
            <w:gridSpan w:val="3"/>
          </w:tcPr>
          <w:p>
            <w:pPr>
              <w:ind w:left="220"/>
              <w:spacing w:after="0" w:line="132" w:lineRule="exact"/>
              <w:rPr>
                <w:sz w:val="20"/>
                <w:szCs w:val="20"/>
                <w:color w:val="auto"/>
              </w:rPr>
            </w:pPr>
            <w:r>
              <w:rPr>
                <w:rFonts w:ascii="Arial" w:cs="Arial" w:eastAsia="Arial" w:hAnsi="Arial"/>
                <w:sz w:val="14"/>
                <w:szCs w:val="14"/>
                <w:color w:val="auto"/>
              </w:rPr>
              <w:t>Former Senior Vice</w:t>
            </w:r>
          </w:p>
        </w:tc>
        <w:tc>
          <w:tcPr>
            <w:tcW w:w="620" w:type="dxa"/>
            <w:vAlign w:val="bottom"/>
            <w:gridSpan w:val="2"/>
          </w:tcPr>
          <w:p>
            <w:pPr>
              <w:ind w:left="60"/>
              <w:spacing w:after="0" w:line="132" w:lineRule="exact"/>
              <w:rPr>
                <w:sz w:val="20"/>
                <w:szCs w:val="20"/>
                <w:color w:val="auto"/>
              </w:rPr>
            </w:pPr>
            <w:r>
              <w:rPr>
                <w:rFonts w:ascii="Arial" w:cs="Arial" w:eastAsia="Arial" w:hAnsi="Arial"/>
                <w:sz w:val="14"/>
                <w:szCs w:val="14"/>
                <w:color w:val="auto"/>
              </w:rPr>
              <w:t>2016</w:t>
            </w:r>
          </w:p>
        </w:tc>
        <w:tc>
          <w:tcPr>
            <w:tcW w:w="660" w:type="dxa"/>
            <w:vAlign w:val="bottom"/>
          </w:tcPr>
          <w:p>
            <w:pPr>
              <w:jc w:val="right"/>
              <w:spacing w:after="0" w:line="132" w:lineRule="exact"/>
              <w:rPr>
                <w:sz w:val="20"/>
                <w:szCs w:val="20"/>
                <w:color w:val="auto"/>
              </w:rPr>
            </w:pPr>
            <w:r>
              <w:rPr>
                <w:rFonts w:ascii="Arial" w:cs="Arial" w:eastAsia="Arial" w:hAnsi="Arial"/>
                <w:sz w:val="14"/>
                <w:szCs w:val="14"/>
                <w:color w:val="auto"/>
              </w:rPr>
              <w:t>600,000</w:t>
            </w:r>
          </w:p>
        </w:tc>
        <w:tc>
          <w:tcPr>
            <w:tcW w:w="200" w:type="dxa"/>
            <w:vAlign w:val="bottom"/>
          </w:tcPr>
          <w:p>
            <w:pPr>
              <w:spacing w:after="0"/>
              <w:rPr>
                <w:sz w:val="11"/>
                <w:szCs w:val="11"/>
                <w:color w:val="auto"/>
              </w:rPr>
            </w:pPr>
          </w:p>
        </w:tc>
        <w:tc>
          <w:tcPr>
            <w:tcW w:w="88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896,083</w:t>
            </w:r>
          </w:p>
        </w:tc>
        <w:tc>
          <w:tcPr>
            <w:tcW w:w="640" w:type="dxa"/>
            <w:vAlign w:val="bottom"/>
          </w:tcPr>
          <w:p>
            <w:pPr>
              <w:jc w:val="right"/>
              <w:spacing w:after="0" w:line="132" w:lineRule="exact"/>
              <w:rPr>
                <w:sz w:val="20"/>
                <w:szCs w:val="20"/>
                <w:color w:val="auto"/>
              </w:rPr>
            </w:pPr>
            <w:r>
              <w:rPr>
                <w:rFonts w:ascii="Arial" w:cs="Arial" w:eastAsia="Arial" w:hAnsi="Arial"/>
                <w:sz w:val="14"/>
                <w:szCs w:val="14"/>
                <w:color w:val="auto"/>
              </w:rPr>
              <w:t>280,035</w:t>
            </w:r>
          </w:p>
        </w:tc>
        <w:tc>
          <w:tcPr>
            <w:tcW w:w="22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421,449</w:t>
            </w: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148,994</w:t>
            </w:r>
          </w:p>
        </w:tc>
        <w:tc>
          <w:tcPr>
            <w:tcW w:w="940" w:type="dxa"/>
            <w:vAlign w:val="bottom"/>
          </w:tcPr>
          <w:p>
            <w:pPr>
              <w:jc w:val="right"/>
              <w:spacing w:after="0" w:line="132" w:lineRule="exact"/>
              <w:rPr>
                <w:sz w:val="20"/>
                <w:szCs w:val="20"/>
                <w:color w:val="auto"/>
              </w:rPr>
            </w:pPr>
            <w:r>
              <w:rPr>
                <w:rFonts w:ascii="Arial" w:cs="Arial" w:eastAsia="Arial" w:hAnsi="Arial"/>
                <w:sz w:val="14"/>
                <w:szCs w:val="14"/>
                <w:color w:val="auto"/>
              </w:rPr>
              <w:t>16,908</w:t>
            </w:r>
          </w:p>
        </w:tc>
        <w:tc>
          <w:tcPr>
            <w:tcW w:w="220" w:type="dxa"/>
            <w:vAlign w:val="bottom"/>
          </w:tcPr>
          <w:p>
            <w:pPr>
              <w:spacing w:after="0"/>
              <w:rPr>
                <w:sz w:val="11"/>
                <w:szCs w:val="11"/>
                <w:color w:val="auto"/>
              </w:rPr>
            </w:pPr>
          </w:p>
        </w:tc>
        <w:tc>
          <w:tcPr>
            <w:tcW w:w="720" w:type="dxa"/>
            <w:vAlign w:val="bottom"/>
          </w:tcPr>
          <w:p>
            <w:pPr>
              <w:jc w:val="right"/>
              <w:spacing w:after="0" w:line="132" w:lineRule="exact"/>
              <w:rPr>
                <w:sz w:val="20"/>
                <w:szCs w:val="20"/>
                <w:color w:val="auto"/>
              </w:rPr>
            </w:pPr>
            <w:r>
              <w:rPr>
                <w:rFonts w:ascii="Arial" w:cs="Arial" w:eastAsia="Arial" w:hAnsi="Arial"/>
                <w:sz w:val="14"/>
                <w:szCs w:val="14"/>
                <w:color w:val="auto"/>
              </w:rPr>
              <w:t>2,363,469</w:t>
            </w:r>
          </w:p>
        </w:tc>
        <w:tc>
          <w:tcPr>
            <w:tcW w:w="2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4"/>
                <w:szCs w:val="14"/>
                <w:color w:val="auto"/>
                <w:w w:val="93"/>
              </w:rPr>
              <w:t>2,363,469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President, Avnet, Inc. and</w:t>
            </w: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550,000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1,152,131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479,559</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544,144</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107,620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19,571</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2,853,025</w:t>
            </w:r>
          </w:p>
        </w:tc>
        <w:tc>
          <w:tcPr>
            <w:tcW w:w="22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93"/>
              </w:rPr>
              <w:t>2,853,025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gridSpan w:val="3"/>
          </w:tcPr>
          <w:p>
            <w:pPr>
              <w:ind w:left="220"/>
              <w:spacing w:after="0" w:line="139" w:lineRule="exact"/>
              <w:rPr>
                <w:sz w:val="20"/>
                <w:szCs w:val="20"/>
                <w:color w:val="auto"/>
              </w:rPr>
            </w:pPr>
            <w:r>
              <w:rPr>
                <w:rFonts w:ascii="Arial" w:cs="Arial" w:eastAsia="Arial" w:hAnsi="Arial"/>
                <w:sz w:val="14"/>
                <w:szCs w:val="14"/>
                <w:color w:val="auto"/>
              </w:rPr>
              <w:t>President Electronic Components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00" w:type="dxa"/>
            <w:vAlign w:val="bottom"/>
            <w:gridSpan w:val="3"/>
          </w:tcPr>
          <w:p>
            <w:pPr>
              <w:spacing w:after="0" w:line="189" w:lineRule="exact"/>
              <w:rPr>
                <w:sz w:val="20"/>
                <w:szCs w:val="20"/>
                <w:color w:val="auto"/>
              </w:rPr>
            </w:pPr>
            <w:r>
              <w:rPr>
                <w:rFonts w:ascii="Arial" w:cs="Arial" w:eastAsia="Arial" w:hAnsi="Arial"/>
                <w:sz w:val="13"/>
                <w:szCs w:val="13"/>
                <w:color w:val="auto"/>
              </w:rPr>
              <w:t>Patrick Zammit</w:t>
            </w:r>
            <w:r>
              <w:rPr>
                <w:rFonts w:ascii="Arial" w:cs="Arial" w:eastAsia="Arial" w:hAnsi="Arial"/>
                <w:sz w:val="21"/>
                <w:szCs w:val="21"/>
                <w:color w:val="auto"/>
                <w:vertAlign w:val="superscript"/>
              </w:rPr>
              <w:t>(8)</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2017</w:t>
            </w:r>
          </w:p>
        </w:tc>
        <w:tc>
          <w:tcPr>
            <w:tcW w:w="660" w:type="dxa"/>
            <w:vAlign w:val="bottom"/>
          </w:tcPr>
          <w:p>
            <w:pPr>
              <w:jc w:val="right"/>
              <w:spacing w:after="0"/>
              <w:rPr>
                <w:sz w:val="20"/>
                <w:szCs w:val="20"/>
                <w:color w:val="auto"/>
              </w:rPr>
            </w:pPr>
            <w:r>
              <w:rPr>
                <w:rFonts w:ascii="Arial" w:cs="Arial" w:eastAsia="Arial" w:hAnsi="Arial"/>
                <w:sz w:val="14"/>
                <w:szCs w:val="14"/>
                <w:color w:val="auto"/>
              </w:rPr>
              <w:t>313,306</w:t>
            </w:r>
          </w:p>
        </w:tc>
        <w:tc>
          <w:tcPr>
            <w:tcW w:w="2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802,015</w:t>
            </w:r>
          </w:p>
        </w:tc>
        <w:tc>
          <w:tcPr>
            <w:tcW w:w="640" w:type="dxa"/>
            <w:vAlign w:val="bottom"/>
          </w:tcPr>
          <w:p>
            <w:pPr>
              <w:jc w:val="right"/>
              <w:spacing w:after="0"/>
              <w:rPr>
                <w:sz w:val="20"/>
                <w:szCs w:val="20"/>
                <w:color w:val="auto"/>
              </w:rPr>
            </w:pPr>
            <w:r>
              <w:rPr>
                <w:rFonts w:ascii="Arial" w:cs="Arial" w:eastAsia="Arial" w:hAnsi="Arial"/>
                <w:sz w:val="14"/>
                <w:szCs w:val="14"/>
                <w:color w:val="auto"/>
              </w:rPr>
              <w:t>222,099</w:t>
            </w:r>
          </w:p>
        </w:tc>
        <w:tc>
          <w:tcPr>
            <w:tcW w:w="2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232,248</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49,114</w:t>
            </w:r>
          </w:p>
        </w:tc>
        <w:tc>
          <w:tcPr>
            <w:tcW w:w="940" w:type="dxa"/>
            <w:vAlign w:val="bottom"/>
          </w:tcPr>
          <w:p>
            <w:pPr>
              <w:jc w:val="right"/>
              <w:spacing w:after="0"/>
              <w:rPr>
                <w:sz w:val="20"/>
                <w:szCs w:val="20"/>
                <w:color w:val="auto"/>
              </w:rPr>
            </w:pPr>
            <w:r>
              <w:rPr>
                <w:rFonts w:ascii="Arial" w:cs="Arial" w:eastAsia="Arial" w:hAnsi="Arial"/>
                <w:sz w:val="14"/>
                <w:szCs w:val="14"/>
                <w:color w:val="auto"/>
              </w:rPr>
              <w:t>965,271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2,584,053</w:t>
            </w:r>
          </w:p>
        </w:tc>
        <w:tc>
          <w:tcPr>
            <w:tcW w:w="2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w w:val="93"/>
              </w:rPr>
              <w:t>2,584,053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Former Senior Vice President</w:t>
            </w:r>
          </w:p>
        </w:tc>
        <w:tc>
          <w:tcPr>
            <w:tcW w:w="6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488,400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860,314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268,832</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384,992</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104,501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379,332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2,486,371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2,486,371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00" w:type="dxa"/>
            <w:vAlign w:val="bottom"/>
            <w:gridSpan w:val="3"/>
          </w:tcPr>
          <w:p>
            <w:pPr>
              <w:ind w:left="220"/>
              <w:spacing w:after="0" w:line="132" w:lineRule="exact"/>
              <w:rPr>
                <w:sz w:val="20"/>
                <w:szCs w:val="20"/>
                <w:color w:val="auto"/>
              </w:rPr>
            </w:pPr>
            <w:r>
              <w:rPr>
                <w:rFonts w:ascii="Arial" w:cs="Arial" w:eastAsia="Arial" w:hAnsi="Arial"/>
                <w:sz w:val="14"/>
                <w:szCs w:val="14"/>
                <w:color w:val="auto"/>
              </w:rPr>
              <w:t>Avnet, Inc. and</w:t>
            </w:r>
          </w:p>
        </w:tc>
        <w:tc>
          <w:tcPr>
            <w:tcW w:w="620" w:type="dxa"/>
            <w:vAlign w:val="bottom"/>
            <w:gridSpan w:val="2"/>
          </w:tcPr>
          <w:p>
            <w:pPr>
              <w:ind w:left="60"/>
              <w:spacing w:after="0" w:line="132" w:lineRule="exact"/>
              <w:rPr>
                <w:sz w:val="20"/>
                <w:szCs w:val="20"/>
                <w:color w:val="auto"/>
              </w:rPr>
            </w:pPr>
            <w:r>
              <w:rPr>
                <w:rFonts w:ascii="Arial" w:cs="Arial" w:eastAsia="Arial" w:hAnsi="Arial"/>
                <w:sz w:val="14"/>
                <w:szCs w:val="14"/>
                <w:color w:val="auto"/>
              </w:rPr>
              <w:t>2015</w:t>
            </w:r>
          </w:p>
        </w:tc>
        <w:tc>
          <w:tcPr>
            <w:tcW w:w="660" w:type="dxa"/>
            <w:vAlign w:val="bottom"/>
          </w:tcPr>
          <w:p>
            <w:pPr>
              <w:jc w:val="right"/>
              <w:spacing w:after="0" w:line="132" w:lineRule="exact"/>
              <w:rPr>
                <w:sz w:val="20"/>
                <w:szCs w:val="20"/>
                <w:color w:val="auto"/>
              </w:rPr>
            </w:pPr>
            <w:r>
              <w:rPr>
                <w:rFonts w:ascii="Arial" w:cs="Arial" w:eastAsia="Arial" w:hAnsi="Arial"/>
                <w:sz w:val="14"/>
                <w:szCs w:val="14"/>
                <w:color w:val="auto"/>
              </w:rPr>
              <w:t>512,693</w:t>
            </w:r>
          </w:p>
        </w:tc>
        <w:tc>
          <w:tcPr>
            <w:tcW w:w="200" w:type="dxa"/>
            <w:vAlign w:val="bottom"/>
          </w:tcPr>
          <w:p>
            <w:pPr>
              <w:spacing w:after="0"/>
              <w:rPr>
                <w:sz w:val="11"/>
                <w:szCs w:val="11"/>
                <w:color w:val="auto"/>
              </w:rPr>
            </w:pPr>
          </w:p>
        </w:tc>
        <w:tc>
          <w:tcPr>
            <w:tcW w:w="88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936,866</w:t>
            </w:r>
          </w:p>
        </w:tc>
        <w:tc>
          <w:tcPr>
            <w:tcW w:w="640" w:type="dxa"/>
            <w:vAlign w:val="bottom"/>
          </w:tcPr>
          <w:p>
            <w:pPr>
              <w:jc w:val="right"/>
              <w:spacing w:after="0" w:line="132" w:lineRule="exact"/>
              <w:rPr>
                <w:sz w:val="20"/>
                <w:szCs w:val="20"/>
                <w:color w:val="auto"/>
              </w:rPr>
            </w:pPr>
            <w:r>
              <w:rPr>
                <w:rFonts w:ascii="Arial" w:cs="Arial" w:eastAsia="Arial" w:hAnsi="Arial"/>
                <w:sz w:val="14"/>
                <w:szCs w:val="14"/>
                <w:color w:val="auto"/>
              </w:rPr>
              <w:t>419,274</w:t>
            </w:r>
          </w:p>
        </w:tc>
        <w:tc>
          <w:tcPr>
            <w:tcW w:w="220" w:type="dxa"/>
            <w:vAlign w:val="bottom"/>
          </w:tcPr>
          <w:p>
            <w:pPr>
              <w:spacing w:after="0"/>
              <w:rPr>
                <w:sz w:val="11"/>
                <w:szCs w:val="11"/>
                <w:color w:val="auto"/>
              </w:rPr>
            </w:pP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470,411</w:t>
            </w:r>
          </w:p>
        </w:tc>
        <w:tc>
          <w:tcPr>
            <w:tcW w:w="1160" w:type="dxa"/>
            <w:vAlign w:val="bottom"/>
            <w:gridSpan w:val="2"/>
          </w:tcPr>
          <w:p>
            <w:pPr>
              <w:jc w:val="right"/>
              <w:ind w:right="220"/>
              <w:spacing w:after="0" w:line="132" w:lineRule="exact"/>
              <w:rPr>
                <w:sz w:val="20"/>
                <w:szCs w:val="20"/>
                <w:color w:val="auto"/>
              </w:rPr>
            </w:pPr>
            <w:r>
              <w:rPr>
                <w:rFonts w:ascii="Arial" w:cs="Arial" w:eastAsia="Arial" w:hAnsi="Arial"/>
                <w:sz w:val="14"/>
                <w:szCs w:val="14"/>
                <w:color w:val="auto"/>
              </w:rPr>
              <w:t>126,949</w:t>
            </w:r>
          </w:p>
        </w:tc>
        <w:tc>
          <w:tcPr>
            <w:tcW w:w="940" w:type="dxa"/>
            <w:vAlign w:val="bottom"/>
          </w:tcPr>
          <w:p>
            <w:pPr>
              <w:jc w:val="right"/>
              <w:spacing w:after="0" w:line="132" w:lineRule="exact"/>
              <w:rPr>
                <w:sz w:val="20"/>
                <w:szCs w:val="20"/>
                <w:color w:val="auto"/>
              </w:rPr>
            </w:pPr>
            <w:r>
              <w:rPr>
                <w:rFonts w:ascii="Arial" w:cs="Arial" w:eastAsia="Arial" w:hAnsi="Arial"/>
                <w:sz w:val="14"/>
                <w:szCs w:val="14"/>
                <w:color w:val="auto"/>
              </w:rPr>
              <w:t>162,454</w:t>
            </w:r>
          </w:p>
        </w:tc>
        <w:tc>
          <w:tcPr>
            <w:tcW w:w="220" w:type="dxa"/>
            <w:vAlign w:val="bottom"/>
          </w:tcPr>
          <w:p>
            <w:pPr>
              <w:spacing w:after="0"/>
              <w:rPr>
                <w:sz w:val="11"/>
                <w:szCs w:val="11"/>
                <w:color w:val="auto"/>
              </w:rPr>
            </w:pPr>
          </w:p>
        </w:tc>
        <w:tc>
          <w:tcPr>
            <w:tcW w:w="720" w:type="dxa"/>
            <w:vAlign w:val="bottom"/>
          </w:tcPr>
          <w:p>
            <w:pPr>
              <w:jc w:val="right"/>
              <w:spacing w:after="0" w:line="132" w:lineRule="exact"/>
              <w:rPr>
                <w:sz w:val="20"/>
                <w:szCs w:val="20"/>
                <w:color w:val="auto"/>
              </w:rPr>
            </w:pPr>
            <w:r>
              <w:rPr>
                <w:rFonts w:ascii="Arial" w:cs="Arial" w:eastAsia="Arial" w:hAnsi="Arial"/>
                <w:sz w:val="14"/>
                <w:szCs w:val="14"/>
                <w:color w:val="auto"/>
              </w:rPr>
              <w:t>2,628,647</w:t>
            </w:r>
          </w:p>
        </w:tc>
        <w:tc>
          <w:tcPr>
            <w:tcW w:w="2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4"/>
                <w:szCs w:val="14"/>
                <w:color w:val="auto"/>
                <w:w w:val="93"/>
              </w:rPr>
              <w:t>2,628,647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100" w:type="dxa"/>
            <w:vAlign w:val="bottom"/>
            <w:gridSpan w:val="3"/>
          </w:tcPr>
          <w:p>
            <w:pPr>
              <w:ind w:left="220"/>
              <w:spacing w:after="0"/>
              <w:rPr>
                <w:sz w:val="20"/>
                <w:szCs w:val="20"/>
                <w:color w:val="auto"/>
              </w:rPr>
            </w:pPr>
            <w:r>
              <w:rPr>
                <w:rFonts w:ascii="Arial" w:cs="Arial" w:eastAsia="Arial" w:hAnsi="Arial"/>
                <w:sz w:val="14"/>
                <w:szCs w:val="14"/>
                <w:color w:val="auto"/>
              </w:rPr>
              <w:t>President Technology Solutions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-2186940</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-1149350</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975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8" w:lineRule="exact"/>
        <w:rPr>
          <w:sz w:val="20"/>
          <w:szCs w:val="20"/>
          <w:color w:val="auto"/>
        </w:rPr>
      </w:pPr>
    </w:p>
    <w:p>
      <w:pPr>
        <w:ind w:left="220" w:right="40" w:hanging="212"/>
        <w:spacing w:after="0" w:line="278" w:lineRule="auto"/>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“Adjusted Total” supplemental column adjusts the amounts reported in the “Total” column by subtracting the one-time grant of performance-based stock options pursuant to the Shareholder Value Incentive Plan, as discussed in the CD&amp;A, above. This Adjusted Total column reflects</w:t>
      </w:r>
    </w:p>
    <w:p>
      <w:pPr>
        <w:spacing w:after="0" w:line="1" w:lineRule="exact"/>
        <w:rPr>
          <w:sz w:val="20"/>
          <w:szCs w:val="20"/>
          <w:color w:val="auto"/>
        </w:rPr>
      </w:pPr>
    </w:p>
    <w:p>
      <w:pPr>
        <w:ind w:left="220" w:right="60"/>
        <w:spacing w:after="0" w:line="234" w:lineRule="auto"/>
        <w:rPr>
          <w:sz w:val="20"/>
          <w:szCs w:val="20"/>
          <w:color w:val="auto"/>
        </w:rPr>
      </w:pPr>
      <w:r>
        <w:rPr>
          <w:rFonts w:ascii="Arial" w:cs="Arial" w:eastAsia="Arial" w:hAnsi="Arial"/>
          <w:sz w:val="18"/>
          <w:szCs w:val="18"/>
          <w:color w:val="auto"/>
        </w:rPr>
        <w:t>the year-over-year compensation decisions made by the Compensation Committee, not including the one-time PBSO grant. The amounts reported in the Adjusted Total column differ from the amounts reported in the Total column required under SEC rules and are not a substitute for total compensation.</w:t>
      </w:r>
    </w:p>
    <w:p>
      <w:pPr>
        <w:spacing w:after="0" w:line="2" w:lineRule="exact"/>
        <w:rPr>
          <w:sz w:val="20"/>
          <w:szCs w:val="20"/>
          <w:color w:val="auto"/>
        </w:rPr>
      </w:pPr>
    </w:p>
    <w:p>
      <w:pPr>
        <w:jc w:val="both"/>
        <w:ind w:left="220" w:right="100" w:hanging="215"/>
        <w:spacing w:after="0" w:line="264" w:lineRule="auto"/>
        <w:rPr>
          <w:sz w:val="20"/>
          <w:szCs w:val="20"/>
          <w:color w:val="auto"/>
        </w:rPr>
      </w:pPr>
      <w:r>
        <w:rPr>
          <w:rFonts w:ascii="Arial" w:cs="Arial" w:eastAsia="Arial" w:hAnsi="Arial"/>
          <w:sz w:val="16"/>
          <w:szCs w:val="16"/>
          <w:color w:val="auto"/>
        </w:rPr>
        <w:t>(1)Amounts shown under the heading “Stock Awards” reflect the grant date fair value of awards of RSUs and PSUs, computed in accordance with FASB ASC Topic 718, excluding the effect of estimated forfeitures. The grant date fair value of RSUs awarded to each NEO in fiscal 2017 is as follows: Mr. Amelio — $2,341,102; Mr. Moriarty — $384,086; Mr. Bartolotta —$133,828; Ms. Miller — $237,225; Mr. O’Neill — $115,369;</w:t>
      </w:r>
    </w:p>
    <w:p>
      <w:pPr>
        <w:spacing w:after="0" w:line="1" w:lineRule="exact"/>
        <w:rPr>
          <w:sz w:val="20"/>
          <w:szCs w:val="20"/>
          <w:color w:val="auto"/>
        </w:rPr>
      </w:pPr>
    </w:p>
    <w:p>
      <w:pPr>
        <w:ind w:left="220" w:right="100"/>
        <w:spacing w:after="0" w:line="264" w:lineRule="auto"/>
        <w:rPr>
          <w:sz w:val="20"/>
          <w:szCs w:val="20"/>
          <w:color w:val="auto"/>
        </w:rPr>
      </w:pPr>
      <w:r>
        <w:rPr>
          <w:rFonts w:ascii="Arial" w:cs="Arial" w:eastAsia="Arial" w:hAnsi="Arial"/>
          <w:sz w:val="16"/>
          <w:szCs w:val="16"/>
          <w:color w:val="auto"/>
        </w:rPr>
        <w:t>Mr. Hamada — $607,186; Mr. Fay — $282,326; and Mr. Zammit — $271,091.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2017, the grant date fair value of the award to each NEO is as follows: Mr. Amelio — $2,653,098; Mr. Moriarty — $752,064; Mr. Bartolotta</w:t>
      </w:r>
    </w:p>
    <w:p>
      <w:pPr>
        <w:spacing w:after="0" w:line="1" w:lineRule="exact"/>
        <w:rPr>
          <w:sz w:val="20"/>
          <w:szCs w:val="20"/>
          <w:color w:val="auto"/>
        </w:rPr>
      </w:pPr>
    </w:p>
    <w:p>
      <w:pPr>
        <w:ind w:left="220" w:right="200"/>
        <w:spacing w:after="0" w:line="239" w:lineRule="auto"/>
        <w:rPr>
          <w:sz w:val="20"/>
          <w:szCs w:val="20"/>
          <w:color w:val="auto"/>
        </w:rPr>
      </w:pPr>
      <w:r>
        <w:rPr>
          <w:rFonts w:ascii="Arial" w:cs="Arial" w:eastAsia="Arial" w:hAnsi="Arial"/>
          <w:sz w:val="18"/>
          <w:szCs w:val="18"/>
          <w:color w:val="auto"/>
        </w:rPr>
        <w:t>— $263,067; Ms. Miller — $464,558; Mr. O’Neill — $226,688; Mr. Hamada — $1,189,274; Mr. Fay — $552,967; and Mr. Zammit — $530,924. Assuming the maximum payout of PSUs granted in fiscal 2017 is achieved, the grant date fair value of such awards would be $4,539,100, $1,504,127,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20" w:right="360"/>
        <w:spacing w:after="0" w:line="247" w:lineRule="auto"/>
        <w:rPr>
          <w:sz w:val="20"/>
          <w:szCs w:val="20"/>
          <w:color w:val="auto"/>
        </w:rPr>
      </w:pPr>
      <w:r>
        <w:rPr>
          <w:rFonts w:ascii="Arial" w:cs="Arial" w:eastAsia="Arial" w:hAnsi="Arial"/>
          <w:sz w:val="18"/>
          <w:szCs w:val="18"/>
          <w:color w:val="auto"/>
        </w:rPr>
        <w:t>$507,348, $929,117, $461,061, $2,378,548, $1,105,934 and $1,061,848 for Messrs. Amelio, Moriarty, Bartolotta, Ms. Miller, Messrs. O’Neill, Hamada, Fay, and Zammit, respectively.</w:t>
      </w:r>
    </w:p>
    <w:p>
      <w:pPr>
        <w:spacing w:after="0" w:line="1" w:lineRule="exact"/>
        <w:rPr>
          <w:sz w:val="20"/>
          <w:szCs w:val="20"/>
          <w:color w:val="auto"/>
        </w:rPr>
      </w:pPr>
    </w:p>
    <w:p>
      <w:pPr>
        <w:ind w:left="220" w:right="40" w:hanging="215"/>
        <w:spacing w:after="0" w:line="264" w:lineRule="auto"/>
        <w:rPr>
          <w:sz w:val="20"/>
          <w:szCs w:val="20"/>
          <w:color w:val="auto"/>
        </w:rPr>
      </w:pPr>
      <w:r>
        <w:rPr>
          <w:rFonts w:ascii="Arial" w:cs="Arial" w:eastAsia="Arial" w:hAnsi="Arial"/>
          <w:sz w:val="16"/>
          <w:szCs w:val="16"/>
          <w:color w:val="auto"/>
        </w:rPr>
        <w:t>(2)Amounts shown under the heading “Option Awards” reflect the grant date fair values for stock option awards calculated using the Black-Scholes option pricing model. This column also includes the grant date fair values for the one-time grant of PBSOs, referenced above, awarded to</w:t>
      </w:r>
    </w:p>
    <w:p>
      <w:pPr>
        <w:ind w:left="220" w:right="120"/>
        <w:spacing w:after="0" w:line="264" w:lineRule="auto"/>
        <w:rPr>
          <w:sz w:val="20"/>
          <w:szCs w:val="20"/>
          <w:color w:val="auto"/>
        </w:rPr>
      </w:pPr>
      <w:r>
        <w:rPr>
          <w:rFonts w:ascii="Arial" w:cs="Arial" w:eastAsia="Arial" w:hAnsi="Arial"/>
          <w:sz w:val="16"/>
          <w:szCs w:val="16"/>
          <w:color w:val="auto"/>
        </w:rPr>
        <w:t>Mr. Amelio — $2,055,744; Mr. Moriarty — $1,068,988; Mr. Bartolotta — $904,523; Ms. Miller — $781,180; Mr. O’Neill — $705,118; and Mr. Fay — $986,756. Assuming the maximum amount of PBSOs vest, the grant date fair value of such awards would be $3,083,616, $1,603,483,</w:t>
      </w:r>
    </w:p>
    <w:p>
      <w:pPr>
        <w:ind w:left="220"/>
        <w:spacing w:after="0" w:line="234" w:lineRule="auto"/>
        <w:rPr>
          <w:sz w:val="20"/>
          <w:szCs w:val="20"/>
          <w:color w:val="auto"/>
        </w:rPr>
      </w:pPr>
      <w:r>
        <w:rPr>
          <w:rFonts w:ascii="Arial" w:cs="Arial" w:eastAsia="Arial" w:hAnsi="Arial"/>
          <w:sz w:val="18"/>
          <w:szCs w:val="18"/>
          <w:color w:val="auto"/>
        </w:rPr>
        <w:t>$1,356,785, $1,171,770, $1,057,676 and $1,480,134 for Messrs. Amelio, Moriarty, Bartolotta, Ms. Miller, Messrs. O’Neill and Fay, respectively. For information on the assumptions used to calculate the value of the awards, refer to Note 13 to the Company’s Consolidated Financial Statements in its Annual Report on Form 10-K for the year ended July 1, 2017. The amounts included in these columns relate to awards made in the fiscal year and reflect the aggregate grant date fair value computed in accordance with FASB ASC Topic 718 and do not correspond to the actual amount that will be realized by the NEOs.</w:t>
      </w:r>
    </w:p>
    <w:p>
      <w:pPr>
        <w:spacing w:after="0"/>
        <w:rPr>
          <w:sz w:val="20"/>
          <w:szCs w:val="20"/>
          <w:color w:val="auto"/>
        </w:rPr>
      </w:pPr>
      <w:r>
        <w:rPr>
          <w:rFonts w:ascii="Arial" w:cs="Arial" w:eastAsia="Arial" w:hAnsi="Arial"/>
          <w:sz w:val="18"/>
          <w:szCs w:val="18"/>
          <w:color w:val="auto"/>
        </w:rPr>
        <w:t>(3)The amount includes the net change in the actuarial present value of accumulated benefits under the Company’s qualified and nonqualified</w:t>
      </w:r>
    </w:p>
    <w:p>
      <w:pPr>
        <w:ind w:left="220"/>
        <w:spacing w:after="0" w:line="234" w:lineRule="auto"/>
        <w:rPr>
          <w:sz w:val="20"/>
          <w:szCs w:val="20"/>
          <w:color w:val="auto"/>
        </w:rPr>
      </w:pPr>
      <w:r>
        <w:rPr>
          <w:rFonts w:ascii="Arial" w:cs="Arial" w:eastAsia="Arial" w:hAnsi="Arial"/>
          <w:sz w:val="18"/>
          <w:szCs w:val="18"/>
          <w:color w:val="auto"/>
        </w:rPr>
        <w:t>retirement plans. For fiscal 2017 the increase in the actuarial present value of accumulated benefits under the Company’s qualified plan was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$13,076, $25,268, $23,923 and $20,505 for Mr. Moriarty, Ms. Miller, Mr. Hamada and Mr. Fay, respectively. Mr. Zammit is not a participant in the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Company’s qualified plan. For fiscal 2017, the increase in the actuarial present value of accumulated benefits under the Company’s nonqualified</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retirement plans was $95,982, $62,909, $74,699 and $43,145 for Mr. Moriarty, Ms. Miller, Mr. Fay and Mr. Zammit, respectively. Since</w:t>
      </w:r>
    </w:p>
    <w:p>
      <w:pPr>
        <w:ind w:left="220" w:right="200"/>
        <w:spacing w:after="0" w:line="234" w:lineRule="auto"/>
        <w:rPr>
          <w:sz w:val="20"/>
          <w:szCs w:val="20"/>
          <w:color w:val="auto"/>
        </w:rPr>
      </w:pPr>
      <w:r>
        <w:rPr>
          <w:rFonts w:ascii="Arial" w:cs="Arial" w:eastAsia="Arial" w:hAnsi="Arial"/>
          <w:sz w:val="18"/>
          <w:szCs w:val="18"/>
          <w:color w:val="auto"/>
        </w:rPr>
        <w:t>Mr. Hamada is currently receiving payments under the SERP, the actuarial present value of his accumulated benefits has decreased from the prior year and such decline is therefore not included in the above table. The increase in the accumulated benefits under the nonqualified retirement plans was lower than the prior year, primarily due to the higher discount rate for the current year. Only Ms. Miller and Messrs. Hamada and Zammit are participants in the SERP. Since Messrs. Amelio, Bartolotta and O’Neill did not have the requisite one year of service, they were not participants in either the qualified or nonqualified retirement plans at the end of fiscal 2017.</w:t>
      </w:r>
    </w:p>
    <w:p>
      <w:pPr>
        <w:spacing w:after="0" w:line="4" w:lineRule="exact"/>
        <w:rPr>
          <w:sz w:val="20"/>
          <w:szCs w:val="20"/>
          <w:color w:val="auto"/>
        </w:rPr>
      </w:pPr>
    </w:p>
    <w:p>
      <w:pPr>
        <w:ind w:left="220" w:right="40" w:hanging="215"/>
        <w:spacing w:after="0" w:line="264" w:lineRule="auto"/>
        <w:rPr>
          <w:sz w:val="20"/>
          <w:szCs w:val="20"/>
          <w:color w:val="auto"/>
        </w:rPr>
      </w:pPr>
      <w:r>
        <w:rPr>
          <w:rFonts w:ascii="Arial" w:cs="Arial" w:eastAsia="Arial" w:hAnsi="Arial"/>
          <w:sz w:val="16"/>
          <w:szCs w:val="16"/>
          <w:color w:val="auto"/>
        </w:rPr>
        <w:t>(4)The amount includes (a) for Messrs. Amelio and Bartolotta, whose permanent residences are not in Arizona, expenses associated with Company-paid commuting expenses, including airfare, lodging and meals, (b) expenses associated with the Company’s automobile program for each of the NEOs, (c) the cost of annual physical exams, (d) tax equalization payments (including gross-up) of $920,975 on behalf of</w:t>
      </w:r>
    </w:p>
    <w:p>
      <w:pPr>
        <w:spacing w:after="0" w:line="1" w:lineRule="exact"/>
        <w:rPr>
          <w:sz w:val="20"/>
          <w:szCs w:val="20"/>
          <w:color w:val="auto"/>
        </w:rPr>
      </w:pPr>
    </w:p>
    <w:p>
      <w:pPr>
        <w:ind w:left="220" w:right="80"/>
        <w:spacing w:after="0" w:line="234" w:lineRule="auto"/>
        <w:rPr>
          <w:sz w:val="20"/>
          <w:szCs w:val="20"/>
          <w:color w:val="auto"/>
        </w:rPr>
      </w:pPr>
      <w:r>
        <w:rPr>
          <w:rFonts w:ascii="Arial" w:cs="Arial" w:eastAsia="Arial" w:hAnsi="Arial"/>
          <w:sz w:val="18"/>
          <w:szCs w:val="18"/>
          <w:color w:val="auto"/>
        </w:rPr>
        <w:t>Mr. Zammit due to accelerated vesting of his outstanding RSUs and PSUs resulting from the sale of the Company’s Technology Solutions business, and (e) the Company’s contribution to a French retirement program on behalf of Mr. Zammit in the amount of $26,930. For additional discussion on the tax equalization payments, please see the discussion in the CD&amp;A. Mr. Amelio’s above-referenced Company-paid commuting expenses were $46,203 and for Mr. Bartolotta these expenses were $29,257. For Mr. Hamada, his automobile lease and insurance costs included above is $25,059. For the other NEOs, none of their perquisites and personal benefits exceeded the greater of $25,000 or 10% of the total amount of their benefits.</w:t>
      </w:r>
    </w:p>
    <w:p>
      <w:pPr>
        <w:spacing w:after="0"/>
        <w:rPr>
          <w:sz w:val="20"/>
          <w:szCs w:val="20"/>
          <w:color w:val="auto"/>
        </w:rPr>
      </w:pPr>
      <w:r>
        <w:rPr>
          <w:rFonts w:ascii="Arial" w:cs="Arial" w:eastAsia="Arial" w:hAnsi="Arial"/>
          <w:sz w:val="18"/>
          <w:szCs w:val="18"/>
          <w:color w:val="auto"/>
        </w:rPr>
        <w:t>(5)Mr. Moriarty ceased serving as the Company’s CFO subsequent to the end of fiscal 2017.</w:t>
      </w:r>
    </w:p>
    <w:p>
      <w:pPr>
        <w:spacing w:after="0" w:line="234" w:lineRule="auto"/>
        <w:rPr>
          <w:sz w:val="20"/>
          <w:szCs w:val="20"/>
          <w:color w:val="auto"/>
        </w:rPr>
      </w:pPr>
      <w:r>
        <w:rPr>
          <w:rFonts w:ascii="Arial" w:cs="Arial" w:eastAsia="Arial" w:hAnsi="Arial"/>
          <w:sz w:val="18"/>
          <w:szCs w:val="18"/>
          <w:color w:val="auto"/>
        </w:rPr>
        <w:t>(6)Mr. Hamada ceased serving as the Company’s CEO during fiscal 2017.</w:t>
      </w:r>
    </w:p>
    <w:p>
      <w:pPr>
        <w:spacing w:after="0" w:line="235" w:lineRule="auto"/>
        <w:rPr>
          <w:sz w:val="20"/>
          <w:szCs w:val="20"/>
          <w:color w:val="auto"/>
        </w:rPr>
      </w:pPr>
      <w:r>
        <w:rPr>
          <w:rFonts w:ascii="Arial" w:cs="Arial" w:eastAsia="Arial" w:hAnsi="Arial"/>
          <w:sz w:val="18"/>
          <w:szCs w:val="18"/>
          <w:color w:val="auto"/>
        </w:rPr>
        <w:t>(7)Mr. Fay ceased to be an officer of the Company during fiscal 2017.</w:t>
      </w:r>
    </w:p>
    <w:p>
      <w:pPr>
        <w:spacing w:after="0" w:line="1" w:lineRule="exact"/>
        <w:rPr>
          <w:sz w:val="20"/>
          <w:szCs w:val="20"/>
          <w:color w:val="auto"/>
        </w:rPr>
      </w:pPr>
    </w:p>
    <w:p>
      <w:pPr>
        <w:ind w:left="220" w:right="60" w:hanging="215"/>
        <w:spacing w:after="0"/>
        <w:rPr>
          <w:sz w:val="20"/>
          <w:szCs w:val="20"/>
          <w:color w:val="auto"/>
        </w:rPr>
      </w:pPr>
      <w:r>
        <w:rPr>
          <w:rFonts w:ascii="Arial" w:cs="Arial" w:eastAsia="Arial" w:hAnsi="Arial"/>
          <w:sz w:val="18"/>
          <w:szCs w:val="18"/>
          <w:color w:val="auto"/>
        </w:rPr>
        <w:t xml:space="preserve">(8)Mr. Zammit ceased to be an officer as of February 27, 2017, the effective date of the sale of the Company’s Technology Solutions business to Tech Data. Mr. Zammit’s salary and non-equity incentive cover the period through February 27, 2017. This compensation was paid in Euros and translated at the average exchange rate through the above referenced sale date, which was $1.09 to </w:t>
      </w:r>
      <w:r>
        <w:rPr>
          <w:rFonts w:ascii="Times New Roman" w:cs="Times New Roman" w:eastAsia="Times New Roman" w:hAnsi="Times New Roman"/>
          <w:sz w:val="18"/>
          <w:szCs w:val="18"/>
          <w:color w:val="auto"/>
        </w:rPr>
        <w:t>€</w:t>
      </w:r>
      <w:r>
        <w:rPr>
          <w:rFonts w:ascii="Arial" w:cs="Arial" w:eastAsia="Arial" w:hAnsi="Arial"/>
          <w:sz w:val="18"/>
          <w:szCs w:val="18"/>
          <w:color w:val="auto"/>
        </w:rPr>
        <w:t>1.00. The expenses associated with the Company-provided automobile were also paid in Euros and translated at the same average exchange rate as referenced above, as was the net change in the actuarial present value of Mr. Zammit’s Belgian retirement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7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2017 relating to: (1) annual cash incentive awards; (2) PSUs; (3) RSUs; and (4) stock options. The actual payouts earned in fiscal 2017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Option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jc w:val="center"/>
              <w:ind w:right="80"/>
              <w:spacing w:after="0" w:line="154" w:lineRule="exact"/>
              <w:rPr>
                <w:sz w:val="20"/>
                <w:szCs w:val="20"/>
                <w:color w:val="auto"/>
              </w:rPr>
            </w:pPr>
            <w:r>
              <w:rPr>
                <w:rFonts w:ascii="Arial" w:cs="Arial" w:eastAsia="Arial" w:hAnsi="Arial"/>
                <w:sz w:val="14"/>
                <w:szCs w:val="14"/>
                <w:b w:val="1"/>
                <w:bCs w:val="1"/>
                <w:color w:val="auto"/>
                <w:w w:val="96"/>
              </w:rPr>
              <w:t>Estimated Future Payouts</w:t>
            </w:r>
          </w:p>
        </w:tc>
        <w:tc>
          <w:tcPr>
            <w:tcW w:w="2000" w:type="dxa"/>
            <w:vAlign w:val="bottom"/>
            <w:gridSpan w:val="5"/>
          </w:tcPr>
          <w:p>
            <w:pPr>
              <w:jc w:val="center"/>
              <w:spacing w:after="0" w:line="154" w:lineRule="exact"/>
              <w:rPr>
                <w:sz w:val="20"/>
                <w:szCs w:val="20"/>
                <w:color w:val="auto"/>
              </w:rPr>
            </w:pPr>
            <w:r>
              <w:rPr>
                <w:rFonts w:ascii="Arial" w:cs="Arial" w:eastAsia="Arial" w:hAnsi="Arial"/>
                <w:sz w:val="14"/>
                <w:szCs w:val="14"/>
                <w:b w:val="1"/>
                <w:bCs w:val="1"/>
                <w:color w:val="auto"/>
                <w:w w:val="97"/>
              </w:rPr>
              <w:t>Estimated Future Payouts</w:t>
            </w:r>
          </w:p>
        </w:tc>
        <w:tc>
          <w:tcPr>
            <w:tcW w:w="80" w:type="dxa"/>
            <w:vAlign w:val="bottom"/>
          </w:tcPr>
          <w:p>
            <w:pPr>
              <w:spacing w:after="0"/>
              <w:rPr>
                <w:sz w:val="13"/>
                <w:szCs w:val="13"/>
                <w:color w:val="auto"/>
              </w:rPr>
            </w:pPr>
          </w:p>
        </w:tc>
        <w:tc>
          <w:tcPr>
            <w:tcW w:w="7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Awards:</w:t>
            </w:r>
          </w:p>
        </w:tc>
        <w:tc>
          <w:tcPr>
            <w:tcW w:w="80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97"/>
              </w:rPr>
              <w:t>Awards:</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Exercise or</w:t>
            </w:r>
          </w:p>
        </w:tc>
        <w:tc>
          <w:tcPr>
            <w:tcW w:w="68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Non-Equity Incentive Plan</w:t>
            </w:r>
          </w:p>
        </w:tc>
        <w:tc>
          <w:tcPr>
            <w:tcW w:w="20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Under Equity Incentive Plan</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2"/>
            <w:vMerge w:val="continue"/>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(1)</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center"/>
              <w:spacing w:after="0" w:line="149" w:lineRule="exact"/>
              <w:rPr>
                <w:sz w:val="20"/>
                <w:szCs w:val="20"/>
                <w:color w:val="auto"/>
              </w:rPr>
            </w:pPr>
            <w:r>
              <w:rPr>
                <w:rFonts w:ascii="Arial" w:cs="Arial" w:eastAsia="Arial" w:hAnsi="Arial"/>
                <w:sz w:val="11"/>
                <w:szCs w:val="11"/>
                <w:b w:val="1"/>
                <w:bCs w:val="1"/>
                <w:color w:val="auto"/>
              </w:rPr>
              <w:t>Awards (#)</w:t>
            </w:r>
            <w:r>
              <w:rPr>
                <w:rFonts w:ascii="Arial" w:cs="Arial" w:eastAsia="Arial" w:hAnsi="Arial"/>
                <w:sz w:val="17"/>
                <w:szCs w:val="17"/>
                <w:b w:val="1"/>
                <w:bCs w:val="1"/>
                <w:color w:val="auto"/>
                <w:vertAlign w:val="superscript"/>
              </w:rPr>
              <w:t>(2)(3)</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Shares of</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Securities</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Base Price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center"/>
              <w:ind w:right="80"/>
              <w:spacing w:after="0" w:line="143" w:lineRule="exact"/>
              <w:rPr>
                <w:sz w:val="20"/>
                <w:szCs w:val="20"/>
                <w:color w:val="auto"/>
              </w:rPr>
            </w:pPr>
            <w:r>
              <w:rPr>
                <w:rFonts w:ascii="Arial" w:cs="Arial" w:eastAsia="Arial" w:hAnsi="Arial"/>
                <w:sz w:val="14"/>
                <w:szCs w:val="14"/>
                <w:b w:val="1"/>
                <w:bCs w:val="1"/>
                <w:color w:val="auto"/>
                <w:w w:val="96"/>
              </w:rPr>
              <w:t>Stock or</w:t>
            </w:r>
          </w:p>
        </w:tc>
        <w:tc>
          <w:tcPr>
            <w:tcW w:w="800" w:type="dxa"/>
            <w:vAlign w:val="bottom"/>
            <w:gridSpan w:val="2"/>
            <w:vMerge w:val="restart"/>
          </w:tcPr>
          <w:p>
            <w:pPr>
              <w:jc w:val="center"/>
              <w:ind w:right="100"/>
              <w:spacing w:after="0" w:line="143"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vMerge w:val="restart"/>
          </w:tcPr>
          <w:p>
            <w:pPr>
              <w:jc w:val="center"/>
              <w:ind w:right="80"/>
              <w:spacing w:after="0" w:line="143" w:lineRule="exact"/>
              <w:rPr>
                <w:sz w:val="20"/>
                <w:szCs w:val="20"/>
                <w:color w:val="auto"/>
              </w:rPr>
            </w:pPr>
            <w:r>
              <w:rPr>
                <w:rFonts w:ascii="Arial" w:cs="Arial" w:eastAsia="Arial" w:hAnsi="Arial"/>
                <w:sz w:val="14"/>
                <w:szCs w:val="14"/>
                <w:b w:val="1"/>
                <w:bCs w:val="1"/>
                <w:color w:val="auto"/>
                <w:w w:val="96"/>
              </w:rPr>
              <w:t>of Option</w:t>
            </w:r>
          </w:p>
        </w:tc>
        <w:tc>
          <w:tcPr>
            <w:tcW w:w="680" w:type="dxa"/>
            <w:vAlign w:val="bottom"/>
            <w:gridSpan w:val="2"/>
            <w:vMerge w:val="restart"/>
          </w:tcPr>
          <w:p>
            <w:pPr>
              <w:jc w:val="center"/>
              <w:ind w:right="40"/>
              <w:spacing w:after="0" w:line="143"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Grant</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Threshold</w:t>
            </w:r>
          </w:p>
        </w:tc>
        <w:tc>
          <w:tcPr>
            <w:tcW w:w="100" w:type="dxa"/>
            <w:vAlign w:val="bottom"/>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Maximum</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Threshold</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7"/>
              </w:rPr>
              <w:t>Units</w:t>
            </w:r>
          </w:p>
        </w:tc>
        <w:tc>
          <w:tcPr>
            <w:tcW w:w="80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8"/>
              </w:rPr>
              <w:t>Options</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8"/>
              </w:rPr>
              <w:t>Awards</w:t>
            </w:r>
          </w:p>
        </w:tc>
        <w:tc>
          <w:tcPr>
            <w:tcW w:w="6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8"/>
              </w:rPr>
              <w:t>Options</w:t>
            </w:r>
          </w:p>
        </w:tc>
        <w:tc>
          <w:tcPr>
            <w:tcW w:w="0" w:type="dxa"/>
            <w:vAlign w:val="bottom"/>
          </w:tcPr>
          <w:p>
            <w:pPr>
              <w:spacing w:after="0"/>
              <w:rPr>
                <w:sz w:val="1"/>
                <w:szCs w:val="1"/>
                <w:color w:val="auto"/>
              </w:rPr>
            </w:pPr>
          </w:p>
        </w:tc>
      </w:tr>
      <w:tr>
        <w:trPr>
          <w:trHeight w:val="176"/>
        </w:trPr>
        <w:tc>
          <w:tcPr>
            <w:tcW w:w="3080" w:type="dxa"/>
            <w:vAlign w:val="bottom"/>
            <w:gridSpan w:val="3"/>
            <w:vMerge w:val="continue"/>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33"/>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(3)</w:t>
            </w:r>
          </w:p>
        </w:tc>
        <w:tc>
          <w:tcPr>
            <w:tcW w:w="100" w:type="dxa"/>
            <w:vAlign w:val="bottom"/>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(3)</w:t>
            </w: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($/Sh)</w:t>
            </w: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(b)</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(f)</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(g)</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(h)</w:t>
            </w:r>
          </w:p>
        </w:tc>
        <w:tc>
          <w:tcPr>
            <w:tcW w:w="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(j)</w:t>
            </w:r>
          </w:p>
        </w:tc>
        <w:tc>
          <w:tcPr>
            <w:tcW w:w="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(k)</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Amelio</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219,506</w:t>
            </w:r>
          </w:p>
        </w:tc>
        <w:tc>
          <w:tcPr>
            <w:tcW w:w="720" w:type="dxa"/>
            <w:vAlign w:val="bottom"/>
            <w:gridSpan w:val="2"/>
            <w:shd w:val="clear" w:color="auto" w:fill="CCEEFF"/>
          </w:tcPr>
          <w:p>
            <w:pPr>
              <w:jc w:val="center"/>
              <w:ind w:left="34"/>
              <w:spacing w:after="0" w:line="149" w:lineRule="exact"/>
              <w:rPr>
                <w:sz w:val="20"/>
                <w:szCs w:val="20"/>
                <w:color w:val="auto"/>
              </w:rPr>
            </w:pPr>
            <w:r>
              <w:rPr>
                <w:rFonts w:ascii="Arial" w:cs="Arial" w:eastAsia="Arial" w:hAnsi="Arial"/>
                <w:sz w:val="14"/>
                <w:szCs w:val="14"/>
                <w:color w:val="auto"/>
                <w:w w:val="98"/>
              </w:rPr>
              <w:t>548,764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1,097,528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98,619</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38.80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7/11/2016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center"/>
              <w:ind w:left="33"/>
              <w:spacing w:after="0" w:line="149" w:lineRule="exact"/>
              <w:rPr>
                <w:sz w:val="20"/>
                <w:szCs w:val="20"/>
                <w:color w:val="auto"/>
              </w:rPr>
            </w:pPr>
            <w:r>
              <w:rPr>
                <w:rFonts w:ascii="Arial" w:cs="Arial" w:eastAsia="Arial" w:hAnsi="Arial"/>
                <w:sz w:val="14"/>
                <w:szCs w:val="14"/>
                <w:color w:val="auto"/>
                <w:w w:val="97"/>
              </w:rPr>
              <w:t>25,773</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998,900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240,000</w:t>
            </w:r>
          </w:p>
        </w:tc>
        <w:tc>
          <w:tcPr>
            <w:tcW w:w="720" w:type="dxa"/>
            <w:vAlign w:val="bottom"/>
            <w:gridSpan w:val="2"/>
            <w:shd w:val="clear" w:color="auto" w:fill="CCEEFF"/>
          </w:tcPr>
          <w:p>
            <w:pPr>
              <w:jc w:val="center"/>
              <w:ind w:left="34"/>
              <w:spacing w:after="0" w:line="149" w:lineRule="exact"/>
              <w:rPr>
                <w:sz w:val="20"/>
                <w:szCs w:val="20"/>
                <w:color w:val="auto"/>
              </w:rPr>
            </w:pPr>
            <w:r>
              <w:rPr>
                <w:rFonts w:ascii="Arial" w:cs="Arial" w:eastAsia="Arial" w:hAnsi="Arial"/>
                <w:sz w:val="14"/>
                <w:szCs w:val="14"/>
                <w:color w:val="auto"/>
                <w:w w:val="98"/>
              </w:rPr>
              <w:t>750,000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1,500,000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91,908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47.61</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1,132,307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1/01/2017</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18,483</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7"/>
              </w:rPr>
              <w:t>57,760</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4"/>
              </w:rPr>
              <w:t>115,520</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2,653,098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97"/>
              </w:rPr>
              <w:t>28,878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1,342,202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84,460</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8"/>
              </w:rPr>
              <w:t>168,919</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4"/>
              </w:rPr>
              <w:t>253,379</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47.23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2,055,744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Kevin Moriarty</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208,000</w:t>
            </w:r>
          </w:p>
        </w:tc>
        <w:tc>
          <w:tcPr>
            <w:tcW w:w="720" w:type="dxa"/>
            <w:vAlign w:val="bottom"/>
            <w:gridSpan w:val="2"/>
            <w:shd w:val="clear" w:color="auto" w:fill="CCEEFF"/>
          </w:tcPr>
          <w:p>
            <w:pPr>
              <w:jc w:val="center"/>
              <w:ind w:left="34"/>
              <w:spacing w:after="0" w:line="149" w:lineRule="exact"/>
              <w:rPr>
                <w:sz w:val="20"/>
                <w:szCs w:val="20"/>
                <w:color w:val="auto"/>
              </w:rPr>
            </w:pPr>
            <w:r>
              <w:rPr>
                <w:rFonts w:ascii="Arial" w:cs="Arial" w:eastAsia="Arial" w:hAnsi="Arial"/>
                <w:sz w:val="14"/>
                <w:szCs w:val="14"/>
                <w:color w:val="auto"/>
                <w:w w:val="98"/>
              </w:rPr>
              <w:t>650,000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1,300,000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32,240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41.30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314,662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6,125</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7"/>
              </w:rPr>
              <w:t>19,140</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38,280</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752,064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96"/>
              </w:rPr>
              <w:t>9,572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384,086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43,919</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7"/>
              </w:rPr>
              <w:t>87,838</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4"/>
              </w:rPr>
              <w:t>131,757</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47.23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1,068,988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Bartolotta</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10/24/2016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121,846</w:t>
            </w:r>
          </w:p>
        </w:tc>
        <w:tc>
          <w:tcPr>
            <w:tcW w:w="720" w:type="dxa"/>
            <w:vAlign w:val="bottom"/>
            <w:gridSpan w:val="2"/>
            <w:shd w:val="clear" w:color="auto" w:fill="CCEEFF"/>
          </w:tcPr>
          <w:p>
            <w:pPr>
              <w:jc w:val="center"/>
              <w:ind w:left="34"/>
              <w:spacing w:after="0" w:line="149" w:lineRule="exact"/>
              <w:rPr>
                <w:sz w:val="20"/>
                <w:szCs w:val="20"/>
                <w:color w:val="auto"/>
              </w:rPr>
            </w:pPr>
            <w:r>
              <w:rPr>
                <w:rFonts w:ascii="Arial" w:cs="Arial" w:eastAsia="Arial" w:hAnsi="Arial"/>
                <w:sz w:val="14"/>
                <w:szCs w:val="14"/>
                <w:color w:val="auto"/>
                <w:w w:val="98"/>
              </w:rPr>
              <w:t>380,769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761,538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10,784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42.59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10/24/2016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2,066</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6"/>
              </w:rPr>
              <w:t>6,456</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12,912</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263,067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10/24/2016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96"/>
              </w:rPr>
              <w:t>3,228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133,828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37,162</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7"/>
              </w:rPr>
              <w:t>74,324</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111,486</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47.23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904,523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MaryAnn Miller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131,200</w:t>
            </w:r>
          </w:p>
        </w:tc>
        <w:tc>
          <w:tcPr>
            <w:tcW w:w="720" w:type="dxa"/>
            <w:vAlign w:val="bottom"/>
            <w:gridSpan w:val="2"/>
            <w:shd w:val="clear" w:color="auto" w:fill="CCEEFF"/>
          </w:tcPr>
          <w:p>
            <w:pPr>
              <w:jc w:val="center"/>
              <w:ind w:left="34"/>
              <w:spacing w:after="0" w:line="149" w:lineRule="exact"/>
              <w:rPr>
                <w:sz w:val="20"/>
                <w:szCs w:val="20"/>
                <w:color w:val="auto"/>
              </w:rPr>
            </w:pPr>
            <w:r>
              <w:rPr>
                <w:rFonts w:ascii="Arial" w:cs="Arial" w:eastAsia="Arial" w:hAnsi="Arial"/>
                <w:sz w:val="14"/>
                <w:szCs w:val="14"/>
                <w:color w:val="auto"/>
                <w:w w:val="98"/>
              </w:rPr>
              <w:t>410,000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820,000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19,912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41.30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194,341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3,783</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3"/>
              </w:rPr>
              <w:t>11,823</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23,646</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464,558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96"/>
              </w:rPr>
              <w:t>5,912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237,225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32,095</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7"/>
              </w:rPr>
              <w:t>64,189</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96,284</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47.23</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781,180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O’Neill</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90,462</w:t>
            </w:r>
          </w:p>
        </w:tc>
        <w:tc>
          <w:tcPr>
            <w:tcW w:w="720" w:type="dxa"/>
            <w:vAlign w:val="bottom"/>
            <w:gridSpan w:val="2"/>
            <w:shd w:val="clear" w:color="auto" w:fill="CCEEFF"/>
          </w:tcPr>
          <w:p>
            <w:pPr>
              <w:jc w:val="center"/>
              <w:ind w:left="34"/>
              <w:spacing w:after="0" w:line="149" w:lineRule="exact"/>
              <w:rPr>
                <w:sz w:val="20"/>
                <w:szCs w:val="20"/>
                <w:color w:val="auto"/>
              </w:rPr>
            </w:pPr>
            <w:r>
              <w:rPr>
                <w:rFonts w:ascii="Arial" w:cs="Arial" w:eastAsia="Arial" w:hAnsi="Arial"/>
                <w:sz w:val="14"/>
                <w:szCs w:val="14"/>
                <w:color w:val="auto"/>
                <w:w w:val="98"/>
              </w:rPr>
              <w:t>282,692</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565,385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9,884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40.48</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9/27/2016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1,877</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6"/>
              </w:rPr>
              <w:t>5,867</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11,734</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226,688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96"/>
              </w:rPr>
              <w:t>2,932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28,970</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7"/>
              </w:rPr>
              <w:t>57,939</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86,909</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47.23</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705,118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Hamada</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480,000</w:t>
            </w:r>
          </w:p>
        </w:tc>
        <w:tc>
          <w:tcPr>
            <w:tcW w:w="720" w:type="dxa"/>
            <w:vAlign w:val="bottom"/>
            <w:gridSpan w:val="2"/>
            <w:shd w:val="clear" w:color="auto" w:fill="CCEEFF"/>
          </w:tcPr>
          <w:p>
            <w:pPr>
              <w:jc w:val="center"/>
              <w:ind w:left="54"/>
              <w:spacing w:after="0" w:line="149" w:lineRule="exact"/>
              <w:rPr>
                <w:sz w:val="20"/>
                <w:szCs w:val="20"/>
                <w:color w:val="auto"/>
              </w:rPr>
            </w:pPr>
            <w:r>
              <w:rPr>
                <w:rFonts w:ascii="Arial" w:cs="Arial" w:eastAsia="Arial" w:hAnsi="Arial"/>
                <w:sz w:val="14"/>
                <w:szCs w:val="14"/>
                <w:color w:val="auto"/>
                <w:w w:val="96"/>
              </w:rPr>
              <w:t>1,500,000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3,000,000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50,980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41.30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9,685</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7"/>
              </w:rPr>
              <w:t>30,267</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60,534</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1,189,274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center"/>
              <w:ind w:left="33"/>
              <w:spacing w:after="0" w:line="149" w:lineRule="exact"/>
              <w:rPr>
                <w:sz w:val="20"/>
                <w:szCs w:val="20"/>
                <w:color w:val="auto"/>
              </w:rPr>
            </w:pPr>
            <w:r>
              <w:rPr>
                <w:rFonts w:ascii="Arial" w:cs="Arial" w:eastAsia="Arial" w:hAnsi="Arial"/>
                <w:sz w:val="14"/>
                <w:szCs w:val="14"/>
                <w:color w:val="auto"/>
                <w:w w:val="97"/>
              </w:rPr>
              <w:t>15,132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607,186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Gerard Fay</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8"/>
              </w:rPr>
              <w:t>192,000</w:t>
            </w:r>
          </w:p>
        </w:tc>
        <w:tc>
          <w:tcPr>
            <w:tcW w:w="720" w:type="dxa"/>
            <w:vAlign w:val="bottom"/>
            <w:gridSpan w:val="2"/>
          </w:tcPr>
          <w:p>
            <w:pPr>
              <w:jc w:val="center"/>
              <w:ind w:left="34"/>
              <w:spacing w:after="0" w:line="149" w:lineRule="exact"/>
              <w:rPr>
                <w:sz w:val="20"/>
                <w:szCs w:val="20"/>
                <w:color w:val="auto"/>
              </w:rPr>
            </w:pPr>
            <w:r>
              <w:rPr>
                <w:rFonts w:ascii="Arial" w:cs="Arial" w:eastAsia="Arial" w:hAnsi="Arial"/>
                <w:sz w:val="14"/>
                <w:szCs w:val="14"/>
                <w:color w:val="auto"/>
                <w:w w:val="98"/>
              </w:rPr>
              <w:t>600,000</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6"/>
              </w:rPr>
              <w:t>1,200,000</w:t>
            </w: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23,704</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41.30</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231,351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4,503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14,073</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28,146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552,967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center"/>
              <w:ind w:left="33"/>
              <w:spacing w:after="0" w:line="149" w:lineRule="exact"/>
              <w:rPr>
                <w:sz w:val="20"/>
                <w:szCs w:val="20"/>
                <w:color w:val="auto"/>
              </w:rPr>
            </w:pPr>
            <w:r>
              <w:rPr>
                <w:rFonts w:ascii="Arial" w:cs="Arial" w:eastAsia="Arial" w:hAnsi="Arial"/>
                <w:sz w:val="14"/>
                <w:szCs w:val="14"/>
                <w:color w:val="auto"/>
                <w:w w:val="96"/>
              </w:rPr>
              <w:t>7,036</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282,326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40,541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81,081</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121,622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47.23</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Patrick Zammit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8"/>
              </w:rPr>
              <w:t>100,265</w:t>
            </w:r>
          </w:p>
        </w:tc>
        <w:tc>
          <w:tcPr>
            <w:tcW w:w="720" w:type="dxa"/>
            <w:vAlign w:val="bottom"/>
            <w:gridSpan w:val="2"/>
          </w:tcPr>
          <w:p>
            <w:pPr>
              <w:jc w:val="center"/>
              <w:ind w:left="34"/>
              <w:spacing w:after="0" w:line="149" w:lineRule="exact"/>
              <w:rPr>
                <w:sz w:val="20"/>
                <w:szCs w:val="20"/>
                <w:color w:val="auto"/>
              </w:rPr>
            </w:pPr>
            <w:r>
              <w:rPr>
                <w:rFonts w:ascii="Arial" w:cs="Arial" w:eastAsia="Arial" w:hAnsi="Arial"/>
                <w:sz w:val="14"/>
                <w:szCs w:val="14"/>
                <w:color w:val="auto"/>
                <w:w w:val="98"/>
              </w:rPr>
              <w:t>313,328</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8"/>
              </w:rPr>
              <w:t>626,656</w:t>
            </w: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22,756</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41.30</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222,099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4,324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13,512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27,024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530,924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8/11/2016</w:t>
            </w:r>
          </w:p>
        </w:tc>
        <w:tc>
          <w:tcPr>
            <w:tcW w:w="1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center"/>
              <w:ind w:left="33"/>
              <w:spacing w:after="0"/>
              <w:rPr>
                <w:sz w:val="20"/>
                <w:szCs w:val="20"/>
                <w:color w:val="auto"/>
              </w:rPr>
            </w:pPr>
            <w:r>
              <w:rPr>
                <w:rFonts w:ascii="Arial" w:cs="Arial" w:eastAsia="Arial" w:hAnsi="Arial"/>
                <w:sz w:val="14"/>
                <w:szCs w:val="14"/>
                <w:color w:val="auto"/>
                <w:w w:val="96"/>
              </w:rPr>
              <w:t>6,756</w:t>
            </w:r>
          </w:p>
        </w:tc>
        <w:tc>
          <w:tcPr>
            <w:tcW w:w="1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271,091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943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78" w:lineRule="exact"/>
        <w:rPr>
          <w:sz w:val="20"/>
          <w:szCs w:val="20"/>
          <w:color w:val="auto"/>
        </w:rPr>
      </w:pPr>
    </w:p>
    <w:p>
      <w:pPr>
        <w:ind w:left="220" w:right="180" w:hanging="215"/>
        <w:spacing w:after="0" w:line="275" w:lineRule="auto"/>
        <w:rPr>
          <w:sz w:val="20"/>
          <w:szCs w:val="20"/>
          <w:color w:val="auto"/>
        </w:rPr>
      </w:pPr>
      <w:r>
        <w:rPr>
          <w:rFonts w:ascii="Arial" w:cs="Arial" w:eastAsia="Arial" w:hAnsi="Arial"/>
          <w:sz w:val="16"/>
          <w:szCs w:val="16"/>
          <w:color w:val="auto"/>
        </w:rPr>
        <w:t xml:space="preserve">(1)The threshold column assumes payout of 32% of the target amount that is based on financial measures and no payout of the target amount based on the individual performance component, for all the NEO’s except for the July 11, 2016 award to Mr. Amelio. The threshold for this award, which covered the period from July 11, 2016 to December 31, 2016, assumes payout of 40% of the target. The target column assumes that the annual incentive was paid at 100% of target for the financial and individual components. The maximum column assumes the highest amounts payable on the financial and individual components, resulting in a payout of 200% of the target amount. Achievement below the threshold would yield a payout of $0. For Messrs. Amelio, Bartolotta and O’Neill, their non-equity awards are pro-rated accordingly, based on their respective dates of hire. Mr. Zammit’s award was also pro-rated and the Company assumed an exchange rate of $1.09 to </w:t>
      </w:r>
      <w:r>
        <w:rPr>
          <w:rFonts w:ascii="Times New Roman" w:cs="Times New Roman" w:eastAsia="Times New Roman" w:hAnsi="Times New Roman"/>
          <w:sz w:val="16"/>
          <w:szCs w:val="16"/>
          <w:color w:val="auto"/>
        </w:rPr>
        <w:t>€</w:t>
      </w:r>
      <w:r>
        <w:rPr>
          <w:rFonts w:ascii="Arial" w:cs="Arial" w:eastAsia="Arial" w:hAnsi="Arial"/>
          <w:sz w:val="16"/>
          <w:szCs w:val="16"/>
          <w:color w:val="auto"/>
        </w:rPr>
        <w:t>1.00,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20"/>
        <w:spacing w:after="0" w:line="247" w:lineRule="auto"/>
        <w:rPr>
          <w:sz w:val="20"/>
          <w:szCs w:val="20"/>
          <w:color w:val="auto"/>
        </w:rPr>
      </w:pPr>
      <w:r>
        <w:rPr>
          <w:rFonts w:ascii="Arial" w:cs="Arial" w:eastAsia="Arial" w:hAnsi="Arial"/>
          <w:sz w:val="18"/>
          <w:szCs w:val="18"/>
          <w:color w:val="auto"/>
        </w:rPr>
        <w:t>which is the average rate applicable through February 27, 2017, which was the effective date of the sale of the Company’s Technology Solutions business to Tech Data.</w:t>
      </w:r>
    </w:p>
    <w:p>
      <w:pPr>
        <w:spacing w:after="0" w:line="1" w:lineRule="exact"/>
        <w:rPr>
          <w:sz w:val="20"/>
          <w:szCs w:val="20"/>
          <w:color w:val="auto"/>
        </w:rPr>
      </w:pPr>
    </w:p>
    <w:p>
      <w:pPr>
        <w:ind w:left="220" w:right="160" w:hanging="215"/>
        <w:spacing w:after="0" w:line="234" w:lineRule="auto"/>
        <w:rPr>
          <w:sz w:val="20"/>
          <w:szCs w:val="20"/>
          <w:color w:val="auto"/>
        </w:rPr>
      </w:pPr>
      <w:r>
        <w:rPr>
          <w:rFonts w:ascii="Arial" w:cs="Arial" w:eastAsia="Arial" w:hAnsi="Arial"/>
          <w:sz w:val="18"/>
          <w:szCs w:val="18"/>
          <w:color w:val="auto"/>
        </w:rPr>
        <w:t>(2)This column represents grants of PSUs and PBSOs. Please refer to the CD&amp;A for a discussion on each award. For the PSUs, payout is based upon the Company’s actual Relative EP and ROCE performance to plan, and after applying the modifier of Relative TSR during the three-year performance period, the executive is eligible to receive a percentage of the target number of shares ranging from 32% to 200% of his or her targeted number of shares. For the PBSOs, payout is based upon the achievement of certain performance initiates, the maximum number of shares that will vest is 150% of the targeted award.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(3)The vesting schedules for the PSUs, RSUs, PBSOs and the stock option grants made in fiscal 2017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Type of Awards Made in Fiscal 2017</w:t>
            </w:r>
          </w:p>
        </w:tc>
        <w:tc>
          <w:tcPr>
            <w:tcW w:w="5360" w:type="dxa"/>
            <w:vAlign w:val="bottom"/>
          </w:tcPr>
          <w:p>
            <w:pPr>
              <w:ind w:left="2120"/>
              <w:spacing w:after="0"/>
              <w:rPr>
                <w:sz w:val="20"/>
                <w:szCs w:val="20"/>
                <w:color w:val="auto"/>
              </w:rPr>
            </w:pPr>
            <w:r>
              <w:rPr>
                <w:rFonts w:ascii="Arial" w:cs="Arial" w:eastAsia="Arial" w:hAnsi="Arial"/>
                <w:sz w:val="14"/>
                <w:szCs w:val="14"/>
                <w:b w:val="1"/>
                <w:bCs w:val="1"/>
                <w:color w:val="auto"/>
              </w:rPr>
              <w:t>Vesting Schedule</w:t>
            </w:r>
          </w:p>
        </w:tc>
      </w:tr>
      <w:tr>
        <w:trPr>
          <w:trHeight w:val="125"/>
        </w:trPr>
        <w:tc>
          <w:tcPr>
            <w:tcW w:w="20" w:type="dxa"/>
            <w:vAlign w:val="bottom"/>
          </w:tcPr>
          <w:p>
            <w:pPr>
              <w:spacing w:after="0"/>
              <w:rPr>
                <w:sz w:val="10"/>
                <w:szCs w:val="10"/>
                <w:color w:val="auto"/>
              </w:rPr>
            </w:pPr>
          </w:p>
        </w:tc>
        <w:tc>
          <w:tcPr>
            <w:tcW w:w="580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rPr>
              <w:t>Performance Share Units (PSUs)</w:t>
            </w:r>
          </w:p>
        </w:tc>
        <w:tc>
          <w:tcPr>
            <w:tcW w:w="240" w:type="dxa"/>
            <w:vAlign w:val="bottom"/>
          </w:tcPr>
          <w:p>
            <w:pPr>
              <w:spacing w:after="0"/>
              <w:rPr>
                <w:sz w:val="10"/>
                <w:szCs w:val="10"/>
                <w:color w:val="auto"/>
              </w:rPr>
            </w:pPr>
          </w:p>
        </w:tc>
        <w:tc>
          <w:tcPr>
            <w:tcW w:w="536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rPr>
              <w:t>vest, if at all, at the end of fiscal 2019 (June 29, 2019)</w:t>
            </w:r>
          </w:p>
        </w:tc>
      </w:tr>
      <w:tr>
        <w:trPr>
          <w:trHeight w:val="149"/>
        </w:trPr>
        <w:tc>
          <w:tcPr>
            <w:tcW w:w="6060" w:type="dxa"/>
            <w:vAlign w:val="bottom"/>
            <w:gridSpan w:val="3"/>
          </w:tcPr>
          <w:p>
            <w:pPr>
              <w:spacing w:after="0" w:line="149" w:lineRule="exact"/>
              <w:rPr>
                <w:sz w:val="20"/>
                <w:szCs w:val="20"/>
                <w:color w:val="auto"/>
              </w:rPr>
            </w:pPr>
            <w:r>
              <w:rPr>
                <w:rFonts w:ascii="Arial" w:cs="Arial" w:eastAsia="Arial" w:hAnsi="Arial"/>
                <w:sz w:val="14"/>
                <w:szCs w:val="14"/>
                <w:color w:val="auto"/>
              </w:rPr>
              <w:t>Restricted Stock Units (RSUs)</w:t>
            </w:r>
          </w:p>
        </w:tc>
        <w:tc>
          <w:tcPr>
            <w:tcW w:w="5360" w:type="dxa"/>
            <w:vAlign w:val="bottom"/>
          </w:tcPr>
          <w:p>
            <w:pPr>
              <w:spacing w:after="0" w:line="149" w:lineRule="exact"/>
              <w:rPr>
                <w:sz w:val="20"/>
                <w:szCs w:val="20"/>
                <w:color w:val="auto"/>
              </w:rPr>
            </w:pPr>
            <w:r>
              <w:rPr>
                <w:rFonts w:ascii="Arial" w:cs="Arial" w:eastAsia="Arial" w:hAnsi="Arial"/>
                <w:sz w:val="14"/>
                <w:szCs w:val="14"/>
                <w:color w:val="auto"/>
              </w:rPr>
              <w:t>25% each on the first business day in January of 2017 through 2020; Mr. Amelio’s</w:t>
            </w: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Arial" w:cs="Arial" w:eastAsia="Arial" w:hAnsi="Arial"/>
                <w:sz w:val="14"/>
                <w:szCs w:val="14"/>
                <w:color w:val="auto"/>
              </w:rPr>
              <w:t>July 11, 2016 grant vests 100% after 6 months</w:t>
            </w:r>
          </w:p>
        </w:tc>
      </w:tr>
      <w:tr>
        <w:trPr>
          <w:trHeight w:val="149"/>
        </w:trPr>
        <w:tc>
          <w:tcPr>
            <w:tcW w:w="6060" w:type="dxa"/>
            <w:vAlign w:val="bottom"/>
            <w:gridSpan w:val="3"/>
          </w:tcPr>
          <w:p>
            <w:pPr>
              <w:spacing w:after="0" w:line="149" w:lineRule="exact"/>
              <w:rPr>
                <w:sz w:val="20"/>
                <w:szCs w:val="20"/>
                <w:color w:val="auto"/>
              </w:rPr>
            </w:pPr>
            <w:r>
              <w:rPr>
                <w:rFonts w:ascii="Arial" w:cs="Arial" w:eastAsia="Arial" w:hAnsi="Arial"/>
                <w:sz w:val="14"/>
                <w:szCs w:val="14"/>
                <w:color w:val="auto"/>
              </w:rPr>
              <w:t>Stock Options (except for the January 3, 2017 PBSO grant)</w:t>
            </w:r>
          </w:p>
        </w:tc>
        <w:tc>
          <w:tcPr>
            <w:tcW w:w="5360" w:type="dxa"/>
            <w:vAlign w:val="bottom"/>
          </w:tcPr>
          <w:p>
            <w:pPr>
              <w:spacing w:after="0" w:line="149" w:lineRule="exact"/>
              <w:rPr>
                <w:sz w:val="20"/>
                <w:szCs w:val="20"/>
                <w:color w:val="auto"/>
              </w:rPr>
            </w:pPr>
            <w:r>
              <w:rPr>
                <w:rFonts w:ascii="Arial" w:cs="Arial" w:eastAsia="Arial" w:hAnsi="Arial"/>
                <w:sz w:val="14"/>
                <w:szCs w:val="14"/>
                <w:color w:val="auto"/>
              </w:rPr>
              <w:t>25% on each of the first through fourth anniversaries of the grant date; Mr. Amelio’s</w:t>
            </w: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Arial" w:cs="Arial" w:eastAsia="Arial" w:hAnsi="Arial"/>
                <w:sz w:val="14"/>
                <w:szCs w:val="14"/>
                <w:color w:val="auto"/>
              </w:rPr>
              <w:t>July 11, 2016 grant vests 100% after six months</w:t>
            </w:r>
          </w:p>
        </w:tc>
      </w:tr>
      <w:tr>
        <w:trPr>
          <w:trHeight w:val="149"/>
        </w:trPr>
        <w:tc>
          <w:tcPr>
            <w:tcW w:w="6060" w:type="dxa"/>
            <w:vAlign w:val="bottom"/>
            <w:gridSpan w:val="3"/>
          </w:tcPr>
          <w:p>
            <w:pPr>
              <w:spacing w:after="0" w:line="149" w:lineRule="exact"/>
              <w:rPr>
                <w:sz w:val="20"/>
                <w:szCs w:val="20"/>
                <w:color w:val="auto"/>
              </w:rPr>
            </w:pPr>
            <w:r>
              <w:rPr>
                <w:rFonts w:ascii="Arial" w:cs="Arial" w:eastAsia="Arial" w:hAnsi="Arial"/>
                <w:sz w:val="14"/>
                <w:szCs w:val="14"/>
                <w:color w:val="auto"/>
              </w:rPr>
              <w:t>Performance Based Stock Options (PBSOs)</w:t>
            </w:r>
          </w:p>
        </w:tc>
        <w:tc>
          <w:tcPr>
            <w:tcW w:w="5360" w:type="dxa"/>
            <w:vAlign w:val="bottom"/>
          </w:tcPr>
          <w:p>
            <w:pPr>
              <w:spacing w:after="0" w:line="149" w:lineRule="exact"/>
              <w:rPr>
                <w:sz w:val="20"/>
                <w:szCs w:val="20"/>
                <w:color w:val="auto"/>
              </w:rPr>
            </w:pPr>
            <w:r>
              <w:rPr>
                <w:rFonts w:ascii="Arial" w:cs="Arial" w:eastAsia="Arial" w:hAnsi="Arial"/>
                <w:sz w:val="14"/>
                <w:szCs w:val="14"/>
                <w:color w:val="auto"/>
                <w:w w:val="96"/>
              </w:rPr>
              <w:t>60% on December 31, 2018, only upon achievement of certain initiatives; and 40% at end</w:t>
            </w:r>
          </w:p>
        </w:tc>
      </w:tr>
      <w:tr>
        <w:trPr>
          <w:trHeight w:val="180"/>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of fiscal 2019</w:t>
            </w:r>
          </w:p>
        </w:tc>
      </w:tr>
    </w:tbl>
    <w:p>
      <w:pPr>
        <w:spacing w:after="0" w:line="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additional description of the terms and awards of RSUs, stock options, PSUs and PBSOs made in fiscal 2017, see the description of long-term incentives in the CD&amp;A and Note 13 to the Company’s Consolidated Financial Statements included in its Form 10-K for the fiscal year ended July 1, 2017.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7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July 1, 2017. This table includes unexercised and unvested option grants, unvested RSUs, PSUs and PBSOs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July 1, 2017, which was $38.88. The PSUs are subject to specified performance objectives over the performance period. The market values as of July 1, 2017 shown in columns (h) and (j) below, assume 100% achievement of these performance objectives. For additional information about the option grants and stock awards, see the description of long-term incentives in the CD&amp;A and Note 13 to the Company’s Consolidated Financial Statements included in its Form 10-K for the fiscal year ended July 1,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Market</w:t>
            </w: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of</w:t>
            </w: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Shares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Value of</w:t>
            </w: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Incentive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Unearned</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of</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or</w:t>
            </w: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Stock</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of</w:t>
            </w: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Units or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Stock</w:t>
            </w: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Stock</w:t>
            </w: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Have</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That</w:t>
            </w:r>
          </w:p>
        </w:tc>
        <w:tc>
          <w:tcPr>
            <w:tcW w:w="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Rights</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70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vMerge w:val="continue"/>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w:t>
            </w: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That Have</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Exercise</w:t>
            </w:r>
          </w:p>
        </w:tc>
        <w:tc>
          <w:tcPr>
            <w:tcW w:w="84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Award</w:t>
            </w: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Vested</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Not</w:t>
            </w:r>
          </w:p>
        </w:tc>
        <w:tc>
          <w:tcPr>
            <w:tcW w:w="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Grant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Unearned</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Price</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Grant</w:t>
            </w: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(RSUs)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Vested</w:t>
            </w:r>
          </w:p>
        </w:tc>
        <w:tc>
          <w:tcPr>
            <w:tcW w:w="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Vested</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Not Vested</w:t>
            </w:r>
          </w:p>
        </w:tc>
        <w:tc>
          <w:tcPr>
            <w:tcW w:w="0" w:type="dxa"/>
            <w:vAlign w:val="bottom"/>
          </w:tcPr>
          <w:p>
            <w:pPr>
              <w:spacing w:after="0"/>
              <w:rPr>
                <w:sz w:val="1"/>
                <w:szCs w:val="1"/>
                <w:color w:val="auto"/>
              </w:rPr>
            </w:pPr>
          </w:p>
        </w:tc>
      </w:tr>
      <w:tr>
        <w:trPr>
          <w:trHeight w:val="167"/>
        </w:trPr>
        <w:tc>
          <w:tcPr>
            <w:tcW w:w="2200" w:type="dxa"/>
            <w:vAlign w:val="bottom"/>
            <w:gridSpan w:val="3"/>
            <w:vMerge w:val="continue"/>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Exercisable</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Unexercisable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Options (#)</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(PSUs)(#)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(f)</w:t>
            </w: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(g)</w:t>
            </w:r>
          </w:p>
        </w:tc>
        <w:tc>
          <w:tcPr>
            <w:tcW w:w="1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(h)</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w:t>
            </w:r>
          </w:p>
        </w:tc>
        <w:tc>
          <w:tcPr>
            <w:tcW w:w="1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(j)</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Amelio</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7/11/2016</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98,619</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7/10/2026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1/01/2017</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91,908</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47.61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12/31/2026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1/01/2017</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28,878</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1,122,777</w:t>
            </w:r>
          </w:p>
        </w:tc>
        <w:tc>
          <w:tcPr>
            <w:tcW w:w="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57,760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2,245,709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1/03/2017</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168,919</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1/02/2027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Kevin Moriarty</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1/02/2013</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68,000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31.89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1/01/2023</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25,623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8/07/2014</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12,100</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40.88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8/06/2024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8/07/2014</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84,720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8,906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26,718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8/12/2025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4,980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193,622</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19,920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774,490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8/11/2016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32,240</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8/10/2026</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8/11/2016</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7,179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279,120</w:t>
            </w:r>
          </w:p>
        </w:tc>
        <w:tc>
          <w:tcPr>
            <w:tcW w:w="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19,140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744,163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1/03/2017</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87,838</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1/02/2027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Peter Bartolotta</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10/24/2016</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10,784</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10/23/2026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10/24/2016</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94,128</w:t>
            </w:r>
          </w:p>
        </w:tc>
        <w:tc>
          <w:tcPr>
            <w:tcW w:w="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3,228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125,505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1/03/2017</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74,324</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1/02/2027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MaryAnn Miller</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5/08/2009</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5/07/2019</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8/13/2009</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9,024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8/12/2010</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11,456</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24.41</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8/11/2020</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8/11/2011</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14,104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8/09/2012</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17,620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8/08/2022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8/08/2013</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11,343</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8/07/2014</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8,068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8,068</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40.88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8/06/2024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8/07/2014</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1,452</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56,454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8/12/2025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3,076</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119,595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12,303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478,341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8/11/2016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19,912</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8/10/2026</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8/11/2016</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4,434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172,394</w:t>
            </w:r>
          </w:p>
        </w:tc>
        <w:tc>
          <w:tcPr>
            <w:tcW w:w="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11,823</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459,678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1/03/2017</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64,189</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1/02/2027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Michael O’Neill</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9/27/2016</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9,884</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40.48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9/26/2026</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9/27/2016</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85,497</w:t>
            </w:r>
          </w:p>
        </w:tc>
        <w:tc>
          <w:tcPr>
            <w:tcW w:w="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5,867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228,109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1/03/2017</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57,939</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1/02/2027</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Richard Hamada</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8/08/2013</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28,470</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39.04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7/09/2022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8/07/2014</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39,062</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39,062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40.88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7/09/2022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8/07/2014</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7,033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273,443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Arial" w:cs="Arial" w:eastAsia="Arial" w:hAnsi="Arial"/>
                <w:sz w:val="14"/>
                <w:szCs w:val="14"/>
                <w:color w:val="auto"/>
              </w:rPr>
              <w:t>8/13/2015</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2" w:lineRule="exact"/>
              <w:rPr>
                <w:sz w:val="20"/>
                <w:szCs w:val="20"/>
                <w:color w:val="auto"/>
              </w:rPr>
            </w:pPr>
            <w:r>
              <w:rPr>
                <w:rFonts w:ascii="Arial" w:cs="Arial" w:eastAsia="Arial" w:hAnsi="Arial"/>
                <w:sz w:val="14"/>
                <w:szCs w:val="14"/>
                <w:color w:val="auto"/>
              </w:rPr>
              <w:t>26,194</w:t>
            </w:r>
          </w:p>
        </w:tc>
        <w:tc>
          <w:tcPr>
            <w:tcW w:w="920" w:type="dxa"/>
            <w:vAlign w:val="bottom"/>
          </w:tcPr>
          <w:p>
            <w:pPr>
              <w:jc w:val="right"/>
              <w:spacing w:after="0" w:line="132" w:lineRule="exact"/>
              <w:rPr>
                <w:sz w:val="20"/>
                <w:szCs w:val="20"/>
                <w:color w:val="auto"/>
              </w:rPr>
            </w:pPr>
            <w:r>
              <w:rPr>
                <w:rFonts w:ascii="Arial" w:cs="Arial" w:eastAsia="Arial" w:hAnsi="Arial"/>
                <w:sz w:val="14"/>
                <w:szCs w:val="14"/>
                <w:color w:val="auto"/>
              </w:rPr>
              <w:t>78,582</w:t>
            </w:r>
          </w:p>
        </w:tc>
        <w:tc>
          <w:tcPr>
            <w:tcW w:w="120" w:type="dxa"/>
            <w:vAlign w:val="bottom"/>
          </w:tcPr>
          <w:p>
            <w:pPr>
              <w:spacing w:after="0"/>
              <w:rPr>
                <w:sz w:val="11"/>
                <w:szCs w:val="11"/>
                <w:color w:val="auto"/>
              </w:rPr>
            </w:pPr>
          </w:p>
        </w:tc>
        <w:tc>
          <w:tcPr>
            <w:tcW w:w="920" w:type="dxa"/>
            <w:vAlign w:val="bottom"/>
            <w:gridSpan w:val="2"/>
          </w:tcPr>
          <w:p>
            <w:pPr>
              <w:jc w:val="right"/>
              <w:ind w:right="120"/>
              <w:spacing w:after="0" w:line="132"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32" w:lineRule="exact"/>
              <w:rPr>
                <w:sz w:val="20"/>
                <w:szCs w:val="20"/>
                <w:color w:val="auto"/>
              </w:rPr>
            </w:pPr>
            <w:r>
              <w:rPr>
                <w:rFonts w:ascii="Arial" w:cs="Arial" w:eastAsia="Arial" w:hAnsi="Arial"/>
                <w:sz w:val="14"/>
                <w:szCs w:val="14"/>
                <w:color w:val="auto"/>
              </w:rPr>
              <w:t>42.67</w:t>
            </w:r>
          </w:p>
        </w:tc>
        <w:tc>
          <w:tcPr>
            <w:tcW w:w="720" w:type="dxa"/>
            <w:vAlign w:val="bottom"/>
          </w:tcPr>
          <w:p>
            <w:pPr>
              <w:jc w:val="right"/>
              <w:spacing w:after="0" w:line="132" w:lineRule="exact"/>
              <w:rPr>
                <w:sz w:val="20"/>
                <w:szCs w:val="20"/>
                <w:color w:val="auto"/>
              </w:rPr>
            </w:pPr>
            <w:r>
              <w:rPr>
                <w:rFonts w:ascii="Arial" w:cs="Arial" w:eastAsia="Arial" w:hAnsi="Arial"/>
                <w:sz w:val="14"/>
                <w:szCs w:val="14"/>
                <w:color w:val="auto"/>
              </w:rPr>
              <w:t>7/09/2022</w:t>
            </w:r>
          </w:p>
        </w:tc>
        <w:tc>
          <w:tcPr>
            <w:tcW w:w="120" w:type="dxa"/>
            <w:vAlign w:val="bottom"/>
          </w:tcPr>
          <w:p>
            <w:pPr>
              <w:spacing w:after="0"/>
              <w:rPr>
                <w:sz w:val="11"/>
                <w:szCs w:val="11"/>
                <w:color w:val="auto"/>
              </w:rPr>
            </w:pPr>
          </w:p>
        </w:tc>
        <w:tc>
          <w:tcPr>
            <w:tcW w:w="740" w:type="dxa"/>
            <w:vAlign w:val="bottom"/>
          </w:tcPr>
          <w:p>
            <w:pPr>
              <w:jc w:val="right"/>
              <w:spacing w:after="0" w:line="132" w:lineRule="exact"/>
              <w:rPr>
                <w:sz w:val="20"/>
                <w:szCs w:val="20"/>
                <w:color w:val="auto"/>
              </w:rPr>
            </w:pPr>
            <w:r>
              <w:rPr>
                <w:rFonts w:ascii="Arial" w:cs="Arial" w:eastAsia="Arial" w:hAnsi="Arial"/>
                <w:sz w:val="14"/>
                <w:szCs w:val="14"/>
                <w:color w:val="auto"/>
              </w:rPr>
              <w:t>8/13/2015</w:t>
            </w:r>
          </w:p>
        </w:tc>
        <w:tc>
          <w:tcPr>
            <w:tcW w:w="120" w:type="dxa"/>
            <w:vAlign w:val="bottom"/>
          </w:tcPr>
          <w:p>
            <w:pPr>
              <w:spacing w:after="0"/>
              <w:rPr>
                <w:sz w:val="11"/>
                <w:szCs w:val="11"/>
                <w:color w:val="auto"/>
              </w:rPr>
            </w:pPr>
          </w:p>
        </w:tc>
        <w:tc>
          <w:tcPr>
            <w:tcW w:w="500" w:type="dxa"/>
            <w:vAlign w:val="bottom"/>
          </w:tcPr>
          <w:p>
            <w:pPr>
              <w:jc w:val="right"/>
              <w:spacing w:after="0" w:line="132" w:lineRule="exact"/>
              <w:rPr>
                <w:sz w:val="20"/>
                <w:szCs w:val="20"/>
                <w:color w:val="auto"/>
              </w:rPr>
            </w:pPr>
            <w:r>
              <w:rPr>
                <w:rFonts w:ascii="Arial" w:cs="Arial" w:eastAsia="Arial" w:hAnsi="Arial"/>
                <w:sz w:val="14"/>
                <w:szCs w:val="14"/>
                <w:color w:val="auto"/>
              </w:rPr>
              <w:t>14,648</w:t>
            </w:r>
          </w:p>
        </w:tc>
        <w:tc>
          <w:tcPr>
            <w:tcW w:w="12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Arial" w:cs="Arial" w:eastAsia="Arial" w:hAnsi="Arial"/>
                <w:sz w:val="14"/>
                <w:szCs w:val="14"/>
                <w:color w:val="auto"/>
              </w:rPr>
              <w:t>569,514</w:t>
            </w:r>
          </w:p>
        </w:tc>
        <w:tc>
          <w:tcPr>
            <w:tcW w:w="60" w:type="dxa"/>
            <w:vAlign w:val="bottom"/>
          </w:tcPr>
          <w:p>
            <w:pPr>
              <w:spacing w:after="0"/>
              <w:rPr>
                <w:sz w:val="11"/>
                <w:szCs w:val="11"/>
                <w:color w:val="auto"/>
              </w:rPr>
            </w:pPr>
          </w:p>
        </w:tc>
        <w:tc>
          <w:tcPr>
            <w:tcW w:w="860" w:type="dxa"/>
            <w:vAlign w:val="bottom"/>
            <w:gridSpan w:val="3"/>
          </w:tcPr>
          <w:p>
            <w:pPr>
              <w:jc w:val="right"/>
              <w:ind w:right="120"/>
              <w:spacing w:after="0" w:line="132" w:lineRule="exact"/>
              <w:rPr>
                <w:sz w:val="20"/>
                <w:szCs w:val="20"/>
                <w:color w:val="auto"/>
              </w:rPr>
            </w:pPr>
            <w:r>
              <w:rPr>
                <w:rFonts w:ascii="Arial" w:cs="Arial" w:eastAsia="Arial" w:hAnsi="Arial"/>
                <w:sz w:val="14"/>
                <w:szCs w:val="14"/>
                <w:color w:val="auto"/>
              </w:rPr>
              <w:t>58,590</w:t>
            </w:r>
          </w:p>
        </w:tc>
        <w:tc>
          <w:tcPr>
            <w:tcW w:w="820" w:type="dxa"/>
            <w:vAlign w:val="bottom"/>
          </w:tcPr>
          <w:p>
            <w:pPr>
              <w:jc w:val="right"/>
              <w:spacing w:after="0" w:line="132" w:lineRule="exact"/>
              <w:rPr>
                <w:sz w:val="20"/>
                <w:szCs w:val="20"/>
                <w:color w:val="auto"/>
              </w:rPr>
            </w:pPr>
            <w:r>
              <w:rPr>
                <w:rFonts w:ascii="Arial" w:cs="Arial" w:eastAsia="Arial" w:hAnsi="Arial"/>
                <w:sz w:val="14"/>
                <w:szCs w:val="14"/>
                <w:color w:val="auto"/>
              </w:rPr>
              <w:t>2,277,979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Gerard Fay</w:t>
            </w:r>
            <w:r>
              <w:rPr>
                <w:rFonts w:ascii="Arial" w:cs="Arial" w:eastAsia="Arial" w:hAnsi="Arial"/>
                <w:sz w:val="22"/>
                <w:szCs w:val="22"/>
                <w:color w:val="auto"/>
                <w:vertAlign w:val="superscript"/>
              </w:rPr>
              <w:t>(1)</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8/11/2016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50,980</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7/09/2022</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8/11/2016</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11,349</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441,249</w:t>
            </w:r>
          </w:p>
        </w:tc>
        <w:tc>
          <w:tcPr>
            <w:tcW w:w="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30,267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1,176,781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8/11/2011</w:t>
            </w:r>
          </w:p>
        </w:tc>
        <w:tc>
          <w:tcPr>
            <w:tcW w:w="1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5,342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27.94</w:t>
            </w:r>
          </w:p>
        </w:tc>
        <w:tc>
          <w:tcPr>
            <w:tcW w:w="720" w:type="dxa"/>
            <w:vAlign w:val="bottom"/>
          </w:tcPr>
          <w:p>
            <w:pPr>
              <w:jc w:val="right"/>
              <w:spacing w:after="0"/>
              <w:rPr>
                <w:sz w:val="20"/>
                <w:szCs w:val="20"/>
                <w:color w:val="auto"/>
              </w:rPr>
            </w:pPr>
            <w:r>
              <w:rPr>
                <w:rFonts w:ascii="Arial" w:cs="Arial" w:eastAsia="Arial" w:hAnsi="Arial"/>
                <w:sz w:val="14"/>
                <w:szCs w:val="14"/>
                <w:color w:val="auto"/>
              </w:rPr>
              <w:t>8/10/2021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8/09/2012</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9,087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32.43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7/31/2022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8/08/2013</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21,351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7,117</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39.04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7/31/2022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8/07/2014</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10,190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40.88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7/31/2022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8/07/2014</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71,345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1/05/2015</w:t>
            </w: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11,112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11,112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42.26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7/31/2022</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1/05/2015</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91,990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6,549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19,647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7/31/2022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8/13/2015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3,662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142,379</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14,646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569,436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8/11/2016</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23,704</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41.30</w:t>
            </w:r>
          </w:p>
        </w:tc>
        <w:tc>
          <w:tcPr>
            <w:tcW w:w="720" w:type="dxa"/>
            <w:vAlign w:val="bottom"/>
          </w:tcPr>
          <w:p>
            <w:pPr>
              <w:jc w:val="right"/>
              <w:spacing w:after="0"/>
              <w:rPr>
                <w:sz w:val="20"/>
                <w:szCs w:val="20"/>
                <w:color w:val="auto"/>
              </w:rPr>
            </w:pPr>
            <w:r>
              <w:rPr>
                <w:rFonts w:ascii="Arial" w:cs="Arial" w:eastAsia="Arial" w:hAnsi="Arial"/>
                <w:sz w:val="14"/>
                <w:szCs w:val="14"/>
                <w:color w:val="auto"/>
              </w:rPr>
              <w:t>7/31/2022</w:t>
            </w: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8/11/2016</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5,277</w:t>
            </w:r>
          </w:p>
        </w:tc>
        <w:tc>
          <w:tcPr>
            <w:tcW w:w="660" w:type="dxa"/>
            <w:vAlign w:val="bottom"/>
          </w:tcPr>
          <w:p>
            <w:pPr>
              <w:jc w:val="right"/>
              <w:spacing w:after="0"/>
              <w:rPr>
                <w:sz w:val="20"/>
                <w:szCs w:val="20"/>
                <w:color w:val="auto"/>
              </w:rPr>
            </w:pPr>
            <w:r>
              <w:rPr>
                <w:rFonts w:ascii="Arial" w:cs="Arial" w:eastAsia="Arial" w:hAnsi="Arial"/>
                <w:sz w:val="14"/>
                <w:szCs w:val="14"/>
                <w:color w:val="auto"/>
              </w:rPr>
              <w:t>205,170</w:t>
            </w:r>
          </w:p>
        </w:tc>
        <w:tc>
          <w:tcPr>
            <w:tcW w:w="60" w:type="dxa"/>
            <w:vAlign w:val="bottom"/>
          </w:tcPr>
          <w:p>
            <w:pPr>
              <w:spacing w:after="0"/>
              <w:rPr>
                <w:sz w:val="15"/>
                <w:szCs w:val="15"/>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14,073</w:t>
            </w:r>
          </w:p>
        </w:tc>
        <w:tc>
          <w:tcPr>
            <w:tcW w:w="820" w:type="dxa"/>
            <w:vAlign w:val="bottom"/>
          </w:tcPr>
          <w:p>
            <w:pPr>
              <w:jc w:val="right"/>
              <w:spacing w:after="0"/>
              <w:rPr>
                <w:sz w:val="20"/>
                <w:szCs w:val="20"/>
                <w:color w:val="auto"/>
              </w:rPr>
            </w:pPr>
            <w:r>
              <w:rPr>
                <w:rFonts w:ascii="Arial" w:cs="Arial" w:eastAsia="Arial" w:hAnsi="Arial"/>
                <w:sz w:val="14"/>
                <w:szCs w:val="14"/>
                <w:color w:val="auto"/>
              </w:rPr>
              <w:t>547,158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-774065</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9436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(1)Mr. Fay’s PBSOs granted under the Shareholder Value Incentive Plan were cancelled when he ceased to be an officer of the Company.</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schedules:</w:t>
      </w:r>
    </w:p>
    <w:p>
      <w:pPr>
        <w:spacing w:after="0" w:line="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Stock Options (excluding PBSOs) — Stock options vest in 25% annual increments commencing on the first anniversary of the grant date. The award dated July 11, 2016 to Mr. Amelio vests 100% after 6 months. Stock options typically expire the day before the tenth anniversary of the grant date.</w:t>
      </w:r>
    </w:p>
    <w:p>
      <w:pPr>
        <w:spacing w:after="0" w:line="3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Performance Based Stock Options (PBSOs) — The PBSO grants, dated January 3, 2017, will vest only upon the achievement of certain specifically identified initiatives, at a rate of 60% on December 31, 2018 and the remaining 40% at the end of fiscal 2019. See the discussion of the Shareholder Value Incentive Plan in the CD&amp;A, above.</w:t>
      </w:r>
    </w:p>
    <w:p>
      <w:pPr>
        <w:spacing w:after="0" w:line="3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Restricted Stock Unit Awards (RSUs) — RSUs vest in 25% annual increments, commencing in the January following the grant date. The award dated July 11, 2016 to Mr. Amelio vests 100% after 6 months. The award dated January 5, 2015, to Mr. Fay vests ratably over 3 years on the grant date anniversary.</w:t>
      </w:r>
    </w:p>
    <w:p>
      <w:pPr>
        <w:spacing w:after="0" w:line="37"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Performance Share Units (PSUs) — All PSUs vest, if at all, depending on whether vesting conditions are met, on the last day of the fiscal year coincident with the end of the three-year performance period.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w:t>
      </w:r>
    </w:p>
    <w:p>
      <w:pPr>
        <w:spacing w:after="0" w:line="16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following table provides information as to each of the NEOs: (1) stock option exercises during fiscal 2017,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60" w:type="dxa"/>
            <w:vAlign w:val="bottom"/>
            <w:gridSpan w:val="4"/>
          </w:tcPr>
          <w:p>
            <w:pPr>
              <w:ind w:left="680"/>
              <w:spacing w:after="0"/>
              <w:rPr>
                <w:sz w:val="20"/>
                <w:szCs w:val="20"/>
                <w:color w:val="auto"/>
              </w:rPr>
            </w:pPr>
            <w:r>
              <w:rPr>
                <w:rFonts w:ascii="Arial" w:cs="Arial" w:eastAsia="Arial" w:hAnsi="Arial"/>
                <w:sz w:val="14"/>
                <w:szCs w:val="14"/>
                <w:b w:val="1"/>
                <w:bCs w:val="1"/>
                <w:color w:val="auto"/>
              </w:rPr>
              <w:t>Option Awards</w:t>
            </w:r>
          </w:p>
        </w:tc>
        <w:tc>
          <w:tcPr>
            <w:tcW w:w="2400" w:type="dxa"/>
            <w:vAlign w:val="bottom"/>
            <w:gridSpan w:val="4"/>
          </w:tcPr>
          <w:p>
            <w:pPr>
              <w:ind w:lef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540"/>
              <w:spacing w:after="0" w:line="123" w:lineRule="exact"/>
              <w:rPr>
                <w:sz w:val="20"/>
                <w:szCs w:val="20"/>
                <w:color w:val="auto"/>
              </w:rPr>
            </w:pPr>
            <w:r>
              <w:rPr>
                <w:rFonts w:ascii="Arial" w:cs="Arial" w:eastAsia="Arial" w:hAnsi="Arial"/>
                <w:sz w:val="14"/>
                <w:szCs w:val="14"/>
                <w:b w:val="1"/>
                <w:bCs w:val="1"/>
                <w:color w:val="auto"/>
                <w:w w:val="97"/>
              </w:rPr>
              <w:t>Number of</w:t>
            </w:r>
          </w:p>
        </w:tc>
        <w:tc>
          <w:tcPr>
            <w:tcW w:w="10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560"/>
              <w:spacing w:after="0" w:line="123" w:lineRule="exact"/>
              <w:rPr>
                <w:sz w:val="20"/>
                <w:szCs w:val="20"/>
                <w:color w:val="auto"/>
              </w:rPr>
            </w:pPr>
            <w:r>
              <w:rPr>
                <w:rFonts w:ascii="Arial" w:cs="Arial" w:eastAsia="Arial" w:hAnsi="Arial"/>
                <w:sz w:val="14"/>
                <w:szCs w:val="14"/>
                <w:b w:val="1"/>
                <w:bCs w:val="1"/>
                <w:color w:val="auto"/>
                <w:w w:val="94"/>
              </w:rPr>
              <w:t>Number of</w:t>
            </w:r>
          </w:p>
        </w:tc>
        <w:tc>
          <w:tcPr>
            <w:tcW w:w="10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Shares</w:t>
            </w:r>
          </w:p>
        </w:tc>
        <w:tc>
          <w:tcPr>
            <w:tcW w:w="15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Value Realized</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Shares</w:t>
            </w: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Acquired</w:t>
            </w:r>
          </w:p>
        </w:tc>
        <w:tc>
          <w:tcPr>
            <w:tcW w:w="1520" w:type="dxa"/>
            <w:vAlign w:val="bottom"/>
            <w:gridSpan w:val="2"/>
            <w:vMerge w:val="continue"/>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Acquired</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on Vesting</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on Vesting</w:t>
            </w:r>
          </w:p>
        </w:tc>
        <w:tc>
          <w:tcPr>
            <w:tcW w:w="0" w:type="dxa"/>
            <w:vAlign w:val="bottom"/>
          </w:tcPr>
          <w:p>
            <w:pPr>
              <w:spacing w:after="0"/>
              <w:rPr>
                <w:sz w:val="1"/>
                <w:szCs w:val="1"/>
                <w:color w:val="auto"/>
              </w:rPr>
            </w:pPr>
          </w:p>
        </w:tc>
      </w:tr>
      <w:tr>
        <w:trPr>
          <w:trHeight w:val="167"/>
        </w:trPr>
        <w:tc>
          <w:tcPr>
            <w:tcW w:w="5240" w:type="dxa"/>
            <w:vAlign w:val="bottom"/>
            <w:gridSpan w:val="3"/>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5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5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5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w:t>
            </w:r>
          </w:p>
        </w:tc>
        <w:tc>
          <w:tcPr>
            <w:tcW w:w="5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Amelio</w:t>
            </w:r>
          </w:p>
        </w:tc>
        <w:tc>
          <w:tcPr>
            <w:tcW w:w="1340" w:type="dxa"/>
            <w:vAlign w:val="bottom"/>
            <w:gridSpan w:val="2"/>
            <w:shd w:val="clear" w:color="auto" w:fill="CCEEFF"/>
          </w:tcPr>
          <w:p>
            <w:pPr>
              <w:jc w:val="center"/>
              <w:ind w:right="52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25,773</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1,208,754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1340" w:type="dxa"/>
            <w:vAlign w:val="bottom"/>
            <w:gridSpan w:val="2"/>
          </w:tcPr>
          <w:p>
            <w:pPr>
              <w:jc w:val="center"/>
              <w:ind w:right="52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15,639</w:t>
            </w:r>
          </w:p>
        </w:tc>
        <w:tc>
          <w:tcPr>
            <w:tcW w:w="5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667,028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Bartolotta</w:t>
            </w:r>
          </w:p>
        </w:tc>
        <w:tc>
          <w:tcPr>
            <w:tcW w:w="1340" w:type="dxa"/>
            <w:vAlign w:val="bottom"/>
            <w:gridSpan w:val="2"/>
            <w:shd w:val="clear" w:color="auto" w:fill="CCEEFF"/>
          </w:tcPr>
          <w:p>
            <w:pPr>
              <w:jc w:val="center"/>
              <w:ind w:right="52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807</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1340" w:type="dxa"/>
            <w:vAlign w:val="bottom"/>
            <w:gridSpan w:val="2"/>
          </w:tcPr>
          <w:p>
            <w:pPr>
              <w:jc w:val="center"/>
              <w:ind w:right="52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12,267</w:t>
            </w:r>
          </w:p>
        </w:tc>
        <w:tc>
          <w:tcPr>
            <w:tcW w:w="5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532,197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O’Neill</w:t>
            </w:r>
          </w:p>
        </w:tc>
        <w:tc>
          <w:tcPr>
            <w:tcW w:w="1340" w:type="dxa"/>
            <w:vAlign w:val="bottom"/>
            <w:gridSpan w:val="2"/>
            <w:shd w:val="clear" w:color="auto" w:fill="CCEEFF"/>
          </w:tcPr>
          <w:p>
            <w:pPr>
              <w:jc w:val="center"/>
              <w:ind w:right="52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tcPr>
          <w:p>
            <w:pPr>
              <w:spacing w:after="0" w:line="202" w:lineRule="exact"/>
              <w:rPr>
                <w:sz w:val="20"/>
                <w:szCs w:val="20"/>
                <w:color w:val="auto"/>
              </w:rPr>
            </w:pPr>
            <w:r>
              <w:rPr>
                <w:rFonts w:ascii="Arial" w:cs="Arial" w:eastAsia="Arial" w:hAnsi="Arial"/>
                <w:sz w:val="18"/>
                <w:szCs w:val="18"/>
                <w:color w:val="auto"/>
              </w:rPr>
              <w:t>Richard Hamada</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8"/>
              </w:rPr>
              <w:t>351,510</w:t>
            </w:r>
          </w:p>
        </w:tc>
        <w:tc>
          <w:tcPr>
            <w:tcW w:w="5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7"/>
              </w:rPr>
              <w:t>4,347,891</w:t>
            </w:r>
          </w:p>
        </w:tc>
        <w:tc>
          <w:tcPr>
            <w:tcW w:w="5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51,457</w:t>
            </w:r>
          </w:p>
        </w:tc>
        <w:tc>
          <w:tcPr>
            <w:tcW w:w="5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2,199,489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Gerard Fay</w:t>
            </w:r>
          </w:p>
        </w:tc>
        <w:tc>
          <w:tcPr>
            <w:tcW w:w="1340" w:type="dxa"/>
            <w:vAlign w:val="bottom"/>
            <w:gridSpan w:val="2"/>
            <w:shd w:val="clear" w:color="auto" w:fill="CCEEFF"/>
          </w:tcPr>
          <w:p>
            <w:pPr>
              <w:jc w:val="center"/>
              <w:ind w:right="52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15,854</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688,569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Patrick Zammit</w:t>
            </w:r>
          </w:p>
        </w:tc>
        <w:tc>
          <w:tcPr>
            <w:tcW w:w="820" w:type="dxa"/>
            <w:vAlign w:val="bottom"/>
          </w:tcPr>
          <w:p>
            <w:pPr>
              <w:jc w:val="center"/>
              <w:spacing w:after="0"/>
              <w:rPr>
                <w:sz w:val="20"/>
                <w:szCs w:val="20"/>
                <w:color w:val="auto"/>
              </w:rPr>
            </w:pPr>
            <w:r>
              <w:rPr>
                <w:rFonts w:ascii="Arial" w:cs="Arial" w:eastAsia="Arial" w:hAnsi="Arial"/>
                <w:sz w:val="18"/>
                <w:szCs w:val="18"/>
                <w:color w:val="auto"/>
                <w:w w:val="98"/>
              </w:rPr>
              <w:t>63,246</w:t>
            </w:r>
          </w:p>
        </w:tc>
        <w:tc>
          <w:tcPr>
            <w:tcW w:w="5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8"/>
              </w:rPr>
              <w:t>646,772</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42,107</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1,967,317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value realized on vesting of stock awards includes (i) RSUs that vested on January 3, 2017, (ii) for Mr. Fay and Mr. Zammit, the RSUs that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vested on January 5, 2017, (iii) the PSUs that vested on July 1, 2017, which covered the fiscal 2015—2017 performance period, (iv) for Mr. Amelio,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RSUs that vested on January 11, 2017, and (v) for Mr. Zammit the outstanding RSUs and PSUs that were subject to acceleration and issued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27, 2017, the effective date of the sale of the Company’s Technology Solutions business. The shares and value realized with</w:t>
      </w:r>
    </w:p>
    <w:p>
      <w:pPr>
        <w:spacing w:after="0"/>
        <w:rPr>
          <w:sz w:val="20"/>
          <w:szCs w:val="20"/>
          <w:color w:val="auto"/>
        </w:rPr>
      </w:pPr>
      <w:r>
        <w:rPr>
          <w:rFonts w:ascii="Arial" w:cs="Arial" w:eastAsia="Arial" w:hAnsi="Arial"/>
          <w:sz w:val="16"/>
          <w:szCs w:val="16"/>
          <w:color w:val="auto"/>
        </w:rPr>
        <w:t>respect to the RSUs is as follows: Mr. Amelio — 25,773 shares and $1,208,754; Mr. Moriarty — 7,830 shares and $372,160; Mr. Bartolotta — 807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shares and $38,357; Ms. Miller — 7,062 shares and $335,656; Mr. O’Neill — 733 shares and $34,839; Mr. Hamada — 26,251 shares and</w:t>
      </w:r>
    </w:p>
    <w:p>
      <w:pPr>
        <w:spacing w:after="0"/>
        <w:rPr>
          <w:sz w:val="20"/>
          <w:szCs w:val="20"/>
          <w:color w:val="auto"/>
        </w:rPr>
      </w:pPr>
      <w:r>
        <w:rPr>
          <w:rFonts w:ascii="Arial" w:cs="Arial" w:eastAsia="Arial" w:hAnsi="Arial"/>
          <w:sz w:val="16"/>
          <w:szCs w:val="16"/>
          <w:color w:val="auto"/>
        </w:rPr>
        <w:t>$1,247,710; Mr. Fay — 9,279 shares and $440,297; and Mr. Zammit — 17,039 shares and $801,655. The shares and value realized with respect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the PSUs is as follows: Mr. Moriarty – 7,809 and $294,868; Ms. Miller — 5,205 shares and $196,541; Mr. Hamada — 25,206 shares and</w:t>
      </w:r>
    </w:p>
    <w:p>
      <w:pPr>
        <w:spacing w:after="0"/>
        <w:rPr>
          <w:sz w:val="20"/>
          <w:szCs w:val="20"/>
          <w:color w:val="auto"/>
        </w:rPr>
      </w:pPr>
      <w:r>
        <w:rPr>
          <w:rFonts w:ascii="Arial" w:cs="Arial" w:eastAsia="Arial" w:hAnsi="Arial"/>
          <w:sz w:val="18"/>
          <w:szCs w:val="18"/>
          <w:color w:val="auto"/>
        </w:rPr>
        <w:t>$951,779; Mr. Fay — 6,575 shares and $248,272; and Mr. Zammit — 25,068 shares and $1,165,662.</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Pension Benefits</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Further to the discussion of the retirement benefits in the CD&amp;A, the Company provides a retirement benefit under a tax-qualified retirement plan to U.S. employees and a retirement benefit under nonqualified retirement plans. Mr. Zammit is a participant in the SERP, which is described below, in addition to a retirement plan in Belgium. The retirement plan in Belgium is a voluntary defined contribution plan funded entirely by the Company.</w:t>
      </w:r>
    </w:p>
    <w:p>
      <w:pPr>
        <w:spacing w:after="0" w:line="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Under this plan, the Company’s contributions increase based on the level of the employee, with the highest amount applicable to the senior executive level. 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Avnet 401(k) Plan) of the Code. Currently, the maximum amount of earnings on which benefits can be accrued is $270,000, which is the 2017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50"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5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As noted under the Summary Compensation Table, Messrs. Amelio, Bartolotta and O’Neill are not yet eligible to participate in the Company’s qualified or nonqualified retirement plans. Except as noted for Mr. Hamada below, there were no payments made during the last fiscal year under any of the retirement plans for the other NEOs. The present value of the accumulated benefit was determined using interest rate assumptions consistent with those used in the Company’s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Present</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Years</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Value of</w:t>
            </w:r>
          </w:p>
        </w:tc>
        <w:tc>
          <w:tcPr>
            <w:tcW w:w="11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Payments 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Credited</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3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Plan Name</w:t>
            </w:r>
          </w:p>
        </w:tc>
        <w:tc>
          <w:tcPr>
            <w:tcW w:w="114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96"/>
              </w:rPr>
              <w:t>Service</w:t>
            </w:r>
          </w:p>
        </w:tc>
        <w:tc>
          <w:tcPr>
            <w:tcW w:w="132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96"/>
              </w:rPr>
              <w:t>Benefit</w:t>
            </w:r>
          </w:p>
        </w:tc>
        <w:tc>
          <w:tcPr>
            <w:tcW w:w="118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5"/>
              </w:rPr>
              <w:t>Last Fiscal Year</w:t>
            </w:r>
          </w:p>
        </w:tc>
        <w:tc>
          <w:tcPr>
            <w:tcW w:w="0" w:type="dxa"/>
            <w:vAlign w:val="bottom"/>
          </w:tcPr>
          <w:p>
            <w:pPr>
              <w:spacing w:after="0"/>
              <w:rPr>
                <w:sz w:val="1"/>
                <w:szCs w:val="1"/>
                <w:color w:val="auto"/>
              </w:rPr>
            </w:pPr>
          </w:p>
        </w:tc>
      </w:tr>
      <w:tr>
        <w:trPr>
          <w:trHeight w:val="176"/>
        </w:trPr>
        <w:tc>
          <w:tcPr>
            <w:tcW w:w="3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4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w:t>
            </w:r>
          </w:p>
        </w:tc>
        <w:tc>
          <w:tcPr>
            <w:tcW w:w="42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48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46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Kevin Moriarty</w:t>
            </w:r>
          </w:p>
        </w:tc>
        <w:tc>
          <w:tcPr>
            <w:tcW w:w="42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Avnet Pension Plan</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4.5</w:t>
            </w:r>
          </w:p>
        </w:tc>
        <w:tc>
          <w:tcPr>
            <w:tcW w:w="13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97,581</w:t>
            </w:r>
          </w:p>
        </w:tc>
        <w:tc>
          <w:tcPr>
            <w:tcW w:w="11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28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Restoration Plan</w:t>
            </w:r>
            <w:r>
              <w:rPr>
                <w:rFonts w:ascii="Arial" w:cs="Arial" w:eastAsia="Arial" w:hAnsi="Arial"/>
                <w:sz w:val="22"/>
                <w:szCs w:val="22"/>
                <w:color w:val="auto"/>
                <w:vertAlign w:val="superscript"/>
              </w:rPr>
              <w:t>(2)</w:t>
            </w: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270,726</w:t>
            </w:r>
          </w:p>
        </w:tc>
        <w:tc>
          <w:tcPr>
            <w:tcW w:w="460" w:type="dxa"/>
            <w:vAlign w:val="bottom"/>
          </w:tcPr>
          <w:p>
            <w:pPr>
              <w:spacing w:after="0"/>
              <w:rPr>
                <w:sz w:val="17"/>
                <w:szCs w:val="17"/>
                <w:color w:val="auto"/>
              </w:rPr>
            </w:pPr>
          </w:p>
        </w:tc>
        <w:tc>
          <w:tcPr>
            <w:tcW w:w="11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MaryAnn Miller</w:t>
            </w:r>
          </w:p>
        </w:tc>
        <w:tc>
          <w:tcPr>
            <w:tcW w:w="42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Avnet Pension Plan</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265,932</w:t>
            </w:r>
          </w:p>
        </w:tc>
        <w:tc>
          <w:tcPr>
            <w:tcW w:w="4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2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Nonqualified Retirement Plans</w:t>
            </w: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7.7</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1,874,169</w:t>
            </w:r>
          </w:p>
        </w:tc>
        <w:tc>
          <w:tcPr>
            <w:tcW w:w="460" w:type="dxa"/>
            <w:vAlign w:val="bottom"/>
          </w:tcPr>
          <w:p>
            <w:pPr>
              <w:spacing w:after="0"/>
              <w:rPr>
                <w:sz w:val="17"/>
                <w:szCs w:val="17"/>
                <w:color w:val="auto"/>
              </w:rPr>
            </w:pPr>
          </w:p>
        </w:tc>
        <w:tc>
          <w:tcPr>
            <w:tcW w:w="11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42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Avnet Pension Plan</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450,472</w:t>
            </w:r>
          </w:p>
        </w:tc>
        <w:tc>
          <w:tcPr>
            <w:tcW w:w="4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28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Nonqualified Retirement Plans</w:t>
            </w:r>
            <w:r>
              <w:rPr>
                <w:rFonts w:ascii="Arial" w:cs="Arial" w:eastAsia="Arial" w:hAnsi="Arial"/>
                <w:sz w:val="22"/>
                <w:szCs w:val="22"/>
                <w:color w:val="auto"/>
                <w:vertAlign w:val="superscript"/>
              </w:rPr>
              <w:t>(3)</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5,408,744</w:t>
            </w:r>
          </w:p>
        </w:tc>
        <w:tc>
          <w:tcPr>
            <w:tcW w:w="460" w:type="dxa"/>
            <w:vAlign w:val="bottom"/>
          </w:tcPr>
          <w:p>
            <w:pPr>
              <w:spacing w:after="0"/>
              <w:rPr>
                <w:sz w:val="17"/>
                <w:szCs w:val="17"/>
                <w:color w:val="auto"/>
              </w:rPr>
            </w:pPr>
          </w:p>
        </w:tc>
        <w:tc>
          <w:tcPr>
            <w:tcW w:w="11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620,543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Gerard Fay</w:t>
            </w:r>
          </w:p>
        </w:tc>
        <w:tc>
          <w:tcPr>
            <w:tcW w:w="42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Avnet Pension Plan</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264,021</w:t>
            </w:r>
          </w:p>
        </w:tc>
        <w:tc>
          <w:tcPr>
            <w:tcW w:w="4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28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Restoration Plan</w:t>
            </w:r>
            <w:r>
              <w:rPr>
                <w:rFonts w:ascii="Arial" w:cs="Arial" w:eastAsia="Arial" w:hAnsi="Arial"/>
                <w:sz w:val="22"/>
                <w:szCs w:val="22"/>
                <w:color w:val="auto"/>
                <w:vertAlign w:val="superscript"/>
              </w:rPr>
              <w:t>(2)</w:t>
            </w: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11.5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293,584</w:t>
            </w:r>
          </w:p>
        </w:tc>
        <w:tc>
          <w:tcPr>
            <w:tcW w:w="460" w:type="dxa"/>
            <w:vAlign w:val="bottom"/>
          </w:tcPr>
          <w:p>
            <w:pPr>
              <w:spacing w:after="0"/>
              <w:rPr>
                <w:sz w:val="17"/>
                <w:szCs w:val="17"/>
                <w:color w:val="auto"/>
              </w:rPr>
            </w:pPr>
          </w:p>
        </w:tc>
        <w:tc>
          <w:tcPr>
            <w:tcW w:w="11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Patrick Zammit</w:t>
            </w:r>
          </w:p>
        </w:tc>
        <w:tc>
          <w:tcPr>
            <w:tcW w:w="42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Belgian Pension Plan</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570,418</w:t>
            </w:r>
          </w:p>
        </w:tc>
        <w:tc>
          <w:tcPr>
            <w:tcW w:w="4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80" w:type="dxa"/>
            <w:vAlign w:val="bottom"/>
            <w:gridSpan w:val="3"/>
          </w:tcPr>
          <w:p>
            <w:pPr>
              <w:ind w:left="420"/>
              <w:spacing w:after="0"/>
              <w:rPr>
                <w:sz w:val="20"/>
                <w:szCs w:val="20"/>
                <w:color w:val="auto"/>
              </w:rPr>
            </w:pPr>
            <w:r>
              <w:rPr>
                <w:rFonts w:ascii="Arial" w:cs="Arial" w:eastAsia="Arial" w:hAnsi="Arial"/>
                <w:sz w:val="18"/>
                <w:szCs w:val="18"/>
                <w:color w:val="auto"/>
              </w:rPr>
              <w:t>Nonqualified Retirement Plans</w:t>
            </w: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1,634,339</w:t>
            </w:r>
          </w:p>
        </w:tc>
        <w:tc>
          <w:tcPr>
            <w:tcW w:w="46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0890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75" w:lineRule="exact"/>
        <w:rPr>
          <w:sz w:val="20"/>
          <w:szCs w:val="20"/>
          <w:color w:val="auto"/>
        </w:rPr>
      </w:pPr>
    </w:p>
    <w:p>
      <w:pPr>
        <w:ind w:left="580" w:right="40" w:hanging="572"/>
        <w:spacing w:after="0" w:line="243"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Pursuant to the terms of the Pension Plan and Restoration Plan,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p>
    <w:p>
      <w:pPr>
        <w:spacing w:after="0" w:line="1" w:lineRule="exact"/>
        <w:rPr>
          <w:rFonts w:ascii="Arial" w:cs="Arial" w:eastAsia="Arial" w:hAnsi="Arial"/>
          <w:sz w:val="18"/>
          <w:szCs w:val="18"/>
          <w:color w:val="auto"/>
        </w:rPr>
      </w:pPr>
    </w:p>
    <w:p>
      <w:pPr>
        <w:ind w:left="580" w:hanging="572"/>
        <w:spacing w:after="0" w:line="23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Messrs. Moriarty and Fay are not participants in the SERP.</w:t>
      </w:r>
    </w:p>
    <w:p>
      <w:pPr>
        <w:ind w:left="580" w:right="400" w:hanging="572"/>
        <w:spacing w:after="0" w:line="24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Since Mr. Hamada’s separation of service was in July 2016, pursuant to the terms of the SERP, his payments commenced during fiscal 2017 and are included in the above table in addition to the present value of his remaining benefit payments under this plan.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160"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Company offers the Avnet Deferred Compensation Plan (“DCP”) for highly compensated U.S. based employees, defined as those earning</w:t>
      </w:r>
    </w:p>
    <w:p>
      <w:pPr>
        <w:spacing w:after="0" w:line="41"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$270,000 or more in target income, including all the NEOs except for Mr. Zammit.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NEOs, only Mr. Fay has deferred a portion of his cash compensation in fiscal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Executive</w:t>
            </w:r>
          </w:p>
        </w:tc>
        <w:tc>
          <w:tcPr>
            <w:tcW w:w="680" w:type="dxa"/>
            <w:vAlign w:val="bottom"/>
          </w:tcPr>
          <w:p>
            <w:pPr>
              <w:spacing w:after="0"/>
              <w:rPr>
                <w:sz w:val="14"/>
                <w:szCs w:val="14"/>
                <w:color w:val="auto"/>
              </w:rPr>
            </w:pPr>
          </w:p>
        </w:tc>
        <w:tc>
          <w:tcPr>
            <w:tcW w:w="17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5"/>
              </w:rPr>
              <w:t>Registrant</w:t>
            </w: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Aggregate</w:t>
            </w:r>
          </w:p>
        </w:tc>
        <w:tc>
          <w:tcPr>
            <w:tcW w:w="15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8"/>
              </w:rPr>
              <w:t>Aggregate</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Earnings/</w:t>
            </w:r>
          </w:p>
        </w:tc>
        <w:tc>
          <w:tcPr>
            <w:tcW w:w="152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680" w:type="dxa"/>
            <w:vAlign w:val="bottom"/>
          </w:tcPr>
          <w:p>
            <w:pPr>
              <w:spacing w:after="0"/>
              <w:rPr>
                <w:sz w:val="12"/>
                <w:szCs w:val="12"/>
                <w:color w:val="auto"/>
              </w:rPr>
            </w:pP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(Loss) in</w:t>
            </w: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at Last</w:t>
            </w: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Last FY</w:t>
            </w:r>
          </w:p>
        </w:tc>
        <w:tc>
          <w:tcPr>
            <w:tcW w:w="680" w:type="dxa"/>
            <w:vAlign w:val="bottom"/>
          </w:tcPr>
          <w:p>
            <w:pPr>
              <w:spacing w:after="0"/>
              <w:rPr>
                <w:sz w:val="12"/>
                <w:szCs w:val="12"/>
                <w:color w:val="auto"/>
              </w:rPr>
            </w:pP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Last FY</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Last FY</w:t>
            </w: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Distributions</w:t>
            </w: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FYE</w:t>
            </w:r>
          </w:p>
        </w:tc>
        <w:tc>
          <w:tcPr>
            <w:tcW w:w="0" w:type="dxa"/>
            <w:vAlign w:val="bottom"/>
          </w:tcPr>
          <w:p>
            <w:pPr>
              <w:spacing w:after="0"/>
              <w:rPr>
                <w:sz w:val="1"/>
                <w:szCs w:val="1"/>
                <w:color w:val="auto"/>
              </w:rPr>
            </w:pPr>
          </w:p>
        </w:tc>
      </w:tr>
      <w:tr>
        <w:trPr>
          <w:trHeight w:val="167"/>
        </w:trPr>
        <w:tc>
          <w:tcPr>
            <w:tcW w:w="4140" w:type="dxa"/>
            <w:vAlign w:val="bottom"/>
            <w:gridSpan w:val="3"/>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74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w:t>
            </w:r>
          </w:p>
        </w:tc>
        <w:tc>
          <w:tcPr>
            <w:tcW w:w="6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68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w:t>
            </w:r>
          </w:p>
        </w:tc>
        <w:tc>
          <w:tcPr>
            <w:tcW w:w="6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(e)</w:t>
            </w:r>
          </w:p>
        </w:tc>
        <w:tc>
          <w:tcPr>
            <w:tcW w:w="6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Gerard Fay</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168,579</w:t>
            </w:r>
          </w:p>
        </w:tc>
        <w:tc>
          <w:tcPr>
            <w:tcW w:w="6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145,310</w:t>
            </w:r>
          </w:p>
        </w:tc>
        <w:tc>
          <w:tcPr>
            <w:tcW w:w="152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1,157,370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Potential Payouts Upon 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7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Each of the NEOs entered into either an employment agreement, or letter of agreement with the Company or one of its subsidiaries. The employment agreements for Mr. Hamada, Mr. Fay and Ms. Miller are terminable by either the individual or the Company upon one-year advance written notice to the other. Mr. Moriarty’s agreement is terminable by either party upon 90-days advance written notice. Messrs. Amelio, Bartolotta and O’Neill entered into agreements with the Company, whereby if the Company terminates their employment without cause, they will each receive a lump sum payment equal to their base annual salary and target bonus for the year in which the termination occurs. Mr. Zammit’s employment agreement includes a notification period that is established by Belgian labor laws and is currently approximately 24 months. The employment agreements contain provisions dealing with termination for cause. Additionally, Messrs. Hamada’s, Moriarty’s, and Fay’s, and Ms. Miller’s employment agreements include provisions dealing with termination upon a death or disability. For purposes of these agreements, “cause” generally includes gross misconduct, breach of any material term of the agreement, willful breach, habitual neglect or wanton disregard of the executive’s duties, or conviction of certain criminal acts. Additionally, Messrs. Hamada’s, Moriarty’s, and Fay’s, and Ms. Miller’s agreements include provisions dealing with termination upon a change in office and duties. The amount of compensation (including base salary and incentive compensation) to be paid to each NEO is not fixed and is to be agreed upon by the NEO and the Company from time to time. The employment agreements contain restrictive covenants relating to non-competition, confidential information and non-solicitation of 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of Control Agreements</w:t>
      </w:r>
    </w:p>
    <w:p>
      <w:pPr>
        <w:spacing w:after="0" w:line="7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Each of the NEOs entered into change of control agreements with the Company providing that, in the event of actual or constructive termination within 24 months of a change of control, the Company must pay to the executive all accrued base salary and pro-rata incentive payments, plus 2.99 times the sum of (i) the executive’s then-current annual base salary, and (ii) the executive’s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5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Pursuant to these agreements, a constructive termination includes a material diminution in the executive’s responsibilities, a material change in the geographic location at which the executive is primarily required to perform services for the Company, a material reduction in the executive’s base compensation or, except for Mr. Zammit, any other action or inaction that constitutes a material breach by the Company under its employment agreement with the executive. A change of control is defined as including the acquisition of voting or dispositive power with respect to 50% or more of the outstanding shares of Avnet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79" w:lineRule="exact"/>
        <w:rPr>
          <w:sz w:val="20"/>
          <w:szCs w:val="20"/>
          <w:color w:val="auto"/>
        </w:rPr>
      </w:pPr>
    </w:p>
    <w:p>
      <w:pPr>
        <w:ind w:right="760"/>
        <w:spacing w:after="0" w:line="269" w:lineRule="auto"/>
        <w:rPr>
          <w:sz w:val="20"/>
          <w:szCs w:val="20"/>
          <w:color w:val="auto"/>
        </w:rPr>
      </w:pPr>
      <w:r>
        <w:rPr>
          <w:rFonts w:ascii="Arial" w:cs="Arial" w:eastAsia="Arial" w:hAnsi="Arial"/>
          <w:sz w:val="18"/>
          <w:szCs w:val="18"/>
          <w:color w:val="auto"/>
        </w:rPr>
        <w:t>The following table sets forth the estimated payments and value of benefits that each of the NEOs would be entitled to receive under their employment and change of control agreements, as applicable,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in the event of the termination of their employment under various scenarios. The table assumes that the termination occurred on July 1, 2017, which is the Company’s fiscal year end. Since the market value of the stock awards is based on the closing market price of the Company’s Common Stock as of July 1, 2017, which was $38.88, several of the stock options outstanding for the NEO’s currently have no intrinsic value, as the exercise price for those options is greater than the market price.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w:t>
      </w:r>
    </w:p>
    <w:p>
      <w:pPr>
        <w:spacing w:after="0" w:line="75"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the executive’s employment;</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 employment agreement);</w:t>
      </w:r>
    </w:p>
    <w:p>
      <w:pPr>
        <w:spacing w:after="0" w:line="76" w:lineRule="exact"/>
        <w:rPr>
          <w:rFonts w:ascii="Arial" w:cs="Arial" w:eastAsia="Arial" w:hAnsi="Arial"/>
          <w:sz w:val="18"/>
          <w:szCs w:val="18"/>
          <w:color w:val="auto"/>
        </w:rPr>
      </w:pPr>
    </w:p>
    <w:p>
      <w:pPr>
        <w:ind w:left="660" w:right="280" w:hanging="206"/>
        <w:spacing w:after="0" w:line="27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 termination of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24 months of the change; and</w:t>
      </w:r>
    </w:p>
    <w:p>
      <w:pPr>
        <w:spacing w:after="0" w:line="18" w:lineRule="exact"/>
        <w:rPr>
          <w:rFonts w:ascii="Arial" w:cs="Arial" w:eastAsia="Arial" w:hAnsi="Arial"/>
          <w:sz w:val="18"/>
          <w:szCs w:val="18"/>
          <w:color w:val="auto"/>
        </w:rPr>
      </w:pPr>
    </w:p>
    <w:p>
      <w:pPr>
        <w:ind w:left="660" w:right="480" w:hanging="206"/>
        <w:spacing w:after="0" w:line="33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“Retirement” for the purpose of determining benefit under the stock plans, </w:t>
      </w:r>
      <w:r>
        <w:rPr>
          <w:rFonts w:ascii="Arial" w:cs="Arial" w:eastAsia="Arial" w:hAnsi="Arial"/>
          <w:sz w:val="16"/>
          <w:szCs w:val="16"/>
          <w:color w:val="auto"/>
        </w:rPr>
        <w:t>means all the following: (a) age 55, (b) five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(c) age plus years of service is equal to at least 65, and (d) the executive must have signed a non-compete agreement.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Company</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Death</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Disability</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94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Retirement</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w/o Cause</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William Amelio</w:t>
            </w: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Severance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7,475,000</w:t>
            </w:r>
          </w:p>
        </w:tc>
        <w:tc>
          <w:tcPr>
            <w:tcW w:w="2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7,890</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7,890</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7,890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7,890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7,890</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Settlement of unvested stock options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RSUs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1,122,777</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1,122,777</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Settlement of PSUs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748,570</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748,570</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1,822,267</w:t>
            </w:r>
          </w:p>
        </w:tc>
        <w:tc>
          <w:tcPr>
            <w:tcW w:w="2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Welfare benefits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65,864</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Life insurance benefit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Avnet pension</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Nonqualified retirement plans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Moriarty</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Severance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978,571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3,887,000</w:t>
            </w:r>
          </w:p>
        </w:tc>
        <w:tc>
          <w:tcPr>
            <w:tcW w:w="2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Settlement of unvested stock options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RSUs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557,462</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557,462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Settlement of PSUs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1,067,994</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1,067,994</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1,822,267</w:t>
            </w:r>
          </w:p>
        </w:tc>
        <w:tc>
          <w:tcPr>
            <w:tcW w:w="2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Welfare benefits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67,960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Life insurance benefit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Avnet pension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47,229</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94,457</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94,457</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94,457</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94,457</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Restoration Plan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262,058</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262,058</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262,058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262,058</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262,058</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Peter Bartolotta</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Severance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3,289,000</w:t>
            </w:r>
          </w:p>
        </w:tc>
        <w:tc>
          <w:tcPr>
            <w:tcW w:w="2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Settlement of unvested stock options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RSUs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94,128</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94,128</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Settlement of PSUs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41,835</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41,835</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125,505</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Welfare benefits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71,882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tcPr>
          <w:p>
            <w:pPr>
              <w:ind w:left="440"/>
              <w:spacing w:after="0" w:line="149" w:lineRule="exact"/>
              <w:rPr>
                <w:sz w:val="20"/>
                <w:szCs w:val="20"/>
                <w:color w:val="auto"/>
              </w:rPr>
            </w:pPr>
            <w:r>
              <w:rPr>
                <w:rFonts w:ascii="Arial" w:cs="Arial" w:eastAsia="Arial" w:hAnsi="Arial"/>
                <w:sz w:val="14"/>
                <w:szCs w:val="14"/>
                <w:color w:val="auto"/>
              </w:rPr>
              <w:t>Life insurance benefit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Avnet pension</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20" w:type="dxa"/>
            <w:vAlign w:val="bottom"/>
          </w:tcPr>
          <w:p>
            <w:pPr>
              <w:ind w:left="440"/>
              <w:spacing w:after="0"/>
              <w:rPr>
                <w:sz w:val="20"/>
                <w:szCs w:val="20"/>
                <w:color w:val="auto"/>
              </w:rPr>
            </w:pPr>
            <w:r>
              <w:rPr>
                <w:rFonts w:ascii="Arial" w:cs="Arial" w:eastAsia="Arial" w:hAnsi="Arial"/>
                <w:sz w:val="14"/>
                <w:szCs w:val="14"/>
                <w:color w:val="auto"/>
              </w:rPr>
              <w:t>Nonqualified retirement plans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Company</w:t>
            </w: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Death</w:t>
            </w: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MaryAnn Miller</w:t>
            </w: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2,840,500</w:t>
            </w:r>
          </w:p>
        </w:tc>
        <w:tc>
          <w:tcPr>
            <w:tcW w:w="2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662,024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662,024</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662,024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662,024</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662,024</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RSUs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348,443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348,443</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348,443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348,443</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348,443</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PSUs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674,490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1,140,389</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1,140,389</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1,140,389</w:t>
            </w:r>
          </w:p>
        </w:tc>
        <w:tc>
          <w:tcPr>
            <w:tcW w:w="2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1,140,389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59,162</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Life insurance benefit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500,000</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Avnet pension</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131,129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262,257</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262,257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262,257</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262,257</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Nonqualified retirement plans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1,695,023</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1,922,472</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1,922,472</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1,922,472</w:t>
            </w:r>
          </w:p>
        </w:tc>
        <w:tc>
          <w:tcPr>
            <w:tcW w:w="2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1,922,472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O’Neill</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857,500</w:t>
            </w:r>
          </w:p>
        </w:tc>
        <w:tc>
          <w:tcPr>
            <w:tcW w:w="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2,563,925</w:t>
            </w:r>
          </w:p>
        </w:tc>
        <w:tc>
          <w:tcPr>
            <w:tcW w:w="2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RSUs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85,497</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85,497</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PSUs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76,036</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76,036</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228,109</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41,326</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Life insurance benefit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500,000</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Avnet pension</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Restoration Plan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Richard Hamada:</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RSUs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1,284,206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PSUs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4,434,769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Life insurance benefit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Avnet pension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438,889</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Nonqualified retirement plan</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5,408,744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Gerard Fay</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323,077</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117,052</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RSUs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510,884</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PSUs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1,372,230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Life insurance benefit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Avnet pension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258,540</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Restoration Plan</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288,485</w:t>
            </w:r>
          </w:p>
        </w:tc>
        <w:tc>
          <w:tcPr>
            <w:tcW w:w="0" w:type="dxa"/>
            <w:vAlign w:val="bottom"/>
          </w:tcPr>
          <w:p>
            <w:pPr>
              <w:spacing w:after="0"/>
              <w:rPr>
                <w:sz w:val="1"/>
                <w:szCs w:val="1"/>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Patrick Zammit</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Settlement of RSUs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Settlement of PSUs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Belgian pension plan</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570,418</w:t>
            </w:r>
          </w:p>
        </w:tc>
        <w:tc>
          <w:tcPr>
            <w:tcW w:w="0" w:type="dxa"/>
            <w:vAlign w:val="bottom"/>
          </w:tcPr>
          <w:p>
            <w:pPr>
              <w:spacing w:after="0"/>
              <w:rPr>
                <w:sz w:val="1"/>
                <w:szCs w:val="1"/>
                <w:color w:val="auto"/>
              </w:rPr>
            </w:pPr>
          </w:p>
        </w:tc>
      </w:tr>
      <w:tr>
        <w:trPr>
          <w:trHeight w:val="180"/>
        </w:trPr>
        <w:tc>
          <w:tcPr>
            <w:tcW w:w="6500" w:type="dxa"/>
            <w:vAlign w:val="bottom"/>
          </w:tcPr>
          <w:p>
            <w:pPr>
              <w:ind w:left="440"/>
              <w:spacing w:after="0"/>
              <w:rPr>
                <w:sz w:val="20"/>
                <w:szCs w:val="20"/>
                <w:color w:val="auto"/>
              </w:rPr>
            </w:pPr>
            <w:r>
              <w:rPr>
                <w:rFonts w:ascii="Arial" w:cs="Arial" w:eastAsia="Arial" w:hAnsi="Arial"/>
                <w:sz w:val="14"/>
                <w:szCs w:val="14"/>
                <w:color w:val="auto"/>
              </w:rPr>
              <w:t>SERP</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1,634,339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employment agreements for Messrs. Hamada, Fay and Ms. Miller, do not provide for a “severance payment” in the event of a termination by the Company without cause. Pursuant to the employment agreements for Messrs. Moriarty, Hamada and Fay and Ms. Miller, each such NEO is entitled to the advance notice discussed in “Employment Agreements”, above. During the notice period, each of the executives referenced above shall continue as an employee of the Company and receive compensation and other benefits in accordance with their employment agreements. Mr. Moriarty is entitled to receive his base salary and other compensation for a period of one year after he is provided with notice of his termination without cause. For purposes of the table above, it is assumed that the applicable notice period ended on July 1, 2017, which is the last business day of the Company’s fiscal year 2017.</w:t>
      </w:r>
    </w:p>
    <w:p>
      <w:pPr>
        <w:spacing w:after="0" w:line="5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Mr. Hamada ceased serving as the Company’s CEO on July 11, 2016. As he was retirement eligible under the Company’s equity compensation plans, Mr. Hamada will receive the benefits noted in “Retirement”, above. Mr. Moriarty ceased serving as the Company’s CFO subsequent to the end of fiscal 2017, and is not retirement eligible under the Company’s equity compensation plans. Additionally, Mr. Fay ceased serving as an executive officer during fiscal 2017, and since he is retirement eligible under the Company’s equity compensation plans, he will receive the benefits noted in “Retirement”, above. Since Mr. Fay was released from his employment agreement early, the remaining amounts owed to him have been categorized as severance in the table above. Since Ms. Miller is retirement eligible under the applicable equity compensation plans, the amount of potential payouts to her in the event of a disability or termination by the Company without cause is the same as that under “Retirement” because the amount received upon retirement is greater than would be received upon a disability or termination without cause. The amount included with respect to the SERP is calculated based on the present value of the benefit described above relating to Pension Benefits, discounted to reflect the earliest age at which the executive can begin receiving such benefit. As Mr. Zammit ceased serving as an executive effective February 27, 2017, the Company paid his salary and cash incentive through that date, as reported in the Summary Compensation table. In addition, all outstanding equity awards that are subject to acceleration have been either issued to him or, in the case of stock options, exercised by him. Since Mr. Zammit has elected to defer his SERP benefits 5 years from his early retirement date, the above amount represents the present value of such benefit. Messrs. Moriarty and Fay are not participants in the SERP.</w:t>
      </w:r>
    </w:p>
    <w:p>
      <w:pPr>
        <w:spacing w:after="0" w:line="23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Executives receiving PSUs, including each of the NEOs, would be entitled to receive a pro-rata number of performance shares in the case of death or disability and all the performance shares in the case of retirement or a change of control earned for a three-year performance cycle. As noted above, because Ms. Miller is retirement eligible under the applicable equity compensation plans, the value shown in the table above for PSU awards in the event of a disability equals the value earned upon retirement. The value shown for the settlement of PSUs in the table above is calculated with the assumption that the triggering event has occurred on July 1, 2017. Furthermore, the value of the PSU awards for the fiscal 2015</w:t>
      </w:r>
    </w:p>
    <w:p>
      <w:pPr>
        <w:spacing w:after="0" w:line="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2017 performance cycle is included in the table above because, while the actual PSU payouts were not issued until August 2017 the PSU awards were fully vested on July 1, 2017. Additionally, the value of the PSUs covering the fiscal 2016-2018 and fiscal 2017-2019 performance periods assumes that the target number of shares is awarded to Mr. Hamada, Mr. Fay and Ms. Miller. The value of RSUs reflected in the table above in all cases, other than termination without cause, equals the value of all RSUs allocated to the NEOs but not yet delivered at July 1, 2017. In the case of termination without cause, the value of RSUs is only applicable for those who are retirement eligible at July 1, 2017 —Mr. Fay and Ms. Miller.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COMPENSATION</w:t>
      </w:r>
    </w:p>
    <w:p>
      <w:pPr>
        <w:spacing w:after="0" w:line="160" w:lineRule="exact"/>
        <w:rPr>
          <w:sz w:val="20"/>
          <w:szCs w:val="20"/>
          <w:color w:val="auto"/>
        </w:rPr>
      </w:pPr>
    </w:p>
    <w:p>
      <w:pPr>
        <w:jc w:val="both"/>
        <w:ind w:right="240"/>
        <w:spacing w:after="0" w:line="252" w:lineRule="auto"/>
        <w:rPr>
          <w:sz w:val="20"/>
          <w:szCs w:val="20"/>
          <w:color w:val="auto"/>
        </w:rPr>
      </w:pPr>
      <w:r>
        <w:rPr>
          <w:rFonts w:ascii="Arial" w:cs="Arial" w:eastAsia="Arial" w:hAnsi="Arial"/>
          <w:sz w:val="18"/>
          <w:szCs w:val="18"/>
          <w:color w:val="auto"/>
        </w:rPr>
        <w:t>Directors of Avnet who are also officers or employees of Avnet do not receive any special or additional remuneration for service on the Board of Directors or any of its committees. Upon the recommendation of the Corporate Governance Committee and approval of the Board of Directors, non-employee Directors receive compensation for their services on the Board as set out below.</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Components (annual)</w:t>
            </w:r>
          </w:p>
        </w:tc>
        <w:tc>
          <w:tcPr>
            <w:tcW w:w="2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 Cash to Equity</w:t>
            </w:r>
          </w:p>
        </w:tc>
        <w:tc>
          <w:tcPr>
            <w:tcW w:w="21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41/59</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Retainer</w:t>
            </w:r>
          </w:p>
        </w:tc>
        <w:tc>
          <w:tcPr>
            <w:tcW w:w="2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100,000</w:t>
            </w:r>
            <w:r>
              <w:rPr>
                <w:rFonts w:ascii="Arial" w:cs="Arial" w:eastAsia="Arial" w:hAnsi="Arial"/>
                <w:sz w:val="22"/>
                <w:szCs w:val="22"/>
                <w:color w:val="auto"/>
                <w:w w:val="91"/>
                <w:vertAlign w:val="superscript"/>
              </w:rPr>
              <w:t>(1)</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1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1"/>
              </w:rPr>
              <w:t>145,000</w:t>
            </w:r>
            <w:r>
              <w:rPr>
                <w:rFonts w:ascii="Arial" w:cs="Arial" w:eastAsia="Arial" w:hAnsi="Arial"/>
                <w:sz w:val="22"/>
                <w:szCs w:val="22"/>
                <w:color w:val="auto"/>
                <w:w w:val="91"/>
                <w:vertAlign w:val="superscript"/>
              </w:rPr>
              <w:t>(2)</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w w:val="95"/>
              </w:rPr>
              <w:t>245,000</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Audit Committee Chair Retainer</w:t>
            </w:r>
          </w:p>
        </w:tc>
        <w:tc>
          <w:tcPr>
            <w:tcW w:w="21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add: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Committee Retainer</w:t>
            </w:r>
          </w:p>
        </w:tc>
        <w:tc>
          <w:tcPr>
            <w:tcW w:w="21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add: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Compensation Committee Chair Retainer</w:t>
            </w:r>
          </w:p>
        </w:tc>
        <w:tc>
          <w:tcPr>
            <w:tcW w:w="21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add:</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Governance Committee Chair Retainer</w:t>
            </w:r>
          </w:p>
        </w:tc>
        <w:tc>
          <w:tcPr>
            <w:tcW w:w="21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add:</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15,000</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Independent Chairman Retainer</w:t>
            </w:r>
          </w:p>
        </w:tc>
        <w:tc>
          <w:tcPr>
            <w:tcW w:w="2160" w:type="dxa"/>
            <w:vAlign w:val="bottom"/>
          </w:tcPr>
          <w:p>
            <w:pPr>
              <w:jc w:val="right"/>
              <w:ind w:right="192"/>
              <w:spacing w:after="0"/>
              <w:rPr>
                <w:sz w:val="20"/>
                <w:szCs w:val="20"/>
                <w:color w:val="auto"/>
              </w:rPr>
            </w:pPr>
            <w:r>
              <w:rPr>
                <w:rFonts w:ascii="Arial" w:cs="Arial" w:eastAsia="Arial" w:hAnsi="Arial"/>
                <w:sz w:val="18"/>
                <w:szCs w:val="18"/>
                <w:color w:val="auto"/>
              </w:rPr>
              <w:t>add: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w w:val="95"/>
              </w:rPr>
              <w:t>175,000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0121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75" w:lineRule="exact"/>
        <w:rPr>
          <w:sz w:val="20"/>
          <w:szCs w:val="20"/>
          <w:color w:val="auto"/>
        </w:rPr>
      </w:pPr>
    </w:p>
    <w:p>
      <w:pPr>
        <w:ind w:left="340" w:hanging="332"/>
        <w:spacing w:after="0" w:line="24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1" w:lineRule="exact"/>
        <w:rPr>
          <w:rFonts w:ascii="Arial" w:cs="Arial" w:eastAsia="Arial" w:hAnsi="Arial"/>
          <w:sz w:val="18"/>
          <w:szCs w:val="18"/>
          <w:color w:val="auto"/>
        </w:rPr>
      </w:pPr>
    </w:p>
    <w:p>
      <w:pPr>
        <w:ind w:left="340" w:right="560" w:hanging="332"/>
        <w:spacing w:after="0" w:line="24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Prorated upon first election and generally delivered each January following reelection, unless election is made to defer under the Avnet Deferred Compensation Plan for Outside Directors.</w:t>
      </w:r>
    </w:p>
    <w:p>
      <w:pPr>
        <w:spacing w:after="0" w:line="124"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in fiscal 2017 and the grant date fair value of stock awards to non-employee directors made in fiscal 2017.</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Fees Earned or</w:t>
            </w: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7"/>
              </w:rPr>
              <w:t>Stock</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660" w:type="dxa"/>
            <w:vAlign w:val="bottom"/>
          </w:tcPr>
          <w:p>
            <w:pPr>
              <w:spacing w:after="0"/>
              <w:rPr>
                <w:sz w:val="17"/>
                <w:szCs w:val="17"/>
                <w:color w:val="auto"/>
              </w:rPr>
            </w:pPr>
          </w:p>
        </w:tc>
        <w:tc>
          <w:tcPr>
            <w:tcW w:w="200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8"/>
              </w:rPr>
              <w:t>Paid in Cash</w:t>
            </w:r>
          </w:p>
        </w:tc>
        <w:tc>
          <w:tcPr>
            <w:tcW w:w="1420" w:type="dxa"/>
            <w:vAlign w:val="bottom"/>
            <w:gridSpan w:val="2"/>
          </w:tcPr>
          <w:p>
            <w:pPr>
              <w:jc w:val="center"/>
              <w:ind w:right="760"/>
              <w:spacing w:after="0" w:line="202" w:lineRule="exact"/>
              <w:rPr>
                <w:sz w:val="20"/>
                <w:szCs w:val="20"/>
                <w:color w:val="auto"/>
              </w:rPr>
            </w:pPr>
            <w:r>
              <w:rPr>
                <w:rFonts w:ascii="Arial" w:cs="Arial" w:eastAsia="Arial" w:hAnsi="Arial"/>
                <w:sz w:val="18"/>
                <w:szCs w:val="18"/>
                <w:b w:val="1"/>
                <w:bCs w:val="1"/>
                <w:color w:val="auto"/>
                <w:w w:val="95"/>
              </w:rPr>
              <w:t>Awards</w:t>
            </w:r>
          </w:p>
        </w:tc>
        <w:tc>
          <w:tcPr>
            <w:tcW w:w="74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860" w:type="dxa"/>
            <w:vAlign w:val="bottom"/>
            <w:gridSpan w:val="2"/>
            <w:vMerge w:val="continue"/>
          </w:tcPr>
          <w:p>
            <w:pPr>
              <w:spacing w:after="0"/>
              <w:rPr>
                <w:sz w:val="19"/>
                <w:szCs w:val="19"/>
                <w:color w:val="auto"/>
              </w:rPr>
            </w:pPr>
          </w:p>
        </w:tc>
        <w:tc>
          <w:tcPr>
            <w:tcW w:w="1920" w:type="dxa"/>
            <w:vAlign w:val="bottom"/>
            <w:gridSpan w:val="2"/>
          </w:tcPr>
          <w:p>
            <w:pPr>
              <w:jc w:val="center"/>
              <w:ind w:left="572"/>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w:t>
            </w:r>
          </w:p>
        </w:tc>
        <w:tc>
          <w:tcPr>
            <w:tcW w:w="660" w:type="dxa"/>
            <w:vAlign w:val="bottom"/>
          </w:tcPr>
          <w:p>
            <w:pPr>
              <w:spacing w:after="0"/>
              <w:rPr>
                <w:sz w:val="17"/>
                <w:szCs w:val="17"/>
                <w:color w:val="auto"/>
              </w:rPr>
            </w:pPr>
          </w:p>
        </w:tc>
        <w:tc>
          <w:tcPr>
            <w:tcW w:w="12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5"/>
              </w:rPr>
              <w:t>(b)</w:t>
            </w:r>
          </w:p>
        </w:tc>
        <w:tc>
          <w:tcPr>
            <w:tcW w:w="740" w:type="dxa"/>
            <w:vAlign w:val="bottom"/>
          </w:tcPr>
          <w:p>
            <w:pPr>
              <w:spacing w:after="0"/>
              <w:rPr>
                <w:sz w:val="17"/>
                <w:szCs w:val="17"/>
                <w:color w:val="auto"/>
              </w:rPr>
            </w:pPr>
          </w:p>
        </w:tc>
        <w:tc>
          <w:tcPr>
            <w:tcW w:w="6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w:t>
            </w:r>
          </w:p>
        </w:tc>
        <w:tc>
          <w:tcPr>
            <w:tcW w:w="740" w:type="dxa"/>
            <w:vAlign w:val="bottom"/>
          </w:tcPr>
          <w:p>
            <w:pPr>
              <w:spacing w:after="0"/>
              <w:rPr>
                <w:sz w:val="17"/>
                <w:szCs w:val="17"/>
                <w:color w:val="auto"/>
              </w:rPr>
            </w:pPr>
          </w:p>
        </w:tc>
        <w:tc>
          <w:tcPr>
            <w:tcW w:w="680" w:type="dxa"/>
            <w:vAlign w:val="bottom"/>
            <w:tcBorders>
              <w:top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(h)</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Rodney Adkins</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107,500</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J. Veronica Biggins</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118,750</w:t>
            </w:r>
          </w:p>
        </w:tc>
        <w:tc>
          <w:tcPr>
            <w:tcW w:w="7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7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263,750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Bradley</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R. Kerry Clark</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120,000</w:t>
            </w:r>
          </w:p>
        </w:tc>
        <w:tc>
          <w:tcPr>
            <w:tcW w:w="7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7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Avid Modjtabai</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107,500</w:t>
            </w:r>
          </w:p>
        </w:tc>
        <w:tc>
          <w:tcPr>
            <w:tcW w:w="7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7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252,500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Ray M. Robinson</w:t>
            </w:r>
            <w:r>
              <w:rPr>
                <w:rFonts w:ascii="Arial" w:cs="Arial" w:eastAsia="Arial" w:hAnsi="Arial"/>
                <w:sz w:val="22"/>
                <w:szCs w:val="22"/>
                <w:color w:val="auto"/>
                <w:vertAlign w:val="superscript"/>
              </w:rPr>
              <w:t>(1)</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William H. Schumann, III</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7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145,000</w:t>
            </w:r>
          </w:p>
        </w:tc>
        <w:tc>
          <w:tcPr>
            <w:tcW w:w="7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975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9"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Mr. Robinson resigned from the Company’s Board effective May 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7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Under the Avnet Deferred Compensation Plan for Outside Directors, a non-employee Director may elect to receive phantom stock units in lieu of some or all the shares of Common Stock that would otherwise be awarded as the Director’s annual equity compensation. The number of shares of phantom stock units to be credited to the phantom stock unit portion of the Director’s account (assuming the election is made to defer the entire amount) is determined by dividing $145,000 by the average of the high and low price of Common Stock on the NYSE on the first business day in January of each year. In addition, a non-employee Director may elect to defer all or a portion of his or her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5" w:right="2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annual cash compensation in a cash or phantom stock unit account under this plan. Compensation deferred as cash is credited at the beginning of each quarter with interest at a rate corresponding to the rate of interest on U.S. Treasury 10-year notes on the first day of that quarter. During fiscal 2017, there were no “above market” earnings. Compensation deferred under this plan, or interest credited thereon, will be payable to a Director</w:t>
      </w:r>
    </w:p>
    <w:p>
      <w:pPr>
        <w:spacing w:after="0" w:line="2" w:lineRule="exact"/>
        <w:rPr>
          <w:sz w:val="20"/>
          <w:szCs w:val="20"/>
          <w:color w:val="auto"/>
        </w:rPr>
      </w:pPr>
    </w:p>
    <w:p>
      <w:pPr>
        <w:ind w:firstLine="8"/>
        <w:spacing w:after="0" w:line="237" w:lineRule="auto"/>
        <w:tabs>
          <w:tab w:leader="none" w:pos="2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cessation of membership on the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the Company (as defined in the plan), in a single lump sum. Phantom stock units are payable in Common Stock with cash payment made for fractional shares. In the event of the death of a Director before receipt of all payments, all remaining payments shall be made to the Director’s designated beneficiary.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D&amp;O Insurance</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XL Specialty Insurance Company, Zurich American Insurance Company, National Union Fire Insurance Co. of Pittsburgh, PA, Allied World National Assurance Company, Endurance American Insurance Company, Lloyd’s of London and ACE American Insurance Company. The coverage was renewed effective August 1, 2017, for a one-year term. The total premium paid for both primary and excess insurance was $890,118.</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7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As part of the Company’s commitment to high standards of governance and as required by Section 14A of the Exchange Act, the Board of Directors is requesting that the Company’s shareholders approve, on a non-binding basis, the compensation of the Company’s Named Executive Officers as disclosed in this Proxy Statement. This proposal, commonly known as a “say on pay” proposal, gives shareholders the opportunity to express their views on the compensation of the Company’s Named Executive Officers for the Company’s fiscal 2017.</w:t>
      </w:r>
    </w:p>
    <w:p>
      <w:pPr>
        <w:spacing w:after="0" w:line="4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Shareholders are urged to read the Compensation Discussion and Analysis and the tabular disclosure (together with the accompanying narrative disclosure) in this Proxy Statement, which discusses how Avnet’s compensation program is implemented with respect to the Named Executive Officers.</w:t>
      </w:r>
    </w:p>
    <w:p>
      <w:pPr>
        <w:spacing w:after="0" w:line="3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Board of Directors believes that the compensation of the Named Executive Officers is appropriate and recommends a vote “FOR” the following non-binding resolution:</w:t>
      </w:r>
    </w:p>
    <w:p>
      <w:pPr>
        <w:spacing w:after="0" w:line="22" w:lineRule="exact"/>
        <w:rPr>
          <w:sz w:val="20"/>
          <w:szCs w:val="20"/>
          <w:color w:val="auto"/>
        </w:rPr>
      </w:pPr>
    </w:p>
    <w:p>
      <w:pPr>
        <w:ind w:left="460" w:right="60"/>
        <w:spacing w:after="0" w:line="317"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the compensation disclosure rules of the SEC, including the Compensation Discussion and Analysis, compensation tables and narrative discussion, is hereby approved.</w:t>
      </w:r>
    </w:p>
    <w:p>
      <w:pPr>
        <w:ind w:right="200"/>
        <w:spacing w:after="0" w:line="252"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the Annual Meeting. Abstentions are not counted in determining the votes cast. Brokers who hold shares of Common Stock as nominees will not have discretionary authority to vote such shares for a director nominee.</w:t>
      </w:r>
    </w:p>
    <w:p>
      <w:pPr>
        <w:spacing w:after="0" w:line="3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Although the vote is non-binding, the Compensation Committee and the Board of Directors will review the results of the vote, consider shareholder concerns and take them into account in future determinations concerning the executive compensation program. The Company currently conducts an annual advisory vote on named executive officer compensation and expects to conduct the next advisory vote at the 2018 annual meeting of shareholders.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the Advisory</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 on Named Executive Officer Compensation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PROPOSAL 3</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ADVISORY VOTE ON FREQUENCY OF THE ADVISORY</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VOTE ON NAMED EXECUTIVE COMPENSATION</w:t>
      </w:r>
    </w:p>
    <w:p>
      <w:pPr>
        <w:spacing w:after="0" w:line="5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SEC rules enable Avnet shareholders to vote, on a non-binding basis, on how frequently they would like to cast an advisory vote on the compensation of the Company’s named executive officers. Such a proposal would be similar to the “say on pay” proposal set forth in Proposal 2 above. Pursuant to SEC rules, this frequency vote must be held at least once every six years. Shareholders may vote to hold a “say on pay” vote every one, two, or three years, or abstain from voting.</w:t>
      </w:r>
    </w:p>
    <w:p>
      <w:pPr>
        <w:spacing w:after="0" w:line="4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Board currently believes that the “say on pay” votes should occur every year so shareholders may annually express their views on Avnet’s compensation program. Although as an advisory vote this proposal is not binding upon Avnet or the Board, the Board will carefully consider shareholder’s views when determining how frequently to hold the “say on pay” vote.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Board of Directors recommends that you vote to hold an Advisory Vote</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 the Compensation of the Named Executive Officers EVERY YEAR.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5" w:right="41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PROPOSAL 4</w:t>
      </w:r>
    </w:p>
    <w:p>
      <w:pPr>
        <w:spacing w:after="0" w:line="7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55"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June 30, 2018.</w:t>
      </w:r>
    </w:p>
    <w:p>
      <w:pPr>
        <w:spacing w:after="0" w:line="118"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In determining whether to reappoint the independent registered public accounting firm, the Audit Committee annually considers several factors including:</w:t>
      </w:r>
    </w:p>
    <w:p>
      <w:pPr>
        <w:spacing w:after="0" w:line="22"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firm’s independence and objectivity;</w:t>
      </w:r>
    </w:p>
    <w:p>
      <w:pPr>
        <w:spacing w:after="0" w:line="76" w:lineRule="exact"/>
        <w:rPr>
          <w:rFonts w:ascii="Arial" w:cs="Arial" w:eastAsia="Arial" w:hAnsi="Arial"/>
          <w:sz w:val="18"/>
          <w:szCs w:val="18"/>
          <w:color w:val="auto"/>
        </w:rPr>
      </w:pPr>
    </w:p>
    <w:p>
      <w:pPr>
        <w:ind w:left="660" w:right="160" w:hanging="206"/>
        <w:spacing w:after="0" w:line="26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KPMG’s capability and expertise in handling the breadth and complexity of the Company’s global operations, including the expertise and capability of the lead audit partner;</w:t>
      </w:r>
    </w:p>
    <w:p>
      <w:pPr>
        <w:spacing w:after="0" w:line="22" w:lineRule="exact"/>
        <w:rPr>
          <w:rFonts w:ascii="Arial" w:cs="Arial" w:eastAsia="Arial" w:hAnsi="Arial"/>
          <w:sz w:val="18"/>
          <w:szCs w:val="18"/>
          <w:color w:val="auto"/>
        </w:rPr>
      </w:pPr>
    </w:p>
    <w:p>
      <w:pPr>
        <w:ind w:left="660" w:right="1020" w:hanging="206"/>
        <w:spacing w:after="0" w:line="26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historical and recent performance, including the extent and quality of KPMG’s communications with the Audit Committee, and management’s views of KPMG’s overall performance;</w:t>
      </w:r>
    </w:p>
    <w:p>
      <w:pPr>
        <w:spacing w:after="0" w:line="22" w:lineRule="exact"/>
        <w:rPr>
          <w:rFonts w:ascii="Arial" w:cs="Arial" w:eastAsia="Arial" w:hAnsi="Arial"/>
          <w:sz w:val="18"/>
          <w:szCs w:val="18"/>
          <w:color w:val="auto"/>
        </w:rPr>
      </w:pPr>
    </w:p>
    <w:p>
      <w:pPr>
        <w:ind w:left="660" w:hanging="206"/>
        <w:spacing w:after="0" w:line="26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data related to audit quality and performance, including recent Public Company Accounting Oversight Board inspection reports on the firm; and</w:t>
      </w:r>
    </w:p>
    <w:p>
      <w:pPr>
        <w:spacing w:after="0" w:line="22"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appropriateness of KPMG’s fees, both on an absolute basis and as compared with its peers.</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accordance with Exchange Act, independent audit partners are subject to rotation requirements limiting their number of consecutive years of service to the Company to no more than five. The process for selecting the Company’s lead audit partner includes Company management and the Audit Committee Chairman vetting the independent auditor’s candidates, and final concurrence on the individual is done in consultation with the full Audit Committee. Consistent with this practice, a new lead audit partner was designated for fiscal 2018.</w:t>
      </w:r>
    </w:p>
    <w:p>
      <w:pPr>
        <w:spacing w:after="0" w:line="4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4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2018.</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7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Avnet’s Annual Report to Shareholders for the fiscal year ended July 1, 2017, including the Company’s audited financial statements, is being delivered with this Proxy Statement. Avnet will provide a copy of its Annual Report on Form 10-K for the fiscal year ended July 1, 2017, to each shareholder without charge (other than a reasonable charge for any exhibit requested) upon written request to: Harvey Woodford, Secretary, Avnet, Inc., 2211 South 47th Street, Phoenix, Arizona 85034.</w:t>
      </w:r>
    </w:p>
    <w:p>
      <w:pPr>
        <w:spacing w:after="0" w:line="4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cost of soliciting proxies relating to the Annual Meeting will be borne by Avnet. Directors, officers and employees of Avnet may solicit proxies by telephone or personal interview without being specially compensated. An independent inspector of election will be engaged to tabulate shareholder votes. Avnet will, upon request, reimburse brokers, dealers, banks and other nominee shareholders for their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reasonable expenses for mailing copies of this Proxy Statement, the form of proxy and the Notice of the Annual Meeting, to the beneficial owners of such shares.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2018 ANNUAL MEETING</w:t>
      </w:r>
    </w:p>
    <w:p>
      <w:pPr>
        <w:spacing w:after="0" w:line="7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37"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Under Rule 14a-8 of the Exchange Act, some shareholder proposals may be eligible to be included in Avnet’s 2018 proxy statement. Shareholder proposals must be submitted, along with proof of ownership of Avnet stock in accordance with Rule 14a-8(b), to the Company’s principal executive office at: Harvey Woodford, Secretary, Avnet, Inc., 2211 South 47th Street, Phoenix, Arizona 85034. All shareholder proposals submitted pursuant to Rule 14a-8 must be received by May 29, 2018.</w:t>
      </w:r>
    </w:p>
    <w:p>
      <w:pPr>
        <w:spacing w:after="0" w:line="43"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Board of Directors, please see “Corporate Governance — Director Nominations” in this Proxy Statement.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Alternatively, under the Company’s By-laws, any shareholder wishing to appear at the 2018 Annual Meeting and submit a proposal or nominate a person as a director candidate must submit the proposal or nomination to the Company’s Secretary not earlier than April 29, 2018, and not later than May 29, 2018. Any such shareholder proposal or director nomination will not appear in the Company’s proxy statement. All shareholder proposals and director nominations, other than shareholder proposals made pursuant to Rule 14a-8 under the Exchange Act, must comply with the requirements of the Company’s By-laws. If the Company does not receive notice by May 29, 2018, or if it meets other requirements of the SEC rules, the persons named as proxies in the proxy materials relating to the 2018 Annual Meeting will use their discretion in voting the proxies when these matters are raised at the meeting.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7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Appendix A</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NON-GAAP MEASURES</w:t>
      </w:r>
    </w:p>
    <w:p>
      <w:pPr>
        <w:spacing w:after="0" w:line="79"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2017 through 2013.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rPr>
              <w:t>Fiscal Year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Borders>
              <w:bottom w:val="single" w:sz="8" w:color="auto"/>
            </w:tcBorders>
            <w:gridSpan w:val="7"/>
          </w:tcPr>
          <w:p>
            <w:pPr>
              <w:ind w:left="42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6"/>
            <w:vMerge w:val="restart"/>
          </w:tcPr>
          <w:p>
            <w:pPr>
              <w:jc w:val="center"/>
              <w:ind w:right="100"/>
              <w:spacing w:after="0"/>
              <w:rPr>
                <w:sz w:val="20"/>
                <w:szCs w:val="20"/>
                <w:color w:val="auto"/>
              </w:rPr>
            </w:pPr>
            <w:r>
              <w:rPr>
                <w:rFonts w:ascii="Arial" w:cs="Arial" w:eastAsia="Arial" w:hAnsi="Arial"/>
                <w:sz w:val="18"/>
                <w:szCs w:val="18"/>
                <w:b w:val="1"/>
                <w:bCs w:val="1"/>
                <w:color w:val="auto"/>
                <w:w w:val="98"/>
              </w:rPr>
              <w:t>Diluted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0"/>
              </w:rPr>
              <w:t>Income from</w:t>
            </w:r>
          </w:p>
        </w:tc>
        <w:tc>
          <w:tcPr>
            <w:tcW w:w="820" w:type="dxa"/>
            <w:vAlign w:val="bottom"/>
            <w:gridSpan w:val="6"/>
            <w:vMerge w:val="restart"/>
          </w:tcPr>
          <w:p>
            <w:pPr>
              <w:spacing w:after="0"/>
              <w:rPr>
                <w:sz w:val="15"/>
                <w:szCs w:val="15"/>
                <w:color w:val="auto"/>
              </w:rPr>
            </w:pPr>
          </w:p>
        </w:tc>
        <w:tc>
          <w:tcPr>
            <w:tcW w:w="10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Borders>
              <w:bottom w:val="single" w:sz="8" w:color="auto"/>
            </w:tcBorders>
            <w:gridSpan w:val="3"/>
            <w:vMerge w:val="continue"/>
          </w:tcPr>
          <w:p>
            <w:pPr>
              <w:spacing w:after="0"/>
              <w:rPr>
                <w:sz w:val="7"/>
                <w:szCs w:val="7"/>
                <w:color w:val="auto"/>
              </w:rPr>
            </w:pPr>
          </w:p>
        </w:tc>
        <w:tc>
          <w:tcPr>
            <w:tcW w:w="820" w:type="dxa"/>
            <w:vAlign w:val="bottom"/>
            <w:gridSpan w:val="6"/>
            <w:vMerge w:val="continue"/>
          </w:tcPr>
          <w:p>
            <w:pPr>
              <w:spacing w:after="0"/>
              <w:rPr>
                <w:sz w:val="7"/>
                <w:szCs w:val="7"/>
                <w:color w:val="auto"/>
              </w:rPr>
            </w:pPr>
          </w:p>
        </w:tc>
        <w:tc>
          <w:tcPr>
            <w:tcW w:w="1020" w:type="dxa"/>
            <w:vAlign w:val="bottom"/>
            <w:gridSpan w:val="6"/>
            <w:vMerge w:val="restart"/>
          </w:tcPr>
          <w:p>
            <w:pPr>
              <w:jc w:val="center"/>
              <w:ind w:right="100"/>
              <w:spacing w:after="0" w:line="196" w:lineRule="exact"/>
              <w:rPr>
                <w:sz w:val="20"/>
                <w:szCs w:val="20"/>
                <w:color w:val="auto"/>
              </w:rPr>
            </w:pPr>
            <w:r>
              <w:rPr>
                <w:rFonts w:ascii="Arial" w:cs="Arial" w:eastAsia="Arial" w:hAnsi="Arial"/>
                <w:sz w:val="18"/>
                <w:szCs w:val="18"/>
                <w:b w:val="1"/>
                <w:bCs w:val="1"/>
                <w:color w:val="auto"/>
                <w:w w:val="93"/>
              </w:rPr>
              <w:t>EPS –</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500" w:type="dxa"/>
            <w:vAlign w:val="bottom"/>
            <w:gridSpan w:val="9"/>
            <w:vMerge w:val="restart"/>
          </w:tcPr>
          <w:p>
            <w:pPr>
              <w:spacing w:after="0" w:line="182" w:lineRule="exact"/>
              <w:rPr>
                <w:sz w:val="20"/>
                <w:szCs w:val="20"/>
                <w:color w:val="auto"/>
              </w:rPr>
            </w:pPr>
            <w:r>
              <w:rPr>
                <w:rFonts w:ascii="Arial" w:cs="Arial" w:eastAsia="Arial" w:hAnsi="Arial"/>
                <w:sz w:val="18"/>
                <w:szCs w:val="18"/>
                <w:b w:val="1"/>
                <w:bCs w:val="1"/>
                <w:color w:val="auto"/>
                <w:w w:val="95"/>
              </w:rPr>
              <w:t>Operating Income</w:t>
            </w:r>
          </w:p>
        </w:tc>
        <w:tc>
          <w:tcPr>
            <w:tcW w:w="860" w:type="dxa"/>
            <w:vAlign w:val="bottom"/>
            <w:gridSpan w:val="2"/>
            <w:vMerge w:val="restart"/>
          </w:tcPr>
          <w:p>
            <w:pPr>
              <w:spacing w:after="0"/>
              <w:rPr>
                <w:sz w:val="7"/>
                <w:szCs w:val="7"/>
                <w:color w:val="auto"/>
              </w:rPr>
            </w:pPr>
          </w:p>
        </w:tc>
        <w:tc>
          <w:tcPr>
            <w:tcW w:w="1000" w:type="dxa"/>
            <w:vAlign w:val="bottom"/>
            <w:gridSpan w:val="3"/>
            <w:vMerge w:val="restart"/>
          </w:tcPr>
          <w:p>
            <w:pPr>
              <w:spacing w:after="0" w:line="182" w:lineRule="exact"/>
              <w:rPr>
                <w:sz w:val="20"/>
                <w:szCs w:val="20"/>
                <w:color w:val="auto"/>
              </w:rPr>
            </w:pPr>
            <w:r>
              <w:rPr>
                <w:rFonts w:ascii="Arial" w:cs="Arial" w:eastAsia="Arial" w:hAnsi="Arial"/>
                <w:sz w:val="18"/>
                <w:szCs w:val="18"/>
                <w:b w:val="1"/>
                <w:bCs w:val="1"/>
                <w:color w:val="auto"/>
              </w:rPr>
              <w:t>Continuing</w:t>
            </w:r>
          </w:p>
        </w:tc>
        <w:tc>
          <w:tcPr>
            <w:tcW w:w="820" w:type="dxa"/>
            <w:vAlign w:val="bottom"/>
            <w:gridSpan w:val="6"/>
            <w:vMerge w:val="restart"/>
          </w:tcPr>
          <w:p>
            <w:pPr>
              <w:spacing w:after="0"/>
              <w:rPr>
                <w:sz w:val="7"/>
                <w:szCs w:val="7"/>
                <w:color w:val="auto"/>
              </w:rPr>
            </w:pPr>
          </w:p>
        </w:tc>
        <w:tc>
          <w:tcPr>
            <w:tcW w:w="10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gridSpan w:val="9"/>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820" w:type="dxa"/>
            <w:vAlign w:val="bottom"/>
            <w:gridSpan w:val="6"/>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500" w:type="dxa"/>
            <w:vAlign w:val="bottom"/>
            <w:tcBorders>
              <w:bottom w:val="single" w:sz="8" w:color="auto"/>
            </w:tcBorders>
            <w:gridSpan w:val="9"/>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0" w:type="dxa"/>
            <w:vAlign w:val="bottom"/>
            <w:tcBorders>
              <w:bottom w:val="single" w:sz="8" w:color="auto"/>
            </w:tcBorders>
            <w:gridSpan w:val="3"/>
            <w:vMerge w:val="continue"/>
          </w:tcPr>
          <w:p>
            <w:pPr>
              <w:spacing w:after="0"/>
              <w:rPr>
                <w:sz w:val="6"/>
                <w:szCs w:val="6"/>
                <w:color w:val="auto"/>
              </w:rPr>
            </w:pPr>
          </w:p>
        </w:tc>
        <w:tc>
          <w:tcPr>
            <w:tcW w:w="820" w:type="dxa"/>
            <w:vAlign w:val="bottom"/>
            <w:gridSpan w:val="6"/>
            <w:vMerge w:val="continue"/>
          </w:tcPr>
          <w:p>
            <w:pPr>
              <w:spacing w:after="0"/>
              <w:rPr>
                <w:sz w:val="6"/>
                <w:szCs w:val="6"/>
                <w:color w:val="auto"/>
              </w:rPr>
            </w:pPr>
          </w:p>
        </w:tc>
        <w:tc>
          <w:tcPr>
            <w:tcW w:w="1020" w:type="dxa"/>
            <w:vAlign w:val="bottom"/>
            <w:gridSpan w:val="6"/>
            <w:vMerge w:val="restart"/>
          </w:tcPr>
          <w:p>
            <w:pPr>
              <w:jc w:val="center"/>
              <w:ind w:right="100"/>
              <w:spacing w:after="0" w:line="182" w:lineRule="exact"/>
              <w:rPr>
                <w:sz w:val="20"/>
                <w:szCs w:val="20"/>
                <w:color w:val="auto"/>
              </w:rPr>
            </w:pPr>
            <w:r>
              <w:rPr>
                <w:rFonts w:ascii="Arial" w:cs="Arial" w:eastAsia="Arial" w:hAnsi="Arial"/>
                <w:sz w:val="18"/>
                <w:szCs w:val="18"/>
                <w:b w:val="1"/>
                <w:bCs w:val="1"/>
                <w:color w:val="auto"/>
                <w:w w:val="96"/>
              </w:rPr>
              <w:t>Continuing</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gridSpan w:val="3"/>
            <w:vMerge w:val="restart"/>
          </w:tcPr>
          <w:p>
            <w:pPr>
              <w:spacing w:after="0" w:line="182" w:lineRule="exact"/>
              <w:rPr>
                <w:sz w:val="20"/>
                <w:szCs w:val="20"/>
                <w:color w:val="auto"/>
              </w:rPr>
            </w:pPr>
            <w:r>
              <w:rPr>
                <w:rFonts w:ascii="Arial" w:cs="Arial" w:eastAsia="Arial" w:hAnsi="Arial"/>
                <w:sz w:val="18"/>
                <w:szCs w:val="18"/>
                <w:b w:val="1"/>
                <w:bCs w:val="1"/>
                <w:color w:val="auto"/>
              </w:rPr>
              <w:t>Operations</w:t>
            </w:r>
          </w:p>
        </w:tc>
        <w:tc>
          <w:tcPr>
            <w:tcW w:w="820" w:type="dxa"/>
            <w:vAlign w:val="bottom"/>
            <w:gridSpan w:val="6"/>
            <w:vMerge w:val="restart"/>
          </w:tcPr>
          <w:p>
            <w:pPr>
              <w:spacing w:after="0"/>
              <w:rPr>
                <w:sz w:val="7"/>
                <w:szCs w:val="7"/>
                <w:color w:val="auto"/>
              </w:rPr>
            </w:pPr>
          </w:p>
        </w:tc>
        <w:tc>
          <w:tcPr>
            <w:tcW w:w="10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820" w:type="dxa"/>
            <w:vAlign w:val="bottom"/>
            <w:gridSpan w:val="6"/>
            <w:vMerge w:val="continue"/>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Borders>
              <w:bottom w:val="single" w:sz="8" w:color="auto"/>
            </w:tcBorders>
            <w:gridSpan w:val="3"/>
            <w:vMerge w:val="continue"/>
          </w:tcPr>
          <w:p>
            <w:pPr>
              <w:spacing w:after="0"/>
              <w:rPr>
                <w:sz w:val="6"/>
                <w:szCs w:val="6"/>
                <w:color w:val="auto"/>
              </w:rPr>
            </w:pPr>
          </w:p>
        </w:tc>
        <w:tc>
          <w:tcPr>
            <w:tcW w:w="820" w:type="dxa"/>
            <w:vAlign w:val="bottom"/>
            <w:gridSpan w:val="6"/>
            <w:vMerge w:val="continue"/>
          </w:tcPr>
          <w:p>
            <w:pPr>
              <w:spacing w:after="0"/>
              <w:rPr>
                <w:sz w:val="6"/>
                <w:szCs w:val="6"/>
                <w:color w:val="auto"/>
              </w:rPr>
            </w:pPr>
          </w:p>
        </w:tc>
        <w:tc>
          <w:tcPr>
            <w:tcW w:w="1020" w:type="dxa"/>
            <w:vAlign w:val="bottom"/>
            <w:gridSpan w:val="6"/>
            <w:vMerge w:val="restart"/>
          </w:tcPr>
          <w:p>
            <w:pPr>
              <w:jc w:val="center"/>
              <w:ind w:right="100"/>
              <w:spacing w:after="0" w:line="182" w:lineRule="exact"/>
              <w:rPr>
                <w:sz w:val="20"/>
                <w:szCs w:val="20"/>
                <w:color w:val="auto"/>
              </w:rPr>
            </w:pPr>
            <w:r>
              <w:rPr>
                <w:rFonts w:ascii="Arial" w:cs="Arial" w:eastAsia="Arial" w:hAnsi="Arial"/>
                <w:sz w:val="18"/>
                <w:szCs w:val="18"/>
                <w:b w:val="1"/>
                <w:bCs w:val="1"/>
                <w:color w:val="auto"/>
                <w:w w:val="96"/>
              </w:rPr>
              <w:t>Operations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20" w:type="dxa"/>
            <w:vAlign w:val="bottom"/>
            <w:gridSpan w:val="12"/>
            <w:vMerge w:val="restart"/>
          </w:tcPr>
          <w:p>
            <w:pPr>
              <w:ind w:left="20"/>
              <w:spacing w:after="0"/>
              <w:rPr>
                <w:sz w:val="20"/>
                <w:szCs w:val="20"/>
                <w:color w:val="auto"/>
              </w:rPr>
            </w:pPr>
            <w:r>
              <w:rPr>
                <w:rFonts w:ascii="Arial" w:cs="Arial" w:eastAsia="Arial" w:hAnsi="Arial"/>
                <w:sz w:val="18"/>
                <w:szCs w:val="18"/>
                <w:b w:val="1"/>
                <w:bCs w:val="1"/>
                <w:color w:val="auto"/>
              </w:rPr>
              <w:t>(thousands except per share</w:t>
            </w:r>
          </w:p>
        </w:tc>
        <w:tc>
          <w:tcPr>
            <w:tcW w:w="10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20" w:type="dxa"/>
            <w:vAlign w:val="bottom"/>
            <w:gridSpan w:val="1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data)</w:t>
            </w:r>
          </w:p>
        </w:tc>
        <w:tc>
          <w:tcPr>
            <w:tcW w:w="280" w:type="dxa"/>
            <w:vAlign w:val="bottom"/>
            <w:gridSpan w:val="3"/>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GAAP results</w:t>
            </w:r>
          </w:p>
        </w:tc>
        <w:tc>
          <w:tcPr>
            <w:tcW w:w="1580" w:type="dxa"/>
            <w:vAlign w:val="bottom"/>
            <w:gridSpan w:val="2"/>
            <w:shd w:val="clear" w:color="auto" w:fill="CCEEFF"/>
          </w:tcPr>
          <w:p>
            <w:pPr>
              <w:ind w:left="138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461,400</w:t>
            </w: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$263,351</w:t>
            </w: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$2.05</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137,415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92,012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54,526</w:t>
            </w: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39,856</w:t>
            </w: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0.32</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Unrealized gain on marketable securities and other</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related FX hedging and financing costs</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36,739</w:t>
            </w: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(14,695)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191,941</w:t>
            </w:r>
          </w:p>
        </w:tc>
        <w:tc>
          <w:tcPr>
            <w:tcW w:w="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$153,296</w:t>
            </w:r>
          </w:p>
        </w:tc>
        <w:tc>
          <w:tcPr>
            <w:tcW w:w="1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Adjusted results</w:t>
            </w:r>
          </w:p>
        </w:tc>
        <w:tc>
          <w:tcPr>
            <w:tcW w:w="1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653,341</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$416,647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11"/>
          </w:tcPr>
          <w:p>
            <w:pPr>
              <w:spacing w:after="0"/>
              <w:rPr>
                <w:sz w:val="20"/>
                <w:szCs w:val="20"/>
                <w:color w:val="auto"/>
              </w:rPr>
            </w:pPr>
            <w:r>
              <w:rPr>
                <w:rFonts w:ascii="Arial" w:cs="Arial" w:eastAsia="Arial" w:hAnsi="Arial"/>
                <w:sz w:val="18"/>
                <w:szCs w:val="18"/>
                <w:b w:val="1"/>
                <w:bCs w:val="1"/>
                <w:color w:val="auto"/>
              </w:rPr>
              <w:t>Fiscal Year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1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5"/>
                <w:szCs w:val="15"/>
                <w:color w:val="auto"/>
              </w:rPr>
            </w:pPr>
          </w:p>
        </w:tc>
        <w:tc>
          <w:tcPr>
            <w:tcW w:w="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10"/>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7"/>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11"/>
          </w:tcPr>
          <w:p>
            <w:pPr>
              <w:spacing w:after="0" w:line="182" w:lineRule="exact"/>
              <w:rPr>
                <w:sz w:val="20"/>
                <w:szCs w:val="20"/>
                <w:color w:val="auto"/>
              </w:rPr>
            </w:pPr>
            <w:r>
              <w:rPr>
                <w:rFonts w:ascii="Arial" w:cs="Arial" w:eastAsia="Arial" w:hAnsi="Arial"/>
                <w:sz w:val="18"/>
                <w:szCs w:val="18"/>
                <w:b w:val="1"/>
                <w:bCs w:val="1"/>
                <w:color w:val="auto"/>
              </w:rPr>
              <w:t>(thousands except per share</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data)</w:t>
            </w:r>
          </w:p>
        </w:tc>
        <w:tc>
          <w:tcPr>
            <w:tcW w:w="18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GAAP results</w:t>
            </w:r>
          </w:p>
        </w:tc>
        <w:tc>
          <w:tcPr>
            <w:tcW w:w="1700" w:type="dxa"/>
            <w:vAlign w:val="bottom"/>
            <w:gridSpan w:val="3"/>
            <w:shd w:val="clear" w:color="auto" w:fill="CCEEFF"/>
          </w:tcPr>
          <w:p>
            <w:pPr>
              <w:ind w:left="1580"/>
              <w:spacing w:after="0" w:line="196" w:lineRule="exact"/>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6"/>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787,669</w:t>
            </w: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180" w:type="dxa"/>
            <w:vAlign w:val="bottom"/>
            <w:tcBorders>
              <w:right w:val="single" w:sz="8" w:color="CCEEFF"/>
            </w:tcBorders>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$506,531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$3.80</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79,318</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52,343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28,614</w:t>
            </w: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180" w:type="dxa"/>
            <w:vAlign w:val="bottom"/>
            <w:tcBorders>
              <w:right w:val="single" w:sz="8" w:color="CCEEFF"/>
            </w:tcBorders>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19,758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-16,527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107,932</w:t>
            </w: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gridSpan w:val="2"/>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55,575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0.42</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Adjusted results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895,601</w:t>
            </w: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$562,106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11"/>
          </w:tcPr>
          <w:p>
            <w:pPr>
              <w:spacing w:after="0"/>
              <w:rPr>
                <w:sz w:val="20"/>
                <w:szCs w:val="20"/>
                <w:color w:val="auto"/>
              </w:rPr>
            </w:pPr>
            <w:r>
              <w:rPr>
                <w:rFonts w:ascii="Arial" w:cs="Arial" w:eastAsia="Arial" w:hAnsi="Arial"/>
                <w:sz w:val="18"/>
                <w:szCs w:val="18"/>
                <w:b w:val="1"/>
                <w:bCs w:val="1"/>
                <w:color w:val="auto"/>
              </w:rPr>
              <w:t>Fiscal Year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4"/>
          </w:tcPr>
          <w:p>
            <w:pPr>
              <w:spacing w:after="0"/>
              <w:rPr>
                <w:sz w:val="19"/>
                <w:szCs w:val="19"/>
                <w:color w:val="auto"/>
              </w:rPr>
            </w:pPr>
          </w:p>
        </w:tc>
        <w:tc>
          <w:tcPr>
            <w:tcW w:w="10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204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5"/>
                <w:szCs w:val="15"/>
                <w:color w:val="auto"/>
              </w:rPr>
            </w:pPr>
          </w:p>
        </w:tc>
        <w:tc>
          <w:tcPr>
            <w:tcW w:w="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4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7"/>
            <w:vMerge w:val="continue"/>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80" w:type="dxa"/>
            <w:vAlign w:val="bottom"/>
            <w:gridSpan w:val="11"/>
            <w:vMerge w:val="restart"/>
          </w:tcPr>
          <w:p>
            <w:pPr>
              <w:jc w:val="center"/>
              <w:ind w:right="200"/>
              <w:spacing w:after="0"/>
              <w:rPr>
                <w:sz w:val="20"/>
                <w:szCs w:val="20"/>
                <w:color w:val="auto"/>
              </w:rPr>
            </w:pPr>
            <w:r>
              <w:rPr>
                <w:rFonts w:ascii="Arial" w:cs="Arial" w:eastAsia="Arial" w:hAnsi="Arial"/>
                <w:sz w:val="18"/>
                <w:szCs w:val="18"/>
                <w:b w:val="1"/>
                <w:bCs w:val="1"/>
                <w:color w:val="auto"/>
                <w:w w:val="97"/>
              </w:rPr>
              <w:t>(thousands except per share</w:t>
            </w:r>
          </w:p>
        </w:tc>
        <w:tc>
          <w:tcPr>
            <w:tcW w:w="240" w:type="dxa"/>
            <w:vAlign w:val="bottom"/>
          </w:tcPr>
          <w:p>
            <w:pPr>
              <w:spacing w:after="0"/>
              <w:rPr>
                <w:sz w:val="7"/>
                <w:szCs w:val="7"/>
                <w:color w:val="auto"/>
              </w:rPr>
            </w:pPr>
          </w:p>
        </w:tc>
        <w:tc>
          <w:tcPr>
            <w:tcW w:w="7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11"/>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7"/>
          </w:tcPr>
          <w:p>
            <w:pPr>
              <w:jc w:val="center"/>
              <w:ind w:right="1080"/>
              <w:spacing w:after="0"/>
              <w:rPr>
                <w:sz w:val="20"/>
                <w:szCs w:val="20"/>
                <w:color w:val="auto"/>
              </w:rPr>
            </w:pPr>
            <w:r>
              <w:rPr>
                <w:rFonts w:ascii="Arial" w:cs="Arial" w:eastAsia="Arial" w:hAnsi="Arial"/>
                <w:sz w:val="18"/>
                <w:szCs w:val="18"/>
                <w:b w:val="1"/>
                <w:bCs w:val="1"/>
                <w:color w:val="auto"/>
                <w:w w:val="97"/>
              </w:rPr>
              <w:t>data)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GAAP results</w:t>
            </w:r>
          </w:p>
        </w:tc>
        <w:tc>
          <w:tcPr>
            <w:tcW w:w="1920" w:type="dxa"/>
            <w:vAlign w:val="bottom"/>
            <w:gridSpan w:val="4"/>
            <w:shd w:val="clear" w:color="auto" w:fill="CCEEFF"/>
          </w:tcPr>
          <w:p>
            <w:pPr>
              <w:ind w:left="170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gridSpan w:val="6"/>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827,673</w:t>
            </w: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180" w:type="dxa"/>
            <w:vAlign w:val="bottom"/>
            <w:tcBorders>
              <w:right w:val="single" w:sz="8" w:color="CCEEFF"/>
            </w:tcBorders>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$571,913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$4.12</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90,805</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65,897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loss</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180" w:type="dxa"/>
            <w:vAlign w:val="bottom"/>
            <w:tcBorders>
              <w:right w:val="single" w:sz="8" w:color="CCEEFF"/>
            </w:tcBorders>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3,737</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54,049</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36,643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180" w:type="dxa"/>
            <w:vAlign w:val="bottom"/>
            <w:tcBorders>
              <w:right w:val="single" w:sz="8" w:color="CCEEFF"/>
            </w:tcBorders>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-55,101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-0.39</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8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144,854</w:t>
            </w: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51,176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700" w:type="dxa"/>
            <w:vAlign w:val="bottom"/>
            <w:gridSpan w:val="3"/>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gridSpan w:val="6"/>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972,527</w:t>
            </w:r>
          </w:p>
        </w:tc>
        <w:tc>
          <w:tcPr>
            <w:tcW w:w="18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$623,089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$4.49</w:t>
            </w: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00" w:type="dxa"/>
            <w:vAlign w:val="bottom"/>
            <w:gridSpan w:val="3"/>
          </w:tcPr>
          <w:p>
            <w:pPr>
              <w:ind w:left="700"/>
              <w:spacing w:after="0"/>
              <w:rPr>
                <w:sz w:val="20"/>
                <w:szCs w:val="20"/>
                <w:color w:val="auto"/>
              </w:rPr>
            </w:pPr>
            <w:r>
              <w:rPr>
                <w:rFonts w:ascii="Arial" w:cs="Arial" w:eastAsia="Arial" w:hAnsi="Arial"/>
                <w:sz w:val="18"/>
                <w:szCs w:val="18"/>
                <w:color w:val="auto"/>
              </w:rPr>
              <w:t>A-1</w:t>
            </w: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5" w:right="1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6"/>
              </w:rPr>
              <w:t>Fiscal Year</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2014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Net 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5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gridSpan w:val="6"/>
          </w:tcPr>
          <w:p>
            <w:pPr>
              <w:jc w:val="center"/>
              <w:ind w:right="140"/>
              <w:spacing w:after="0" w:line="196" w:lineRule="exact"/>
              <w:rPr>
                <w:sz w:val="20"/>
                <w:szCs w:val="20"/>
                <w:color w:val="auto"/>
              </w:rPr>
            </w:pPr>
            <w:r>
              <w:rPr>
                <w:rFonts w:ascii="Arial" w:cs="Arial" w:eastAsia="Arial" w:hAnsi="Arial"/>
                <w:sz w:val="18"/>
                <w:szCs w:val="18"/>
                <w:b w:val="1"/>
                <w:bCs w:val="1"/>
                <w:color w:val="auto"/>
                <w:w w:val="97"/>
              </w:rPr>
              <w:t>(thousands)</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789,940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$545,604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94,623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70,773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legal settlement and foreign currency loss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60" w:type="dxa"/>
            <w:vAlign w:val="bottom"/>
            <w:gridSpan w:val="7"/>
            <w:shd w:val="clear" w:color="auto" w:fill="CCEEFF"/>
          </w:tcPr>
          <w:p>
            <w:pPr>
              <w:jc w:val="right"/>
              <w:ind w:right="13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46,783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60" w:type="dxa"/>
            <w:vAlign w:val="bottom"/>
            <w:gridSpan w:val="7"/>
            <w:shd w:val="clear" w:color="auto" w:fill="CCEEFF"/>
          </w:tcPr>
          <w:p>
            <w:pPr>
              <w:jc w:val="right"/>
              <w:ind w:right="13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-43,789</w:t>
            </w:r>
          </w:p>
        </w:tc>
        <w:tc>
          <w:tcPr>
            <w:tcW w:w="0" w:type="dxa"/>
            <w:vAlign w:val="bottom"/>
          </w:tcPr>
          <w:p>
            <w:pPr>
              <w:spacing w:after="0"/>
              <w:rPr>
                <w:sz w:val="1"/>
                <w:szCs w:val="1"/>
                <w:color w:val="auto"/>
              </w:rPr>
            </w:pPr>
          </w:p>
        </w:tc>
      </w:tr>
      <w:tr>
        <w:trPr>
          <w:trHeight w:val="217"/>
        </w:trPr>
        <w:tc>
          <w:tcPr>
            <w:tcW w:w="766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141,406</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931,346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$ 594,059</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4"/>
              </w:rPr>
              <w:t>Fiscal Year</w:t>
            </w:r>
          </w:p>
        </w:tc>
        <w:tc>
          <w:tcPr>
            <w:tcW w:w="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12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8"/>
                <w:szCs w:val="18"/>
                <w:b w:val="1"/>
                <w:bCs w:val="1"/>
                <w:color w:val="auto"/>
                <w:w w:val="94"/>
              </w:rPr>
              <w:t>2013</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w w:val="96"/>
              </w:rPr>
              <w:t>Net 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jc w:val="center"/>
              <w:ind w:right="140"/>
              <w:spacing w:after="0" w:line="196" w:lineRule="exact"/>
              <w:rPr>
                <w:sz w:val="20"/>
                <w:szCs w:val="20"/>
                <w:color w:val="auto"/>
              </w:rPr>
            </w:pPr>
            <w:r>
              <w:rPr>
                <w:rFonts w:ascii="Arial" w:cs="Arial" w:eastAsia="Arial" w:hAnsi="Arial"/>
                <w:sz w:val="18"/>
                <w:szCs w:val="18"/>
                <w:b w:val="1"/>
                <w:bCs w:val="1"/>
                <w:color w:val="auto"/>
                <w:w w:val="98"/>
              </w:rPr>
              <w:t>(thousands)</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5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4"/>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625,981</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$450,073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112"/>
              <w:spacing w:after="0" w:line="202" w:lineRule="exact"/>
              <w:rPr>
                <w:sz w:val="20"/>
                <w:szCs w:val="20"/>
                <w:color w:val="auto"/>
              </w:rPr>
            </w:pPr>
            <w:r>
              <w:rPr>
                <w:rFonts w:ascii="Arial" w:cs="Arial" w:eastAsia="Arial" w:hAnsi="Arial"/>
                <w:sz w:val="18"/>
                <w:szCs w:val="18"/>
                <w:color w:val="auto"/>
              </w:rPr>
              <w:t>149,501</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116,382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112"/>
              <w:spacing w:after="0" w:line="202" w:lineRule="exact"/>
              <w:rPr>
                <w:sz w:val="20"/>
                <w:szCs w:val="20"/>
                <w:color w:val="auto"/>
              </w:rPr>
            </w:pPr>
            <w:r>
              <w:rPr>
                <w:rFonts w:ascii="Arial" w:cs="Arial" w:eastAsia="Arial" w:hAnsi="Arial"/>
                <w:sz w:val="18"/>
                <w:szCs w:val="18"/>
                <w:color w:val="auto"/>
              </w:rPr>
              <w:t>32,370</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-50,376</w:t>
            </w:r>
          </w:p>
        </w:tc>
        <w:tc>
          <w:tcPr>
            <w:tcW w:w="0" w:type="dxa"/>
            <w:vAlign w:val="bottom"/>
          </w:tcPr>
          <w:p>
            <w:pPr>
              <w:spacing w:after="0"/>
              <w:rPr>
                <w:sz w:val="1"/>
                <w:szCs w:val="1"/>
                <w:color w:val="auto"/>
              </w:rPr>
            </w:pPr>
          </w:p>
        </w:tc>
      </w:tr>
      <w:tr>
        <w:trPr>
          <w:trHeight w:val="217"/>
        </w:trPr>
        <w:tc>
          <w:tcPr>
            <w:tcW w:w="766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4"/>
          </w:tcPr>
          <w:p>
            <w:pPr>
              <w:jc w:val="right"/>
              <w:ind w:right="112"/>
              <w:spacing w:after="0"/>
              <w:rPr>
                <w:sz w:val="20"/>
                <w:szCs w:val="20"/>
                <w:color w:val="auto"/>
              </w:rPr>
            </w:pPr>
            <w:r>
              <w:rPr>
                <w:rFonts w:ascii="Arial" w:cs="Arial" w:eastAsia="Arial" w:hAnsi="Arial"/>
                <w:sz w:val="18"/>
                <w:szCs w:val="18"/>
                <w:color w:val="auto"/>
              </w:rPr>
              <w:t>181,871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4"/>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807,852</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$507,764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Avnet’s normal operating results or non-cash in nature. The Company analyzes operating income without the impact of these items as an indicator of ongoing margin performance and underlying trends in the business.</w:t>
      </w:r>
    </w:p>
    <w:p>
      <w:pPr>
        <w:spacing w:after="0" w:line="9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Company believes income from continuing operations and diluted earnings per share from continuing operations,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net income and diluted earnings per share, excluding the impact of these items, provides an important measure of the Company’s net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w:t>
      </w:r>
    </w:p>
    <w:p>
      <w:pPr>
        <w:spacing w:after="0" w:line="1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Form 10-K filed with the Securities and Exchange Commission. Any analysis of results on a non-GAAP basis should be used as a complement to, and in conjunction with, data presented in accordance with GAAP.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00"/>
          </w:cols>
          <w:pgMar w:left="240" w:top="4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-619125</wp:posOffset>
            </wp:positionV>
            <wp:extent cx="1551940" cy="4457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51940" cy="44577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2211 SOUTH 47TH STREET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PHOENIX, AZ 85034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right="1220" w:firstLine="1216"/>
        <w:spacing w:after="0" w:line="317" w:lineRule="auto"/>
        <w:rPr>
          <w:sz w:val="20"/>
          <w:szCs w:val="20"/>
          <w:color w:val="auto"/>
        </w:rPr>
      </w:pPr>
      <w:r>
        <w:rPr>
          <w:rFonts w:ascii="Arial" w:cs="Arial" w:eastAsia="Arial" w:hAnsi="Arial"/>
          <w:sz w:val="13"/>
          <w:szCs w:val="13"/>
          <w:b w:val="1"/>
          <w:bCs w:val="1"/>
          <w:color w:val="auto"/>
        </w:rPr>
        <w:t xml:space="preserve">THERE ARE THREE WAYS TO VOTE YOUR PROXY VOTE BY INTERNET - </w:t>
      </w:r>
      <w:r>
        <w:rPr>
          <w:rFonts w:ascii="Arial" w:cs="Arial" w:eastAsia="Arial" w:hAnsi="Arial"/>
          <w:sz w:val="13"/>
          <w:szCs w:val="13"/>
          <w:b w:val="1"/>
          <w:bCs w:val="1"/>
          <w:u w:val="single" w:color="auto"/>
          <w:color w:val="auto"/>
        </w:rPr>
        <w:t>www.proxyvote.com</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3"/>
          <w:szCs w:val="13"/>
          <w:color w:val="auto"/>
        </w:rPr>
        <w:t xml:space="preserve">Use the Internet to transmit your voting instructions and for electronic delivery of information up until 11:59 PM, Eastern Time, the day before the cut-off date or meeting date </w:t>
      </w:r>
      <w:r>
        <w:rPr>
          <w:rFonts w:ascii="Arial" w:cs="Arial" w:eastAsia="Arial" w:hAnsi="Arial"/>
          <w:sz w:val="13"/>
          <w:szCs w:val="13"/>
          <w:b w:val="1"/>
          <w:bCs w:val="1"/>
          <w:color w:val="auto"/>
        </w:rPr>
        <w:t>scheduled for</w:t>
      </w:r>
      <w:r>
        <w:rPr>
          <w:rFonts w:ascii="Arial" w:cs="Arial" w:eastAsia="Arial" w:hAnsi="Arial"/>
          <w:sz w:val="13"/>
          <w:szCs w:val="13"/>
          <w:color w:val="auto"/>
        </w:rPr>
        <w:t xml:space="preserve"> </w:t>
      </w:r>
      <w:r>
        <w:rPr>
          <w:rFonts w:ascii="Arial" w:cs="Arial" w:eastAsia="Arial" w:hAnsi="Arial"/>
          <w:sz w:val="13"/>
          <w:szCs w:val="13"/>
          <w:b w:val="1"/>
          <w:bCs w:val="1"/>
          <w:color w:val="auto"/>
        </w:rPr>
        <w:t>November 9, 2017</w:t>
      </w:r>
      <w:r>
        <w:rPr>
          <w:rFonts w:ascii="Arial" w:cs="Arial" w:eastAsia="Arial" w:hAnsi="Arial"/>
          <w:sz w:val="13"/>
          <w:szCs w:val="13"/>
          <w:color w:val="auto"/>
        </w:rPr>
        <w:t>. Have your proxy card in hand when you access the web site and follow the</w:t>
      </w:r>
      <w:r>
        <w:rPr>
          <w:rFonts w:ascii="Arial" w:cs="Arial" w:eastAsia="Arial" w:hAnsi="Arial"/>
          <w:sz w:val="13"/>
          <w:szCs w:val="13"/>
          <w:b w:val="1"/>
          <w:bCs w:val="1"/>
          <w:color w:val="auto"/>
        </w:rPr>
        <w:t xml:space="preserve"> </w:t>
      </w:r>
      <w:r>
        <w:rPr>
          <w:rFonts w:ascii="Arial" w:cs="Arial" w:eastAsia="Arial" w:hAnsi="Arial"/>
          <w:sz w:val="13"/>
          <w:szCs w:val="13"/>
          <w:color w:val="auto"/>
        </w:rPr>
        <w:t>instructions to obtain your records and to create an electronic voting instruction form.</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 xml:space="preserve">Use any touch-tone telephone to transmit your voting instructions up until 11:59 PM, Eastern Time, the day before the cut-off date or meeting date </w:t>
      </w:r>
      <w:r>
        <w:rPr>
          <w:rFonts w:ascii="Arial" w:cs="Arial" w:eastAsia="Arial" w:hAnsi="Arial"/>
          <w:sz w:val="13"/>
          <w:szCs w:val="13"/>
          <w:b w:val="1"/>
          <w:bCs w:val="1"/>
          <w:color w:val="auto"/>
        </w:rPr>
        <w:t>scheduled for November 9, 2017</w:t>
      </w:r>
      <w:r>
        <w:rPr>
          <w:rFonts w:ascii="Arial" w:cs="Arial" w:eastAsia="Arial" w:hAnsi="Arial"/>
          <w:sz w:val="13"/>
          <w:szCs w:val="13"/>
          <w:color w:val="auto"/>
        </w:rPr>
        <w:t>. Have your proxy card in hand when you call and then follow the instructions.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4"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pacing w:after="0" w:line="295" w:lineRule="exact"/>
        <w:rPr>
          <w:sz w:val="20"/>
          <w:szCs w:val="20"/>
          <w:color w:val="auto"/>
        </w:rPr>
      </w:pPr>
    </w:p>
    <w:p>
      <w:pPr>
        <w:ind w:left="160"/>
        <w:spacing w:after="0"/>
        <w:tabs>
          <w:tab w:leader="none" w:pos="2820" w:val="left"/>
        </w:tabs>
        <w:rPr>
          <w:sz w:val="20"/>
          <w:szCs w:val="20"/>
          <w:color w:val="auto"/>
        </w:rPr>
      </w:pPr>
      <w:r>
        <w:rPr>
          <w:rFonts w:ascii="Arial" w:cs="Arial" w:eastAsia="Arial" w:hAnsi="Arial"/>
          <w:sz w:val="13"/>
          <w:szCs w:val="13"/>
          <w:color w:val="auto"/>
        </w:rPr>
        <w:t>E32873-P96994-Z70813</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sectPr>
          <w:pgSz w:w="11900" w:h="16838" w:orient="portrait"/>
          <w:cols w:equalWidth="0" w:num="2">
            <w:col w:w="5100" w:space="720"/>
            <w:col w:w="5480"/>
          </w:cols>
          <w:pgMar w:left="240" w:top="455" w:right="359" w:bottom="1440" w:gutter="0" w:footer="0" w:header="0"/>
          <w:type w:val="continuous"/>
        </w:sectPr>
      </w:pPr>
    </w:p>
    <w:p>
      <w:pPr>
        <w:spacing w:after="0" w:line="236" w:lineRule="auto"/>
        <w:rPr>
          <w:sz w:val="20"/>
          <w:szCs w:val="20"/>
          <w:color w:val="auto"/>
        </w:rPr>
      </w:pPr>
      <w:r>
        <w:rPr>
          <w:rFonts w:ascii="Arial" w:cs="Arial" w:eastAsia="Arial" w:hAnsi="Arial"/>
          <w:sz w:val="18"/>
          <w:szCs w:val="18"/>
          <w:color w:val="auto"/>
        </w:rPr>
        <w:t>— — — — — — — — — — — — — — — — — — — — — — — — — — — — — — — — — — — — — — — — — —</w:t>
      </w:r>
    </w:p>
    <w:p>
      <w:pPr>
        <w:sectPr>
          <w:pgSz w:w="11900" w:h="16838" w:orient="portrait"/>
          <w:cols w:equalWidth="0" w:num="1">
            <w:col w:w="11300"/>
          </w:cols>
          <w:pgMar w:left="240" w:top="455" w:right="359" w:bottom="1440" w:gutter="0" w:footer="0" w:header="0"/>
          <w:type w:val="continuous"/>
        </w:sectPr>
      </w:pPr>
    </w:p>
    <w:p>
      <w:pPr>
        <w:spacing w:after="0" w:line="7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765" cy="3524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3524885"/>
                    </a:xfrm>
                    <a:prstGeom prst="rect">
                      <a:avLst/>
                    </a:prstGeom>
                    <a:noFill/>
                  </pic:spPr>
                </pic:pic>
              </a:graphicData>
            </a:graphic>
          </wp:anchor>
        </w:drawing>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AVNET,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DETACH AND RETURN THIS PORTION ONLY</w:t>
      </w:r>
    </w:p>
    <w:p>
      <w:pPr>
        <w:spacing w:after="0" w:line="422" w:lineRule="exact"/>
        <w:rPr>
          <w:sz w:val="20"/>
          <w:szCs w:val="20"/>
          <w:color w:val="auto"/>
        </w:rPr>
      </w:pPr>
    </w:p>
    <w:p>
      <w:pPr>
        <w:sectPr>
          <w:pgSz w:w="11900" w:h="16838" w:orient="portrait"/>
          <w:cols w:equalWidth="0" w:num="2">
            <w:col w:w="8120" w:space="500"/>
            <w:col w:w="2680"/>
          </w:cols>
          <w:pgMar w:left="240" w:top="455" w:right="359" w:bottom="1440" w:gutter="0" w:footer="0" w:header="0"/>
          <w:type w:val="continuous"/>
        </w:sectPr>
      </w:pPr>
    </w:p>
    <w:p>
      <w:pPr>
        <w:spacing w:after="0" w:line="57" w:lineRule="exact"/>
        <w:rPr>
          <w:sz w:val="20"/>
          <w:szCs w:val="20"/>
          <w:color w:val="auto"/>
        </w:rPr>
      </w:pPr>
    </w:p>
    <w:p>
      <w:pPr>
        <w:ind w:left="300"/>
        <w:spacing w:after="0" w:line="262"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Vote on Directors</w:t>
      </w:r>
    </w:p>
    <w:p>
      <w:pPr>
        <w:spacing w:after="0" w:line="69" w:lineRule="exact"/>
        <w:rPr>
          <w:sz w:val="20"/>
          <w:szCs w:val="20"/>
          <w:color w:val="auto"/>
        </w:rPr>
      </w:pPr>
    </w:p>
    <w:p>
      <w:pPr>
        <w:ind w:left="520" w:hanging="215"/>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64"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68"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1a.  Rodney C. Adkins</w:t>
      </w:r>
    </w:p>
    <w:p>
      <w:pPr>
        <w:spacing w:after="0" w:line="120"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1b.  William J. Amelio</w:t>
      </w:r>
    </w:p>
    <w:p>
      <w:pPr>
        <w:spacing w:after="0" w:line="134"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1c.  J. Veronica Biggins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1"/>
        </w:trPr>
        <w:tc>
          <w:tcPr>
            <w:tcW w:w="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32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Vote on Proposals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326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The  Board  of  Directors  recommends  you  vote</w:t>
            </w:r>
          </w:p>
        </w:tc>
        <w:tc>
          <w:tcPr>
            <w:tcW w:w="1200" w:type="dxa"/>
            <w:vAlign w:val="bottom"/>
          </w:tcPr>
          <w:p>
            <w:pPr>
              <w:jc w:val="center"/>
              <w:ind w:left="577"/>
              <w:spacing w:after="0"/>
              <w:rPr>
                <w:sz w:val="20"/>
                <w:szCs w:val="20"/>
                <w:color w:val="auto"/>
              </w:rPr>
            </w:pPr>
            <w:r>
              <w:rPr>
                <w:rFonts w:ascii="Arial" w:cs="Arial" w:eastAsia="Arial" w:hAnsi="Arial"/>
                <w:sz w:val="13"/>
                <w:szCs w:val="13"/>
                <w:b w:val="1"/>
                <w:bCs w:val="1"/>
                <w:color w:val="auto"/>
                <w:w w:val="95"/>
              </w:rPr>
              <w:t>For</w:t>
            </w:r>
          </w:p>
        </w:tc>
        <w:tc>
          <w:tcPr>
            <w:tcW w:w="520" w:type="dxa"/>
            <w:vAlign w:val="bottom"/>
          </w:tcPr>
          <w:p>
            <w:pPr>
              <w:ind w:left="60"/>
              <w:spacing w:after="0"/>
              <w:rPr>
                <w:sz w:val="20"/>
                <w:szCs w:val="20"/>
                <w:color w:val="auto"/>
              </w:rPr>
            </w:pPr>
            <w:r>
              <w:rPr>
                <w:rFonts w:ascii="Arial" w:cs="Arial" w:eastAsia="Arial" w:hAnsi="Arial"/>
                <w:sz w:val="13"/>
                <w:szCs w:val="13"/>
                <w:b w:val="1"/>
                <w:bCs w:val="1"/>
                <w:color w:val="auto"/>
                <w:w w:val="92"/>
              </w:rPr>
              <w:t>Against</w:t>
            </w:r>
          </w:p>
        </w:tc>
        <w:tc>
          <w:tcPr>
            <w:tcW w:w="60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35"/>
        </w:trPr>
        <w:tc>
          <w:tcPr>
            <w:tcW w:w="2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3260" w:type="dxa"/>
            <w:vAlign w:val="bottom"/>
            <w:vMerge w:val="continue"/>
          </w:tcPr>
          <w:p>
            <w:pPr>
              <w:spacing w:after="0"/>
              <w:rPr>
                <w:sz w:val="11"/>
                <w:szCs w:val="11"/>
                <w:color w:val="auto"/>
              </w:rPr>
            </w:pPr>
          </w:p>
        </w:tc>
        <w:tc>
          <w:tcPr>
            <w:tcW w:w="12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FOR  the</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2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following proposal:</w:t>
            </w: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3260" w:type="dxa"/>
            <w:vAlign w:val="bottom"/>
          </w:tcPr>
          <w:p>
            <w:pPr>
              <w:ind w:left="60"/>
              <w:spacing w:after="0"/>
              <w:rPr>
                <w:sz w:val="20"/>
                <w:szCs w:val="20"/>
                <w:color w:val="auto"/>
              </w:rPr>
            </w:pPr>
            <w:r>
              <w:rPr>
                <w:rFonts w:ascii="Arial" w:cs="Arial" w:eastAsia="Arial" w:hAnsi="Arial"/>
                <w:sz w:val="13"/>
                <w:szCs w:val="13"/>
                <w:color w:val="auto"/>
              </w:rPr>
              <w:t>2.  Advisory vote on executive compensation.</w:t>
            </w:r>
          </w:p>
        </w:tc>
        <w:tc>
          <w:tcPr>
            <w:tcW w:w="1200" w:type="dxa"/>
            <w:vAlign w:val="bottom"/>
          </w:tcPr>
          <w:p>
            <w:pPr>
              <w:jc w:val="center"/>
              <w:ind w:left="597"/>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232"/>
        </w:trPr>
        <w:tc>
          <w:tcPr>
            <w:tcW w:w="2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3260" w:type="dxa"/>
            <w:vAlign w:val="bottom"/>
          </w:tcPr>
          <w:p>
            <w:pPr>
              <w:ind w:left="60"/>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1200" w:type="dxa"/>
            <w:vAlign w:val="bottom"/>
          </w:tcPr>
          <w:p>
            <w:pPr>
              <w:ind w:left="40"/>
              <w:spacing w:after="0"/>
              <w:rPr>
                <w:sz w:val="20"/>
                <w:szCs w:val="20"/>
                <w:color w:val="auto"/>
              </w:rPr>
            </w:pPr>
            <w:r>
              <w:rPr>
                <w:rFonts w:ascii="Arial" w:cs="Arial" w:eastAsia="Arial" w:hAnsi="Arial"/>
                <w:sz w:val="13"/>
                <w:szCs w:val="13"/>
                <w:b w:val="1"/>
                <w:bCs w:val="1"/>
                <w:color w:val="auto"/>
              </w:rPr>
              <w:t>1  1 Year  2 Year</w:t>
            </w:r>
            <w:r>
              <w:rPr>
                <w:rFonts w:ascii="Arial" w:cs="Arial" w:eastAsia="Arial" w:hAnsi="Arial"/>
                <w:sz w:val="13"/>
                <w:szCs w:val="13"/>
                <w:color w:val="auto"/>
              </w:rPr>
              <w:t>s</w:t>
            </w:r>
          </w:p>
        </w:tc>
        <w:tc>
          <w:tcPr>
            <w:tcW w:w="520" w:type="dxa"/>
            <w:vAlign w:val="bottom"/>
          </w:tcPr>
          <w:p>
            <w:pPr>
              <w:ind w:left="60"/>
              <w:spacing w:after="0"/>
              <w:rPr>
                <w:sz w:val="20"/>
                <w:szCs w:val="20"/>
                <w:color w:val="auto"/>
              </w:rPr>
            </w:pPr>
            <w:r>
              <w:rPr>
                <w:rFonts w:ascii="Arial" w:cs="Arial" w:eastAsia="Arial" w:hAnsi="Arial"/>
                <w:sz w:val="13"/>
                <w:szCs w:val="13"/>
                <w:b w:val="1"/>
                <w:bCs w:val="1"/>
                <w:color w:val="auto"/>
                <w:w w:val="96"/>
              </w:rPr>
              <w:t>3 Year</w:t>
            </w:r>
            <w:r>
              <w:rPr>
                <w:rFonts w:ascii="Arial" w:cs="Arial" w:eastAsia="Arial" w:hAnsi="Arial"/>
                <w:sz w:val="13"/>
                <w:szCs w:val="13"/>
                <w:color w:val="auto"/>
                <w:w w:val="96"/>
              </w:rPr>
              <w:t>s</w:t>
            </w:r>
          </w:p>
        </w:tc>
        <w:tc>
          <w:tcPr>
            <w:tcW w:w="60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3"/>
                <w:szCs w:val="13"/>
                <w:b w:val="1"/>
                <w:bCs w:val="1"/>
                <w:color w:val="auto"/>
              </w:rPr>
              <w:t>YEAR on the following proposal:</w:t>
            </w: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1900" w:h="16838" w:orient="portrait"/>
          <w:cols w:equalWidth="0" w:num="2">
            <w:col w:w="4100" w:space="120"/>
            <w:col w:w="7080"/>
          </w:cols>
          <w:pgMar w:left="240" w:top="455" w:right="359" w:bottom="1440" w:gutter="0" w:footer="0" w:header="0"/>
          <w:type w:val="continuous"/>
        </w:sectPr>
      </w:pPr>
    </w:p>
    <w:tbl>
      <w:tblPr>
        <w:tblLayout w:type="fixed"/>
        <w:tblInd w:w="520" w:type="dxa"/>
        <w:tblCellMar>
          <w:top w:w="0" w:type="dxa"/>
          <w:left w:w="0" w:type="dxa"/>
          <w:bottom w:w="0" w:type="dxa"/>
          <w:right w:w="0" w:type="dxa"/>
        </w:tblCellMar>
      </w:tblPr>
      <w:tr>
        <w:trPr>
          <w:trHeight w:val="149"/>
        </w:trPr>
        <w:tc>
          <w:tcPr>
            <w:tcW w:w="240" w:type="dxa"/>
            <w:vAlign w:val="bottom"/>
          </w:tcPr>
          <w:p>
            <w:pPr>
              <w:spacing w:after="0"/>
              <w:rPr>
                <w:sz w:val="20"/>
                <w:szCs w:val="20"/>
                <w:color w:val="auto"/>
              </w:rPr>
            </w:pPr>
            <w:r>
              <w:rPr>
                <w:rFonts w:ascii="Arial" w:cs="Arial" w:eastAsia="Arial" w:hAnsi="Arial"/>
                <w:sz w:val="13"/>
                <w:szCs w:val="13"/>
                <w:color w:val="auto"/>
              </w:rPr>
              <w:t>1d.</w:t>
            </w:r>
          </w:p>
        </w:tc>
        <w:tc>
          <w:tcPr>
            <w:tcW w:w="2300" w:type="dxa"/>
            <w:vAlign w:val="bottom"/>
          </w:tcPr>
          <w:p>
            <w:pPr>
              <w:ind w:left="40"/>
              <w:spacing w:after="0"/>
              <w:rPr>
                <w:sz w:val="20"/>
                <w:szCs w:val="20"/>
                <w:color w:val="auto"/>
              </w:rPr>
            </w:pPr>
            <w:r>
              <w:rPr>
                <w:rFonts w:ascii="Arial" w:cs="Arial" w:eastAsia="Arial" w:hAnsi="Arial"/>
                <w:sz w:val="13"/>
                <w:szCs w:val="13"/>
                <w:color w:val="auto"/>
              </w:rPr>
              <w:t>Michael A. Bradley</w:t>
            </w:r>
          </w:p>
        </w:tc>
        <w:tc>
          <w:tcPr>
            <w:tcW w:w="1480" w:type="dxa"/>
            <w:vAlign w:val="bottom"/>
          </w:tcPr>
          <w:p>
            <w:pPr>
              <w:ind w:left="1200"/>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580" w:type="dxa"/>
            <w:vAlign w:val="bottom"/>
          </w:tcPr>
          <w:p>
            <w:pPr>
              <w:ind w:left="140"/>
              <w:spacing w:after="0"/>
              <w:rPr>
                <w:sz w:val="20"/>
                <w:szCs w:val="20"/>
                <w:color w:val="auto"/>
              </w:rPr>
            </w:pPr>
            <w:r>
              <w:rPr>
                <w:rFonts w:ascii="Arial" w:cs="Arial" w:eastAsia="Arial" w:hAnsi="Arial"/>
                <w:sz w:val="13"/>
                <w:szCs w:val="13"/>
                <w:color w:val="auto"/>
              </w:rPr>
              <w:t>3.  Advisory vote on the frequency of future advisory votes</w:t>
            </w:r>
          </w:p>
        </w:tc>
        <w:tc>
          <w:tcPr>
            <w:tcW w:w="4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80" w:type="dxa"/>
            <w:vAlign w:val="bottom"/>
          </w:tcPr>
          <w:p>
            <w:pPr>
              <w:ind w:left="340"/>
              <w:spacing w:after="0"/>
              <w:rPr>
                <w:sz w:val="20"/>
                <w:szCs w:val="20"/>
                <w:color w:val="auto"/>
              </w:rPr>
            </w:pPr>
            <w:r>
              <w:rPr>
                <w:rFonts w:ascii="Arial" w:cs="Arial" w:eastAsia="Arial" w:hAnsi="Arial"/>
                <w:sz w:val="13"/>
                <w:szCs w:val="13"/>
                <w:color w:val="auto"/>
              </w:rPr>
              <w:t>on executive compensation.</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1"/>
        </w:trPr>
        <w:tc>
          <w:tcPr>
            <w:tcW w:w="240" w:type="dxa"/>
            <w:vAlign w:val="bottom"/>
          </w:tcPr>
          <w:p>
            <w:pPr>
              <w:spacing w:after="0"/>
              <w:rPr>
                <w:sz w:val="20"/>
                <w:szCs w:val="20"/>
                <w:color w:val="auto"/>
              </w:rPr>
            </w:pPr>
            <w:r>
              <w:rPr>
                <w:rFonts w:ascii="Arial" w:cs="Arial" w:eastAsia="Arial" w:hAnsi="Arial"/>
                <w:sz w:val="13"/>
                <w:szCs w:val="13"/>
                <w:color w:val="auto"/>
              </w:rPr>
              <w:t>1e.</w:t>
            </w:r>
          </w:p>
        </w:tc>
        <w:tc>
          <w:tcPr>
            <w:tcW w:w="2300" w:type="dxa"/>
            <w:vAlign w:val="bottom"/>
          </w:tcPr>
          <w:p>
            <w:pPr>
              <w:ind w:left="40"/>
              <w:spacing w:after="0"/>
              <w:rPr>
                <w:sz w:val="20"/>
                <w:szCs w:val="20"/>
                <w:color w:val="auto"/>
              </w:rPr>
            </w:pPr>
            <w:r>
              <w:rPr>
                <w:rFonts w:ascii="Arial" w:cs="Arial" w:eastAsia="Arial" w:hAnsi="Arial"/>
                <w:sz w:val="13"/>
                <w:szCs w:val="13"/>
                <w:color w:val="auto"/>
              </w:rPr>
              <w:t>R. Kerry Clark</w:t>
            </w:r>
          </w:p>
        </w:tc>
        <w:tc>
          <w:tcPr>
            <w:tcW w:w="1480" w:type="dxa"/>
            <w:vAlign w:val="bottom"/>
          </w:tcPr>
          <w:p>
            <w:pPr>
              <w:ind w:left="1200"/>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4060" w:type="dxa"/>
            <w:vAlign w:val="bottom"/>
            <w:gridSpan w:val="2"/>
          </w:tcPr>
          <w:p>
            <w:pPr>
              <w:ind w:left="140"/>
              <w:spacing w:after="0"/>
              <w:rPr>
                <w:sz w:val="20"/>
                <w:szCs w:val="20"/>
                <w:color w:val="auto"/>
              </w:rPr>
            </w:pPr>
            <w:r>
              <w:rPr>
                <w:rFonts w:ascii="Arial" w:cs="Arial" w:eastAsia="Arial" w:hAnsi="Arial"/>
                <w:sz w:val="13"/>
                <w:szCs w:val="13"/>
                <w:b w:val="1"/>
                <w:bCs w:val="1"/>
                <w:color w:val="auto"/>
              </w:rPr>
              <w:t>The  Board  of  Directors  recommends  you  vote  FOR  the</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178"/>
        </w:trPr>
        <w:tc>
          <w:tcPr>
            <w:tcW w:w="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80" w:type="dxa"/>
            <w:vAlign w:val="bottom"/>
          </w:tcPr>
          <w:p>
            <w:pPr>
              <w:ind w:left="140"/>
              <w:spacing w:after="0"/>
              <w:rPr>
                <w:sz w:val="20"/>
                <w:szCs w:val="20"/>
                <w:color w:val="auto"/>
              </w:rPr>
            </w:pPr>
            <w:r>
              <w:rPr>
                <w:rFonts w:ascii="Arial" w:cs="Arial" w:eastAsia="Arial" w:hAnsi="Arial"/>
                <w:sz w:val="13"/>
                <w:szCs w:val="13"/>
                <w:b w:val="1"/>
                <w:bCs w:val="1"/>
                <w:color w:val="auto"/>
              </w:rPr>
              <w:t>following proposal:</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24" w:lineRule="exact"/>
        <w:rPr>
          <w:sz w:val="20"/>
          <w:szCs w:val="20"/>
          <w:color w:val="auto"/>
        </w:rPr>
      </w:pPr>
    </w:p>
    <w:p>
      <w:pPr>
        <w:sectPr>
          <w:pgSz w:w="11900" w:h="16838" w:orient="portrait"/>
          <w:cols w:equalWidth="0" w:num="1">
            <w:col w:w="11300"/>
          </w:cols>
          <w:pgMar w:left="240" w:top="455" w:right="359" w:bottom="1440" w:gutter="0" w:footer="0" w:header="0"/>
          <w:type w:val="continuous"/>
        </w:sectPr>
      </w:pPr>
    </w:p>
    <w:p>
      <w:pPr>
        <w:spacing w:after="0" w:line="6" w:lineRule="exact"/>
        <w:rPr>
          <w:sz w:val="20"/>
          <w:szCs w:val="20"/>
          <w:color w:val="auto"/>
        </w:rPr>
      </w:pPr>
    </w:p>
    <w:p>
      <w:pPr>
        <w:ind w:left="520"/>
        <w:spacing w:after="0"/>
        <w:tabs>
          <w:tab w:leader="none" w:pos="780" w:val="left"/>
        </w:tabs>
        <w:rPr>
          <w:sz w:val="20"/>
          <w:szCs w:val="20"/>
          <w:color w:val="auto"/>
        </w:rPr>
      </w:pPr>
      <w:r>
        <w:rPr>
          <w:rFonts w:ascii="Arial" w:cs="Arial" w:eastAsia="Arial" w:hAnsi="Arial"/>
          <w:sz w:val="13"/>
          <w:szCs w:val="13"/>
          <w:color w:val="auto"/>
        </w:rPr>
        <w:t>1f.</w:t>
        <w:tab/>
        <w:t>James A. Lawrence</w:t>
      </w:r>
    </w:p>
    <w:p>
      <w:pPr>
        <w:spacing w:after="0" w:line="269" w:lineRule="exact"/>
        <w:rPr>
          <w:sz w:val="20"/>
          <w:szCs w:val="20"/>
          <w:color w:val="auto"/>
        </w:rPr>
      </w:pPr>
    </w:p>
    <w:p>
      <w:pPr>
        <w:ind w:left="520"/>
        <w:spacing w:after="0"/>
        <w:tabs>
          <w:tab w:leader="none" w:pos="780" w:val="left"/>
        </w:tabs>
        <w:rPr>
          <w:sz w:val="20"/>
          <w:szCs w:val="20"/>
          <w:color w:val="auto"/>
        </w:rPr>
      </w:pPr>
      <w:r>
        <w:rPr>
          <w:rFonts w:ascii="Arial" w:cs="Arial" w:eastAsia="Arial" w:hAnsi="Arial"/>
          <w:sz w:val="13"/>
          <w:szCs w:val="13"/>
          <w:color w:val="auto"/>
        </w:rPr>
        <w:t>1g.</w:t>
      </w:r>
      <w:r>
        <w:rPr>
          <w:sz w:val="20"/>
          <w:szCs w:val="20"/>
          <w:color w:val="auto"/>
        </w:rPr>
        <w:tab/>
      </w:r>
      <w:r>
        <w:rPr>
          <w:rFonts w:ascii="Arial" w:cs="Arial" w:eastAsia="Arial" w:hAnsi="Arial"/>
          <w:sz w:val="12"/>
          <w:szCs w:val="12"/>
          <w:color w:val="auto"/>
        </w:rPr>
        <w:t>Avid Modjtabai</w:t>
      </w:r>
    </w:p>
    <w:p>
      <w:pPr>
        <w:spacing w:after="0" w:line="215" w:lineRule="exact"/>
        <w:rPr>
          <w:sz w:val="20"/>
          <w:szCs w:val="20"/>
          <w:color w:val="auto"/>
        </w:rPr>
      </w:pPr>
    </w:p>
    <w:p>
      <w:pPr>
        <w:ind w:left="520"/>
        <w:spacing w:after="0"/>
        <w:tabs>
          <w:tab w:leader="none" w:pos="780" w:val="left"/>
        </w:tabs>
        <w:rPr>
          <w:sz w:val="20"/>
          <w:szCs w:val="20"/>
          <w:color w:val="auto"/>
        </w:rPr>
      </w:pPr>
      <w:r>
        <w:rPr>
          <w:rFonts w:ascii="Arial" w:cs="Arial" w:eastAsia="Arial" w:hAnsi="Arial"/>
          <w:sz w:val="13"/>
          <w:szCs w:val="13"/>
          <w:color w:val="auto"/>
        </w:rPr>
        <w:t>1h.</w:t>
      </w:r>
      <w:r>
        <w:rPr>
          <w:sz w:val="20"/>
          <w:szCs w:val="20"/>
          <w:color w:val="auto"/>
        </w:rPr>
        <w:tab/>
      </w:r>
      <w:r>
        <w:rPr>
          <w:rFonts w:ascii="Arial" w:cs="Arial" w:eastAsia="Arial" w:hAnsi="Arial"/>
          <w:sz w:val="12"/>
          <w:szCs w:val="12"/>
          <w:color w:val="auto"/>
        </w:rPr>
        <w:t>William H. Schumann III</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4080" w:type="dxa"/>
            <w:vAlign w:val="bottom"/>
          </w:tcPr>
          <w:p>
            <w:pPr>
              <w:ind w:left="140"/>
              <w:spacing w:after="0"/>
              <w:rPr>
                <w:sz w:val="20"/>
                <w:szCs w:val="20"/>
                <w:color w:val="auto"/>
              </w:rPr>
            </w:pPr>
            <w:r>
              <w:rPr>
                <w:rFonts w:ascii="Arial" w:cs="Arial" w:eastAsia="Arial" w:hAnsi="Arial"/>
                <w:sz w:val="13"/>
                <w:szCs w:val="13"/>
                <w:color w:val="auto"/>
              </w:rPr>
              <w:t>4.  Ratification of appointment of KPMG LLP as the independent</w:t>
            </w:r>
          </w:p>
        </w:tc>
        <w:tc>
          <w:tcPr>
            <w:tcW w:w="4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80" w:type="dxa"/>
            <w:vAlign w:val="bottom"/>
          </w:tcPr>
          <w:p>
            <w:pPr>
              <w:ind w:left="340"/>
              <w:spacing w:after="0" w:line="127" w:lineRule="exact"/>
              <w:rPr>
                <w:sz w:val="20"/>
                <w:szCs w:val="20"/>
                <w:color w:val="auto"/>
              </w:rPr>
            </w:pPr>
            <w:r>
              <w:rPr>
                <w:rFonts w:ascii="Arial" w:cs="Arial" w:eastAsia="Arial" w:hAnsi="Arial"/>
                <w:sz w:val="13"/>
                <w:szCs w:val="13"/>
                <w:color w:val="auto"/>
              </w:rPr>
              <w:t>registered public accounting firm for the fiscal year ending June</w:t>
            </w: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Arial" w:cs="Arial" w:eastAsia="Arial" w:hAnsi="Arial"/>
                <w:sz w:val="13"/>
                <w:szCs w:val="13"/>
                <w:color w:val="auto"/>
              </w:rPr>
              <w:t>30, 2018.</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0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4080" w:type="dxa"/>
            <w:vAlign w:val="bottom"/>
          </w:tcPr>
          <w:p>
            <w:pPr>
              <w:ind w:left="14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w:t>
            </w: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52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0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4080" w:type="dxa"/>
            <w:vAlign w:val="bottom"/>
          </w:tcPr>
          <w:p>
            <w:pPr>
              <w:ind w:left="140"/>
              <w:spacing w:after="0"/>
              <w:rPr>
                <w:sz w:val="20"/>
                <w:szCs w:val="20"/>
                <w:color w:val="auto"/>
              </w:rPr>
            </w:pPr>
            <w:r>
              <w:rPr>
                <w:rFonts w:ascii="Arial" w:cs="Arial" w:eastAsia="Arial" w:hAnsi="Arial"/>
                <w:sz w:val="13"/>
                <w:szCs w:val="13"/>
                <w:color w:val="auto"/>
              </w:rPr>
              <w:t>meeting or any adjournment thereof.</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ectPr>
          <w:pgSz w:w="11900" w:h="16838" w:orient="portrait"/>
          <w:cols w:equalWidth="0" w:num="2">
            <w:col w:w="3540" w:space="720"/>
            <w:col w:w="7040"/>
          </w:cols>
          <w:pgMar w:left="240" w:top="455" w:right="359" w:bottom="1440" w:gutter="0" w:footer="0" w:header="0"/>
          <w:type w:val="continuous"/>
        </w:sectPr>
      </w:pPr>
    </w:p>
    <w:p>
      <w:pPr>
        <w:ind w:left="300"/>
        <w:spacing w:after="0"/>
        <w:rPr>
          <w:sz w:val="20"/>
          <w:szCs w:val="20"/>
          <w:color w:val="auto"/>
        </w:rPr>
      </w:pPr>
      <w:r>
        <w:rPr>
          <w:rFonts w:ascii="Arial" w:cs="Arial" w:eastAsia="Arial" w:hAnsi="Arial"/>
          <w:sz w:val="13"/>
          <w:szCs w:val="13"/>
          <w:color w:val="auto"/>
        </w:rPr>
        <w:t>Please sign exactly as your name(s) appear(s) hereon. When signing as attorney, executor,</w:t>
      </w:r>
    </w:p>
    <w:p>
      <w:pPr>
        <w:ind w:left="300"/>
        <w:spacing w:after="0" w:line="219" w:lineRule="auto"/>
        <w:rPr>
          <w:sz w:val="20"/>
          <w:szCs w:val="20"/>
          <w:color w:val="auto"/>
        </w:rPr>
      </w:pPr>
      <w:r>
        <w:rPr>
          <w:rFonts w:ascii="Arial" w:cs="Arial" w:eastAsia="Arial" w:hAnsi="Arial"/>
          <w:sz w:val="13"/>
          <w:szCs w:val="13"/>
          <w:color w:val="auto"/>
        </w:rPr>
        <w:t>administrator, or other fiduciary, please give full title as such. Joint owners should each sign</w:t>
      </w:r>
    </w:p>
    <w:p>
      <w:pPr>
        <w:ind w:left="300"/>
        <w:spacing w:after="0" w:line="217" w:lineRule="auto"/>
        <w:rPr>
          <w:sz w:val="20"/>
          <w:szCs w:val="20"/>
          <w:color w:val="auto"/>
        </w:rPr>
      </w:pPr>
      <w:r>
        <w:rPr>
          <w:rFonts w:ascii="Arial" w:cs="Arial" w:eastAsia="Arial" w:hAnsi="Arial"/>
          <w:sz w:val="13"/>
          <w:szCs w:val="13"/>
          <w:color w:val="auto"/>
        </w:rPr>
        <w:t>personally. All holders must sign. If a corporation or partnership, please sign in full corporate or</w:t>
      </w:r>
    </w:p>
    <w:p>
      <w:pPr>
        <w:ind w:left="300"/>
        <w:spacing w:after="0"/>
        <w:rPr>
          <w:sz w:val="20"/>
          <w:szCs w:val="20"/>
          <w:color w:val="auto"/>
        </w:rPr>
      </w:pPr>
      <w:r>
        <w:rPr>
          <w:rFonts w:ascii="Arial" w:cs="Arial" w:eastAsia="Arial" w:hAnsi="Arial"/>
          <w:sz w:val="13"/>
          <w:szCs w:val="13"/>
          <w:color w:val="auto"/>
        </w:rPr>
        <w:t>partnership name by authorized officer.</w:t>
      </w:r>
    </w:p>
    <w:p>
      <w:pPr>
        <w:spacing w:after="0" w:line="200" w:lineRule="exact"/>
        <w:rPr>
          <w:sz w:val="20"/>
          <w:szCs w:val="20"/>
          <w:color w:val="auto"/>
        </w:rPr>
      </w:pPr>
    </w:p>
    <w:p>
      <w:pPr>
        <w:spacing w:after="0" w:line="323" w:lineRule="exact"/>
        <w:rPr>
          <w:sz w:val="20"/>
          <w:szCs w:val="20"/>
          <w:color w:val="auto"/>
        </w:rPr>
      </w:pPr>
    </w:p>
    <w:p>
      <w:pPr>
        <w:ind w:left="300"/>
        <w:spacing w:after="0"/>
        <w:tabs>
          <w:tab w:leader="none" w:pos="3320" w:val="left"/>
          <w:tab w:leader="none" w:pos="5880" w:val="left"/>
          <w:tab w:leader="none" w:pos="84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300"/>
          </w:cols>
          <w:pgMar w:left="240" w:top="455" w:right="35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208280</wp:posOffset>
            </wp:positionV>
            <wp:extent cx="1551940"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519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November 9, 2017</w:t>
      </w:r>
    </w:p>
    <w:p>
      <w:pPr>
        <w:jc w:val="center"/>
        <w:spacing w:after="0" w:line="234" w:lineRule="auto"/>
        <w:rPr>
          <w:sz w:val="20"/>
          <w:szCs w:val="20"/>
          <w:color w:val="auto"/>
        </w:rPr>
      </w:pPr>
      <w:r>
        <w:rPr>
          <w:rFonts w:ascii="Arial" w:cs="Arial" w:eastAsia="Arial" w:hAnsi="Arial"/>
          <w:sz w:val="18"/>
          <w:szCs w:val="18"/>
          <w:b w:val="1"/>
          <w:bCs w:val="1"/>
          <w:color w:val="auto"/>
        </w:rPr>
        <w:t>7:30 a.m. (local time)</w:t>
      </w:r>
    </w:p>
    <w:p>
      <w:pPr>
        <w:jc w:val="center"/>
        <w:spacing w:after="0" w:line="235" w:lineRule="auto"/>
        <w:rPr>
          <w:sz w:val="20"/>
          <w:szCs w:val="20"/>
          <w:color w:val="auto"/>
        </w:rPr>
      </w:pPr>
      <w:r>
        <w:rPr>
          <w:rFonts w:ascii="Arial" w:cs="Arial" w:eastAsia="Arial" w:hAnsi="Arial"/>
          <w:sz w:val="18"/>
          <w:szCs w:val="18"/>
          <w:b w:val="1"/>
          <w:bCs w:val="1"/>
          <w:color w:val="auto"/>
        </w:rPr>
        <w:t>Avnet, Inc.</w:t>
      </w:r>
    </w:p>
    <w:p>
      <w:pPr>
        <w:jc w:val="center"/>
        <w:spacing w:after="0" w:line="235" w:lineRule="auto"/>
        <w:rPr>
          <w:sz w:val="20"/>
          <w:szCs w:val="20"/>
          <w:color w:val="auto"/>
        </w:rPr>
      </w:pPr>
      <w:r>
        <w:rPr>
          <w:rFonts w:ascii="Arial" w:cs="Arial" w:eastAsia="Arial" w:hAnsi="Arial"/>
          <w:sz w:val="18"/>
          <w:szCs w:val="18"/>
          <w:b w:val="1"/>
          <w:bCs w:val="1"/>
          <w:color w:val="auto"/>
        </w:rPr>
        <w:t>2211 South 47th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AZ 85034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 may vote through the Internet, by telephone or by mail.</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read the card carefully for instructions.</w:t>
      </w:r>
    </w:p>
    <w:p>
      <w:pPr>
        <w:jc w:val="center"/>
        <w:spacing w:after="0" w:line="234" w:lineRule="auto"/>
        <w:rPr>
          <w:sz w:val="20"/>
          <w:szCs w:val="20"/>
          <w:color w:val="auto"/>
        </w:rPr>
      </w:pPr>
      <w:r>
        <w:rPr>
          <w:rFonts w:ascii="Arial" w:cs="Arial" w:eastAsia="Arial" w:hAnsi="Arial"/>
          <w:sz w:val="18"/>
          <w:szCs w:val="18"/>
          <w:color w:val="auto"/>
        </w:rPr>
        <w:t>However you decide to vote, your presence, in person or by proxy, 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280670</wp:posOffset>
            </wp:positionV>
            <wp:extent cx="625157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51575" cy="2603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323850</wp:posOffset>
            </wp:positionV>
            <wp:extent cx="62515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 — — — — — — — — — — — — — — — —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E32874-P96994-Z70813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63765" cy="3490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349059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AVNET,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Annual Meeting of Shareholders on</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November 9, 2017</w:t>
      </w:r>
    </w:p>
    <w:p>
      <w:pPr>
        <w:spacing w:after="0" w:line="200" w:lineRule="exact"/>
        <w:rPr>
          <w:sz w:val="20"/>
          <w:szCs w:val="20"/>
          <w:color w:val="auto"/>
        </w:rPr>
      </w:pPr>
    </w:p>
    <w:p>
      <w:pPr>
        <w:spacing w:after="0" w:line="273" w:lineRule="exact"/>
        <w:rPr>
          <w:sz w:val="20"/>
          <w:szCs w:val="20"/>
          <w:color w:val="auto"/>
        </w:rPr>
      </w:pPr>
    </w:p>
    <w:p>
      <w:pPr>
        <w:jc w:val="both"/>
        <w:ind w:left="160" w:right="60"/>
        <w:spacing w:after="0" w:line="245" w:lineRule="auto"/>
        <w:rPr>
          <w:sz w:val="20"/>
          <w:szCs w:val="20"/>
          <w:color w:val="auto"/>
        </w:rPr>
      </w:pPr>
      <w:r>
        <w:rPr>
          <w:rFonts w:ascii="Arial" w:cs="Arial" w:eastAsia="Arial" w:hAnsi="Arial"/>
          <w:sz w:val="18"/>
          <w:szCs w:val="18"/>
          <w:color w:val="auto"/>
        </w:rPr>
        <w:t>The undersigned shareholder of AVNET, INC. (the “Company”) hereby constitutes and appoints William Amelio and Harvey Woodford, or either of them, as proxy of the undersigned, with full power of substitution and revocation, to vote all shares of Common Stock of the Company standing in his or her name on the books of the Company at the Annual Meeting of Shareholders to be held at 7:30 a.m., local time, at Avnet, Inc., 2211 South 47th Street, Phoenix, AZ 85034, on November 9, 2017, or at any adjournment thereof, with all the powers which the undersigned would possess if personally present, as designated on the reverse side.</w:t>
      </w:r>
    </w:p>
    <w:p>
      <w:pPr>
        <w:spacing w:after="0" w:line="200" w:lineRule="exact"/>
        <w:rPr>
          <w:sz w:val="20"/>
          <w:szCs w:val="20"/>
          <w:color w:val="auto"/>
        </w:rPr>
      </w:pPr>
    </w:p>
    <w:p>
      <w:pPr>
        <w:jc w:val="both"/>
        <w:ind w:left="160" w:right="60"/>
        <w:spacing w:after="0" w:line="241" w:lineRule="auto"/>
        <w:rPr>
          <w:sz w:val="20"/>
          <w:szCs w:val="20"/>
          <w:color w:val="auto"/>
        </w:rPr>
      </w:pPr>
      <w:r>
        <w:rPr>
          <w:rFonts w:ascii="Arial" w:cs="Arial" w:eastAsia="Arial" w:hAnsi="Arial"/>
          <w:sz w:val="18"/>
          <w:szCs w:val="18"/>
          <w:color w:val="auto"/>
        </w:rPr>
        <w:t xml:space="preserve">The undersigned hereby instructs the said proxies (i) to vote in accordance with the instructions indicated on the reverse side for each proposal, </w:t>
      </w:r>
      <w:r>
        <w:rPr>
          <w:rFonts w:ascii="Arial" w:cs="Arial" w:eastAsia="Arial" w:hAnsi="Arial"/>
          <w:sz w:val="18"/>
          <w:szCs w:val="18"/>
          <w:b w:val="1"/>
          <w:bCs w:val="1"/>
          <w:color w:val="auto"/>
        </w:rPr>
        <w:t>but, if no instruction is given on the reverse side, to vote FOR the election of directors of the eight persons named on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reverse side, FOR the approval of the advisory vote on executive compensation, for 1 YEAR on the approval of the advisory vote on the frequency of future advisory votes on executive compensation, and FOR the ratification of KPMG LLP as the independent registered public accounting firm for the fiscal year ending June 30, 2018 </w:t>
      </w:r>
      <w:r>
        <w:rPr>
          <w:rFonts w:ascii="Arial" w:cs="Arial" w:eastAsia="Arial" w:hAnsi="Arial"/>
          <w:sz w:val="18"/>
          <w:szCs w:val="18"/>
          <w:color w:val="auto"/>
        </w:rPr>
        <w:t>and (ii) to vote, in their discretion, with respect to other such</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(including matters incidental to the conduct of the meeting) as may properly come before the meeting or any postponements or adjournments thereof.</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3"/>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emdash "/>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endash "/>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lowerRoman"/>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2019-12-05T01:37:04Z</dcterms:created>
  <dcterms:modified xsi:type="dcterms:W3CDTF">2019-12-05T01:37:04Z</dcterms:modified>
</cp:coreProperties>
</file>