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120"/>
        <w:ind w:left="0" w:right="0" w:hanging="0"/>
        <w:jc w:val="left"/>
        <w:rPr/>
      </w:pPr>
      <w:hyperlink w:anchor="Toc">
        <w:bookmarkStart w:id="0" w:name="avt-20230930x10q.htm"/>
        <w:bookmarkStart w:id="1" w:name="ksavt20230930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8" w:space="1" w:color="000000"/>
        </w:pBdr>
        <w:bidi w:val="0"/>
        <w:spacing w:before="0" w:after="0"/>
        <w:ind w:left="0" w:right="0" w:hanging="0"/>
        <w:jc w:val="left"/>
        <w:rPr>
          <w:bdr w:val="single" w:sz="24" w:space="1" w:color="000000"/>
        </w:rPr>
      </w:pPr>
      <w:bookmarkStart w:id="2" w:name="Cover_Page"/>
      <w:bookmarkEnd w:id="2"/>
      <w:r>
        <w:rPr>
          <w:bdr w:val="single" w:sz="24" w:space="1" w:color="000000"/>
        </w:rPr>
        <w:t>​</w:t>
      </w:r>
    </w:p>
    <w:p>
      <w:pPr>
        <w:pStyle w:val="TextBody"/>
        <w:bidi w:val="0"/>
        <w:spacing w:before="60" w:after="0"/>
        <w:ind w:left="0" w:right="0" w:hanging="0"/>
        <w:jc w:val="center"/>
        <w:rPr>
          <w:rFonts w:ascii="Times New Roman;Times;serif" w:hAnsi="Times New Roman;Times;serif"/>
          <w:b/>
          <w:sz w:val="24"/>
        </w:rPr>
      </w:pPr>
      <w:bookmarkStart w:id="3" w:name="_230f858b_04ee_4218_bcd5_f7a9bd64a848"/>
      <w:bookmarkEnd w:id="3"/>
      <w:r>
        <w:rPr>
          <w:rFonts w:ascii="Times New Roman;Times;serif" w:hAnsi="Times New Roman;Times;serif"/>
          <w:b/>
          <w:sz w:val="24"/>
        </w:rPr>
        <w:t>UNITED STATES</w:t>
      </w:r>
    </w:p>
    <w:p>
      <w:pPr>
        <w:pStyle w:val="TextBody"/>
        <w:bidi w:val="0"/>
        <w:spacing w:before="60" w:after="0"/>
        <w:ind w:left="0" w:right="0" w:hanging="0"/>
        <w:jc w:val="center"/>
        <w:rPr>
          <w:rFonts w:ascii="Times New Roman;Times;serif" w:hAnsi="Times New Roman;Times;serif"/>
          <w:b/>
          <w:sz w:val="24"/>
        </w:rPr>
      </w:pPr>
      <w:r>
        <w:rPr>
          <w:rFonts w:ascii="Times New Roman;Times;serif" w:hAnsi="Times New Roman;Times;serif"/>
          <w:b/>
          <w:sz w:val="24"/>
        </w:rPr>
        <w:t>SECURITIES AND EXCHANGE COMMISSION</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0"/>
        </w:rPr>
      </w:pPr>
      <w:r>
        <w:rPr>
          <w:rFonts w:ascii="Times New Roman;Times;serif" w:hAnsi="Times New Roman;Times;serif"/>
          <w:b/>
          <w:sz w:val="30"/>
        </w:rPr>
        <w:t>FORM 10-Q</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 w:name="Tc_plj97q4QqUuTDOby2WUwcg_7_0"/>
      <w:bookmarkStart w:id="5" w:name="Tc_UunCtpTBDE2eUMJajvwRew_5_1"/>
      <w:bookmarkStart w:id="6" w:name="Tc_x6NyN0wUm0SDH3Dr8Qyo8w_3_0"/>
      <w:bookmarkStart w:id="7" w:name="Tc_1KdvUgXMc0CBs6nhG3zScQ_1_1"/>
      <w:bookmarkStart w:id="8" w:name="_3067254c_5625_4f8e_b6f9_00457c7465a4"/>
      <w:bookmarkStart w:id="9" w:name="Tc_plj97q4QqUuTDOby2WUwcg_7_0"/>
      <w:bookmarkStart w:id="10" w:name="Tc_UunCtpTBDE2eUMJajvwRew_5_1"/>
      <w:bookmarkStart w:id="11" w:name="Tc_x6NyN0wUm0SDH3Dr8Qyo8w_3_0"/>
      <w:bookmarkStart w:id="12" w:name="Tc_1KdvUgXMc0CBs6nhG3zScQ_1_1"/>
      <w:bookmarkStart w:id="13" w:name="_3067254c_5625_4f8e_b6f9_00457c7465a4"/>
      <w:bookmarkEnd w:id="9"/>
      <w:bookmarkEnd w:id="10"/>
      <w:bookmarkEnd w:id="11"/>
      <w:bookmarkEnd w:id="12"/>
      <w:bookmarkEnd w:id="13"/>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quarterly period ended September 30, 2023</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lineRule="atLeast" w:line="200" w:before="0" w:after="0"/>
              <w:ind w:left="0" w:right="0" w:hanging="0"/>
              <w:jc w:val="left"/>
              <w:rPr/>
            </w:pPr>
            <w:r>
              <w:rPr/>
              <w:t>​</w:t>
            </w:r>
          </w:p>
        </w:tc>
        <w:tc>
          <w:tcPr>
            <w:tcW w:w="9874" w:type="dxa"/>
            <w:tcBorders/>
            <w:vAlign w:val="center"/>
          </w:tcPr>
          <w:p>
            <w:pPr>
              <w:pStyle w:val="TableContents"/>
              <w:bidi w:val="0"/>
              <w:spacing w:lineRule="atLeast" w:line="200" w:before="0" w:after="0"/>
              <w:ind w:left="0" w:right="0" w:hanging="0"/>
              <w:jc w:val="left"/>
              <w:rPr/>
            </w:pPr>
            <w:r>
              <w:rPr/>
              <w:t>​</w:t>
            </w:r>
          </w:p>
        </w:tc>
      </w:tr>
      <w:tr>
        <w:trPr/>
        <w:tc>
          <w:tcPr>
            <w:tcW w:w="10205" w:type="dxa"/>
            <w:gridSpan w:val="2"/>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For the transition period from _____ to _____</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Commission File #1-4224</w:t>
      </w:r>
    </w:p>
    <w:p>
      <w:pPr>
        <w:pStyle w:val="TextBody"/>
        <w:bidi w:val="0"/>
        <w:spacing w:lineRule="atLeast" w:line="280" w:before="0" w:after="0"/>
        <w:ind w:left="0" w:right="0" w:hanging="0"/>
        <w:jc w:val="center"/>
        <w:rPr>
          <w:rFonts w:ascii="Times New Roman;Times;serif" w:hAnsi="Times New Roman;Times;serif"/>
          <w:b/>
          <w:sz w:val="44"/>
        </w:rPr>
      </w:pPr>
      <w:r>
        <w:rPr>
          <w:rFonts w:ascii="Times New Roman;Times;serif" w:hAnsi="Times New Roman;Times;serif"/>
          <w:b/>
          <w:sz w:val="32"/>
        </w:rPr>
        <w:t>AVNET</w:t>
      </w:r>
      <w:r>
        <w:rPr>
          <w:rFonts w:ascii="Times New Roman;Times;serif" w:hAnsi="Times New Roman;Times;serif"/>
          <w:b/>
          <w:sz w:val="40"/>
        </w:rPr>
        <w:t xml:space="preserve">, </w:t>
      </w:r>
      <w:r>
        <w:rPr>
          <w:rFonts w:ascii="Times New Roman;Times;serif" w:hAnsi="Times New Roman;Times;serif"/>
          <w:b/>
          <w:sz w:val="32"/>
        </w:rPr>
        <w:t>INC.</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Normal"/>
        <w:bidi w:val="0"/>
        <w:spacing w:before="0" w:after="0"/>
        <w:jc w:val="left"/>
        <w:rPr>
          <w:sz w:val="4"/>
          <w:szCs w:val="4"/>
        </w:rPr>
      </w:pPr>
      <w:r>
        <w:rPr>
          <w:sz w:val="4"/>
          <w:szCs w:val="4"/>
        </w:rPr>
      </w:r>
      <w:bookmarkStart w:id="14" w:name="Tc_89gcYbh7vk-BP8nlu5YQpg_3_4"/>
      <w:bookmarkStart w:id="15" w:name="Tc_LFpnxVjbf0SL2vYPVIRbKQ_3_0"/>
      <w:bookmarkStart w:id="16" w:name="Tc_mYFpc0ubi0msLXpqmRchGA_2_4"/>
      <w:bookmarkStart w:id="17" w:name="Tc_JlexWt3HOU-y8xpcWebf4A_2_0"/>
      <w:bookmarkStart w:id="18" w:name="_7e373017_7fb5_4a64_b915_3abe568c11b9"/>
      <w:bookmarkStart w:id="19" w:name="Tc_89gcYbh7vk-BP8nlu5YQpg_3_4"/>
      <w:bookmarkStart w:id="20" w:name="Tc_LFpnxVjbf0SL2vYPVIRbKQ_3_0"/>
      <w:bookmarkStart w:id="21" w:name="Tc_mYFpc0ubi0msLXpqmRchGA_2_4"/>
      <w:bookmarkStart w:id="22" w:name="Tc_JlexWt3HOU-y8xpcWebf4A_2_0"/>
      <w:bookmarkStart w:id="23" w:name="_7e373017_7fb5_4a64_b915_3abe568c11b9"/>
      <w:bookmarkEnd w:id="19"/>
      <w:bookmarkEnd w:id="20"/>
      <w:bookmarkEnd w:id="21"/>
      <w:bookmarkEnd w:id="22"/>
      <w:bookmarkEnd w:id="23"/>
    </w:p>
    <w:tbl>
      <w:tblPr>
        <w:tblW w:w="4843" w:type="dxa"/>
        <w:jc w:val="left"/>
        <w:tblInd w:w="0" w:type="dxa"/>
        <w:tblLayout w:type="fixed"/>
        <w:tblCellMar>
          <w:top w:w="0" w:type="dxa"/>
          <w:left w:w="0" w:type="dxa"/>
          <w:bottom w:w="0" w:type="dxa"/>
          <w:right w:w="0" w:type="dxa"/>
        </w:tblCellMar>
      </w:tblPr>
      <w:tblGrid>
        <w:gridCol w:w="2791"/>
        <w:gridCol w:w="146"/>
        <w:gridCol w:w="109"/>
        <w:gridCol w:w="146"/>
        <w:gridCol w:w="165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1772285" cy="29210"/>
                      <wp:effectExtent l="0" t="0" r="0" b="0"/>
                      <wp:wrapNone/>
                      <wp:docPr id="1" name="Frame1"/>
                      <a:graphic xmlns:a="http://schemas.openxmlformats.org/drawingml/2006/main">
                        <a:graphicData uri="http://schemas.microsoft.com/office/word/2010/wordprocessingShape">
                          <wps:wsp>
                            <wps:cNvSpPr txBox="1"/>
                            <wps:spPr>
                              <a:xfrm>
                                <a:off x="0" y="0"/>
                                <a:ext cx="17722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92710" cy="29210"/>
                      <wp:effectExtent l="0" t="0" r="0" b="0"/>
                      <wp:wrapNone/>
                      <wp:docPr id="2" name="Frame2"/>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9215" cy="29210"/>
                      <wp:effectExtent l="0" t="0" r="0" b="0"/>
                      <wp:wrapNone/>
                      <wp:docPr id="3" name="Frame3"/>
                      <a:graphic xmlns:a="http://schemas.openxmlformats.org/drawingml/2006/main">
                        <a:graphicData uri="http://schemas.microsoft.com/office/word/2010/wordprocessingShape">
                          <wps:wsp>
                            <wps:cNvSpPr txBox="1"/>
                            <wps:spPr>
                              <a:xfrm>
                                <a:off x="0" y="0"/>
                                <a:ext cx="6921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2710" cy="29210"/>
                      <wp:effectExtent l="0" t="0" r="0" b="0"/>
                      <wp:wrapNone/>
                      <wp:docPr id="4" name="Frame4"/>
                      <a:graphic xmlns:a="http://schemas.openxmlformats.org/drawingml/2006/main">
                        <a:graphicData uri="http://schemas.microsoft.com/office/word/2010/wordprocessingShape">
                          <wps:wsp>
                            <wps:cNvSpPr txBox="1"/>
                            <wps:spPr>
                              <a:xfrm>
                                <a:off x="0" y="0"/>
                                <a:ext cx="927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16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1048385" cy="29210"/>
                      <wp:effectExtent l="0" t="0" r="0" b="0"/>
                      <wp:wrapNone/>
                      <wp:docPr id="5" name="Frame5"/>
                      <a:graphic xmlns:a="http://schemas.openxmlformats.org/drawingml/2006/main">
                        <a:graphicData uri="http://schemas.microsoft.com/office/word/2010/wordprocessingShape">
                          <wps:wsp>
                            <wps:cNvSpPr txBox="1"/>
                            <wps:spPr>
                              <a:xfrm>
                                <a:off x="0" y="0"/>
                                <a:ext cx="1048385"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2.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New York</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11-1890605</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(IRS Employer</w:t>
            </w:r>
          </w:p>
        </w:tc>
      </w:tr>
      <w:tr>
        <w:trPr/>
        <w:tc>
          <w:tcPr>
            <w:tcW w:w="279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of incorporation or organization)</w:t>
            </w:r>
          </w:p>
        </w:tc>
        <w:tc>
          <w:tcPr>
            <w:tcW w:w="146" w:type="dxa"/>
            <w:tcBorders/>
            <w:vAlign w:val="center"/>
          </w:tcPr>
          <w:p>
            <w:pPr>
              <w:pStyle w:val="TableContents"/>
              <w:bidi w:val="0"/>
              <w:spacing w:lineRule="atLeast" w:line="200" w:before="0" w:after="0"/>
              <w:ind w:left="0" w:right="0" w:hanging="0"/>
              <w:jc w:val="left"/>
              <w:rPr/>
            </w:pPr>
            <w:r>
              <w:rPr/>
              <w:t> </w:t>
            </w:r>
          </w:p>
        </w:tc>
        <w:tc>
          <w:tcPr>
            <w:tcW w:w="109"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lineRule="atLeast" w:line="200" w:before="0" w:after="0"/>
              <w:ind w:left="0" w:right="0" w:hanging="0"/>
              <w:jc w:val="left"/>
              <w:rPr/>
            </w:pPr>
            <w:r>
              <w:rPr/>
              <w:t> </w:t>
            </w:r>
          </w:p>
        </w:tc>
        <w:tc>
          <w:tcPr>
            <w:tcW w:w="165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4" w:name="Tc_NgFAHNRMv0mzHc9bw2GIgw_2_2"/>
      <w:bookmarkStart w:id="25" w:name="Tc_3dhoQr_J_kGg4lyVfZ9kKg_2_0"/>
      <w:bookmarkStart w:id="26" w:name="Tc_TvHd5mL8kU-1KwcTEP6nHA_1_0"/>
      <w:bookmarkStart w:id="27" w:name="_4b8b8f8c_39dc_4ad4_a53b_fa9884bdaada"/>
      <w:bookmarkStart w:id="28" w:name="Tc_NgFAHNRMv0mzHc9bw2GIgw_2_2"/>
      <w:bookmarkStart w:id="29" w:name="Tc_3dhoQr_J_kGg4lyVfZ9kKg_2_0"/>
      <w:bookmarkStart w:id="30" w:name="Tc_TvHd5mL8kU-1KwcTEP6nHA_1_0"/>
      <w:bookmarkStart w:id="31" w:name="_4b8b8f8c_39dc_4ad4_a53b_fa9884bdaada"/>
      <w:bookmarkEnd w:id="28"/>
      <w:bookmarkEnd w:id="29"/>
      <w:bookmarkEnd w:id="30"/>
      <w:bookmarkEnd w:id="31"/>
    </w:p>
    <w:tbl>
      <w:tblPr>
        <w:tblW w:w="4768" w:type="dxa"/>
        <w:jc w:val="left"/>
        <w:tblInd w:w="0" w:type="dxa"/>
        <w:tblLayout w:type="fixed"/>
        <w:tblCellMar>
          <w:top w:w="0" w:type="dxa"/>
          <w:left w:w="0" w:type="dxa"/>
          <w:bottom w:w="0" w:type="dxa"/>
          <w:right w:w="0" w:type="dxa"/>
        </w:tblCellMar>
      </w:tblPr>
      <w:tblGrid>
        <w:gridCol w:w="3586"/>
        <w:gridCol w:w="146"/>
        <w:gridCol w:w="103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2211 South 47th Street, Phoenix, Arizona</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85034</w:t>
            </w:r>
          </w:p>
        </w:tc>
      </w:tr>
      <w:tr>
        <w:trPr/>
        <w:tc>
          <w:tcPr>
            <w:tcW w:w="358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146" w:type="dxa"/>
            <w:tcBorders/>
            <w:vAlign w:val="center"/>
          </w:tcPr>
          <w:p>
            <w:pPr>
              <w:pStyle w:val="TableContents"/>
              <w:bidi w:val="0"/>
              <w:spacing w:lineRule="atLeast" w:line="200" w:before="0" w:after="0"/>
              <w:ind w:left="0" w:right="0" w:hanging="0"/>
              <w:jc w:val="left"/>
              <w:rPr/>
            </w:pPr>
            <w:r>
              <w:rPr/>
              <w:t> </w:t>
            </w:r>
          </w:p>
        </w:tc>
        <w:tc>
          <w:tcPr>
            <w:tcW w:w="1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(480) 643-2000</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(Registrant’s telephone number, including area code.)</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(Former name, former address and former fiscal year, if changed since last report.)</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Securities registered pursuant to Section 12(b) of the Act:</w:t>
      </w:r>
    </w:p>
    <w:p>
      <w:pPr>
        <w:pStyle w:val="TextBody"/>
        <w:bidi w:val="0"/>
        <w:spacing w:lineRule="atLeast" w:line="200" w:before="0" w:after="0"/>
        <w:ind w:left="0" w:right="0" w:hanging="0"/>
        <w:jc w:val="center"/>
        <w:rPr/>
      </w:pPr>
      <w:r>
        <w:rPr/>
        <w:t>​</w:t>
      </w:r>
    </w:p>
    <w:p>
      <w:pPr>
        <w:pStyle w:val="Normal"/>
        <w:bidi w:val="0"/>
        <w:spacing w:before="0" w:after="0"/>
        <w:jc w:val="left"/>
        <w:rPr>
          <w:sz w:val="4"/>
          <w:szCs w:val="4"/>
        </w:rPr>
      </w:pPr>
      <w:r>
        <w:rPr>
          <w:sz w:val="4"/>
          <w:szCs w:val="4"/>
        </w:rPr>
      </w:r>
      <w:bookmarkStart w:id="32" w:name="Tc_lennwJ8IA0iPUHuW5foQtw_1_4"/>
      <w:bookmarkStart w:id="33" w:name="Tc_Kk5xGV94MEGaLL2tQ1KUYw_1_2"/>
      <w:bookmarkStart w:id="34" w:name="Tc_a2Xcn0HPVUuVCvbYQPSbDw_1_0"/>
      <w:bookmarkStart w:id="35" w:name="_d108680e_4f63_49ed_b1fc_945232bee3da"/>
      <w:bookmarkStart w:id="36" w:name="Tc_lennwJ8IA0iPUHuW5foQtw_1_4"/>
      <w:bookmarkStart w:id="37" w:name="Tc_Kk5xGV94MEGaLL2tQ1KUYw_1_2"/>
      <w:bookmarkStart w:id="38" w:name="Tc_a2Xcn0HPVUuVCvbYQPSbDw_1_0"/>
      <w:bookmarkStart w:id="39" w:name="_d108680e_4f63_49ed_b1fc_945232bee3da"/>
      <w:bookmarkEnd w:id="36"/>
      <w:bookmarkEnd w:id="37"/>
      <w:bookmarkEnd w:id="38"/>
      <w:bookmarkEnd w:id="39"/>
    </w:p>
    <w:tbl>
      <w:tblPr>
        <w:tblW w:w="9295" w:type="dxa"/>
        <w:jc w:val="left"/>
        <w:tblInd w:w="0" w:type="dxa"/>
        <w:tblLayout w:type="fixed"/>
        <w:tblCellMar>
          <w:top w:w="0" w:type="dxa"/>
          <w:left w:w="0" w:type="dxa"/>
          <w:bottom w:w="0" w:type="dxa"/>
          <w:right w:w="0" w:type="dxa"/>
        </w:tblCellMar>
      </w:tblPr>
      <w:tblGrid>
        <w:gridCol w:w="3466"/>
        <w:gridCol w:w="146"/>
        <w:gridCol w:w="1501"/>
        <w:gridCol w:w="146"/>
        <w:gridCol w:w="4036"/>
      </w:tblGrid>
      <w:tr>
        <w:trPr/>
        <w:tc>
          <w:tcPr>
            <w:tcW w:w="3466"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1501" w:type="dxa"/>
            <w:tcBorders/>
            <w:vAlign w:val="center"/>
          </w:tcPr>
          <w:p>
            <w:pPr>
              <w:pStyle w:val="TableContents"/>
              <w:bidi w:val="0"/>
              <w:spacing w:before="0" w:after="283"/>
              <w:ind w:left="0" w:right="0" w:hanging="0"/>
              <w:jc w:val="left"/>
              <w:rPr>
                <w:sz w:val="4"/>
                <w:szCs w:val="4"/>
              </w:rPr>
            </w:pPr>
            <w:r>
              <w:rPr>
                <w:sz w:val="4"/>
                <w:szCs w:val="4"/>
              </w:rPr>
            </w:r>
          </w:p>
        </w:tc>
        <w:tc>
          <w:tcPr>
            <w:tcW w:w="146" w:type="dxa"/>
            <w:tcBorders/>
            <w:vAlign w:val="center"/>
          </w:tcPr>
          <w:p>
            <w:pPr>
              <w:pStyle w:val="TableContents"/>
              <w:bidi w:val="0"/>
              <w:spacing w:before="0" w:after="283"/>
              <w:ind w:left="0" w:right="0" w:hanging="0"/>
              <w:jc w:val="left"/>
              <w:rPr>
                <w:sz w:val="4"/>
                <w:szCs w:val="4"/>
              </w:rPr>
            </w:pPr>
            <w:r>
              <w:rPr>
                <w:sz w:val="4"/>
                <w:szCs w:val="4"/>
              </w:rPr>
            </w:r>
          </w:p>
        </w:tc>
        <w:tc>
          <w:tcPr>
            <w:tcW w:w="4036" w:type="dxa"/>
            <w:tcBorders/>
            <w:vAlign w:val="center"/>
          </w:tcPr>
          <w:p>
            <w:pPr>
              <w:pStyle w:val="TableContents"/>
              <w:bidi w:val="0"/>
              <w:spacing w:before="0" w:after="283"/>
              <w:ind w:left="0" w:right="0" w:hanging="0"/>
              <w:jc w:val="left"/>
              <w:rPr>
                <w:sz w:val="4"/>
                <w:szCs w:val="4"/>
              </w:rPr>
            </w:pPr>
            <w:r>
              <w:rPr>
                <w:sz w:val="4"/>
                <w:szCs w:val="4"/>
              </w:rPr>
            </w:r>
          </w:p>
        </w:tc>
      </w:tr>
      <w:tr>
        <w:trPr/>
        <w:tc>
          <w:tcPr>
            <w:tcW w:w="346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1501"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Trading Symbol</w:t>
            </w:r>
          </w:p>
        </w:tc>
        <w:tc>
          <w:tcPr>
            <w:tcW w:w="146" w:type="dxa"/>
            <w:tcBorders>
              <w:bottom w:val="single" w:sz="2" w:space="0" w:color="000000"/>
            </w:tcBorders>
            <w:tcMar>
              <w:bottom w:w="28" w:type="dxa"/>
            </w:tcMar>
            <w:vAlign w:val="center"/>
          </w:tcPr>
          <w:p>
            <w:pPr>
              <w:pStyle w:val="TableContents"/>
              <w:bidi w:val="0"/>
              <w:spacing w:lineRule="atLeast" w:line="200" w:before="0" w:after="0"/>
              <w:ind w:left="0" w:right="0" w:hanging="0"/>
              <w:jc w:val="left"/>
              <w:rPr/>
            </w:pPr>
            <w:r>
              <w:rPr/>
              <w:t> </w:t>
            </w:r>
          </w:p>
        </w:tc>
        <w:tc>
          <w:tcPr>
            <w:tcW w:w="4036" w:type="dxa"/>
            <w:tcBorders>
              <w:bottom w:val="single" w:sz="2" w:space="0" w:color="000000"/>
            </w:tcBorders>
            <w:tcMar>
              <w:bottom w:w="28" w:type="dxa"/>
            </w:tcMar>
            <w:vAlign w:val="center"/>
          </w:tcPr>
          <w:p>
            <w:pPr>
              <w:pStyle w:val="TableContents"/>
              <w:bidi w:val="0"/>
              <w:spacing w:lineRule="atLeast" w:line="200"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46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Common stock, par value $1.00 per share</w:t>
            </w:r>
          </w:p>
        </w:tc>
        <w:tc>
          <w:tcPr>
            <w:tcW w:w="146" w:type="dxa"/>
            <w:tcBorders/>
            <w:vAlign w:val="center"/>
          </w:tcPr>
          <w:p>
            <w:pPr>
              <w:pStyle w:val="TableContents"/>
              <w:bidi w:val="0"/>
              <w:spacing w:lineRule="atLeast" w:line="200" w:before="0" w:after="0"/>
              <w:ind w:left="0" w:right="0" w:hanging="0"/>
              <w:jc w:val="left"/>
              <w:rPr/>
            </w:pPr>
            <w:r>
              <w:rPr/>
              <w:t> </w:t>
            </w:r>
          </w:p>
        </w:tc>
        <w:tc>
          <w:tcPr>
            <w:tcW w:w="1501"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AVT</w:t>
            </w:r>
          </w:p>
        </w:tc>
        <w:tc>
          <w:tcPr>
            <w:tcW w:w="146" w:type="dxa"/>
            <w:tcBorders/>
            <w:vAlign w:val="center"/>
          </w:tcPr>
          <w:p>
            <w:pPr>
              <w:pStyle w:val="TableContents"/>
              <w:bidi w:val="0"/>
              <w:spacing w:lineRule="atLeast" w:line="200" w:before="0" w:after="0"/>
              <w:ind w:left="0" w:right="0" w:hanging="0"/>
              <w:jc w:val="left"/>
              <w:rPr/>
            </w:pPr>
            <w:r>
              <w:rPr/>
              <w:t> </w:t>
            </w:r>
          </w:p>
        </w:tc>
        <w:tc>
          <w:tcPr>
            <w:tcW w:w="4036" w:type="dxa"/>
            <w:tcBorders/>
            <w:vAlign w:val="center"/>
          </w:tcPr>
          <w:p>
            <w:pPr>
              <w:pStyle w:val="TableContents"/>
              <w:bidi w:val="0"/>
              <w:spacing w:lineRule="atLeast" w:line="200" w:before="0" w:after="0"/>
              <w:ind w:left="0" w:right="0" w:hanging="0"/>
              <w:jc w:val="center"/>
              <w:rPr>
                <w:rFonts w:ascii="Times New Roman;Times;serif" w:hAnsi="Times New Roman;Times;serif"/>
                <w:sz w:val="20"/>
              </w:rPr>
            </w:pPr>
            <w:r>
              <w:rPr>
                <w:rFonts w:ascii="Times New Roman;Times;serif" w:hAnsi="Times New Roman;Times;serif"/>
                <w:sz w:val="20"/>
              </w:rPr>
              <w:t>Nasdaq Global Select Market</w:t>
            </w:r>
          </w:p>
        </w:tc>
      </w:tr>
    </w:tbl>
    <w:p>
      <w:pPr>
        <w:pStyle w:val="TextBody"/>
        <w:bidi w:val="0"/>
        <w:spacing w:before="0" w:after="0"/>
        <w:ind w:left="0" w:right="0" w:hanging="0"/>
        <w:jc w:val="center"/>
        <w:rPr/>
      </w:pPr>
      <w:r>
        <w:rPr/>
        <w:t>​</w:t>
      </w:r>
    </w:p>
    <w:p>
      <w:pPr>
        <w:pStyle w:val="TextBody"/>
        <w:bidi w:val="0"/>
        <w:spacing w:before="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60" w:after="60"/>
        <w:ind w:left="0" w:right="0" w:firstLine="480"/>
        <w:jc w:val="left"/>
        <w:rPr>
          <w:rFonts w:ascii="Times New Roman;Times;serif" w:hAnsi="Times New Roman;Times;serif"/>
          <w:sz w:val="20"/>
        </w:rPr>
      </w:pPr>
      <w:r>
        <w:rPr>
          <w:rFonts w:ascii="Times New Roman;Times;serif" w:hAnsi="Times New Roman;Times;serif"/>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bidi w:val="0"/>
        <w:spacing w:before="60" w:after="60"/>
        <w:ind w:left="0" w:right="0" w:hanging="0"/>
        <w:jc w:val="both"/>
        <w:rPr>
          <w:rFonts w:ascii="Times New Roman;Times;serif" w:hAnsi="Times New Roman;Times;serif"/>
          <w:sz w:val="20"/>
        </w:rPr>
      </w:pPr>
      <w:r>
        <w:rPr>
          <w:rFonts w:ascii="Times New Roman;Times;serif" w:hAnsi="Times New Roman;Times;serif"/>
          <w:sz w:val="20"/>
        </w:rPr>
        <w:t>Yes ☑ No ☐</w:t>
      </w:r>
    </w:p>
    <w:p>
      <w:pPr>
        <w:pStyle w:val="TextBody"/>
        <w:bidi w:val="0"/>
        <w:spacing w:before="60" w:after="12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39" w:type="dxa"/>
        <w:jc w:val="left"/>
        <w:tblInd w:w="0" w:type="dxa"/>
        <w:tblLayout w:type="fixed"/>
        <w:tblCellMar>
          <w:top w:w="0" w:type="dxa"/>
          <w:left w:w="0" w:type="dxa"/>
          <w:bottom w:w="0" w:type="dxa"/>
          <w:right w:w="0" w:type="dxa"/>
        </w:tblCellMar>
      </w:tblPr>
      <w:tblGrid>
        <w:gridCol w:w="2626"/>
        <w:gridCol w:w="206"/>
        <w:gridCol w:w="2656"/>
        <w:gridCol w:w="251"/>
      </w:tblGrid>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 ☑</w:t>
            </w:r>
          </w:p>
        </w:tc>
        <w:tc>
          <w:tcPr>
            <w:tcW w:w="206" w:type="dxa"/>
            <w:tcBorders/>
            <w:vAlign w:val="center"/>
          </w:tcPr>
          <w:p>
            <w:pPr>
              <w:pStyle w:val="TableContents"/>
              <w:bidi w:val="0"/>
              <w:spacing w:lineRule="atLeast" w:line="200" w:before="0" w:after="0"/>
              <w:ind w:left="0" w:right="0" w:hanging="0"/>
              <w:jc w:val="left"/>
              <w:rPr/>
            </w:pPr>
            <w:r>
              <w:rPr/>
              <w:t>  </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Accelerated Filer ☐</w:t>
            </w:r>
          </w:p>
        </w:tc>
        <w:tc>
          <w:tcPr>
            <w:tcW w:w="251" w:type="dxa"/>
            <w:tcBorders/>
            <w:vAlign w:val="center"/>
          </w:tcPr>
          <w:p>
            <w:pPr>
              <w:pStyle w:val="TableContents"/>
              <w:bidi w:val="0"/>
              <w:spacing w:lineRule="atLeast" w:line="200" w:before="0" w:after="0"/>
              <w:ind w:left="0" w:right="0" w:hanging="0"/>
              <w:jc w:val="left"/>
              <w:rPr/>
            </w:pPr>
            <w:r>
              <w:rPr/>
              <w:t>  </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Non-accelerated Filer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 ☐</w:t>
            </w:r>
          </w:p>
        </w:tc>
        <w:tc>
          <w:tcPr>
            <w:tcW w:w="251" w:type="dxa"/>
            <w:tcBorders/>
            <w:vAlign w:val="center"/>
          </w:tcPr>
          <w:p>
            <w:pPr>
              <w:pStyle w:val="TableContents"/>
              <w:bidi w:val="0"/>
              <w:spacing w:lineRule="atLeast" w:line="200" w:before="0" w:after="0"/>
              <w:ind w:left="0" w:right="0" w:hanging="0"/>
              <w:jc w:val="left"/>
              <w:rPr/>
            </w:pPr>
            <w:r>
              <w:rPr/>
              <w:t>​</w:t>
            </w:r>
          </w:p>
        </w:tc>
      </w:tr>
      <w:tr>
        <w:trPr/>
        <w:tc>
          <w:tcPr>
            <w:tcW w:w="2626" w:type="dxa"/>
            <w:tcBorders/>
            <w:vAlign w:val="center"/>
          </w:tcPr>
          <w:p>
            <w:pPr>
              <w:pStyle w:val="TableContents"/>
              <w:bidi w:val="0"/>
              <w:spacing w:lineRule="atLeast" w:line="200"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 ☐</w:t>
            </w:r>
          </w:p>
        </w:tc>
        <w:tc>
          <w:tcPr>
            <w:tcW w:w="206" w:type="dxa"/>
            <w:tcBorders/>
            <w:vAlign w:val="center"/>
          </w:tcPr>
          <w:p>
            <w:pPr>
              <w:pStyle w:val="TableContents"/>
              <w:bidi w:val="0"/>
              <w:spacing w:lineRule="atLeast" w:line="200" w:before="0" w:after="0"/>
              <w:ind w:left="0" w:right="0" w:hanging="0"/>
              <w:jc w:val="left"/>
              <w:rPr/>
            </w:pPr>
            <w:r>
              <w:rPr/>
              <w:t>​</w:t>
            </w:r>
          </w:p>
        </w:tc>
        <w:tc>
          <w:tcPr>
            <w:tcW w:w="2656" w:type="dxa"/>
            <w:tcBorders/>
            <w:vAlign w:val="center"/>
          </w:tcPr>
          <w:p>
            <w:pPr>
              <w:pStyle w:val="TableContents"/>
              <w:bidi w:val="0"/>
              <w:spacing w:lineRule="atLeast" w:line="200" w:before="0" w:after="0"/>
              <w:ind w:left="0" w:right="0" w:hanging="0"/>
              <w:jc w:val="left"/>
              <w:rPr/>
            </w:pPr>
            <w:r>
              <w:rPr/>
              <w:t>​</w:t>
            </w:r>
          </w:p>
        </w:tc>
        <w:tc>
          <w:tcPr>
            <w:tcW w:w="251" w:type="dxa"/>
            <w:tcBorders/>
            <w:vAlign w:val="center"/>
          </w:tcPr>
          <w:p>
            <w:pPr>
              <w:pStyle w:val="TableContents"/>
              <w:bidi w:val="0"/>
              <w:spacing w:lineRule="atLeast" w:line="200" w:before="0" w:after="0"/>
              <w:ind w:left="0" w:right="0" w:hanging="0"/>
              <w:jc w:val="left"/>
              <w:rPr/>
            </w:pPr>
            <w:r>
              <w:rPr/>
              <w:t>​</w:t>
            </w:r>
          </w:p>
        </w:tc>
      </w:tr>
    </w:tbl>
    <w:p>
      <w:pPr>
        <w:pStyle w:val="TextBody"/>
        <w:bidi w:val="0"/>
        <w:spacing w:before="60" w:after="60"/>
        <w:ind w:left="0" w:right="0" w:firstLine="475"/>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20" w:after="60"/>
        <w:ind w:left="0" w:right="0" w:firstLine="475"/>
        <w:jc w:val="left"/>
        <w:rPr>
          <w:rFonts w:ascii="Times New Roman;Times;serif" w:hAnsi="Times New Roman;Times;serif"/>
          <w:sz w:val="20"/>
        </w:rPr>
      </w:pPr>
      <w:r>
        <w:rPr>
          <w:rFonts w:ascii="Times New Roman;Times;serif" w:hAnsi="Times New Roman;Times;serif"/>
          <w:sz w:val="20"/>
        </w:rPr>
        <w:t>As of October 28, 2023, the total number of shares outstanding of the registrant’s Common Stock was 90,485,363 shares, net of treasury shares.</w:t>
      </w:r>
    </w:p>
    <w:p>
      <w:pPr>
        <w:pStyle w:val="TextBody"/>
        <w:pBdr>
          <w:bottom w:val="single" w:sz="8" w:space="1" w:color="000000"/>
        </w:pBdr>
        <w:bidi w:val="0"/>
        <w:spacing w:before="0" w:after="0"/>
        <w:ind w:left="0" w:right="0" w:hanging="0"/>
        <w:jc w:val="left"/>
        <w:rPr>
          <w:bdr w:val="single" w:sz="24" w:space="1" w:color="000000"/>
        </w:rPr>
      </w:pPr>
      <w:r>
        <w:rPr>
          <w:bdr w:val="single" w:sz="24" w:space="1" w:color="000000"/>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00" w:after="0"/>
        <w:ind w:left="0" w:right="0" w:hanging="0"/>
        <w:jc w:val="center"/>
        <w:rPr>
          <w:rFonts w:ascii="Times New Roman;Times;serif" w:hAnsi="Times New Roman;Times;serif"/>
          <w:sz w:val="20"/>
        </w:rPr>
      </w:pPr>
      <w:bookmarkStart w:id="40" w:name="_04d4b543_b1f9_4c2c_bdbe_58f415c214e7"/>
      <w:bookmarkEnd w:id="40"/>
      <w:r>
        <w:rPr>
          <w:rFonts w:ascii="Times New Roman;Times;serif" w:hAnsi="Times New Roman;Times;serif"/>
          <w:sz w:val="20"/>
        </w:rPr>
        <w:t>AVNET, INC. AND SUBSIDIARIES</w:t>
      </w:r>
    </w:p>
    <w:p>
      <w:pPr>
        <w:pStyle w:val="TextBody"/>
        <w:bidi w:val="0"/>
        <w:spacing w:before="0" w:after="0"/>
        <w:ind w:left="0" w:right="0" w:hanging="0"/>
        <w:jc w:val="center"/>
        <w:rPr>
          <w:rFonts w:ascii="Times New Roman;Times;serif" w:hAnsi="Times New Roman;Times;serif"/>
          <w:sz w:val="20"/>
        </w:rPr>
      </w:pPr>
      <w:bookmarkStart w:id="41" w:name="Toc"/>
      <w:bookmarkEnd w:id="41"/>
      <w:r>
        <w:rPr>
          <w:rFonts w:ascii="Times New Roman;Times;serif" w:hAnsi="Times New Roman;Times;serif"/>
          <w:sz w:val="20"/>
        </w:rPr>
        <w:t>INDEX</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334"/>
        <w:gridCol w:w="871"/>
      </w:tblGrid>
      <w:tr>
        <w:trPr/>
        <w:tc>
          <w:tcPr>
            <w:tcW w:w="9334" w:type="dxa"/>
            <w:tcBorders/>
            <w:vAlign w:val="center"/>
          </w:tcPr>
          <w:p>
            <w:pPr>
              <w:pStyle w:val="TableContents"/>
              <w:bidi w:val="0"/>
              <w:spacing w:before="0" w:after="0"/>
              <w:ind w:left="0" w:right="0" w:hanging="0"/>
              <w:jc w:val="left"/>
              <w:rPr/>
            </w:pPr>
            <w:r>
              <w:rPr/>
              <w:t>​</w:t>
            </w:r>
          </w:p>
        </w:tc>
        <w:tc>
          <w:tcPr>
            <w:tcW w:w="871"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 No.</w:t>
            </w:r>
          </w:p>
        </w:tc>
      </w:tr>
      <w:tr>
        <w:trPr/>
        <w:tc>
          <w:tcPr>
            <w:tcW w:w="9334" w:type="dxa"/>
            <w:tcBorders/>
            <w:vAlign w:val="center"/>
          </w:tcPr>
          <w:p>
            <w:pPr>
              <w:pStyle w:val="TableContents"/>
              <w:pBdr/>
              <w:bidi w:val="0"/>
              <w:spacing w:before="0" w:after="0"/>
              <w:ind w:left="0" w:right="0" w:hanging="0"/>
              <w:jc w:val="center"/>
              <w:rPr/>
            </w:pPr>
            <w:hyperlink w:anchor="PART_I_FINANCIAL_INFORMATION">
              <w:r>
                <w:rPr>
                  <w:rStyle w:val="InternetLink"/>
                  <w:rFonts w:ascii="Times New Roman;Times;serif" w:hAnsi="Times New Roman;Times;serif"/>
                  <w:b w:val="false"/>
                  <w:i w:val="false"/>
                  <w:caps w:val="false"/>
                  <w:smallCaps w:val="false"/>
                  <w:sz w:val="20"/>
                </w:rPr>
                <w:t>PART I. FINANCIAL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Item_1_Financial_Statements">
              <w:r>
                <w:rPr>
                  <w:rStyle w:val="InternetLink"/>
                  <w:rFonts w:ascii="Times New Roman;Times;serif" w:hAnsi="Times New Roman;Times;serif"/>
                  <w:b w:val="false"/>
                  <w:i w:val="false"/>
                  <w:caps w:val="false"/>
                  <w:smallCaps w:val="false"/>
                  <w:sz w:val="20"/>
                </w:rPr>
                <w:t>Item 1. Financial Statements (Unaudited)</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Balance_Sheets">
              <w:r>
                <w:rPr>
                  <w:rStyle w:val="InternetLink"/>
                  <w:rFonts w:ascii="Times New Roman;Times;serif" w:hAnsi="Times New Roman;Times;serif"/>
                  <w:b w:val="false"/>
                  <w:i w:val="false"/>
                  <w:caps w:val="false"/>
                  <w:smallCaps w:val="false"/>
                  <w:sz w:val="20"/>
                </w:rPr>
                <w:t>Consolidated Balance Sheets at September 30, 2023 and July 1, 2023</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Operations">
              <w:r>
                <w:rPr>
                  <w:rStyle w:val="InternetLink"/>
                  <w:rFonts w:ascii="Times New Roman;Times;serif" w:hAnsi="Times New Roman;Times;serif"/>
                  <w:b w:val="false"/>
                  <w:i w:val="false"/>
                  <w:caps w:val="false"/>
                  <w:smallCaps w:val="false"/>
                  <w:sz w:val="20"/>
                </w:rPr>
                <w:t>Consolidated Statements of Operations for the first quarters ended September 30, 2023 and October 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Comprehensive_">
              <w:r>
                <w:rPr>
                  <w:rStyle w:val="InternetLink"/>
                  <w:rFonts w:ascii="Times New Roman;Times;serif" w:hAnsi="Times New Roman;Times;serif"/>
                  <w:b w:val="false"/>
                  <w:i w:val="false"/>
                  <w:caps w:val="false"/>
                  <w:smallCaps w:val="false"/>
                  <w:sz w:val="20"/>
                </w:rPr>
                <w:t>Consolidated Statements of Comprehensive Income for the first quarters ended September 30, 2023 and October 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_of_Shareholders_E">
              <w:r>
                <w:rPr>
                  <w:rStyle w:val="InternetLink"/>
                  <w:rFonts w:ascii="Times New Roman;Times;serif" w:hAnsi="Times New Roman;Times;serif"/>
                  <w:b w:val="false"/>
                  <w:i w:val="false"/>
                  <w:caps w:val="false"/>
                  <w:smallCaps w:val="false"/>
                  <w:sz w:val="20"/>
                </w:rPr>
                <w:t>Consolidated Statements of Shareholders’ Equity for the first quarters ended September 30, 2023 and October 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Consolidated_Statements_of_Cash_Flows_">
              <w:r>
                <w:rPr>
                  <w:rStyle w:val="InternetLink"/>
                  <w:rFonts w:ascii="Times New Roman;Times;serif" w:hAnsi="Times New Roman;Times;serif"/>
                  <w:b w:val="false"/>
                  <w:i w:val="false"/>
                  <w:caps w:val="false"/>
                  <w:smallCaps w:val="false"/>
                  <w:sz w:val="20"/>
                </w:rPr>
                <w:t>Consolidated Statements of Cash Flows for the first quarters ended September 30, 2023 and October 1, 2022</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9334" w:type="dxa"/>
            <w:tcBorders/>
            <w:vAlign w:val="center"/>
          </w:tcPr>
          <w:p>
            <w:pPr>
              <w:pStyle w:val="TableContents"/>
              <w:pBdr/>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pBdr/>
              <w:bidi w:val="0"/>
              <w:spacing w:before="0" w:after="0"/>
              <w:ind w:left="0" w:right="0" w:hanging="0"/>
              <w:jc w:val="left"/>
              <w:rPr/>
            </w:pPr>
            <w:hyperlink w:anchor="Notes_to_Consolidated_Financial_Statemen">
              <w:r>
                <w:rPr>
                  <w:rStyle w:val="InternetLink"/>
                  <w:rFonts w:ascii="Times New Roman;Times;serif" w:hAnsi="Times New Roman;Times;serif"/>
                  <w:b w:val="false"/>
                  <w:i w:val="false"/>
                  <w:caps w:val="false"/>
                  <w:smallCaps w:val="false"/>
                  <w:sz w:val="20"/>
                </w:rPr>
                <w:t>Notes to Consolidated Financial Statements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3_Quantitative_and_Qualitative_Disc">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4_Controls_and_Procedures">
              <w:r>
                <w:rPr>
                  <w:rStyle w:val="InternetLink"/>
                  <w:rFonts w:ascii="Times New Roman;Times;serif" w:hAnsi="Times New Roman;Times;serif"/>
                  <w:b w:val="false"/>
                  <w:i w:val="false"/>
                  <w:caps w:val="false"/>
                  <w:smallCaps w:val="false"/>
                  <w:sz w:val="20"/>
                </w:rPr>
                <w:t>Item 4. Controls and Procedures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center"/>
              <w:rPr/>
            </w:pPr>
            <w:hyperlink w:anchor="PART_II_OTHER_INFORMATION">
              <w:r>
                <w:rPr>
                  <w:rStyle w:val="InternetLink"/>
                  <w:rFonts w:ascii="Times New Roman;Times;serif" w:hAnsi="Times New Roman;Times;serif"/>
                  <w:b w:val="false"/>
                  <w:i w:val="false"/>
                  <w:caps w:val="false"/>
                  <w:smallCaps w:val="false"/>
                  <w:sz w:val="20"/>
                </w:rPr>
                <w:t>PART II. OTHER INFORMATION</w:t>
              </w:r>
            </w:hyperlink>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_Legal_Proceedings">
              <w:r>
                <w:rPr>
                  <w:rStyle w:val="InternetLink"/>
                  <w:rFonts w:ascii="Times New Roman;Times;serif" w:hAnsi="Times New Roman;Times;serif"/>
                  <w:b w:val="false"/>
                  <w:i w:val="false"/>
                  <w:caps w:val="false"/>
                  <w:smallCaps w:val="false"/>
                  <w:sz w:val="20"/>
                </w:rPr>
                <w:t>Item 1. Legal Proceedings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1A_Risk_Factors">
              <w:r>
                <w:rPr>
                  <w:rStyle w:val="InternetLink"/>
                  <w:rFonts w:ascii="Times New Roman;Times;serif" w:hAnsi="Times New Roman;Times;serif"/>
                  <w:b w:val="false"/>
                  <w:i w:val="false"/>
                  <w:caps w:val="false"/>
                  <w:smallCaps w:val="false"/>
                  <w:sz w:val="20"/>
                </w:rPr>
                <w:t>Item 1A. Risk Factors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2_Unregistered_Sales_of_Equity_Secu">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Item_6_Exhibits">
              <w:r>
                <w:rPr>
                  <w:rStyle w:val="InternetLink"/>
                  <w:rFonts w:ascii="Times New Roman;Times;serif" w:hAnsi="Times New Roman;Times;serif"/>
                  <w:b w:val="false"/>
                  <w:i w:val="false"/>
                  <w:caps w:val="false"/>
                  <w:smallCaps w:val="false"/>
                  <w:sz w:val="20"/>
                </w:rPr>
                <w:t>Item 6. Exhibits</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w:t>
            </w:r>
          </w:p>
        </w:tc>
      </w:tr>
      <w:tr>
        <w:trPr/>
        <w:tc>
          <w:tcPr>
            <w:tcW w:w="9334"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right"/>
              <w:rPr/>
            </w:pPr>
            <w:r>
              <w:rPr/>
              <w:t>​</w:t>
            </w:r>
          </w:p>
        </w:tc>
      </w:tr>
      <w:tr>
        <w:trPr/>
        <w:tc>
          <w:tcPr>
            <w:tcW w:w="9334" w:type="dxa"/>
            <w:tcBorders/>
            <w:vAlign w:val="center"/>
          </w:tcPr>
          <w:p>
            <w:pPr>
              <w:pStyle w:val="TableContents"/>
              <w:bidi w:val="0"/>
              <w:spacing w:before="0" w:after="0"/>
              <w:ind w:left="0" w:right="0" w:hanging="0"/>
              <w:jc w:val="left"/>
              <w:rPr/>
            </w:pPr>
            <w:hyperlink w:anchor="Signature_Page">
              <w:r>
                <w:rPr>
                  <w:rStyle w:val="InternetLink"/>
                  <w:rFonts w:ascii="Times New Roman;Times;serif" w:hAnsi="Times New Roman;Times;serif"/>
                  <w:b w:val="false"/>
                  <w:i w:val="false"/>
                  <w:caps w:val="false"/>
                  <w:smallCaps w:val="false"/>
                  <w:sz w:val="20"/>
                </w:rPr>
                <w:t>Signature Page</w:t>
              </w:r>
            </w:hyperlink>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2" w:name="PART_I_FINANCIAL_INFORMATION"/>
      <w:bookmarkStart w:id="43" w:name="_34030b5c_0728_4352_9b3b_a417ed5f7a3c"/>
      <w:bookmarkEnd w:id="42"/>
      <w:bookmarkEnd w:id="43"/>
      <w:r>
        <w:rPr>
          <w:rFonts w:ascii="Times New Roman;Times;serif" w:hAnsi="Times New Roman;Times;serif"/>
          <w:b/>
          <w:sz w:val="20"/>
        </w:rPr>
        <w:t>PART I</w:t>
      </w:r>
    </w:p>
    <w:p>
      <w:pPr>
        <w:pStyle w:val="TextBody"/>
        <w:bidi w:val="0"/>
        <w:spacing w:before="60" w:after="0"/>
        <w:ind w:left="0" w:right="0" w:hanging="0"/>
        <w:jc w:val="center"/>
        <w:rPr>
          <w:rFonts w:ascii="Times New Roman;Times;serif" w:hAnsi="Times New Roman;Times;serif"/>
          <w:b/>
          <w:sz w:val="20"/>
        </w:rPr>
      </w:pPr>
      <w:r>
        <w:rPr>
          <w:rFonts w:ascii="Times New Roman;Times;serif" w:hAnsi="Times New Roman;Times;serif"/>
          <w:b/>
          <w:sz w:val="20"/>
        </w:rPr>
        <w:t>FINANCIAL INFORMATION</w:t>
      </w:r>
    </w:p>
    <w:p>
      <w:pPr>
        <w:pStyle w:val="Normal"/>
        <w:bidi w:val="0"/>
        <w:spacing w:before="0" w:after="0"/>
        <w:jc w:val="left"/>
        <w:rPr>
          <w:sz w:val="4"/>
          <w:szCs w:val="4"/>
        </w:rPr>
      </w:pPr>
      <w:r>
        <w:rPr>
          <w:sz w:val="4"/>
          <w:szCs w:val="4"/>
        </w:rPr>
      </w:r>
      <w:bookmarkStart w:id="44" w:name="Item_1_Financial_Statements"/>
      <w:bookmarkStart w:id="45" w:name="Item_1_Financial_Statements"/>
      <w:bookmarkEnd w:id="45"/>
    </w:p>
    <w:tbl>
      <w:tblPr>
        <w:tblW w:w="2627" w:type="dxa"/>
        <w:jc w:val="left"/>
        <w:tblInd w:w="0" w:type="dxa"/>
        <w:tblLayout w:type="fixed"/>
        <w:tblCellMar>
          <w:top w:w="0" w:type="dxa"/>
          <w:left w:w="0" w:type="dxa"/>
          <w:bottom w:w="0" w:type="dxa"/>
          <w:right w:w="0" w:type="dxa"/>
        </w:tblCellMar>
      </w:tblPr>
      <w:tblGrid>
        <w:gridCol w:w="706"/>
        <w:gridCol w:w="192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92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Financial Statements</w:t>
            </w:r>
          </w:p>
        </w:tc>
      </w:tr>
    </w:tbl>
    <w:p>
      <w:pPr>
        <w:pStyle w:val="TextBody"/>
        <w:bidi w:val="0"/>
        <w:spacing w:before="0" w:after="0"/>
        <w:ind w:left="0" w:right="0" w:hanging="0"/>
        <w:jc w:val="center"/>
        <w:rPr>
          <w:rFonts w:ascii="Times New Roman;Times;serif" w:hAnsi="Times New Roman;Times;serif"/>
          <w:b/>
          <w:sz w:val="20"/>
        </w:rPr>
      </w:pPr>
      <w:bookmarkStart w:id="46" w:name="Consolidated_Balance_Sheets"/>
      <w:bookmarkEnd w:id="46"/>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7" w:name="Tc_fC3M0JMzi02fTno1VolQ4g_35_5"/>
      <w:bookmarkStart w:id="48" w:name="Tc_vwlL6-NIo0K8HmoNkAV1ug_35_2"/>
      <w:bookmarkStart w:id="49" w:name="Tc_OQMHjtq3qkyWUODhBGQiUQ_35_0"/>
      <w:bookmarkStart w:id="50" w:name="Tc_JK1tyfOHqUGpqzwMT4-iqw_34_0"/>
      <w:bookmarkStart w:id="51" w:name="Tc_xj7vzHk4B0WUNf5CPFBDWw_33_0"/>
      <w:bookmarkStart w:id="52" w:name="Tc_GV1yqT5Ndk23eWU9JYq2jQ_32_0"/>
      <w:bookmarkStart w:id="53" w:name="Tc_WUvdvgIVIEK7hLc2MSwSsA_31_0"/>
      <w:bookmarkStart w:id="54" w:name="Tc_d5_DKyhLzkqj9LDgwMvaJA_30_0"/>
      <w:bookmarkStart w:id="55" w:name="Tc_ScVj034ZakKaufTUMpbbXg_29_0"/>
      <w:bookmarkStart w:id="56" w:name="Tc_so2-ckInd02FQhzeI-iFrA_28_0"/>
      <w:bookmarkStart w:id="57" w:name="Tc_5F-2Bi2yGUSZcJC70G_IXg_27_0"/>
      <w:bookmarkStart w:id="58" w:name="Tc_bjDvIFrNb0-23fGBhxclTA_26_0"/>
      <w:bookmarkStart w:id="59" w:name="Tc_0K8YPIQfYUuWrvnpF0M8-w_25_0"/>
      <w:bookmarkStart w:id="60" w:name="Tc_WqALgzQUaEunC7XK4pPkTg_24_0"/>
      <w:bookmarkStart w:id="61" w:name="Tc_WyCAjgyrdEaFT2RZozPCAQ_23_0"/>
      <w:bookmarkStart w:id="62" w:name="Tc_JvRY98RlM0ehpLqiNEGL2Q_22_0"/>
      <w:bookmarkStart w:id="63" w:name="Tc_PhmoP9SX30e72LHXPvLJOA_21_0"/>
      <w:bookmarkStart w:id="64" w:name="Tc_vIMGCJegfUqHt0pD2KMxwQ_20_0"/>
      <w:bookmarkStart w:id="65" w:name="Tc_KSIWGtCl-Eu_nTvW8SutRA_19_5"/>
      <w:bookmarkStart w:id="66" w:name="Tc_LUx4Emzd7UGIVvR-t2R5Kg_19_2"/>
      <w:bookmarkStart w:id="67" w:name="Tc_uhYQBcjJaU2ZHSsRt5dExw_19_0"/>
      <w:bookmarkStart w:id="68" w:name="Tc_iIYrxTB2PkSVGGNt3rD6Zw_18_0"/>
      <w:bookmarkStart w:id="69" w:name="Tc_Dt7OyKSH_UmH581sKUK5Fw_17_0"/>
      <w:bookmarkStart w:id="70" w:name="Tc_1Ok_A9oAgECZQyJzIqGzSQ_16_5"/>
      <w:bookmarkStart w:id="71" w:name="Tc_LYQ031pEYU6_pLn5WoxWpg_16_2"/>
      <w:bookmarkStart w:id="72" w:name="Tc_IuIgntruYku6GVLvcfPfDQ_16_0"/>
      <w:bookmarkStart w:id="73" w:name="Tc_w0KSNF5TO06hnDQr7pZVSA_15_0"/>
      <w:bookmarkStart w:id="74" w:name="Tc_fz2FbmOFoEiuwkTceRib9w_14_0"/>
      <w:bookmarkStart w:id="75" w:name="Tc_iCuxWdJ-20mUk2l41kekkg_13_0"/>
      <w:bookmarkStart w:id="76" w:name="Tc_aERAj5XK5EuYV_60aXOa7g_12_0"/>
      <w:bookmarkStart w:id="77" w:name="Tc_xcpwMzhzhEub9gzxuM4Udg_11_0"/>
      <w:bookmarkStart w:id="78" w:name="Tc_cM9AR8OKbkmqhuipQvAjVw_10_0"/>
      <w:bookmarkStart w:id="79" w:name="Tc_vtjjONKyDESClTu3_SKJFA_9_0"/>
      <w:bookmarkStart w:id="80" w:name="Tc_Hw9LAkk9M0aHWqujYmcj1g_8_0"/>
      <w:bookmarkStart w:id="81" w:name="Tc_CSNPHpiQmECwX6-FhPKh8w_7_5"/>
      <w:bookmarkStart w:id="82" w:name="Tc_RHhLcasnhEi7BsFgEYIUGA_7_2"/>
      <w:bookmarkStart w:id="83" w:name="Tc_QdaGt07uNkG9gZTwY0qRzw_7_0"/>
      <w:bookmarkStart w:id="84" w:name="Tc_UU5kLQoVz0m-heS8nUI1eA_6_0"/>
      <w:bookmarkStart w:id="85" w:name="Tc_16_sJio7D0OHihxTs9Z2vQ_5_0"/>
      <w:bookmarkStart w:id="86" w:name="Tc_62lJs2E6cEWqu_k3divUlw_4_2"/>
      <w:bookmarkStart w:id="87" w:name="Tc_NNf5Ow-oOUuakPv1rvhAiw_3_2"/>
      <w:bookmarkStart w:id="88" w:name="Tc_A6twWZYjike0RqucGjYOtw_2_5"/>
      <w:bookmarkStart w:id="89" w:name="Tc_3pT-W37QU0mAJ2ir73ixhw_2_2"/>
      <w:bookmarkStart w:id="90" w:name="Tc_73heD0nMkEyZba71KBHtPw_1_5"/>
      <w:bookmarkStart w:id="91" w:name="Tc_UAyI1pFrPUqao11uNgZwmA_1_2"/>
      <w:bookmarkStart w:id="92" w:name="_e9827a2c_b761_45f1_94d3_6909cb28f8e2"/>
      <w:bookmarkStart w:id="93" w:name="Tc_fC3M0JMzi02fTno1VolQ4g_35_5"/>
      <w:bookmarkStart w:id="94" w:name="Tc_vwlL6-NIo0K8HmoNkAV1ug_35_2"/>
      <w:bookmarkStart w:id="95" w:name="Tc_OQMHjtq3qkyWUODhBGQiUQ_35_0"/>
      <w:bookmarkStart w:id="96" w:name="Tc_JK1tyfOHqUGpqzwMT4-iqw_34_0"/>
      <w:bookmarkStart w:id="97" w:name="Tc_xj7vzHk4B0WUNf5CPFBDWw_33_0"/>
      <w:bookmarkStart w:id="98" w:name="Tc_GV1yqT5Ndk23eWU9JYq2jQ_32_0"/>
      <w:bookmarkStart w:id="99" w:name="Tc_WUvdvgIVIEK7hLc2MSwSsA_31_0"/>
      <w:bookmarkStart w:id="100" w:name="Tc_d5_DKyhLzkqj9LDgwMvaJA_30_0"/>
      <w:bookmarkStart w:id="101" w:name="Tc_ScVj034ZakKaufTUMpbbXg_29_0"/>
      <w:bookmarkStart w:id="102" w:name="Tc_so2-ckInd02FQhzeI-iFrA_28_0"/>
      <w:bookmarkStart w:id="103" w:name="Tc_5F-2Bi2yGUSZcJC70G_IXg_27_0"/>
      <w:bookmarkStart w:id="104" w:name="Tc_bjDvIFrNb0-23fGBhxclTA_26_0"/>
      <w:bookmarkStart w:id="105" w:name="Tc_0K8YPIQfYUuWrvnpF0M8-w_25_0"/>
      <w:bookmarkStart w:id="106" w:name="Tc_WqALgzQUaEunC7XK4pPkTg_24_0"/>
      <w:bookmarkStart w:id="107" w:name="Tc_WyCAjgyrdEaFT2RZozPCAQ_23_0"/>
      <w:bookmarkStart w:id="108" w:name="Tc_JvRY98RlM0ehpLqiNEGL2Q_22_0"/>
      <w:bookmarkStart w:id="109" w:name="Tc_PhmoP9SX30e72LHXPvLJOA_21_0"/>
      <w:bookmarkStart w:id="110" w:name="Tc_vIMGCJegfUqHt0pD2KMxwQ_20_0"/>
      <w:bookmarkStart w:id="111" w:name="Tc_KSIWGtCl-Eu_nTvW8SutRA_19_5"/>
      <w:bookmarkStart w:id="112" w:name="Tc_LUx4Emzd7UGIVvR-t2R5Kg_19_2"/>
      <w:bookmarkStart w:id="113" w:name="Tc_uhYQBcjJaU2ZHSsRt5dExw_19_0"/>
      <w:bookmarkStart w:id="114" w:name="Tc_iIYrxTB2PkSVGGNt3rD6Zw_18_0"/>
      <w:bookmarkStart w:id="115" w:name="Tc_Dt7OyKSH_UmH581sKUK5Fw_17_0"/>
      <w:bookmarkStart w:id="116" w:name="Tc_1Ok_A9oAgECZQyJzIqGzSQ_16_5"/>
      <w:bookmarkStart w:id="117" w:name="Tc_LYQ031pEYU6_pLn5WoxWpg_16_2"/>
      <w:bookmarkStart w:id="118" w:name="Tc_IuIgntruYku6GVLvcfPfDQ_16_0"/>
      <w:bookmarkStart w:id="119" w:name="Tc_w0KSNF5TO06hnDQr7pZVSA_15_0"/>
      <w:bookmarkStart w:id="120" w:name="Tc_fz2FbmOFoEiuwkTceRib9w_14_0"/>
      <w:bookmarkStart w:id="121" w:name="Tc_iCuxWdJ-20mUk2l41kekkg_13_0"/>
      <w:bookmarkStart w:id="122" w:name="Tc_aERAj5XK5EuYV_60aXOa7g_12_0"/>
      <w:bookmarkStart w:id="123" w:name="Tc_xcpwMzhzhEub9gzxuM4Udg_11_0"/>
      <w:bookmarkStart w:id="124" w:name="Tc_cM9AR8OKbkmqhuipQvAjVw_10_0"/>
      <w:bookmarkStart w:id="125" w:name="Tc_vtjjONKyDESClTu3_SKJFA_9_0"/>
      <w:bookmarkStart w:id="126" w:name="Tc_Hw9LAkk9M0aHWqujYmcj1g_8_0"/>
      <w:bookmarkStart w:id="127" w:name="Tc_CSNPHpiQmECwX6-FhPKh8w_7_5"/>
      <w:bookmarkStart w:id="128" w:name="Tc_RHhLcasnhEi7BsFgEYIUGA_7_2"/>
      <w:bookmarkStart w:id="129" w:name="Tc_QdaGt07uNkG9gZTwY0qRzw_7_0"/>
      <w:bookmarkStart w:id="130" w:name="Tc_UU5kLQoVz0m-heS8nUI1eA_6_0"/>
      <w:bookmarkStart w:id="131" w:name="Tc_16_sJio7D0OHihxTs9Z2vQ_5_0"/>
      <w:bookmarkStart w:id="132" w:name="Tc_62lJs2E6cEWqu_k3divUlw_4_2"/>
      <w:bookmarkStart w:id="133" w:name="Tc_NNf5Ow-oOUuakPv1rvhAiw_3_2"/>
      <w:bookmarkStart w:id="134" w:name="Tc_A6twWZYjike0RqucGjYOtw_2_5"/>
      <w:bookmarkStart w:id="135" w:name="Tc_3pT-W37QU0mAJ2ir73ixhw_2_2"/>
      <w:bookmarkStart w:id="136" w:name="Tc_73heD0nMkEyZba71KBHtPw_1_5"/>
      <w:bookmarkStart w:id="137" w:name="Tc_UAyI1pFrPUqao11uNgZwmA_1_2"/>
      <w:bookmarkStart w:id="138" w:name="_e9827a2c_b761_45f1_94d3_6909cb28f8e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p>
    <w:tbl>
      <w:tblPr>
        <w:tblW w:w="10205" w:type="dxa"/>
        <w:jc w:val="left"/>
        <w:tblInd w:w="0" w:type="dxa"/>
        <w:tblLayout w:type="fixed"/>
        <w:tblCellMar>
          <w:top w:w="0" w:type="dxa"/>
          <w:left w:w="0" w:type="dxa"/>
          <w:bottom w:w="0" w:type="dxa"/>
          <w:right w:w="0" w:type="dxa"/>
        </w:tblCellMar>
      </w:tblPr>
      <w:tblGrid>
        <w:gridCol w:w="6826"/>
        <w:gridCol w:w="326"/>
        <w:gridCol w:w="217"/>
        <w:gridCol w:w="1071"/>
        <w:gridCol w:w="326"/>
        <w:gridCol w:w="211"/>
        <w:gridCol w:w="1036"/>
        <w:gridCol w:w="192"/>
      </w:tblGrid>
      <w:tr>
        <w:trPr/>
        <w:tc>
          <w:tcPr>
            <w:tcW w:w="6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4334510" cy="175260"/>
                      <wp:effectExtent l="0" t="0" r="0" b="0"/>
                      <wp:wrapNone/>
                      <wp:docPr id="6" name="Frame6"/>
                      <a:graphic xmlns:a="http://schemas.openxmlformats.org/drawingml/2006/main">
                        <a:graphicData uri="http://schemas.microsoft.com/office/word/2010/wordprocessingShape">
                          <wps:wsp>
                            <wps:cNvSpPr txBox="1"/>
                            <wps:spPr>
                              <a:xfrm>
                                <a:off x="0" y="0"/>
                                <a:ext cx="433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37795" cy="175260"/>
                      <wp:effectExtent l="0" t="0" r="0" b="0"/>
                      <wp:wrapNone/>
                      <wp:docPr id="8" name="Frame8"/>
                      <a:graphic xmlns:a="http://schemas.openxmlformats.org/drawingml/2006/main">
                        <a:graphicData uri="http://schemas.microsoft.com/office/word/2010/wordprocessingShape">
                          <wps:wsp>
                            <wps:cNvSpPr txBox="1"/>
                            <wps:spPr>
                              <a:xfrm>
                                <a:off x="0" y="0"/>
                                <a:ext cx="137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80085" cy="175260"/>
                      <wp:effectExtent l="0" t="0" r="0" b="0"/>
                      <wp:wrapNone/>
                      <wp:docPr id="9" name="Frame9"/>
                      <a:graphic xmlns:a="http://schemas.openxmlformats.org/drawingml/2006/main">
                        <a:graphicData uri="http://schemas.microsoft.com/office/word/2010/wordprocessingShape">
                          <wps:wsp>
                            <wps:cNvSpPr txBox="1"/>
                            <wps:spPr>
                              <a:xfrm>
                                <a:off x="0" y="0"/>
                                <a:ext cx="680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33985" cy="175260"/>
                      <wp:effectExtent l="0" t="0" r="0" b="0"/>
                      <wp:wrapNone/>
                      <wp:docPr id="11" name="Frame1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7860" cy="175260"/>
                      <wp:effectExtent l="0" t="0" r="0" b="0"/>
                      <wp:wrapNone/>
                      <wp:docPr id="12" name="Frame12"/>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121920" cy="175260"/>
                      <wp:effectExtent l="0" t="0" r="0" b="0"/>
                      <wp:wrapNone/>
                      <wp:docPr id="13" name="Frame13"/>
                      <a:graphic xmlns:a="http://schemas.openxmlformats.org/drawingml/2006/main">
                        <a:graphicData uri="http://schemas.microsoft.com/office/word/2010/wordprocessingShape">
                          <wps:wsp>
                            <wps:cNvSpPr txBox="1"/>
                            <wps:spPr>
                              <a:xfrm>
                                <a:off x="0" y="0"/>
                                <a:ext cx="1219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288"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288"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2" w:type="dxa"/>
            <w:tcBorders/>
            <w:vAlign w:val="center"/>
          </w:tcPr>
          <w:p>
            <w:pPr>
              <w:pStyle w:val="TableContents"/>
              <w:bidi w:val="0"/>
              <w:spacing w:before="0" w:after="0"/>
              <w:ind w:left="0" w:right="0" w:hanging="0"/>
              <w:jc w:val="center"/>
              <w:rPr/>
            </w:pPr>
            <w:r>
              <w:rPr/>
              <w:t> </w:t>
            </w:r>
          </w:p>
        </w:tc>
      </w:tr>
      <w:tr>
        <w:trPr/>
        <w:tc>
          <w:tcPr>
            <w:tcW w:w="10205"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share</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6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amounts)</w:t>
            </w:r>
          </w:p>
        </w:tc>
        <w:tc>
          <w:tcPr>
            <w:tcW w:w="192" w:type="dxa"/>
            <w:tcBorders/>
            <w:vAlign w:val="center"/>
          </w:tcPr>
          <w:p>
            <w:pPr>
              <w:pStyle w:val="TableContents"/>
              <w:bidi w:val="0"/>
              <w:spacing w:before="0" w:after="0"/>
              <w:ind w:left="0" w:right="0" w:hanging="0"/>
              <w:jc w:val="center"/>
              <w:rPr/>
            </w:pPr>
            <w:r>
              <w:rPr/>
              <w:t> </w:t>
            </w:r>
          </w:p>
        </w:tc>
      </w:tr>
      <w:tr>
        <w:trPr/>
        <w:tc>
          <w:tcPr>
            <w:tcW w:w="68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278,679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288,230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4,679,691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4,763,788</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Inventories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5,755,051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5,465,031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and other current assets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197,720</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233,804</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10,911,141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10,750,853</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470,971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441,557</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759,848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780,629</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assets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220,657</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221,698</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283,845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282,422</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12,646,462</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12,477,159</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bidi w:val="0"/>
              <w:spacing w:before="0" w:after="0"/>
              <w:ind w:left="0" w:right="0" w:hanging="0"/>
              <w:jc w:val="center"/>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68,601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3,445,711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3,373,820</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722,409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753,130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operating lease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53,657</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51,792</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4,290,378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4,249,378</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3,101,903</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2,988,029</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186,745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190,621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liabilities</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244,853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297,462</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7,823,879</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7,725,490</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 (Note 7)</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w:t>
            </w:r>
          </w:p>
        </w:tc>
        <w:tc>
          <w:tcPr>
            <w:tcW w:w="10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pPr>
            <w:r>
              <w:rPr/>
              <w:t>​</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w:t>
            </w:r>
          </w:p>
        </w:tc>
        <w:tc>
          <w:tcPr>
            <w:tcW w:w="10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$1.00 par; authorized 300,000,000 shares; issued 90,983,772 shares and 91,504,053 shares, respectively</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90,984</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91,504</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right"/>
              <w:rPr/>
            </w:pPr>
            <w:r>
              <w:rPr/>
              <w:t> </w:t>
            </w:r>
          </w:p>
        </w:tc>
        <w:tc>
          <w:tcPr>
            <w:tcW w:w="10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1,702,065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1,691,334</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Retained earnings</w:t>
            </w:r>
          </w:p>
        </w:tc>
        <w:tc>
          <w:tcPr>
            <w:tcW w:w="326" w:type="dxa"/>
            <w:tcBorders/>
            <w:vAlign w:val="center"/>
          </w:tcPr>
          <w:p>
            <w:pPr>
              <w:pStyle w:val="TableContents"/>
              <w:bidi w:val="0"/>
              <w:spacing w:before="0" w:after="0"/>
              <w:ind w:left="0" w:right="0" w:hanging="0"/>
              <w:jc w:val="left"/>
              <w:rPr/>
            </w:pPr>
            <w:r>
              <w:rPr/>
              <w:t>​</w:t>
            </w:r>
          </w:p>
        </w:tc>
        <w:tc>
          <w:tcPr>
            <w:tcW w:w="217" w:type="dxa"/>
            <w:tcBorders/>
            <w:vAlign w:val="center"/>
          </w:tcPr>
          <w:p>
            <w:pPr>
              <w:pStyle w:val="TableContents"/>
              <w:bidi w:val="0"/>
              <w:spacing w:before="0" w:after="0"/>
              <w:ind w:left="0" w:right="0" w:hanging="0"/>
              <w:jc w:val="right"/>
              <w:rPr/>
            </w:pPr>
            <w:r>
              <w:rPr/>
              <w:t> </w:t>
            </w:r>
          </w:p>
        </w:tc>
        <w:tc>
          <w:tcPr>
            <w:tcW w:w="10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3,532,676</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3,378,212</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(503,142)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(409,381)</w:t>
            </w:r>
          </w:p>
        </w:tc>
        <w:tc>
          <w:tcPr>
            <w:tcW w:w="192" w:type="dxa"/>
            <w:tcBorders/>
            <w:shd w:fill="CCEEFF" w:val="clear"/>
            <w:vAlign w:val="center"/>
          </w:tcPr>
          <w:p>
            <w:pPr>
              <w:pStyle w:val="TableContents"/>
              <w:bidi w:val="0"/>
              <w:spacing w:before="0" w:after="0"/>
              <w:ind w:left="0" w:right="0" w:hanging="0"/>
              <w:jc w:val="left"/>
              <w:rPr/>
            </w:pPr>
            <w:r>
              <w:rPr/>
              <w:t>​</w:t>
            </w:r>
          </w:p>
        </w:tc>
      </w:tr>
      <w:tr>
        <w:trPr/>
        <w:tc>
          <w:tcPr>
            <w:tcW w:w="68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326" w:type="dxa"/>
            <w:tcBorders/>
            <w:vAlign w:val="center"/>
          </w:tcPr>
          <w:p>
            <w:pPr>
              <w:pStyle w:val="TableContents"/>
              <w:bidi w:val="0"/>
              <w:spacing w:before="0" w:after="0"/>
              <w:ind w:left="0" w:right="0" w:hanging="0"/>
              <w:jc w:val="left"/>
              <w:rPr/>
            </w:pPr>
            <w:r>
              <w:rPr/>
              <w:t>​</w:t>
            </w:r>
          </w:p>
        </w:tc>
        <w:tc>
          <w:tcPr>
            <w:tcW w:w="217"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7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4,822,583</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03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4,751,669</w:t>
            </w:r>
          </w:p>
        </w:tc>
        <w:tc>
          <w:tcPr>
            <w:tcW w:w="192" w:type="dxa"/>
            <w:tcBorders/>
            <w:vAlign w:val="center"/>
          </w:tcPr>
          <w:p>
            <w:pPr>
              <w:pStyle w:val="TableContents"/>
              <w:bidi w:val="0"/>
              <w:spacing w:before="0" w:after="0"/>
              <w:ind w:left="0" w:right="0" w:hanging="0"/>
              <w:jc w:val="left"/>
              <w:rPr/>
            </w:pPr>
            <w:r>
              <w:rPr/>
              <w:t>​</w:t>
            </w:r>
          </w:p>
        </w:tc>
      </w:tr>
      <w:tr>
        <w:trPr/>
        <w:tc>
          <w:tcPr>
            <w:tcW w:w="68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w:t>
            </w:r>
          </w:p>
        </w:tc>
        <w:tc>
          <w:tcPr>
            <w:tcW w:w="2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12,646,462</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12,477,159</w:t>
            </w:r>
          </w:p>
        </w:tc>
        <w:tc>
          <w:tcPr>
            <w:tcW w:w="19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39" w:name="Consolidated_Statements_of_Operations"/>
      <w:bookmarkStart w:id="140" w:name="_43f2bcfd_34e8_42cb_b398_9e275ba9ed3c"/>
      <w:bookmarkEnd w:id="139"/>
      <w:bookmarkEnd w:id="140"/>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41" w:name="Tc_mkkEQRetXkCZxw6Vf2VH5g_25_5"/>
      <w:bookmarkStart w:id="142" w:name="Tc_TS6dCF9fnUq40thHreKb3A_25_2"/>
      <w:bookmarkStart w:id="143" w:name="Tc_e_NZpxNqAUiU2cYT15QSHQ_25_0"/>
      <w:bookmarkStart w:id="144" w:name="Tc_GtwM_WbZQUKLHSmq78v3Kw_24_0"/>
      <w:bookmarkStart w:id="145" w:name="Tc_fUTg5EfHsky7oKbQ5X7fXg_23_0"/>
      <w:bookmarkStart w:id="146" w:name="Tc_iAVFIDNC70aXcI-TUFllVQ_22_0"/>
      <w:bookmarkStart w:id="147" w:name="Tc_km1_UEcssE-QZIpU96DJhA_20_5"/>
      <w:bookmarkStart w:id="148" w:name="Tc_taLD3rrKJUWyGYOBAGUlLA_20_2"/>
      <w:bookmarkStart w:id="149" w:name="Tc_gP58-E_N-UK3Tjn5e6TSoQ_20_0"/>
      <w:bookmarkStart w:id="150" w:name="Tc_LnAnSdrQ90-pK3pXCpDomw_19_5"/>
      <w:bookmarkStart w:id="151" w:name="Tc_Z8-BqzkzikaScBFgKqgLuA_19_2"/>
      <w:bookmarkStart w:id="152" w:name="Tc_MO5bfefj0k6PZ9cQwIfHiA_19_0"/>
      <w:bookmarkStart w:id="153" w:name="Tc_36B8atx6L0uNk0XLf-sXvA_18_0"/>
      <w:bookmarkStart w:id="154" w:name="Tc_gHjzVXbtXkS6_AtxFTrsUg_16_5"/>
      <w:bookmarkStart w:id="155" w:name="Tc_8bei3DoHfEK_wiOgHtR-jw_16_2"/>
      <w:bookmarkStart w:id="156" w:name="Tc_wUci0HtZ9kOQDsCgU_s4Iw_16_0"/>
      <w:bookmarkStart w:id="157" w:name="Tc_sWAh3LF2_kuu5BfUGTbF9Q_15_0"/>
      <w:bookmarkStart w:id="158" w:name="Tc_M-4RaSuQgEWOk2LBpqUyhw_14_0"/>
      <w:bookmarkStart w:id="159" w:name="Tc_KGGmWrDF20u7ZwF1_l4ifg_13_6"/>
      <w:bookmarkStart w:id="160" w:name="Tc_CAMM9xkAckWCoopjU5nIIw_13_0"/>
      <w:bookmarkStart w:id="161" w:name="Tc_EPefnuDU50GhvRC9Por2pw_12_0"/>
      <w:bookmarkStart w:id="162" w:name="Tc_2Qg9R07yj0euuvawEbjeqA_11_0"/>
      <w:bookmarkStart w:id="163" w:name="Tc_N8a89H4PAEuf6Vu2J5qHJg_10_0"/>
      <w:bookmarkStart w:id="164" w:name="Tc_azwSEFmh6kmmL5uZ0ezNRg_9_6"/>
      <w:bookmarkStart w:id="165" w:name="Tc_9ZPLT7aCJUKtddLMAZOq2A_9_0"/>
      <w:bookmarkStart w:id="166" w:name="Tc_xyzi4IdVX0uq8O2i8aBVyg_8_0"/>
      <w:bookmarkStart w:id="167" w:name="Tc_REN71-b30USGQ4BxW-GRCw_7_0"/>
      <w:bookmarkStart w:id="168" w:name="Tc_qQWD_sLmu0qL_QGvbfJDAw_5_5"/>
      <w:bookmarkStart w:id="169" w:name="Tc_T2OzSvYeykmto2X0mkQyjg_5_2"/>
      <w:bookmarkStart w:id="170" w:name="Tc_QWHIpeiIvEyzbb50oaP7Fw_4_2"/>
      <w:bookmarkStart w:id="171" w:name="Tc_hIijMl1caUq7u1V4_qZLSg_3_5"/>
      <w:bookmarkStart w:id="172" w:name="Tc_D0T4pFcaika5R3JIO3_mRw_3_2"/>
      <w:bookmarkStart w:id="173" w:name="Tc_YKR9df3PiU6MIbpiQM6UGw_2_5"/>
      <w:bookmarkStart w:id="174" w:name="Tc_fjP9RJ-hoEC3W7f_kxDRPw_2_2"/>
      <w:bookmarkStart w:id="175" w:name="Tc_NL4c-CNcn0WMkiN0muHpmg_1_2"/>
      <w:bookmarkStart w:id="176" w:name="_bd213b61_9e67_4cc3_b848_10041952f92a"/>
      <w:bookmarkStart w:id="177" w:name="Tc_mkkEQRetXkCZxw6Vf2VH5g_25_5"/>
      <w:bookmarkStart w:id="178" w:name="Tc_TS6dCF9fnUq40thHreKb3A_25_2"/>
      <w:bookmarkStart w:id="179" w:name="Tc_e_NZpxNqAUiU2cYT15QSHQ_25_0"/>
      <w:bookmarkStart w:id="180" w:name="Tc_GtwM_WbZQUKLHSmq78v3Kw_24_0"/>
      <w:bookmarkStart w:id="181" w:name="Tc_fUTg5EfHsky7oKbQ5X7fXg_23_0"/>
      <w:bookmarkStart w:id="182" w:name="Tc_iAVFIDNC70aXcI-TUFllVQ_22_0"/>
      <w:bookmarkStart w:id="183" w:name="Tc_km1_UEcssE-QZIpU96DJhA_20_5"/>
      <w:bookmarkStart w:id="184" w:name="Tc_taLD3rrKJUWyGYOBAGUlLA_20_2"/>
      <w:bookmarkStart w:id="185" w:name="Tc_gP58-E_N-UK3Tjn5e6TSoQ_20_0"/>
      <w:bookmarkStart w:id="186" w:name="Tc_LnAnSdrQ90-pK3pXCpDomw_19_5"/>
      <w:bookmarkStart w:id="187" w:name="Tc_Z8-BqzkzikaScBFgKqgLuA_19_2"/>
      <w:bookmarkStart w:id="188" w:name="Tc_MO5bfefj0k6PZ9cQwIfHiA_19_0"/>
      <w:bookmarkStart w:id="189" w:name="Tc_36B8atx6L0uNk0XLf-sXvA_18_0"/>
      <w:bookmarkStart w:id="190" w:name="Tc_gHjzVXbtXkS6_AtxFTrsUg_16_5"/>
      <w:bookmarkStart w:id="191" w:name="Tc_8bei3DoHfEK_wiOgHtR-jw_16_2"/>
      <w:bookmarkStart w:id="192" w:name="Tc_wUci0HtZ9kOQDsCgU_s4Iw_16_0"/>
      <w:bookmarkStart w:id="193" w:name="Tc_sWAh3LF2_kuu5BfUGTbF9Q_15_0"/>
      <w:bookmarkStart w:id="194" w:name="Tc_M-4RaSuQgEWOk2LBpqUyhw_14_0"/>
      <w:bookmarkStart w:id="195" w:name="Tc_KGGmWrDF20u7ZwF1_l4ifg_13_6"/>
      <w:bookmarkStart w:id="196" w:name="Tc_CAMM9xkAckWCoopjU5nIIw_13_0"/>
      <w:bookmarkStart w:id="197" w:name="Tc_EPefnuDU50GhvRC9Por2pw_12_0"/>
      <w:bookmarkStart w:id="198" w:name="Tc_2Qg9R07yj0euuvawEbjeqA_11_0"/>
      <w:bookmarkStart w:id="199" w:name="Tc_N8a89H4PAEuf6Vu2J5qHJg_10_0"/>
      <w:bookmarkStart w:id="200" w:name="Tc_azwSEFmh6kmmL5uZ0ezNRg_9_6"/>
      <w:bookmarkStart w:id="201" w:name="Tc_9ZPLT7aCJUKtddLMAZOq2A_9_0"/>
      <w:bookmarkStart w:id="202" w:name="Tc_xyzi4IdVX0uq8O2i8aBVyg_8_0"/>
      <w:bookmarkStart w:id="203" w:name="Tc_REN71-b30USGQ4BxW-GRCw_7_0"/>
      <w:bookmarkStart w:id="204" w:name="Tc_qQWD_sLmu0qL_QGvbfJDAw_5_5"/>
      <w:bookmarkStart w:id="205" w:name="Tc_T2OzSvYeykmto2X0mkQyjg_5_2"/>
      <w:bookmarkStart w:id="206" w:name="Tc_QWHIpeiIvEyzbb50oaP7Fw_4_2"/>
      <w:bookmarkStart w:id="207" w:name="Tc_hIijMl1caUq7u1V4_qZLSg_3_5"/>
      <w:bookmarkStart w:id="208" w:name="Tc_D0T4pFcaika5R3JIO3_mRw_3_2"/>
      <w:bookmarkStart w:id="209" w:name="Tc_YKR9df3PiU6MIbpiQM6UGw_2_5"/>
      <w:bookmarkStart w:id="210" w:name="Tc_fjP9RJ-hoEC3W7f_kxDRPw_2_2"/>
      <w:bookmarkStart w:id="211" w:name="Tc_NL4c-CNcn0WMkiN0muHpmg_1_2"/>
      <w:bookmarkStart w:id="212" w:name="_bd213b61_9e67_4cc3_b848_10041952f92a"/>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tbl>
      <w:tblPr>
        <w:tblW w:w="7557" w:type="dxa"/>
        <w:jc w:val="left"/>
        <w:tblInd w:w="0" w:type="dxa"/>
        <w:tblLayout w:type="fixed"/>
        <w:tblCellMar>
          <w:top w:w="0" w:type="dxa"/>
          <w:left w:w="0" w:type="dxa"/>
          <w:bottom w:w="0" w:type="dxa"/>
          <w:right w:w="0" w:type="dxa"/>
        </w:tblCellMar>
      </w:tblPr>
      <w:tblGrid>
        <w:gridCol w:w="3811"/>
        <w:gridCol w:w="326"/>
        <w:gridCol w:w="286"/>
        <w:gridCol w:w="1268"/>
        <w:gridCol w:w="401"/>
        <w:gridCol w:w="259"/>
        <w:gridCol w:w="1206"/>
      </w:tblGrid>
      <w:tr>
        <w:trPr/>
        <w:tc>
          <w:tcPr>
            <w:tcW w:w="3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419985" cy="175260"/>
                      <wp:effectExtent l="0" t="0" r="0" b="0"/>
                      <wp:wrapNone/>
                      <wp:docPr id="14" name="Frame14"/>
                      <a:graphic xmlns:a="http://schemas.openxmlformats.org/drawingml/2006/main">
                        <a:graphicData uri="http://schemas.microsoft.com/office/word/2010/wordprocessingShape">
                          <wps:wsp>
                            <wps:cNvSpPr txBox="1"/>
                            <wps:spPr>
                              <a:xfrm>
                                <a:off x="0" y="0"/>
                                <a:ext cx="2419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181610" cy="175260"/>
                      <wp:effectExtent l="0" t="0" r="0" b="0"/>
                      <wp:wrapNone/>
                      <wp:docPr id="16" name="Frame16"/>
                      <a:graphic xmlns:a="http://schemas.openxmlformats.org/drawingml/2006/main">
                        <a:graphicData uri="http://schemas.microsoft.com/office/word/2010/wordprocessingShape">
                          <wps:wsp>
                            <wps:cNvSpPr txBox="1"/>
                            <wps:spPr>
                              <a:xfrm>
                                <a:off x="0" y="0"/>
                                <a:ext cx="181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805180" cy="175260"/>
                      <wp:effectExtent l="0" t="0" r="0" b="0"/>
                      <wp:wrapNone/>
                      <wp:docPr id="17" name="Frame17"/>
                      <a:graphic xmlns:a="http://schemas.openxmlformats.org/drawingml/2006/main">
                        <a:graphicData uri="http://schemas.microsoft.com/office/word/2010/wordprocessingShape">
                          <wps:wsp>
                            <wps:cNvSpPr txBox="1"/>
                            <wps:spPr>
                              <a:xfrm>
                                <a:off x="0" y="0"/>
                                <a:ext cx="8051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54635" cy="175260"/>
                      <wp:effectExtent l="0" t="0" r="0" b="0"/>
                      <wp:wrapNone/>
                      <wp:docPr id="18" name="Frame18"/>
                      <a:graphic xmlns:a="http://schemas.openxmlformats.org/drawingml/2006/main">
                        <a:graphicData uri="http://schemas.microsoft.com/office/word/2010/wordprocessingShape">
                          <wps:wsp>
                            <wps:cNvSpPr txBox="1"/>
                            <wps:spPr>
                              <a:xfrm>
                                <a:off x="0" y="0"/>
                                <a:ext cx="25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5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164465" cy="175260"/>
                      <wp:effectExtent l="0" t="0" r="0" b="0"/>
                      <wp:wrapNone/>
                      <wp:docPr id="19" name="Frame19"/>
                      <a:graphic xmlns:a="http://schemas.openxmlformats.org/drawingml/2006/main">
                        <a:graphicData uri="http://schemas.microsoft.com/office/word/2010/wordprocessingShape">
                          <wps:wsp>
                            <wps:cNvSpPr txBox="1"/>
                            <wps:spPr>
                              <a:xfrm>
                                <a:off x="0" y="0"/>
                                <a:ext cx="1644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765810" cy="175260"/>
                      <wp:effectExtent l="0" t="0" r="0" b="0"/>
                      <wp:wrapNone/>
                      <wp:docPr id="20" name="Frame20"/>
                      <a:graphic xmlns:a="http://schemas.openxmlformats.org/drawingml/2006/main">
                        <a:graphicData uri="http://schemas.microsoft.com/office/word/2010/wordprocessingShape">
                          <wps:wsp>
                            <wps:cNvSpPr txBox="1"/>
                            <wps:spPr>
                              <a:xfrm>
                                <a:off x="0" y="0"/>
                                <a:ext cx="765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20"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554"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401" w:type="dxa"/>
            <w:tcBorders/>
            <w:vAlign w:val="center"/>
          </w:tcPr>
          <w:p>
            <w:pPr>
              <w:pStyle w:val="TableContents"/>
              <w:bidi w:val="0"/>
              <w:spacing w:before="0" w:after="0"/>
              <w:ind w:left="0" w:right="0" w:hanging="0"/>
              <w:jc w:val="center"/>
              <w:rPr/>
            </w:pPr>
            <w:r>
              <w:rPr/>
              <w:t>    </w:t>
            </w:r>
          </w:p>
        </w:tc>
        <w:tc>
          <w:tcPr>
            <w:tcW w:w="146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554"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01" w:type="dxa"/>
            <w:tcBorders/>
            <w:vAlign w:val="center"/>
          </w:tcPr>
          <w:p>
            <w:pPr>
              <w:pStyle w:val="TableContents"/>
              <w:bidi w:val="0"/>
              <w:spacing w:before="0" w:after="0"/>
              <w:ind w:left="0" w:right="0" w:hanging="0"/>
              <w:jc w:val="center"/>
              <w:rPr/>
            </w:pPr>
            <w:r>
              <w:rPr/>
              <w:t>​</w:t>
            </w:r>
          </w:p>
        </w:tc>
        <w:tc>
          <w:tcPr>
            <w:tcW w:w="146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557"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420"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amounts)</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6,335,648</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6,750,133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sales</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68"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5,587,542</w:t>
            </w:r>
          </w:p>
        </w:tc>
        <w:tc>
          <w:tcPr>
            <w:tcW w:w="401" w:type="dxa"/>
            <w:tcBorders/>
            <w:vAlign w:val="center"/>
          </w:tcPr>
          <w:p>
            <w:pPr>
              <w:pStyle w:val="TableContents"/>
              <w:bidi w:val="0"/>
              <w:spacing w:before="0" w:after="0"/>
              <w:ind w:left="0" w:right="0" w:hanging="0"/>
              <w:jc w:val="left"/>
              <w:rPr/>
            </w:pPr>
            <w:r>
              <w:rPr/>
              <w:t>​</w:t>
            </w:r>
          </w:p>
        </w:tc>
        <w:tc>
          <w:tcPr>
            <w:tcW w:w="259"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120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5,981,960</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profit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748,106</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768,173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487,286</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477,636</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6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7,051</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253,769</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290,537</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right"/>
              <w:rPr/>
            </w:pPr>
            <w:r>
              <w:rPr/>
              <w:t> </w:t>
            </w:r>
          </w:p>
        </w:tc>
        <w:tc>
          <w:tcPr>
            <w:tcW w:w="126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5,960</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right"/>
              <w:rPr/>
            </w:pPr>
            <w:r>
              <w:rPr/>
              <w:t> </w:t>
            </w:r>
          </w:p>
        </w:tc>
        <w:tc>
          <w:tcPr>
            <w:tcW w:w="120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expenses, net</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(70,796)</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(45,098)</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legal settlements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6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86,499</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2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before taxes</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 </w:t>
            </w:r>
          </w:p>
        </w:tc>
        <w:tc>
          <w:tcPr>
            <w:tcW w:w="126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275,432</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 </w:t>
            </w:r>
          </w:p>
        </w:tc>
        <w:tc>
          <w:tcPr>
            <w:tcW w:w="120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245,762</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6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66,164</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0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61,501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209,268</w:t>
            </w:r>
          </w:p>
        </w:tc>
        <w:tc>
          <w:tcPr>
            <w:tcW w:w="401"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184,261</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Earnings per share:</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1268"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w:t>
            </w:r>
          </w:p>
        </w:tc>
        <w:tc>
          <w:tcPr>
            <w:tcW w:w="1206"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401"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38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shd w:fill="CCEEFF" w:val="clear"/>
            <w:vAlign w:val="center"/>
          </w:tcPr>
          <w:p>
            <w:pPr>
              <w:pStyle w:val="TableContents"/>
              <w:bidi w:val="0"/>
              <w:spacing w:before="0" w:after="0"/>
              <w:ind w:left="0" w:right="0" w:hanging="0"/>
              <w:jc w:val="left"/>
              <w:rPr/>
            </w:pPr>
            <w:r>
              <w:rPr/>
              <w:t>​</w:t>
            </w:r>
          </w:p>
        </w:tc>
        <w:tc>
          <w:tcPr>
            <w:tcW w:w="1268" w:type="dxa"/>
            <w:tcBorders/>
            <w:shd w:fill="CCEEFF" w:val="clear"/>
            <w:vAlign w:val="center"/>
          </w:tcPr>
          <w:p>
            <w:pPr>
              <w:pStyle w:val="TableContents"/>
              <w:bidi w:val="0"/>
              <w:spacing w:before="0" w:after="0"/>
              <w:ind w:left="0" w:right="0" w:hanging="0"/>
              <w:jc w:val="right"/>
              <w:rPr/>
            </w:pPr>
            <w:r>
              <w:rPr/>
              <w:t>​</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shd w:fill="CCEEFF" w:val="clear"/>
            <w:vAlign w:val="center"/>
          </w:tcPr>
          <w:p>
            <w:pPr>
              <w:pStyle w:val="TableContents"/>
              <w:bidi w:val="0"/>
              <w:spacing w:before="0" w:after="0"/>
              <w:ind w:left="0" w:right="0" w:hanging="0"/>
              <w:jc w:val="left"/>
              <w:rPr/>
            </w:pPr>
            <w:r>
              <w:rPr/>
              <w:t>​</w:t>
            </w:r>
          </w:p>
        </w:tc>
        <w:tc>
          <w:tcPr>
            <w:tcW w:w="1206" w:type="dxa"/>
            <w:tcBorders/>
            <w:shd w:fill="CCEEFF" w:val="clear"/>
            <w:vAlign w:val="center"/>
          </w:tcPr>
          <w:p>
            <w:pPr>
              <w:pStyle w:val="TableContents"/>
              <w:bidi w:val="0"/>
              <w:spacing w:before="0" w:after="0"/>
              <w:ind w:left="0" w:right="0" w:hanging="0"/>
              <w:jc w:val="right"/>
              <w:rPr/>
            </w:pPr>
            <w:r>
              <w:rPr/>
              <w:t>​</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to compute earnings per share:</w:t>
            </w:r>
          </w:p>
        </w:tc>
        <w:tc>
          <w:tcPr>
            <w:tcW w:w="326" w:type="dxa"/>
            <w:tcBorders/>
            <w:vAlign w:val="center"/>
          </w:tcPr>
          <w:p>
            <w:pPr>
              <w:pStyle w:val="TableContents"/>
              <w:bidi w:val="0"/>
              <w:spacing w:before="0" w:after="0"/>
              <w:ind w:left="0" w:right="0" w:hanging="0"/>
              <w:jc w:val="left"/>
              <w:rPr/>
            </w:pPr>
            <w:r>
              <w:rPr/>
              <w:t>​</w:t>
            </w:r>
          </w:p>
        </w:tc>
        <w:tc>
          <w:tcPr>
            <w:tcW w:w="286" w:type="dxa"/>
            <w:tcBorders/>
            <w:vAlign w:val="center"/>
          </w:tcPr>
          <w:p>
            <w:pPr>
              <w:pStyle w:val="TableContents"/>
              <w:bidi w:val="0"/>
              <w:spacing w:before="0" w:after="0"/>
              <w:ind w:left="0" w:right="0" w:hanging="0"/>
              <w:jc w:val="right"/>
              <w:rPr/>
            </w:pPr>
            <w:r>
              <w:rPr/>
              <w:t>​</w:t>
            </w:r>
          </w:p>
        </w:tc>
        <w:tc>
          <w:tcPr>
            <w:tcW w:w="1268" w:type="dxa"/>
            <w:tcBorders/>
            <w:vAlign w:val="center"/>
          </w:tcPr>
          <w:p>
            <w:pPr>
              <w:pStyle w:val="TableContents"/>
              <w:bidi w:val="0"/>
              <w:spacing w:before="0" w:after="0"/>
              <w:ind w:left="0" w:right="0" w:hanging="0"/>
              <w:jc w:val="right"/>
              <w:rPr/>
            </w:pPr>
            <w:r>
              <w:rPr/>
              <w:t>​</w:t>
            </w:r>
          </w:p>
        </w:tc>
        <w:tc>
          <w:tcPr>
            <w:tcW w:w="401" w:type="dxa"/>
            <w:tcBorders/>
            <w:vAlign w:val="center"/>
          </w:tcPr>
          <w:p>
            <w:pPr>
              <w:pStyle w:val="TableContents"/>
              <w:bidi w:val="0"/>
              <w:spacing w:before="0" w:after="0"/>
              <w:ind w:left="0" w:right="0" w:hanging="0"/>
              <w:jc w:val="left"/>
              <w:rPr/>
            </w:pPr>
            <w:r>
              <w:rPr/>
              <w:t>​</w:t>
            </w:r>
          </w:p>
        </w:tc>
        <w:tc>
          <w:tcPr>
            <w:tcW w:w="259" w:type="dxa"/>
            <w:tcBorders/>
            <w:vAlign w:val="center"/>
          </w:tcPr>
          <w:p>
            <w:pPr>
              <w:pStyle w:val="TableContents"/>
              <w:bidi w:val="0"/>
              <w:spacing w:before="0" w:after="0"/>
              <w:ind w:left="0" w:right="0" w:hanging="0"/>
              <w:jc w:val="right"/>
              <w:rPr/>
            </w:pPr>
            <w:r>
              <w:rPr/>
              <w:t>​</w:t>
            </w:r>
          </w:p>
        </w:tc>
        <w:tc>
          <w:tcPr>
            <w:tcW w:w="1206" w:type="dxa"/>
            <w:tcBorders/>
            <w:vAlign w:val="center"/>
          </w:tcPr>
          <w:p>
            <w:pPr>
              <w:pStyle w:val="TableContents"/>
              <w:bidi w:val="0"/>
              <w:spacing w:before="0" w:after="0"/>
              <w:ind w:left="0" w:right="0" w:hanging="0"/>
              <w:jc w:val="right"/>
              <w:rPr/>
            </w:pPr>
            <w:r>
              <w:rPr/>
              <w:t>​</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91,495</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94,051</w:t>
            </w:r>
          </w:p>
        </w:tc>
      </w:tr>
      <w:tr>
        <w:trPr/>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Diluted</w:t>
            </w:r>
          </w:p>
        </w:tc>
        <w:tc>
          <w:tcPr>
            <w:tcW w:w="326" w:type="dxa"/>
            <w:tcBorders/>
            <w:vAlign w:val="center"/>
          </w:tcPr>
          <w:p>
            <w:pPr>
              <w:pStyle w:val="TableContents"/>
              <w:bidi w:val="0"/>
              <w:spacing w:before="0" w:after="0"/>
              <w:ind w:left="0" w:right="0" w:hanging="0"/>
              <w:jc w:val="left"/>
              <w:rPr/>
            </w:pPr>
            <w:r>
              <w:rPr/>
              <w:t>​</w:t>
            </w:r>
          </w:p>
        </w:tc>
        <w:tc>
          <w:tcPr>
            <w:tcW w:w="286"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26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93,178</w:t>
            </w:r>
          </w:p>
        </w:tc>
        <w:tc>
          <w:tcPr>
            <w:tcW w:w="401" w:type="dxa"/>
            <w:tcBorders/>
            <w:vAlign w:val="center"/>
          </w:tcPr>
          <w:p>
            <w:pPr>
              <w:pStyle w:val="TableContents"/>
              <w:bidi w:val="0"/>
              <w:spacing w:before="0" w:after="0"/>
              <w:ind w:left="0" w:right="0" w:hanging="0"/>
              <w:jc w:val="left"/>
              <w:rPr/>
            </w:pPr>
            <w:r>
              <w:rPr/>
              <w:t>​</w:t>
            </w:r>
          </w:p>
        </w:tc>
        <w:tc>
          <w:tcPr>
            <w:tcW w:w="259" w:type="dxa"/>
            <w:tcBorders>
              <w:bottom w:val="double" w:sz="6" w:space="0" w:color="000000"/>
            </w:tcBorders>
            <w:tcMar>
              <w:bottom w:w="28" w:type="dxa"/>
            </w:tcMar>
            <w:vAlign w:val="center"/>
          </w:tcPr>
          <w:p>
            <w:pPr>
              <w:pStyle w:val="TableContents"/>
              <w:bidi w:val="0"/>
              <w:spacing w:before="0" w:after="0"/>
              <w:ind w:left="0" w:right="0" w:hanging="0"/>
              <w:jc w:val="right"/>
              <w:rPr/>
            </w:pPr>
            <w:r>
              <w:rPr/>
              <w:t> </w:t>
            </w:r>
          </w:p>
        </w:tc>
        <w:tc>
          <w:tcPr>
            <w:tcW w:w="12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95,636</w:t>
            </w:r>
          </w:p>
        </w:tc>
      </w:tr>
      <w:tr>
        <w:trPr/>
        <w:tc>
          <w:tcPr>
            <w:tcW w:w="38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dividends paid per common share</w:t>
            </w:r>
          </w:p>
        </w:tc>
        <w:tc>
          <w:tcPr>
            <w:tcW w:w="326" w:type="dxa"/>
            <w:tcBorders/>
            <w:shd w:fill="CCEEFF" w:val="clear"/>
            <w:vAlign w:val="center"/>
          </w:tcPr>
          <w:p>
            <w:pPr>
              <w:pStyle w:val="TableContents"/>
              <w:bidi w:val="0"/>
              <w:spacing w:before="0" w:after="0"/>
              <w:ind w:left="0" w:right="0" w:hanging="0"/>
              <w:jc w:val="left"/>
              <w:rPr/>
            </w:pPr>
            <w:r>
              <w:rPr/>
              <w:t>​</w:t>
            </w:r>
          </w:p>
        </w:tc>
        <w:tc>
          <w:tcPr>
            <w:tcW w:w="2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0.31</w:t>
            </w:r>
          </w:p>
        </w:tc>
        <w:tc>
          <w:tcPr>
            <w:tcW w:w="401" w:type="dxa"/>
            <w:tcBorders/>
            <w:shd w:fill="CCEEFF" w:val="clear"/>
            <w:vAlign w:val="center"/>
          </w:tcPr>
          <w:p>
            <w:pPr>
              <w:pStyle w:val="TableContents"/>
              <w:bidi w:val="0"/>
              <w:spacing w:before="0" w:after="0"/>
              <w:ind w:left="0" w:right="0" w:hanging="0"/>
              <w:jc w:val="left"/>
              <w:rPr/>
            </w:pPr>
            <w:r>
              <w:rPr/>
              <w:t>​</w:t>
            </w:r>
          </w:p>
        </w:tc>
        <w:tc>
          <w:tcPr>
            <w:tcW w:w="2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0.29</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13" w:name="Consolidated_Statement_of_Comprehensive_"/>
      <w:bookmarkStart w:id="214" w:name="_41657ea6_90fa_40df_94d0_082c7a346be3"/>
      <w:bookmarkEnd w:id="213"/>
      <w:bookmarkEnd w:id="214"/>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COMPREHENSIVE INCOME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15" w:name="Tc_eClK6i4p2UaTnqwo0Q7MbA_11_5"/>
      <w:bookmarkStart w:id="216" w:name="Tc_a3El4pG1FECbzT1hBjkJyQ_11_2"/>
      <w:bookmarkStart w:id="217" w:name="Tc_DEaD4as180ajr1-QseDNdg_11_0"/>
      <w:bookmarkStart w:id="218" w:name="Tc_NlNtRgghzUKxikZy7WoXJQ_10_0"/>
      <w:bookmarkStart w:id="219" w:name="Tc_HyJkby7Y8EiQyl2S4T3JoA_9_0"/>
      <w:bookmarkStart w:id="220" w:name="Tc_TyKgQanaDEWkAJ_wpIavTw_8_6"/>
      <w:bookmarkStart w:id="221" w:name="Tc_Alc1YLPiR0eiV5pVi2f_fg_8_0"/>
      <w:bookmarkStart w:id="222" w:name="Tc_9cqT7Q3Oz0qZkWXgwQRlhA_7_0"/>
      <w:bookmarkStart w:id="223" w:name="Tc_R-suPWTaYESUsmKXdVQPRw_6_0"/>
      <w:bookmarkStart w:id="224" w:name="Tc_ii3Ye97c4ES0REJRUVqJdA_5_5"/>
      <w:bookmarkStart w:id="225" w:name="Tc_OZDENG0gek-TOYs96YM9dQ_5_2"/>
      <w:bookmarkStart w:id="226" w:name="Tc_wEq49MV6UEqZMp341HIxjw_5_0"/>
      <w:bookmarkStart w:id="227" w:name="Tc_ySKviK6fYkWx_d1HqNJkGA_4_2"/>
      <w:bookmarkStart w:id="228" w:name="Tc_oGZfiLc--0ynNPyi2CWYOA_3_5"/>
      <w:bookmarkStart w:id="229" w:name="Tc_Kp0aGYw1LU6IEgP4SKBTQg_3_2"/>
      <w:bookmarkStart w:id="230" w:name="Tc_DJnsc5RDtUabXlV1BfF2iw_2_5"/>
      <w:bookmarkStart w:id="231" w:name="Tc_gbIVXA5Hc0WVyIMaAeLJ-Q_2_2"/>
      <w:bookmarkStart w:id="232" w:name="Tc_f8fqUIL3GkypJOsN6G0-9w_1_2"/>
      <w:bookmarkStart w:id="233" w:name="_c20cb341_e6e3_4d22_b14d_f2809317817d"/>
      <w:bookmarkStart w:id="234" w:name="Tc_eClK6i4p2UaTnqwo0Q7MbA_11_5"/>
      <w:bookmarkStart w:id="235" w:name="Tc_a3El4pG1FECbzT1hBjkJyQ_11_2"/>
      <w:bookmarkStart w:id="236" w:name="Tc_DEaD4as180ajr1-QseDNdg_11_0"/>
      <w:bookmarkStart w:id="237" w:name="Tc_NlNtRgghzUKxikZy7WoXJQ_10_0"/>
      <w:bookmarkStart w:id="238" w:name="Tc_HyJkby7Y8EiQyl2S4T3JoA_9_0"/>
      <w:bookmarkStart w:id="239" w:name="Tc_TyKgQanaDEWkAJ_wpIavTw_8_6"/>
      <w:bookmarkStart w:id="240" w:name="Tc_Alc1YLPiR0eiV5pVi2f_fg_8_0"/>
      <w:bookmarkStart w:id="241" w:name="Tc_9cqT7Q3Oz0qZkWXgwQRlhA_7_0"/>
      <w:bookmarkStart w:id="242" w:name="Tc_R-suPWTaYESUsmKXdVQPRw_6_0"/>
      <w:bookmarkStart w:id="243" w:name="Tc_ii3Ye97c4ES0REJRUVqJdA_5_5"/>
      <w:bookmarkStart w:id="244" w:name="Tc_OZDENG0gek-TOYs96YM9dQ_5_2"/>
      <w:bookmarkStart w:id="245" w:name="Tc_wEq49MV6UEqZMp341HIxjw_5_0"/>
      <w:bookmarkStart w:id="246" w:name="Tc_ySKviK6fYkWx_d1HqNJkGA_4_2"/>
      <w:bookmarkStart w:id="247" w:name="Tc_oGZfiLc--0ynNPyi2CWYOA_3_5"/>
      <w:bookmarkStart w:id="248" w:name="Tc_Kp0aGYw1LU6IEgP4SKBTQg_3_2"/>
      <w:bookmarkStart w:id="249" w:name="Tc_DJnsc5RDtUabXlV1BfF2iw_2_5"/>
      <w:bookmarkStart w:id="250" w:name="Tc_gbIVXA5Hc0WVyIMaAeLJ-Q_2_2"/>
      <w:bookmarkStart w:id="251" w:name="Tc_f8fqUIL3GkypJOsN6G0-9w_1_2"/>
      <w:bookmarkStart w:id="252" w:name="_c20cb341_e6e3_4d22_b14d_f2809317817d"/>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p>
    <w:tbl>
      <w:tblPr>
        <w:tblW w:w="7000" w:type="dxa"/>
        <w:jc w:val="left"/>
        <w:tblInd w:w="0" w:type="dxa"/>
        <w:tblLayout w:type="fixed"/>
        <w:tblCellMar>
          <w:top w:w="0" w:type="dxa"/>
          <w:left w:w="0" w:type="dxa"/>
          <w:bottom w:w="0" w:type="dxa"/>
          <w:right w:w="0" w:type="dxa"/>
        </w:tblCellMar>
      </w:tblPr>
      <w:tblGrid>
        <w:gridCol w:w="3886"/>
        <w:gridCol w:w="326"/>
        <w:gridCol w:w="260"/>
        <w:gridCol w:w="1045"/>
        <w:gridCol w:w="326"/>
        <w:gridCol w:w="211"/>
        <w:gridCol w:w="946"/>
      </w:tblGrid>
      <w:tr>
        <w:trPr/>
        <w:tc>
          <w:tcPr>
            <w:tcW w:w="3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2467610" cy="175260"/>
                      <wp:effectExtent l="0" t="0" r="0" b="0"/>
                      <wp:wrapNone/>
                      <wp:docPr id="21" name="Frame21"/>
                      <a:graphic xmlns:a="http://schemas.openxmlformats.org/drawingml/2006/main">
                        <a:graphicData uri="http://schemas.microsoft.com/office/word/2010/wordprocessingShape">
                          <wps:wsp>
                            <wps:cNvSpPr txBox="1"/>
                            <wps:spPr>
                              <a:xfrm>
                                <a:off x="0" y="0"/>
                                <a:ext cx="2467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165100" cy="175260"/>
                      <wp:effectExtent l="0" t="0" r="0" b="0"/>
                      <wp:wrapNone/>
                      <wp:docPr id="23" name="Frame23"/>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63575" cy="175260"/>
                      <wp:effectExtent l="0" t="0" r="0" b="0"/>
                      <wp:wrapNone/>
                      <wp:docPr id="24" name="Frame24"/>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207010" cy="175260"/>
                      <wp:effectExtent l="0" t="0" r="0" b="0"/>
                      <wp:wrapNone/>
                      <wp:docPr id="25" name="Frame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33985" cy="175260"/>
                      <wp:effectExtent l="0" t="0" r="0" b="0"/>
                      <wp:wrapNone/>
                      <wp:docPr id="26" name="Frame2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00710" cy="175260"/>
                      <wp:effectExtent l="0" t="0" r="0" b="0"/>
                      <wp:wrapNone/>
                      <wp:docPr id="27" name="Frame27"/>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    </w:t>
            </w:r>
          </w:p>
        </w:tc>
        <w:tc>
          <w:tcPr>
            <w:tcW w:w="115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w:t>
            </w:r>
          </w:p>
        </w:tc>
        <w:tc>
          <w:tcPr>
            <w:tcW w:w="115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00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8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78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209,268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184,261</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 (loss), net of tax:</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 and other</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shd w:fill="CCEEFF" w:val="clear"/>
            <w:vAlign w:val="center"/>
          </w:tcPr>
          <w:p>
            <w:pPr>
              <w:pStyle w:val="TableContents"/>
              <w:bidi w:val="0"/>
              <w:spacing w:before="0" w:after="0"/>
              <w:ind w:left="0" w:right="0" w:hanging="0"/>
              <w:jc w:val="righ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(107,036)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(201,663)</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326" w:type="dxa"/>
            <w:tcBorders/>
            <w:vAlign w:val="center"/>
          </w:tcPr>
          <w:p>
            <w:pPr>
              <w:pStyle w:val="TableContents"/>
              <w:bidi w:val="0"/>
              <w:spacing w:before="0" w:after="0"/>
              <w:ind w:left="0" w:right="0" w:hanging="0"/>
              <w:jc w:val="left"/>
              <w:rPr/>
            </w:pPr>
            <w:r>
              <w:rPr/>
              <w:t>​</w:t>
            </w:r>
          </w:p>
        </w:tc>
        <w:tc>
          <w:tcPr>
            <w:tcW w:w="260" w:type="dxa"/>
            <w:tcBorders/>
            <w:vAlign w:val="center"/>
          </w:tcPr>
          <w:p>
            <w:pPr>
              <w:pStyle w:val="TableContents"/>
              <w:bidi w:val="0"/>
              <w:spacing w:before="0" w:after="0"/>
              <w:ind w:left="0" w:right="0" w:hanging="0"/>
              <w:jc w:val="righ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11,808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946" w:type="dxa"/>
            <w:tcBorders/>
            <w:vAlign w:val="center"/>
          </w:tcPr>
          <w:p>
            <w:pPr>
              <w:pStyle w:val="TableContents"/>
              <w:bidi w:val="0"/>
              <w:spacing w:before="0" w:after="0"/>
              <w:ind w:left="0" w:right="0" w:hanging="0"/>
              <w:jc w:val="right"/>
              <w:rPr/>
            </w:pPr>
            <w:r>
              <w:rPr/>
              <w:t>—</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Pension adjustments, net</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104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 </w:t>
            </w:r>
          </w:p>
        </w:tc>
        <w:tc>
          <w:tcPr>
            <w:tcW w:w="94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9,866</w:t>
            </w:r>
          </w:p>
        </w:tc>
      </w:tr>
      <w:tr>
        <w:trPr/>
        <w:tc>
          <w:tcPr>
            <w:tcW w:w="38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other comprehensive loss, net of tax</w:t>
            </w:r>
          </w:p>
        </w:tc>
        <w:tc>
          <w:tcPr>
            <w:tcW w:w="326" w:type="dxa"/>
            <w:tcBorders/>
            <w:vAlign w:val="center"/>
          </w:tcPr>
          <w:p>
            <w:pPr>
              <w:pStyle w:val="TableContents"/>
              <w:bidi w:val="0"/>
              <w:spacing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1045"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(93,761)</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4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(191,797)</w:t>
            </w:r>
          </w:p>
        </w:tc>
      </w:tr>
      <w:tr>
        <w:trPr/>
        <w:tc>
          <w:tcPr>
            <w:tcW w:w="38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comprehensive income (loss),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2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115,507</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(7,536)</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53" w:name="Consolidated_Statement_of_Shareholders_E"/>
      <w:bookmarkStart w:id="254" w:name="_79fc0607_15bf_4db8_93d7_5f56d2776578"/>
      <w:bookmarkEnd w:id="253"/>
      <w:bookmarkEnd w:id="254"/>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255" w:name="Tc_JP2cyCTzp0WpheRgN9TQ8w_12_17"/>
      <w:bookmarkStart w:id="256" w:name="Tc_7uraZzPBlEiNY8rj5Mmmeg_12_14"/>
      <w:bookmarkStart w:id="257" w:name="Tc_nYAULdBqd0yhs3GtqnOIYw_12_11"/>
      <w:bookmarkStart w:id="258" w:name="Tc_7FXlTg2AeUqqSBjichJXag_12_8"/>
      <w:bookmarkStart w:id="259" w:name="Tc_tynjzzA8YkCDUwPUshtcuA_12_5"/>
      <w:bookmarkStart w:id="260" w:name="Tc_maKSDIDyf0eLq7vkqMq4YA_12_0"/>
      <w:bookmarkStart w:id="261" w:name="Tc_QC_0eSn5a0ydh34HrjaltA_11_15"/>
      <w:bookmarkStart w:id="262" w:name="Tc_PO9P7R6CFUy6DA9Q_abniA_11_12"/>
      <w:bookmarkStart w:id="263" w:name="Tc_wT_tngTAI0eLHbBHXS09yg_11_0"/>
      <w:bookmarkStart w:id="264" w:name="Tc_Nt-I0HGfTkC-S-Uppy2P9Q_10_15"/>
      <w:bookmarkStart w:id="265" w:name="Tc_rRnNJ1i9kU2jx4Tyqys7kg_10_9"/>
      <w:bookmarkStart w:id="266" w:name="Tc_4GCxoeLXiUOQHbTMiFQE4A_10_0"/>
      <w:bookmarkStart w:id="267" w:name="Tc_skzanfrZEkufeA6SPbh-TQ_9_15"/>
      <w:bookmarkStart w:id="268" w:name="Tc_Xehntbl6h0Sb7qtobk4YLQ_9_9"/>
      <w:bookmarkStart w:id="269" w:name="Tc_4tR3aoo1T0eQ80TdhxoCGA_9_6"/>
      <w:bookmarkStart w:id="270" w:name="Tc_I93162gwKESlW0Q33nMHNw_9_3"/>
      <w:bookmarkStart w:id="271" w:name="Tc_ZB5hFrFDQkiX1Qu3C7g_Dg_9_0"/>
      <w:bookmarkStart w:id="272" w:name="Tc_r8yjpBUmTkyU0XnPSFJYuQ_8_12"/>
      <w:bookmarkStart w:id="273" w:name="Tc_lbHQkcnB7kCfDXBvpeEB1g_8_9"/>
      <w:bookmarkStart w:id="274" w:name="Tc_8DO4EKlMVkuDwWJTT4Mdeg_8_6"/>
      <w:bookmarkStart w:id="275" w:name="Tc_Vjb9TcHXokGaogw7YJdRAw_8_3"/>
      <w:bookmarkStart w:id="276" w:name="Tc_MRKzEPF_10WyCGCilZF_Nw_8_0"/>
      <w:bookmarkStart w:id="277" w:name="Tc_FKKWiRKy90uK1XRAADazkA_7_15"/>
      <w:bookmarkStart w:id="278" w:name="Tc_vRCZYiGhU0azunfSIkQpMQ_7_9"/>
      <w:bookmarkStart w:id="279" w:name="Tc_SAdjtWT8cEq-ccR2gmdiSQ_7_6"/>
      <w:bookmarkStart w:id="280" w:name="Tc_DUHbvVfsMkCf3r64xYyprg_7_3"/>
      <w:bookmarkStart w:id="281" w:name="Tc_aoCERmfEpkCP0XKuGOMcrA_7_0"/>
      <w:bookmarkStart w:id="282" w:name="Tc_8gOB9hELTkmdL6V2CVzY0A_6_17"/>
      <w:bookmarkStart w:id="283" w:name="Tc_Bs2UHyqbi0GuQgYpPzMiOg_6_14"/>
      <w:bookmarkStart w:id="284" w:name="Tc_D4Ey1xSOtUKbCfqhURIHDg_6_11"/>
      <w:bookmarkStart w:id="285" w:name="Tc_nE35eRECYEuIoAp_HOfQRw_6_8"/>
      <w:bookmarkStart w:id="286" w:name="Tc_skyKQTejyUCnWVKT-B9I3g_6_5"/>
      <w:bookmarkStart w:id="287" w:name="Tc_IeyFtTJnfEaooZsVQgtvBA_6_0"/>
      <w:bookmarkStart w:id="288" w:name="Tc_U0OKAsBIFECo3YUSmnNfRg_5_2"/>
      <w:bookmarkStart w:id="289" w:name="Tc_-jlFT9SBEU2Vtat4FhSz_Q_4_17"/>
      <w:bookmarkStart w:id="290" w:name="Tc_J5sZ8lmIYE-kvpmDRiyOqQ_4_14"/>
      <w:bookmarkStart w:id="291" w:name="Tc_5I5QsVYsyEaG05SpN1WCFQ_4_11"/>
      <w:bookmarkStart w:id="292" w:name="Tc_m-Ls7O1VH0K7tgpGmqdt1Q_4_8"/>
      <w:bookmarkStart w:id="293" w:name="Tc_-NbzSBw4ckC7HqPE2_z-iw_4_5"/>
      <w:bookmarkStart w:id="294" w:name="Tc__Z9nb5pkmUSQx6Djl3rurQ_4_2"/>
      <w:bookmarkStart w:id="295" w:name="Tc_5r129ZIdRkufNpUKQF0aEQ_3_17"/>
      <w:bookmarkStart w:id="296" w:name="Tc__2V4phICEEyyNGFBGSAkJg_3_14"/>
      <w:bookmarkStart w:id="297" w:name="Tc_-3KJIdgQ80aTmikwWq_3vQ_3_11"/>
      <w:bookmarkStart w:id="298" w:name="Tc_COTZV2X9tEaxZSZ9heiRiA_3_8"/>
      <w:bookmarkStart w:id="299" w:name="Tc_tTXlehlPC0C0vhd2GJdlVA_3_5"/>
      <w:bookmarkStart w:id="300" w:name="Tc_FJUvR48tTEmofnBEbToiRg_3_2"/>
      <w:bookmarkStart w:id="301" w:name="Tc_vtg0tHEW_kiBdJwhT5Hjeg_2_17"/>
      <w:bookmarkStart w:id="302" w:name="Tc_FNGdVJxLXki-FB53l4W7JA_2_14"/>
      <w:bookmarkStart w:id="303" w:name="Tc_uiKGnjUju0mzLbDSOcPkDA_2_8"/>
      <w:bookmarkStart w:id="304" w:name="Tc_FEMpUOjm60a2Vg92klhoUA_2_5"/>
      <w:bookmarkStart w:id="305" w:name="Tc_QHXBdNItR0S0QDEDzOaYRw_2_2"/>
      <w:bookmarkStart w:id="306" w:name="Tc_gD8nFaAuTEemCrvmYi2sFA_1_14"/>
      <w:bookmarkStart w:id="307" w:name="_7ca13586_f7fb_449b_8a87_4389293d179e"/>
      <w:bookmarkStart w:id="308" w:name="Tc_JP2cyCTzp0WpheRgN9TQ8w_12_17"/>
      <w:bookmarkStart w:id="309" w:name="Tc_7uraZzPBlEiNY8rj5Mmmeg_12_14"/>
      <w:bookmarkStart w:id="310" w:name="Tc_nYAULdBqd0yhs3GtqnOIYw_12_11"/>
      <w:bookmarkStart w:id="311" w:name="Tc_7FXlTg2AeUqqSBjichJXag_12_8"/>
      <w:bookmarkStart w:id="312" w:name="Tc_tynjzzA8YkCDUwPUshtcuA_12_5"/>
      <w:bookmarkStart w:id="313" w:name="Tc_maKSDIDyf0eLq7vkqMq4YA_12_0"/>
      <w:bookmarkStart w:id="314" w:name="Tc_QC_0eSn5a0ydh34HrjaltA_11_15"/>
      <w:bookmarkStart w:id="315" w:name="Tc_PO9P7R6CFUy6DA9Q_abniA_11_12"/>
      <w:bookmarkStart w:id="316" w:name="Tc_wT_tngTAI0eLHbBHXS09yg_11_0"/>
      <w:bookmarkStart w:id="317" w:name="Tc_Nt-I0HGfTkC-S-Uppy2P9Q_10_15"/>
      <w:bookmarkStart w:id="318" w:name="Tc_rRnNJ1i9kU2jx4Tyqys7kg_10_9"/>
      <w:bookmarkStart w:id="319" w:name="Tc_4GCxoeLXiUOQHbTMiFQE4A_10_0"/>
      <w:bookmarkStart w:id="320" w:name="Tc_skzanfrZEkufeA6SPbh-TQ_9_15"/>
      <w:bookmarkStart w:id="321" w:name="Tc_Xehntbl6h0Sb7qtobk4YLQ_9_9"/>
      <w:bookmarkStart w:id="322" w:name="Tc_4tR3aoo1T0eQ80TdhxoCGA_9_6"/>
      <w:bookmarkStart w:id="323" w:name="Tc_I93162gwKESlW0Q33nMHNw_9_3"/>
      <w:bookmarkStart w:id="324" w:name="Tc_ZB5hFrFDQkiX1Qu3C7g_Dg_9_0"/>
      <w:bookmarkStart w:id="325" w:name="Tc_r8yjpBUmTkyU0XnPSFJYuQ_8_12"/>
      <w:bookmarkStart w:id="326" w:name="Tc_lbHQkcnB7kCfDXBvpeEB1g_8_9"/>
      <w:bookmarkStart w:id="327" w:name="Tc_8DO4EKlMVkuDwWJTT4Mdeg_8_6"/>
      <w:bookmarkStart w:id="328" w:name="Tc_Vjb9TcHXokGaogw7YJdRAw_8_3"/>
      <w:bookmarkStart w:id="329" w:name="Tc_MRKzEPF_10WyCGCilZF_Nw_8_0"/>
      <w:bookmarkStart w:id="330" w:name="Tc_FKKWiRKy90uK1XRAADazkA_7_15"/>
      <w:bookmarkStart w:id="331" w:name="Tc_vRCZYiGhU0azunfSIkQpMQ_7_9"/>
      <w:bookmarkStart w:id="332" w:name="Tc_SAdjtWT8cEq-ccR2gmdiSQ_7_6"/>
      <w:bookmarkStart w:id="333" w:name="Tc_DUHbvVfsMkCf3r64xYyprg_7_3"/>
      <w:bookmarkStart w:id="334" w:name="Tc_aoCERmfEpkCP0XKuGOMcrA_7_0"/>
      <w:bookmarkStart w:id="335" w:name="Tc_8gOB9hELTkmdL6V2CVzY0A_6_17"/>
      <w:bookmarkStart w:id="336" w:name="Tc_Bs2UHyqbi0GuQgYpPzMiOg_6_14"/>
      <w:bookmarkStart w:id="337" w:name="Tc_D4Ey1xSOtUKbCfqhURIHDg_6_11"/>
      <w:bookmarkStart w:id="338" w:name="Tc_nE35eRECYEuIoAp_HOfQRw_6_8"/>
      <w:bookmarkStart w:id="339" w:name="Tc_skyKQTejyUCnWVKT-B9I3g_6_5"/>
      <w:bookmarkStart w:id="340" w:name="Tc_IeyFtTJnfEaooZsVQgtvBA_6_0"/>
      <w:bookmarkStart w:id="341" w:name="Tc_U0OKAsBIFECo3YUSmnNfRg_5_2"/>
      <w:bookmarkStart w:id="342" w:name="Tc_-jlFT9SBEU2Vtat4FhSz_Q_4_17"/>
      <w:bookmarkStart w:id="343" w:name="Tc_J5sZ8lmIYE-kvpmDRiyOqQ_4_14"/>
      <w:bookmarkStart w:id="344" w:name="Tc_5I5QsVYsyEaG05SpN1WCFQ_4_11"/>
      <w:bookmarkStart w:id="345" w:name="Tc_m-Ls7O1VH0K7tgpGmqdt1Q_4_8"/>
      <w:bookmarkStart w:id="346" w:name="Tc_-NbzSBw4ckC7HqPE2_z-iw_4_5"/>
      <w:bookmarkStart w:id="347" w:name="Tc__Z9nb5pkmUSQx6Djl3rurQ_4_2"/>
      <w:bookmarkStart w:id="348" w:name="Tc_5r129ZIdRkufNpUKQF0aEQ_3_17"/>
      <w:bookmarkStart w:id="349" w:name="Tc__2V4phICEEyyNGFBGSAkJg_3_14"/>
      <w:bookmarkStart w:id="350" w:name="Tc_-3KJIdgQ80aTmikwWq_3vQ_3_11"/>
      <w:bookmarkStart w:id="351" w:name="Tc_COTZV2X9tEaxZSZ9heiRiA_3_8"/>
      <w:bookmarkStart w:id="352" w:name="Tc_tTXlehlPC0C0vhd2GJdlVA_3_5"/>
      <w:bookmarkStart w:id="353" w:name="Tc_FJUvR48tTEmofnBEbToiRg_3_2"/>
      <w:bookmarkStart w:id="354" w:name="Tc_vtg0tHEW_kiBdJwhT5Hjeg_2_17"/>
      <w:bookmarkStart w:id="355" w:name="Tc_FNGdVJxLXki-FB53l4W7JA_2_14"/>
      <w:bookmarkStart w:id="356" w:name="Tc_uiKGnjUju0mzLbDSOcPkDA_2_8"/>
      <w:bookmarkStart w:id="357" w:name="Tc_FEMpUOjm60a2Vg92klhoUA_2_5"/>
      <w:bookmarkStart w:id="358" w:name="Tc_QHXBdNItR0S0QDEDzOaYRw_2_2"/>
      <w:bookmarkStart w:id="359" w:name="Tc_gD8nFaAuTEemCrvmYi2sFA_1_14"/>
      <w:bookmarkStart w:id="360" w:name="_7ca13586_f7fb_449b_8a87_4389293d179e"/>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tbl>
      <w:tblPr>
        <w:tblW w:w="10205" w:type="dxa"/>
        <w:jc w:val="left"/>
        <w:tblInd w:w="0" w:type="dxa"/>
        <w:tblLayout w:type="fixed"/>
        <w:tblCellMar>
          <w:top w:w="0" w:type="dxa"/>
          <w:left w:w="0" w:type="dxa"/>
          <w:bottom w:w="0" w:type="dxa"/>
          <w:right w:w="0" w:type="dxa"/>
        </w:tblCellMar>
      </w:tblPr>
      <w:tblGrid>
        <w:gridCol w:w="1483"/>
        <w:gridCol w:w="326"/>
        <w:gridCol w:w="157"/>
        <w:gridCol w:w="729"/>
        <w:gridCol w:w="326"/>
        <w:gridCol w:w="211"/>
        <w:gridCol w:w="676"/>
        <w:gridCol w:w="326"/>
        <w:gridCol w:w="211"/>
        <w:gridCol w:w="931"/>
        <w:gridCol w:w="326"/>
        <w:gridCol w:w="211"/>
        <w:gridCol w:w="931"/>
        <w:gridCol w:w="326"/>
        <w:gridCol w:w="284"/>
        <w:gridCol w:w="1142"/>
        <w:gridCol w:w="326"/>
        <w:gridCol w:w="216"/>
        <w:gridCol w:w="1067"/>
      </w:tblGrid>
      <w:tr>
        <w:trPr/>
        <w:tc>
          <w:tcPr>
            <w:tcW w:w="14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941705" cy="175260"/>
                      <wp:effectExtent l="0" t="0" r="0" b="0"/>
                      <wp:wrapNone/>
                      <wp:docPr id="28" name="Frame28"/>
                      <a:graphic xmlns:a="http://schemas.openxmlformats.org/drawingml/2006/main">
                        <a:graphicData uri="http://schemas.microsoft.com/office/word/2010/wordprocessingShape">
                          <wps:wsp>
                            <wps:cNvSpPr txBox="1"/>
                            <wps:spPr>
                              <a:xfrm>
                                <a:off x="0" y="0"/>
                                <a:ext cx="94170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99695" cy="175260"/>
                      <wp:effectExtent l="0" t="0" r="0" b="0"/>
                      <wp:wrapNone/>
                      <wp:docPr id="30" name="Frame30"/>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462915" cy="175260"/>
                      <wp:effectExtent l="0" t="0" r="0" b="0"/>
                      <wp:wrapNone/>
                      <wp:docPr id="31" name="Frame31"/>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3985" cy="175260"/>
                      <wp:effectExtent l="0" t="0" r="0" b="0"/>
                      <wp:wrapNone/>
                      <wp:docPr id="33" name="Frame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29260" cy="175260"/>
                      <wp:effectExtent l="0" t="0" r="0" b="0"/>
                      <wp:wrapNone/>
                      <wp:docPr id="34" name="Frame3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33985" cy="175260"/>
                      <wp:effectExtent l="0" t="0" r="0" b="0"/>
                      <wp:wrapNone/>
                      <wp:docPr id="36" name="Frame36"/>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591185" cy="175260"/>
                      <wp:effectExtent l="0" t="0" r="0" b="0"/>
                      <wp:wrapNone/>
                      <wp:docPr id="37" name="Frame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33985" cy="175260"/>
                      <wp:effectExtent l="0" t="0" r="0" b="0"/>
                      <wp:wrapNone/>
                      <wp:docPr id="39" name="Frame3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591185" cy="175260"/>
                      <wp:effectExtent l="0" t="0" r="0" b="0"/>
                      <wp:wrapNone/>
                      <wp:docPr id="40" name="Frame40"/>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80340" cy="175260"/>
                      <wp:effectExtent l="0" t="0" r="0" b="0"/>
                      <wp:wrapNone/>
                      <wp:docPr id="42" name="Frame42"/>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25170" cy="175260"/>
                      <wp:effectExtent l="0" t="0" r="0" b="0"/>
                      <wp:wrapNone/>
                      <wp:docPr id="43" name="Frame43"/>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4"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137160" cy="175260"/>
                      <wp:effectExtent l="0" t="0" r="0" b="0"/>
                      <wp:wrapNone/>
                      <wp:docPr id="45" name="Frame45"/>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77545" cy="175260"/>
                      <wp:effectExtent l="0" t="0" r="0" b="0"/>
                      <wp:wrapNone/>
                      <wp:docPr id="46" name="Frame46"/>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1483"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57" w:type="dxa"/>
            <w:tcBorders/>
            <w:vAlign w:val="center"/>
          </w:tcPr>
          <w:p>
            <w:pPr>
              <w:pStyle w:val="TableContents"/>
              <w:bidi w:val="0"/>
              <w:spacing w:lineRule="atLeast" w:line="240" w:before="0" w:after="0"/>
              <w:ind w:left="0" w:right="0" w:hanging="0"/>
              <w:jc w:val="center"/>
              <w:rPr/>
            </w:pPr>
            <w:r>
              <w:rPr/>
              <w:t>​</w:t>
            </w:r>
          </w:p>
        </w:tc>
        <w:tc>
          <w:tcPr>
            <w:tcW w:w="729"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676"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lineRule="atLeast" w:line="240" w:before="0" w:after="0"/>
              <w:ind w:left="0" w:right="0" w:hanging="0"/>
              <w:jc w:val="center"/>
              <w:rPr/>
            </w:pPr>
            <w:r>
              <w:rPr/>
              <w:t>    </w:t>
            </w:r>
          </w:p>
        </w:tc>
        <w:tc>
          <w:tcPr>
            <w:tcW w:w="216" w:type="dxa"/>
            <w:tcBorders/>
            <w:vAlign w:val="center"/>
          </w:tcPr>
          <w:p>
            <w:pPr>
              <w:pStyle w:val="TableContents"/>
              <w:bidi w:val="0"/>
              <w:spacing w:lineRule="atLeast" w:line="240" w:before="0" w:after="0"/>
              <w:ind w:left="0" w:right="0" w:hanging="0"/>
              <w:jc w:val="center"/>
              <w:rPr/>
            </w:pPr>
            <w:r>
              <w:rPr/>
              <w:t>​</w:t>
            </w:r>
          </w:p>
        </w:tc>
        <w:tc>
          <w:tcPr>
            <w:tcW w:w="1067" w:type="dxa"/>
            <w:tcBorders/>
            <w:vAlign w:val="center"/>
          </w:tcPr>
          <w:p>
            <w:pPr>
              <w:pStyle w:val="TableContents"/>
              <w:bidi w:val="0"/>
              <w:spacing w:lineRule="atLeast" w:line="240" w:before="0" w:after="0"/>
              <w:ind w:left="0" w:right="0" w:hanging="0"/>
              <w:jc w:val="center"/>
              <w:rPr/>
            </w:pPr>
            <w:r>
              <w:rPr/>
              <w:t>​</w:t>
            </w:r>
          </w:p>
        </w:tc>
      </w:tr>
      <w:tr>
        <w:trPr/>
        <w:tc>
          <w:tcPr>
            <w:tcW w:w="1483"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lineRule="atLeast" w:line="240" w:before="0" w:after="0"/>
              <w:ind w:left="0" w:right="0" w:hanging="0"/>
              <w:jc w:val="center"/>
              <w:rPr/>
            </w:pPr>
            <w:r>
              <w:rPr/>
              <w:t>​</w:t>
            </w:r>
          </w:p>
        </w:tc>
        <w:tc>
          <w:tcPr>
            <w:tcW w:w="88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lineRule="atLeast" w:line="240" w:before="0" w:after="0"/>
              <w:ind w:left="0" w:right="0" w:hanging="0"/>
              <w:jc w:val="center"/>
              <w:rPr/>
            </w:pPr>
            <w:r>
              <w:rPr/>
              <w:t>​</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3"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lineRule="atLeast" w:line="240" w:before="0" w:after="0"/>
              <w:ind w:left="0" w:right="0" w:hanging="0"/>
              <w:jc w:val="center"/>
              <w:rPr/>
            </w:pPr>
            <w:r>
              <w:rPr/>
              <w:t>​</w:t>
            </w:r>
          </w:p>
        </w:tc>
        <w:tc>
          <w:tcPr>
            <w:tcW w:w="88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3"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lineRule="atLeast" w:line="240" w:before="0" w:after="0"/>
              <w:ind w:left="0" w:right="0" w:hanging="0"/>
              <w:jc w:val="center"/>
              <w:rPr/>
            </w:pPr>
            <w:r>
              <w:rPr/>
              <w:t>​</w:t>
            </w:r>
          </w:p>
        </w:tc>
        <w:tc>
          <w:tcPr>
            <w:tcW w:w="88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3"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396" w:type="dxa"/>
            <w:gridSpan w:val="17"/>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sz w:val="19"/>
              </w:rPr>
            </w:pPr>
            <w:r>
              <w:rPr>
                <w:rFonts w:ascii="Times New Roman;Times;serif" w:hAnsi="Times New Roman;Times;serif"/>
                <w:b/>
                <w:sz w:val="19"/>
              </w:rPr>
              <w:t>Balance, July 1, 2023</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91,504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91,504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1,691,334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3,378,212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(409,381)</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4,751,669</w:t>
            </w:r>
          </w:p>
        </w:tc>
      </w:tr>
      <w:tr>
        <w:trPr/>
        <w:tc>
          <w:tcPr>
            <w:tcW w:w="1483"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vAlign w:val="center"/>
          </w:tcPr>
          <w:p>
            <w:pPr>
              <w:pStyle w:val="TableContents"/>
              <w:bidi w:val="0"/>
              <w:spacing w:lineRule="atLeast" w:line="240" w:before="0" w:after="0"/>
              <w:ind w:left="0" w:right="0" w:hanging="0"/>
              <w:jc w:val="right"/>
              <w:rPr/>
            </w:pPr>
            <w:r>
              <w:rPr/>
              <w:t> </w:t>
            </w:r>
          </w:p>
        </w:tc>
        <w:tc>
          <w:tcPr>
            <w:tcW w:w="729"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676"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209,268</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vAlign w:val="center"/>
          </w:tcPr>
          <w:p>
            <w:pPr>
              <w:pStyle w:val="TableContents"/>
              <w:bidi w:val="0"/>
              <w:spacing w:lineRule="atLeast" w:line="240" w:before="0" w:after="0"/>
              <w:ind w:left="0" w:right="0" w:hanging="0"/>
              <w:jc w:val="right"/>
              <w:rPr/>
            </w:pPr>
            <w:r>
              <w:rPr/>
              <w:t> </w:t>
            </w:r>
          </w:p>
        </w:tc>
        <w:tc>
          <w:tcPr>
            <w:tcW w:w="1142"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vAlign w:val="center"/>
          </w:tcPr>
          <w:p>
            <w:pPr>
              <w:pStyle w:val="TableContents"/>
              <w:bidi w:val="0"/>
              <w:spacing w:lineRule="atLeast" w:line="240" w:before="0" w:after="0"/>
              <w:ind w:left="0" w:right="0" w:hanging="0"/>
              <w:jc w:val="right"/>
              <w:rPr/>
            </w:pPr>
            <w:r>
              <w:rPr/>
              <w:t> </w:t>
            </w:r>
          </w:p>
        </w:tc>
        <w:tc>
          <w:tcPr>
            <w:tcW w:w="1067"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209,268</w:t>
            </w:r>
          </w:p>
        </w:tc>
      </w:tr>
      <w:tr>
        <w:trPr/>
        <w:tc>
          <w:tcPr>
            <w:tcW w:w="148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676"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pPr>
            <w:r>
              <w:rPr/>
              <w:t> </w:t>
            </w:r>
          </w:p>
        </w:tc>
        <w:tc>
          <w:tcPr>
            <w:tcW w:w="1142"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(93,761)</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pPr>
            <w:r>
              <w:rPr/>
              <w:t> </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(93,761)</w:t>
            </w:r>
          </w:p>
        </w:tc>
      </w:tr>
      <w:tr>
        <w:trPr/>
        <w:tc>
          <w:tcPr>
            <w:tcW w:w="1483"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vAlign w:val="center"/>
          </w:tcPr>
          <w:p>
            <w:pPr>
              <w:pStyle w:val="TableContents"/>
              <w:bidi w:val="0"/>
              <w:spacing w:lineRule="atLeast" w:line="240" w:before="0" w:after="0"/>
              <w:ind w:left="0" w:right="0" w:hanging="0"/>
              <w:jc w:val="right"/>
              <w:rPr/>
            </w:pPr>
            <w:r>
              <w:rPr/>
              <w:t> </w:t>
            </w:r>
          </w:p>
        </w:tc>
        <w:tc>
          <w:tcPr>
            <w:tcW w:w="729"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676"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(28,320)</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vAlign w:val="center"/>
          </w:tcPr>
          <w:p>
            <w:pPr>
              <w:pStyle w:val="TableContents"/>
              <w:bidi w:val="0"/>
              <w:spacing w:lineRule="atLeast" w:line="240" w:before="0" w:after="0"/>
              <w:ind w:left="0" w:right="0" w:hanging="0"/>
              <w:jc w:val="right"/>
              <w:rPr/>
            </w:pPr>
            <w:r>
              <w:rPr/>
              <w:t> </w:t>
            </w:r>
          </w:p>
        </w:tc>
        <w:tc>
          <w:tcPr>
            <w:tcW w:w="1142"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vAlign w:val="center"/>
          </w:tcPr>
          <w:p>
            <w:pPr>
              <w:pStyle w:val="TableContents"/>
              <w:bidi w:val="0"/>
              <w:spacing w:lineRule="atLeast" w:line="240" w:before="0" w:after="0"/>
              <w:ind w:left="0" w:right="0" w:hanging="0"/>
              <w:jc w:val="right"/>
              <w:rPr/>
            </w:pPr>
            <w:r>
              <w:rPr/>
              <w:t> </w:t>
            </w:r>
          </w:p>
        </w:tc>
        <w:tc>
          <w:tcPr>
            <w:tcW w:w="1067"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(28,320)</w:t>
            </w:r>
          </w:p>
        </w:tc>
      </w:tr>
      <w:tr>
        <w:trPr/>
        <w:tc>
          <w:tcPr>
            <w:tcW w:w="148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(559)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67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(559)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(26,484)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pPr>
            <w:r>
              <w:rPr/>
              <w:t>​</w:t>
            </w:r>
          </w:p>
        </w:tc>
        <w:tc>
          <w:tcPr>
            <w:tcW w:w="1142"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pPr>
            <w:r>
              <w:rPr/>
              <w:t> </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(27,043)</w:t>
            </w:r>
          </w:p>
        </w:tc>
      </w:tr>
      <w:tr>
        <w:trPr/>
        <w:tc>
          <w:tcPr>
            <w:tcW w:w="1483"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39</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67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39</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10,731</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1067"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10,770</w:t>
            </w:r>
          </w:p>
        </w:tc>
      </w:tr>
      <w:tr>
        <w:trPr/>
        <w:tc>
          <w:tcPr>
            <w:tcW w:w="148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sz w:val="19"/>
              </w:rPr>
            </w:pPr>
            <w:r>
              <w:rPr>
                <w:rFonts w:ascii="Times New Roman;Times;serif" w:hAnsi="Times New Roman;Times;serif"/>
                <w:b/>
                <w:sz w:val="19"/>
              </w:rPr>
              <w:t>Balance, September 30, 2023</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90,984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90,984</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1,702,065</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3,532,676</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(503,142)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19"/>
              </w:rPr>
            </w:pPr>
            <w:r>
              <w:rPr>
                <w:rFonts w:ascii="Times New Roman;Times;serif" w:hAnsi="Times New Roman;Times;serif"/>
                <w:sz w:val="19"/>
              </w:rPr>
              <w:t>4,822,583</w:t>
            </w:r>
          </w:p>
        </w:tc>
      </w:tr>
    </w:tbl>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61" w:name="Tc_dQBBIUAe2E-GEcRb0w0ZKg_12_17"/>
      <w:bookmarkStart w:id="362" w:name="Tc_OD4aVWVp5UCixVvJhgoqNg_12_14"/>
      <w:bookmarkStart w:id="363" w:name="Tc_20nN57D9HUa-1Z-7pwR8qQ_12_11"/>
      <w:bookmarkStart w:id="364" w:name="Tc_PaOhiIln-0qhvKy0WAGidg_12_8"/>
      <w:bookmarkStart w:id="365" w:name="Tc_IA1JMUtzlkGYmE5yS-oSfw_12_5"/>
      <w:bookmarkStart w:id="366" w:name="Tc_v5JhpxkLyEWiKY3i6vtqyA_12_0"/>
      <w:bookmarkStart w:id="367" w:name="Tc_wJAKV8lOZ0mfT9OBvoClwQ_11_15"/>
      <w:bookmarkStart w:id="368" w:name="Tc_nnHm3MTA_0-2gNAiJnbYIQ_11_12"/>
      <w:bookmarkStart w:id="369" w:name="Tc_YOzq8kvm-kaCS8RMwC-cGQ_11_0"/>
      <w:bookmarkStart w:id="370" w:name="Tc_EfH2u1g1Q0C6ltyo1NTWRg_10_15"/>
      <w:bookmarkStart w:id="371" w:name="Tc_AUPWdJ5yxEqrD9ZMrp2_Ew_10_9"/>
      <w:bookmarkStart w:id="372" w:name="Tc_exCZpF7LS02C1IuApTzlXQ_10_0"/>
      <w:bookmarkStart w:id="373" w:name="Tc_VE42dLPjYEm6_BsSNXgeKQ_9_15"/>
      <w:bookmarkStart w:id="374" w:name="Tc_2vrF5ej520-NLQAkygBPvg_9_9"/>
      <w:bookmarkStart w:id="375" w:name="Tc_VEaQY2dyQkyLNHKvYgvhYg_9_6"/>
      <w:bookmarkStart w:id="376" w:name="Tc_8ej_vuzB00O6l9nvh0W_pw_9_3"/>
      <w:bookmarkStart w:id="377" w:name="Tc_Ab2gr2COs0StHvfJ6psO9Q_9_0"/>
      <w:bookmarkStart w:id="378" w:name="Tc_-D7v6vBwwkCjxGpvEMtNaQ_8_12"/>
      <w:bookmarkStart w:id="379" w:name="Tc_buP7Y710YkyjxRxcDsphSQ_8_9"/>
      <w:bookmarkStart w:id="380" w:name="Tc_RtUXxdBLIE2B1rwda9zTNg_8_6"/>
      <w:bookmarkStart w:id="381" w:name="Tc_nS65DyiDmkG6dPHY_a8IDg_8_3"/>
      <w:bookmarkStart w:id="382" w:name="Tc_-M1l-1D2r0eV7G9XOHxzxw_8_0"/>
      <w:bookmarkStart w:id="383" w:name="Tc_odnIQoWYEkCrE-DXPUkyPQ_7_15"/>
      <w:bookmarkStart w:id="384" w:name="Tc_uxtdowsuPkGwHmVN5LQKHQ_7_9"/>
      <w:bookmarkStart w:id="385" w:name="Tc_ttceuZkKhUCWf_5kOu7HsA_7_6"/>
      <w:bookmarkStart w:id="386" w:name="Tc__Xnlx2haCUWR9N8R6CnEHQ_7_3"/>
      <w:bookmarkStart w:id="387" w:name="Tc_HfWWC5ytFEGDKRCQ_HWeQQ_7_0"/>
      <w:bookmarkStart w:id="388" w:name="Tc_lxSn0QpnlEKTfj-aOxMq1Q_6_17"/>
      <w:bookmarkStart w:id="389" w:name="Tc_SeZLXgIoi02WR2n--YNc7g_6_14"/>
      <w:bookmarkStart w:id="390" w:name="Tc_4TQ_0bG9tkyQlfF8blN5gg_6_11"/>
      <w:bookmarkStart w:id="391" w:name="Tc_4rc_dV9ZDkCHOxKvsAyVSQ_6_8"/>
      <w:bookmarkStart w:id="392" w:name="Tc_OYFMq3yqYU2gpb5KhUXY6Q_6_5"/>
      <w:bookmarkStart w:id="393" w:name="Tc_0GgYU4-5w0OQt918-MXXbA_6_0"/>
      <w:bookmarkStart w:id="394" w:name="Tc_UHgU4MRV4Em46pgvvL1Inw_5_2"/>
      <w:bookmarkStart w:id="395" w:name="Tc_NxkkEsN0pku7oheAEXBBpw_4_17"/>
      <w:bookmarkStart w:id="396" w:name="Tc_NNXM6lZSOkywizsY1L7Frw_4_14"/>
      <w:bookmarkStart w:id="397" w:name="Tc_MrmjSQa3bEq77l7FShzwfw_4_11"/>
      <w:bookmarkStart w:id="398" w:name="Tc_I9R8hX2iVkuiCpNeQMNDMQ_4_8"/>
      <w:bookmarkStart w:id="399" w:name="Tc_vXIM7KIscEmXRniVT98vmg_4_5"/>
      <w:bookmarkStart w:id="400" w:name="Tc_k1RwLbiKG0eX6yccdX2wKg_4_2"/>
      <w:bookmarkStart w:id="401" w:name="Tc_HzV1s9m0EUujvupn3eekOw_3_17"/>
      <w:bookmarkStart w:id="402" w:name="Tc_oJGtCnkWnkSsrGRUTQesKw_3_14"/>
      <w:bookmarkStart w:id="403" w:name="Tc_x5hoATZ_AUiIT-oyZltkpQ_3_11"/>
      <w:bookmarkStart w:id="404" w:name="Tc_hN1ewl8t-kytIqc1wRByTQ_3_8"/>
      <w:bookmarkStart w:id="405" w:name="Tc_uioGnlDMxE6OPxgtp0grmg_3_5"/>
      <w:bookmarkStart w:id="406" w:name="Tc_BdKwAmt1FkWTSF1xr-_EsQ_3_2"/>
      <w:bookmarkStart w:id="407" w:name="Tc_UzrfqVMvQki2oCK9RfPiSQ_2_17"/>
      <w:bookmarkStart w:id="408" w:name="Tc_-zvgMStsTUuNO8-kpHqjTg_2_14"/>
      <w:bookmarkStart w:id="409" w:name="Tc_ETUF0moj3E645T9kkr7zKw_2_8"/>
      <w:bookmarkStart w:id="410" w:name="Tc_NyQaBk6DmEaTGxi4-aQbnw_2_5"/>
      <w:bookmarkStart w:id="411" w:name="Tc_iG_XcYbi-UeXAqFYiCXGbQ_2_2"/>
      <w:bookmarkStart w:id="412" w:name="Tc_flFRJdja5EKLo9zPCKrnBw_1_14"/>
      <w:bookmarkStart w:id="413" w:name="_547ddc63_8e86_487d_a3b8_5578c4993b85"/>
      <w:bookmarkStart w:id="414" w:name="Tc_dQBBIUAe2E-GEcRb0w0ZKg_12_17"/>
      <w:bookmarkStart w:id="415" w:name="Tc_OD4aVWVp5UCixVvJhgoqNg_12_14"/>
      <w:bookmarkStart w:id="416" w:name="Tc_20nN57D9HUa-1Z-7pwR8qQ_12_11"/>
      <w:bookmarkStart w:id="417" w:name="Tc_PaOhiIln-0qhvKy0WAGidg_12_8"/>
      <w:bookmarkStart w:id="418" w:name="Tc_IA1JMUtzlkGYmE5yS-oSfw_12_5"/>
      <w:bookmarkStart w:id="419" w:name="Tc_v5JhpxkLyEWiKY3i6vtqyA_12_0"/>
      <w:bookmarkStart w:id="420" w:name="Tc_wJAKV8lOZ0mfT9OBvoClwQ_11_15"/>
      <w:bookmarkStart w:id="421" w:name="Tc_nnHm3MTA_0-2gNAiJnbYIQ_11_12"/>
      <w:bookmarkStart w:id="422" w:name="Tc_YOzq8kvm-kaCS8RMwC-cGQ_11_0"/>
      <w:bookmarkStart w:id="423" w:name="Tc_EfH2u1g1Q0C6ltyo1NTWRg_10_15"/>
      <w:bookmarkStart w:id="424" w:name="Tc_AUPWdJ5yxEqrD9ZMrp2_Ew_10_9"/>
      <w:bookmarkStart w:id="425" w:name="Tc_exCZpF7LS02C1IuApTzlXQ_10_0"/>
      <w:bookmarkStart w:id="426" w:name="Tc_VE42dLPjYEm6_BsSNXgeKQ_9_15"/>
      <w:bookmarkStart w:id="427" w:name="Tc_2vrF5ej520-NLQAkygBPvg_9_9"/>
      <w:bookmarkStart w:id="428" w:name="Tc_VEaQY2dyQkyLNHKvYgvhYg_9_6"/>
      <w:bookmarkStart w:id="429" w:name="Tc_8ej_vuzB00O6l9nvh0W_pw_9_3"/>
      <w:bookmarkStart w:id="430" w:name="Tc_Ab2gr2COs0StHvfJ6psO9Q_9_0"/>
      <w:bookmarkStart w:id="431" w:name="Tc_-D7v6vBwwkCjxGpvEMtNaQ_8_12"/>
      <w:bookmarkStart w:id="432" w:name="Tc_buP7Y710YkyjxRxcDsphSQ_8_9"/>
      <w:bookmarkStart w:id="433" w:name="Tc_RtUXxdBLIE2B1rwda9zTNg_8_6"/>
      <w:bookmarkStart w:id="434" w:name="Tc_nS65DyiDmkG6dPHY_a8IDg_8_3"/>
      <w:bookmarkStart w:id="435" w:name="Tc_-M1l-1D2r0eV7G9XOHxzxw_8_0"/>
      <w:bookmarkStart w:id="436" w:name="Tc_odnIQoWYEkCrE-DXPUkyPQ_7_15"/>
      <w:bookmarkStart w:id="437" w:name="Tc_uxtdowsuPkGwHmVN5LQKHQ_7_9"/>
      <w:bookmarkStart w:id="438" w:name="Tc_ttceuZkKhUCWf_5kOu7HsA_7_6"/>
      <w:bookmarkStart w:id="439" w:name="Tc__Xnlx2haCUWR9N8R6CnEHQ_7_3"/>
      <w:bookmarkStart w:id="440" w:name="Tc_HfWWC5ytFEGDKRCQ_HWeQQ_7_0"/>
      <w:bookmarkStart w:id="441" w:name="Tc_lxSn0QpnlEKTfj-aOxMq1Q_6_17"/>
      <w:bookmarkStart w:id="442" w:name="Tc_SeZLXgIoi02WR2n--YNc7g_6_14"/>
      <w:bookmarkStart w:id="443" w:name="Tc_4TQ_0bG9tkyQlfF8blN5gg_6_11"/>
      <w:bookmarkStart w:id="444" w:name="Tc_4rc_dV9ZDkCHOxKvsAyVSQ_6_8"/>
      <w:bookmarkStart w:id="445" w:name="Tc_OYFMq3yqYU2gpb5KhUXY6Q_6_5"/>
      <w:bookmarkStart w:id="446" w:name="Tc_0GgYU4-5w0OQt918-MXXbA_6_0"/>
      <w:bookmarkStart w:id="447" w:name="Tc_UHgU4MRV4Em46pgvvL1Inw_5_2"/>
      <w:bookmarkStart w:id="448" w:name="Tc_NxkkEsN0pku7oheAEXBBpw_4_17"/>
      <w:bookmarkStart w:id="449" w:name="Tc_NNXM6lZSOkywizsY1L7Frw_4_14"/>
      <w:bookmarkStart w:id="450" w:name="Tc_MrmjSQa3bEq77l7FShzwfw_4_11"/>
      <w:bookmarkStart w:id="451" w:name="Tc_I9R8hX2iVkuiCpNeQMNDMQ_4_8"/>
      <w:bookmarkStart w:id="452" w:name="Tc_vXIM7KIscEmXRniVT98vmg_4_5"/>
      <w:bookmarkStart w:id="453" w:name="Tc_k1RwLbiKG0eX6yccdX2wKg_4_2"/>
      <w:bookmarkStart w:id="454" w:name="Tc_HzV1s9m0EUujvupn3eekOw_3_17"/>
      <w:bookmarkStart w:id="455" w:name="Tc_oJGtCnkWnkSsrGRUTQesKw_3_14"/>
      <w:bookmarkStart w:id="456" w:name="Tc_x5hoATZ_AUiIT-oyZltkpQ_3_11"/>
      <w:bookmarkStart w:id="457" w:name="Tc_hN1ewl8t-kytIqc1wRByTQ_3_8"/>
      <w:bookmarkStart w:id="458" w:name="Tc_uioGnlDMxE6OPxgtp0grmg_3_5"/>
      <w:bookmarkStart w:id="459" w:name="Tc_BdKwAmt1FkWTSF1xr-_EsQ_3_2"/>
      <w:bookmarkStart w:id="460" w:name="Tc_UzrfqVMvQki2oCK9RfPiSQ_2_17"/>
      <w:bookmarkStart w:id="461" w:name="Tc_-zvgMStsTUuNO8-kpHqjTg_2_14"/>
      <w:bookmarkStart w:id="462" w:name="Tc_ETUF0moj3E645T9kkr7zKw_2_8"/>
      <w:bookmarkStart w:id="463" w:name="Tc_NyQaBk6DmEaTGxi4-aQbnw_2_5"/>
      <w:bookmarkStart w:id="464" w:name="Tc_iG_XcYbi-UeXAqFYiCXGbQ_2_2"/>
      <w:bookmarkStart w:id="465" w:name="Tc_flFRJdja5EKLo9zPCKrnBw_1_14"/>
      <w:bookmarkStart w:id="466" w:name="_547ddc63_8e86_487d_a3b8_5578c4993b85"/>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p>
    <w:tbl>
      <w:tblPr>
        <w:tblW w:w="10205" w:type="dxa"/>
        <w:jc w:val="left"/>
        <w:tblInd w:w="0" w:type="dxa"/>
        <w:tblLayout w:type="fixed"/>
        <w:tblCellMar>
          <w:top w:w="0" w:type="dxa"/>
          <w:left w:w="0" w:type="dxa"/>
          <w:bottom w:w="0" w:type="dxa"/>
          <w:right w:w="0" w:type="dxa"/>
        </w:tblCellMar>
      </w:tblPr>
      <w:tblGrid>
        <w:gridCol w:w="1482"/>
        <w:gridCol w:w="326"/>
        <w:gridCol w:w="157"/>
        <w:gridCol w:w="729"/>
        <w:gridCol w:w="326"/>
        <w:gridCol w:w="211"/>
        <w:gridCol w:w="677"/>
        <w:gridCol w:w="326"/>
        <w:gridCol w:w="211"/>
        <w:gridCol w:w="931"/>
        <w:gridCol w:w="326"/>
        <w:gridCol w:w="211"/>
        <w:gridCol w:w="931"/>
        <w:gridCol w:w="326"/>
        <w:gridCol w:w="284"/>
        <w:gridCol w:w="1142"/>
        <w:gridCol w:w="326"/>
        <w:gridCol w:w="216"/>
        <w:gridCol w:w="1067"/>
      </w:tblGrid>
      <w:tr>
        <w:trPr/>
        <w:tc>
          <w:tcPr>
            <w:tcW w:w="148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941070" cy="175260"/>
                      <wp:effectExtent l="0" t="0" r="0" b="0"/>
                      <wp:wrapNone/>
                      <wp:docPr id="47" name="Frame47"/>
                      <a:graphic xmlns:a="http://schemas.openxmlformats.org/drawingml/2006/main">
                        <a:graphicData uri="http://schemas.microsoft.com/office/word/2010/wordprocessingShape">
                          <wps:wsp>
                            <wps:cNvSpPr txBox="1"/>
                            <wps:spPr>
                              <a:xfrm>
                                <a:off x="0" y="0"/>
                                <a:ext cx="94107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8"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5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99695" cy="175260"/>
                      <wp:effectExtent l="0" t="0" r="0" b="0"/>
                      <wp:wrapNone/>
                      <wp:docPr id="49" name="Frame49"/>
                      <a:graphic xmlns:a="http://schemas.openxmlformats.org/drawingml/2006/main">
                        <a:graphicData uri="http://schemas.microsoft.com/office/word/2010/wordprocessingShape">
                          <wps:wsp>
                            <wps:cNvSpPr txBox="1"/>
                            <wps:spPr>
                              <a:xfrm>
                                <a:off x="0" y="0"/>
                                <a:ext cx="996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2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462915" cy="175260"/>
                      <wp:effectExtent l="0" t="0" r="0" b="0"/>
                      <wp:wrapNone/>
                      <wp:docPr id="50" name="Frame50"/>
                      <a:graphic xmlns:a="http://schemas.openxmlformats.org/drawingml/2006/main">
                        <a:graphicData uri="http://schemas.microsoft.com/office/word/2010/wordprocessingShape">
                          <wps:wsp>
                            <wps:cNvSpPr txBox="1"/>
                            <wps:spPr>
                              <a:xfrm>
                                <a:off x="0" y="0"/>
                                <a:ext cx="4629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207010" cy="175260"/>
                      <wp:effectExtent l="0" t="0" r="0" b="0"/>
                      <wp:wrapNone/>
                      <wp:docPr id="51"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133985" cy="175260"/>
                      <wp:effectExtent l="0" t="0" r="0" b="0"/>
                      <wp:wrapNone/>
                      <wp:docPr id="52" name="Frame5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429895" cy="175260"/>
                      <wp:effectExtent l="0" t="0" r="0" b="0"/>
                      <wp:wrapNone/>
                      <wp:docPr id="53" name="Frame53"/>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4" name="Frame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33985" cy="175260"/>
                      <wp:effectExtent l="0" t="0" r="0" b="0"/>
                      <wp:wrapNone/>
                      <wp:docPr id="55" name="Frame5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591185" cy="175260"/>
                      <wp:effectExtent l="0" t="0" r="0" b="0"/>
                      <wp:wrapNone/>
                      <wp:docPr id="56" name="Frame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7"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133985" cy="175260"/>
                      <wp:effectExtent l="0" t="0" r="0" b="0"/>
                      <wp:wrapNone/>
                      <wp:docPr id="58" name="Frame5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591185" cy="175260"/>
                      <wp:effectExtent l="0" t="0" r="0" b="0"/>
                      <wp:wrapNone/>
                      <wp:docPr id="59" name="Frame5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207010" cy="175260"/>
                      <wp:effectExtent l="0" t="0" r="0" b="0"/>
                      <wp:wrapNone/>
                      <wp:docPr id="60"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180340" cy="175260"/>
                      <wp:effectExtent l="0" t="0" r="0" b="0"/>
                      <wp:wrapNone/>
                      <wp:docPr id="61" name="Frame61"/>
                      <a:graphic xmlns:a="http://schemas.openxmlformats.org/drawingml/2006/main">
                        <a:graphicData uri="http://schemas.microsoft.com/office/word/2010/wordprocessingShape">
                          <wps:wsp>
                            <wps:cNvSpPr txBox="1"/>
                            <wps:spPr>
                              <a:xfrm>
                                <a:off x="0" y="0"/>
                                <a:ext cx="18034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725170" cy="175260"/>
                      <wp:effectExtent l="0" t="0" r="0" b="0"/>
                      <wp:wrapNone/>
                      <wp:docPr id="62" name="Frame62"/>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3" name="Frame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137160" cy="175260"/>
                      <wp:effectExtent l="0" t="0" r="0" b="0"/>
                      <wp:wrapNone/>
                      <wp:docPr id="64" name="Frame64"/>
                      <a:graphic xmlns:a="http://schemas.openxmlformats.org/drawingml/2006/main">
                        <a:graphicData uri="http://schemas.microsoft.com/office/word/2010/wordprocessingShape">
                          <wps:wsp>
                            <wps:cNvSpPr txBox="1"/>
                            <wps:spPr>
                              <a:xfrm>
                                <a:off x="0" y="0"/>
                                <a:ext cx="1371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77545" cy="175260"/>
                      <wp:effectExtent l="0" t="0" r="0" b="0"/>
                      <wp:wrapNone/>
                      <wp:docPr id="65" name="Frame65"/>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1482"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57" w:type="dxa"/>
            <w:tcBorders/>
            <w:vAlign w:val="center"/>
          </w:tcPr>
          <w:p>
            <w:pPr>
              <w:pStyle w:val="TableContents"/>
              <w:bidi w:val="0"/>
              <w:spacing w:lineRule="atLeast" w:line="240" w:before="0" w:after="0"/>
              <w:ind w:left="0" w:right="0" w:hanging="0"/>
              <w:jc w:val="center"/>
              <w:rPr/>
            </w:pPr>
            <w:r>
              <w:rPr/>
              <w:t>​</w:t>
            </w:r>
          </w:p>
        </w:tc>
        <w:tc>
          <w:tcPr>
            <w:tcW w:w="729"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677"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Accumulated</w:t>
            </w:r>
          </w:p>
        </w:tc>
        <w:tc>
          <w:tcPr>
            <w:tcW w:w="326" w:type="dxa"/>
            <w:tcBorders/>
            <w:vAlign w:val="center"/>
          </w:tcPr>
          <w:p>
            <w:pPr>
              <w:pStyle w:val="TableContents"/>
              <w:bidi w:val="0"/>
              <w:spacing w:lineRule="atLeast" w:line="240" w:before="0" w:after="0"/>
              <w:ind w:left="0" w:right="0" w:hanging="0"/>
              <w:jc w:val="center"/>
              <w:rPr/>
            </w:pPr>
            <w:r>
              <w:rPr/>
              <w:t>    </w:t>
            </w:r>
          </w:p>
        </w:tc>
        <w:tc>
          <w:tcPr>
            <w:tcW w:w="216" w:type="dxa"/>
            <w:tcBorders/>
            <w:vAlign w:val="center"/>
          </w:tcPr>
          <w:p>
            <w:pPr>
              <w:pStyle w:val="TableContents"/>
              <w:bidi w:val="0"/>
              <w:spacing w:lineRule="atLeast" w:line="240" w:before="0" w:after="0"/>
              <w:ind w:left="0" w:right="0" w:hanging="0"/>
              <w:jc w:val="center"/>
              <w:rPr/>
            </w:pPr>
            <w:r>
              <w:rPr/>
              <w:t>​</w:t>
            </w:r>
          </w:p>
        </w:tc>
        <w:tc>
          <w:tcPr>
            <w:tcW w:w="1067" w:type="dxa"/>
            <w:tcBorders/>
            <w:vAlign w:val="center"/>
          </w:tcPr>
          <w:p>
            <w:pPr>
              <w:pStyle w:val="TableContents"/>
              <w:bidi w:val="0"/>
              <w:spacing w:lineRule="atLeast" w:line="240" w:before="0" w:after="0"/>
              <w:ind w:left="0" w:right="0" w:hanging="0"/>
              <w:jc w:val="center"/>
              <w:rPr/>
            </w:pPr>
            <w:r>
              <w:rPr/>
              <w:t>​</w:t>
            </w:r>
          </w:p>
        </w:tc>
      </w:tr>
      <w:tr>
        <w:trPr/>
        <w:tc>
          <w:tcPr>
            <w:tcW w:w="1482"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lineRule="atLeast" w:line="240" w:before="0" w:after="0"/>
              <w:ind w:left="0" w:right="0" w:hanging="0"/>
              <w:jc w:val="center"/>
              <w:rPr/>
            </w:pPr>
            <w:r>
              <w:rPr/>
              <w:t>​</w:t>
            </w:r>
          </w:p>
        </w:tc>
        <w:tc>
          <w:tcPr>
            <w:tcW w:w="888"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Common</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Additional</w:t>
            </w:r>
          </w:p>
        </w:tc>
        <w:tc>
          <w:tcPr>
            <w:tcW w:w="326" w:type="dxa"/>
            <w:tcBorders/>
            <w:vAlign w:val="center"/>
          </w:tcPr>
          <w:p>
            <w:pPr>
              <w:pStyle w:val="TableContents"/>
              <w:bidi w:val="0"/>
              <w:spacing w:lineRule="atLeast" w:line="240" w:before="0" w:after="0"/>
              <w:ind w:left="0" w:right="0" w:hanging="0"/>
              <w:jc w:val="center"/>
              <w:rPr/>
            </w:pPr>
            <w:r>
              <w:rPr/>
              <w:t>​</w:t>
            </w:r>
          </w:p>
        </w:tc>
        <w:tc>
          <w:tcPr>
            <w:tcW w:w="211" w:type="dxa"/>
            <w:tcBorders/>
            <w:vAlign w:val="center"/>
          </w:tcPr>
          <w:p>
            <w:pPr>
              <w:pStyle w:val="TableContents"/>
              <w:bidi w:val="0"/>
              <w:spacing w:lineRule="atLeast" w:line="240" w:before="0" w:after="0"/>
              <w:ind w:left="0" w:right="0" w:hanging="0"/>
              <w:jc w:val="center"/>
              <w:rPr/>
            </w:pPr>
            <w:r>
              <w:rPr/>
              <w:t>​</w:t>
            </w:r>
          </w:p>
        </w:tc>
        <w:tc>
          <w:tcPr>
            <w:tcW w:w="931" w:type="dxa"/>
            <w:tcBorders/>
            <w:vAlign w:val="center"/>
          </w:tcPr>
          <w:p>
            <w:pPr>
              <w:pStyle w:val="TableContents"/>
              <w:bidi w:val="0"/>
              <w:spacing w:lineRule="atLeast" w:line="240" w:before="0" w:after="0"/>
              <w:ind w:left="0" w:right="0" w:hanging="0"/>
              <w:jc w:val="center"/>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Other</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Total</w:t>
            </w:r>
          </w:p>
        </w:tc>
      </w:tr>
      <w:tr>
        <w:trPr/>
        <w:tc>
          <w:tcPr>
            <w:tcW w:w="1482"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lineRule="atLeast" w:line="240" w:before="0" w:after="0"/>
              <w:ind w:left="0" w:right="0" w:hanging="0"/>
              <w:jc w:val="center"/>
              <w:rPr/>
            </w:pPr>
            <w:r>
              <w:rPr/>
              <w:t>​</w:t>
            </w:r>
          </w:p>
        </w:tc>
        <w:tc>
          <w:tcPr>
            <w:tcW w:w="888"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Stock-</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Paid-In</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Retained</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Comprehensive</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Shareholders’</w:t>
            </w:r>
          </w:p>
        </w:tc>
      </w:tr>
      <w:tr>
        <w:trPr/>
        <w:tc>
          <w:tcPr>
            <w:tcW w:w="1482"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8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Shares</w:t>
            </w:r>
          </w:p>
        </w:tc>
        <w:tc>
          <w:tcPr>
            <w:tcW w:w="326" w:type="dxa"/>
            <w:tcBorders/>
            <w:vAlign w:val="center"/>
          </w:tcPr>
          <w:p>
            <w:pPr>
              <w:pStyle w:val="TableContents"/>
              <w:bidi w:val="0"/>
              <w:spacing w:lineRule="atLeast" w:line="240" w:before="0" w:after="0"/>
              <w:ind w:left="0" w:right="0" w:hanging="0"/>
              <w:jc w:val="center"/>
              <w:rPr/>
            </w:pPr>
            <w:r>
              <w:rPr/>
              <w:t>​</w:t>
            </w:r>
          </w:p>
        </w:tc>
        <w:tc>
          <w:tcPr>
            <w:tcW w:w="888"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Amount</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Capital</w:t>
            </w:r>
          </w:p>
        </w:tc>
        <w:tc>
          <w:tcPr>
            <w:tcW w:w="32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Earnings</w:t>
            </w:r>
          </w:p>
        </w:tc>
        <w:tc>
          <w:tcPr>
            <w:tcW w:w="326" w:type="dxa"/>
            <w:tcBorders/>
            <w:vAlign w:val="center"/>
          </w:tcPr>
          <w:p>
            <w:pPr>
              <w:pStyle w:val="TableContents"/>
              <w:bidi w:val="0"/>
              <w:spacing w:lineRule="atLeast" w:line="240" w:before="0" w:after="0"/>
              <w:ind w:left="0" w:right="0" w:hanging="0"/>
              <w:jc w:val="center"/>
              <w:rPr/>
            </w:pPr>
            <w:r>
              <w:rPr/>
              <w:t>​</w:t>
            </w:r>
          </w:p>
        </w:tc>
        <w:tc>
          <w:tcPr>
            <w:tcW w:w="142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(Loss) Income</w:t>
            </w:r>
          </w:p>
        </w:tc>
        <w:tc>
          <w:tcPr>
            <w:tcW w:w="326" w:type="dxa"/>
            <w:tcBorders/>
            <w:vAlign w:val="center"/>
          </w:tcPr>
          <w:p>
            <w:pPr>
              <w:pStyle w:val="TableContents"/>
              <w:bidi w:val="0"/>
              <w:spacing w:lineRule="atLeast" w:line="240" w:before="0" w:after="0"/>
              <w:ind w:left="0" w:right="0" w:hanging="0"/>
              <w:jc w:val="center"/>
              <w:rPr/>
            </w:pPr>
            <w:r>
              <w:rPr/>
              <w:t>​</w:t>
            </w:r>
          </w:p>
        </w:tc>
        <w:tc>
          <w:tcPr>
            <w:tcW w:w="1283"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Equity</w:t>
            </w:r>
          </w:p>
        </w:tc>
      </w:tr>
      <w:tr>
        <w:trPr/>
        <w:tc>
          <w:tcPr>
            <w:tcW w:w="10205" w:type="dxa"/>
            <w:gridSpan w:val="19"/>
            <w:tcBorders/>
            <w:vAlign w:val="center"/>
          </w:tcPr>
          <w:p>
            <w:pPr>
              <w:pStyle w:val="TableContents"/>
              <w:bidi w:val="0"/>
              <w:spacing w:before="0" w:after="283"/>
              <w:ind w:left="0" w:right="0" w:hanging="0"/>
              <w:jc w:val="left"/>
              <w:rPr>
                <w:sz w:val="4"/>
                <w:szCs w:val="4"/>
              </w:rPr>
            </w:pPr>
            <w:r>
              <w:rPr>
                <w:sz w:val="4"/>
                <w:szCs w:val="4"/>
              </w:rPr>
            </w:r>
          </w:p>
        </w:tc>
      </w:tr>
      <w:tr>
        <w:trPr/>
        <w:tc>
          <w:tcPr>
            <w:tcW w:w="1482"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8397" w:type="dxa"/>
            <w:gridSpan w:val="17"/>
            <w:tcBorders/>
            <w:vAlign w:val="center"/>
          </w:tcPr>
          <w:p>
            <w:pPr>
              <w:pStyle w:val="TableContents"/>
              <w:bidi w:val="0"/>
              <w:spacing w:lineRule="atLeast" w:line="240" w:before="0" w:after="0"/>
              <w:ind w:left="0" w:right="0" w:hanging="0"/>
              <w:jc w:val="center"/>
              <w:rPr>
                <w:rFonts w:ascii="Times New Roman;Times;serif" w:hAnsi="Times New Roman;Times;serif"/>
                <w:b/>
                <w:sz w:val="19"/>
              </w:rPr>
            </w:pPr>
            <w:r>
              <w:rPr>
                <w:rFonts w:ascii="Times New Roman;Times;serif" w:hAnsi="Times New Roman;Times;serif"/>
                <w:b/>
                <w:sz w:val="19"/>
              </w:rPr>
              <w:t>(Thousands)</w:t>
            </w:r>
          </w:p>
        </w:tc>
      </w:tr>
      <w:tr>
        <w:trPr/>
        <w:tc>
          <w:tcPr>
            <w:tcW w:w="1482"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sz w:val="19"/>
              </w:rPr>
            </w:pPr>
            <w:r>
              <w:rPr>
                <w:rFonts w:ascii="Times New Roman;Times;serif" w:hAnsi="Times New Roman;Times;serif"/>
                <w:b/>
                <w:sz w:val="19"/>
              </w:rPr>
              <w:t>Balance, July 2, 2022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95,702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95,702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1,656,907</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2,921,399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(481,248)</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4,192,760</w:t>
            </w:r>
          </w:p>
        </w:tc>
      </w:tr>
      <w:tr>
        <w:trPr/>
        <w:tc>
          <w:tcPr>
            <w:tcW w:w="1482"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vAlign w:val="center"/>
          </w:tcPr>
          <w:p>
            <w:pPr>
              <w:pStyle w:val="TableContents"/>
              <w:bidi w:val="0"/>
              <w:spacing w:lineRule="atLeast" w:line="240" w:before="0" w:after="0"/>
              <w:ind w:left="0" w:right="0" w:hanging="0"/>
              <w:jc w:val="right"/>
              <w:rPr/>
            </w:pPr>
            <w:r>
              <w:rPr/>
              <w:t> </w:t>
            </w:r>
          </w:p>
        </w:tc>
        <w:tc>
          <w:tcPr>
            <w:tcW w:w="729"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677"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184,261</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vAlign w:val="center"/>
          </w:tcPr>
          <w:p>
            <w:pPr>
              <w:pStyle w:val="TableContents"/>
              <w:bidi w:val="0"/>
              <w:spacing w:lineRule="atLeast" w:line="240" w:before="0" w:after="0"/>
              <w:ind w:left="0" w:right="0" w:hanging="0"/>
              <w:jc w:val="right"/>
              <w:rPr/>
            </w:pPr>
            <w:r>
              <w:rPr/>
              <w:t> </w:t>
            </w:r>
          </w:p>
        </w:tc>
        <w:tc>
          <w:tcPr>
            <w:tcW w:w="1142"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vAlign w:val="center"/>
          </w:tcPr>
          <w:p>
            <w:pPr>
              <w:pStyle w:val="TableContents"/>
              <w:bidi w:val="0"/>
              <w:spacing w:lineRule="atLeast" w:line="240" w:before="0" w:after="0"/>
              <w:ind w:left="0" w:right="0" w:hanging="0"/>
              <w:jc w:val="right"/>
              <w:rPr/>
            </w:pPr>
            <w:r>
              <w:rPr/>
              <w:t> </w:t>
            </w:r>
          </w:p>
        </w:tc>
        <w:tc>
          <w:tcPr>
            <w:tcW w:w="1067"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184,261</w:t>
            </w:r>
          </w:p>
        </w:tc>
      </w:tr>
      <w:tr>
        <w:trPr/>
        <w:tc>
          <w:tcPr>
            <w:tcW w:w="1482"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Other comprehensive loss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677"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pPr>
            <w:r>
              <w:rPr/>
              <w:t> </w:t>
            </w:r>
          </w:p>
        </w:tc>
        <w:tc>
          <w:tcPr>
            <w:tcW w:w="1142"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(191,797)</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pPr>
            <w:r>
              <w:rPr/>
              <w:t> </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(191,797)</w:t>
            </w:r>
          </w:p>
        </w:tc>
      </w:tr>
      <w:tr>
        <w:trPr/>
        <w:tc>
          <w:tcPr>
            <w:tcW w:w="1482"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dividends</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vAlign w:val="center"/>
          </w:tcPr>
          <w:p>
            <w:pPr>
              <w:pStyle w:val="TableContents"/>
              <w:bidi w:val="0"/>
              <w:spacing w:lineRule="atLeast" w:line="240" w:before="0" w:after="0"/>
              <w:ind w:left="0" w:right="0" w:hanging="0"/>
              <w:jc w:val="right"/>
              <w:rPr/>
            </w:pPr>
            <w:r>
              <w:rPr/>
              <w:t> </w:t>
            </w:r>
          </w:p>
        </w:tc>
        <w:tc>
          <w:tcPr>
            <w:tcW w:w="729"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677"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(26,998)</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vAlign w:val="center"/>
          </w:tcPr>
          <w:p>
            <w:pPr>
              <w:pStyle w:val="TableContents"/>
              <w:bidi w:val="0"/>
              <w:spacing w:lineRule="atLeast" w:line="240" w:before="0" w:after="0"/>
              <w:ind w:left="0" w:right="0" w:hanging="0"/>
              <w:jc w:val="right"/>
              <w:rPr/>
            </w:pPr>
            <w:r>
              <w:rPr/>
              <w:t> </w:t>
            </w:r>
          </w:p>
        </w:tc>
        <w:tc>
          <w:tcPr>
            <w:tcW w:w="1142"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vAlign w:val="center"/>
          </w:tcPr>
          <w:p>
            <w:pPr>
              <w:pStyle w:val="TableContents"/>
              <w:bidi w:val="0"/>
              <w:spacing w:lineRule="atLeast" w:line="240" w:before="0" w:after="0"/>
              <w:ind w:left="0" w:right="0" w:hanging="0"/>
              <w:jc w:val="right"/>
              <w:rPr/>
            </w:pPr>
            <w:r>
              <w:rPr/>
              <w:t> </w:t>
            </w:r>
          </w:p>
        </w:tc>
        <w:tc>
          <w:tcPr>
            <w:tcW w:w="1067" w:type="dxa"/>
            <w:tcBorders/>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(26,998)</w:t>
            </w:r>
          </w:p>
        </w:tc>
      </w:tr>
      <w:tr>
        <w:trPr/>
        <w:tc>
          <w:tcPr>
            <w:tcW w:w="1482"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Repurchases of common stock</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shd w:fill="CCEEFF" w:val="clear"/>
            <w:vAlign w:val="center"/>
          </w:tcPr>
          <w:p>
            <w:pPr>
              <w:pStyle w:val="TableContents"/>
              <w:bidi w:val="0"/>
              <w:spacing w:lineRule="atLeast" w:line="240" w:before="0" w:after="0"/>
              <w:ind w:left="0" w:right="0" w:hanging="0"/>
              <w:jc w:val="right"/>
              <w:rPr/>
            </w:pPr>
            <w:r>
              <w:rPr/>
              <w:t> </w:t>
            </w:r>
          </w:p>
        </w:tc>
        <w:tc>
          <w:tcPr>
            <w:tcW w:w="72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(3,445)</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67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(3,445)</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31"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(144,457)</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shd w:fill="CCEEFF" w:val="clear"/>
            <w:vAlign w:val="center"/>
          </w:tcPr>
          <w:p>
            <w:pPr>
              <w:pStyle w:val="TableContents"/>
              <w:bidi w:val="0"/>
              <w:spacing w:lineRule="atLeast" w:line="240" w:before="0" w:after="0"/>
              <w:ind w:left="0" w:right="0" w:hanging="0"/>
              <w:jc w:val="right"/>
              <w:rPr/>
            </w:pPr>
            <w:r>
              <w:rPr/>
              <w:t>​</w:t>
            </w:r>
          </w:p>
        </w:tc>
        <w:tc>
          <w:tcPr>
            <w:tcW w:w="1142"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shd w:fill="CCEEFF" w:val="clear"/>
            <w:vAlign w:val="center"/>
          </w:tcPr>
          <w:p>
            <w:pPr>
              <w:pStyle w:val="TableContents"/>
              <w:bidi w:val="0"/>
              <w:spacing w:lineRule="atLeast" w:line="240" w:before="0" w:after="0"/>
              <w:ind w:left="0" w:right="0" w:hanging="0"/>
              <w:jc w:val="right"/>
              <w:rPr/>
            </w:pPr>
            <w:r>
              <w:rPr/>
              <w:t> </w:t>
            </w:r>
          </w:p>
        </w:tc>
        <w:tc>
          <w:tcPr>
            <w:tcW w:w="1067"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(147,902)</w:t>
            </w:r>
          </w:p>
        </w:tc>
      </w:tr>
      <w:tr>
        <w:trPr/>
        <w:tc>
          <w:tcPr>
            <w:tcW w:w="1482"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vAlign w:val="center"/>
          </w:tcPr>
          <w:p>
            <w:pPr>
              <w:pStyle w:val="TableContents"/>
              <w:bidi w:val="0"/>
              <w:spacing w:lineRule="atLeast" w:line="240" w:before="0" w:after="0"/>
              <w:ind w:left="0" w:right="0" w:hanging="0"/>
              <w:jc w:val="left"/>
              <w:rPr/>
            </w:pPr>
            <w:r>
              <w:rPr/>
              <w:t>​</w:t>
            </w:r>
          </w:p>
        </w:tc>
        <w:tc>
          <w:tcPr>
            <w:tcW w:w="157"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729"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72</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677"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72</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8,939</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84"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1142"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67"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9,011</w:t>
            </w:r>
          </w:p>
        </w:tc>
      </w:tr>
      <w:tr>
        <w:trPr/>
        <w:tc>
          <w:tcPr>
            <w:tcW w:w="1482"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sz w:val="19"/>
              </w:rPr>
            </w:pPr>
            <w:r>
              <w:rPr>
                <w:rFonts w:ascii="Times New Roman;Times;serif" w:hAnsi="Times New Roman;Times;serif"/>
                <w:b/>
                <w:sz w:val="19"/>
              </w:rPr>
              <w:t>Balance, October 1, 2022</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157"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pPr>
            <w:r>
              <w:rPr/>
              <w:t> </w:t>
            </w:r>
          </w:p>
        </w:tc>
        <w:tc>
          <w:tcPr>
            <w:tcW w:w="729"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92,329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677"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92,329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1,665,846</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93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2,934,205</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84"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142"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(673,045)</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19"/>
              </w:rPr>
            </w:pPr>
            <w:r>
              <w:rPr>
                <w:rFonts w:ascii="Times New Roman;Times;serif" w:hAnsi="Times New Roman;Times;serif"/>
                <w:sz w:val="19"/>
              </w:rPr>
              <w:t>$</w:t>
            </w:r>
          </w:p>
        </w:tc>
        <w:tc>
          <w:tcPr>
            <w:tcW w:w="1067"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19"/>
              </w:rPr>
            </w:pPr>
            <w:r>
              <w:rPr>
                <w:rFonts w:ascii="Times New Roman;Times;serif" w:hAnsi="Times New Roman;Times;serif"/>
                <w:sz w:val="19"/>
              </w:rPr>
              <w:t>4,019,335</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67" w:name="Consolidated_Statements_of_Cash_Flows_"/>
      <w:bookmarkStart w:id="468" w:name="_ec5f573f_0782_4842_806d_e8730fb1b635"/>
      <w:bookmarkEnd w:id="467"/>
      <w:bookmarkEnd w:id="468"/>
      <w:r>
        <w:rPr>
          <w:rFonts w:ascii="Times New Roman;Times;serif" w:hAnsi="Times New Roman;Times;serif"/>
          <w:b/>
          <w:sz w:val="20"/>
        </w:rPr>
        <w:t>AVNET,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469" w:name="Tc_mrLdhuzdBEOqM72_T7fL9g_41_5"/>
      <w:bookmarkStart w:id="470" w:name="Tc_4tS3-o-4SU2kWJzH2pyQsg_41_2"/>
      <w:bookmarkStart w:id="471" w:name="Tc_kmQPSI6D1Ei1c3VMVXghoA_41_0"/>
      <w:bookmarkStart w:id="472" w:name="Tc_XKVei0xZ2ECFsDydcnhTLg_40_0"/>
      <w:bookmarkStart w:id="473" w:name="Tc_KusQIu_rakOG2-NZtGifUA_39_0"/>
      <w:bookmarkStart w:id="474" w:name="Tc_mSo_t5uc0E2s0PAEzSK_wQ_38_0"/>
      <w:bookmarkStart w:id="475" w:name="Tc_X0_jCSKePEOzTTBYG7RpAw_36_0"/>
      <w:bookmarkStart w:id="476" w:name="Tc_F16-jyr1jUe_zKSbeNcj8g_34_0"/>
      <w:bookmarkStart w:id="477" w:name="Tc_hWzbuwjiHEm0rmYHCIdHTA_33_0"/>
      <w:bookmarkStart w:id="478" w:name="Tc_4ELNz-0U_U6e8xtKDc6nbQ_32_0"/>
      <w:bookmarkStart w:id="479" w:name="Tc_vdOVKVPhWUG08Y3rAqUV-w_31_0"/>
      <w:bookmarkStart w:id="480" w:name="Tc_nH6oVoJfOEGzToyEtswV-A_29_0"/>
      <w:bookmarkStart w:id="481" w:name="Tc_Bg0vPdK63EWgPTjZg_dZpw_28_0"/>
      <w:bookmarkStart w:id="482" w:name="Tc_aA5hftYVVkusol8LFIO5Cg_27_0"/>
      <w:bookmarkStart w:id="483" w:name="Tc_dfdps4lm-U2ekbneU0gwMg_26_0"/>
      <w:bookmarkStart w:id="484" w:name="Tc_D0YHjc1ZaUe8UCwEVV3LXQ_25_0"/>
      <w:bookmarkStart w:id="485" w:name="Tc_hsVAo1RDVUmhq17oqFdGoQ_24_0"/>
      <w:bookmarkStart w:id="486" w:name="Tc_ehfF3FDJeU2dt48hKnSczg_23_0"/>
      <w:bookmarkStart w:id="487" w:name="Tc_oo25Or22XESWNDNno_fO_w_22_0"/>
      <w:bookmarkStart w:id="488" w:name="Tc_TxgSudc6x0-tBmT40z79Bg_20_0"/>
      <w:bookmarkStart w:id="489" w:name="Tc_ktUVf8ta2Ua2dL-3e9cpgA_19_0"/>
      <w:bookmarkStart w:id="490" w:name="Tc_n8-vY7R3mEyHM4sORyxwYA_18_0"/>
      <w:bookmarkStart w:id="491" w:name="Tc_un5Tr7uC1kaCnn-o_V8t_g_17_0"/>
      <w:bookmarkStart w:id="492" w:name="Tc_aXZ40jJk-kWh9JGFApsOOg_16_0"/>
      <w:bookmarkStart w:id="493" w:name="Tc_PSTTfUMLJ0Ktunq9w3W6Ag_15_0"/>
      <w:bookmarkStart w:id="494" w:name="Tc_nyRVHHRMukS-ikzP5tcWQw_14_0"/>
      <w:bookmarkStart w:id="495" w:name="Tc_dHTlZiERJEWFRlWaGRjiDA_13_0"/>
      <w:bookmarkStart w:id="496" w:name="Tc_0xdoAuZpz0WoneF2nl-41w_12_0"/>
      <w:bookmarkStart w:id="497" w:name="Tc_TE08WOnOI0mlzNe3kxKx5w_11_0"/>
      <w:bookmarkStart w:id="498" w:name="Tc_yL8VUDczu0qG9AONpTen-g_10_0"/>
      <w:bookmarkStart w:id="499" w:name="Tc_cv28JCU33keNys5NDKAnFg_9_0"/>
      <w:bookmarkStart w:id="500" w:name="Tc_IuXqILnQLkO8LlXc89V0rw_8_0"/>
      <w:bookmarkStart w:id="501" w:name="Tc_zcIlX9MKNEuMYiwg6s3eJQ_6_5"/>
      <w:bookmarkStart w:id="502" w:name="Tc_W1U2E4DMtE29Nyw7QatpWQ_6_2"/>
      <w:bookmarkStart w:id="503" w:name="Tc_32pObOQT3EWdl7CIAb0fKQ_6_0"/>
      <w:bookmarkStart w:id="504" w:name="Tc_dtdY6ArfpECKPMRoIJ_AsQ_5_0"/>
      <w:bookmarkStart w:id="505" w:name="Tc_4-YBVzFcJUaB5BbN2ouU_Q_4_2"/>
      <w:bookmarkStart w:id="506" w:name="Tc_jGkSZrfjpk6JDPOcfOAe-w_3_5"/>
      <w:bookmarkStart w:id="507" w:name="Tc_6sKfWmPVREWL-rhJwnc92g_3_2"/>
      <w:bookmarkStart w:id="508" w:name="Tc_T1PlgZ4ZDkOfdQWGalPdqQ_2_5"/>
      <w:bookmarkStart w:id="509" w:name="Tc_JgDa4GtruUauoRKu7RmhJw_2_2"/>
      <w:bookmarkStart w:id="510" w:name="Tc_TVcyDngMRkGO6fEmk3bKlA_1_2"/>
      <w:bookmarkStart w:id="511" w:name="_31576618_fe23_409a_b911_fad95c9490dc"/>
      <w:bookmarkStart w:id="512" w:name="Tc_mrLdhuzdBEOqM72_T7fL9g_41_5"/>
      <w:bookmarkStart w:id="513" w:name="Tc_4tS3-o-4SU2kWJzH2pyQsg_41_2"/>
      <w:bookmarkStart w:id="514" w:name="Tc_kmQPSI6D1Ei1c3VMVXghoA_41_0"/>
      <w:bookmarkStart w:id="515" w:name="Tc_XKVei0xZ2ECFsDydcnhTLg_40_0"/>
      <w:bookmarkStart w:id="516" w:name="Tc_KusQIu_rakOG2-NZtGifUA_39_0"/>
      <w:bookmarkStart w:id="517" w:name="Tc_mSo_t5uc0E2s0PAEzSK_wQ_38_0"/>
      <w:bookmarkStart w:id="518" w:name="Tc_X0_jCSKePEOzTTBYG7RpAw_36_0"/>
      <w:bookmarkStart w:id="519" w:name="Tc_F16-jyr1jUe_zKSbeNcj8g_34_0"/>
      <w:bookmarkStart w:id="520" w:name="Tc_hWzbuwjiHEm0rmYHCIdHTA_33_0"/>
      <w:bookmarkStart w:id="521" w:name="Tc_4ELNz-0U_U6e8xtKDc6nbQ_32_0"/>
      <w:bookmarkStart w:id="522" w:name="Tc_vdOVKVPhWUG08Y3rAqUV-w_31_0"/>
      <w:bookmarkStart w:id="523" w:name="Tc_nH6oVoJfOEGzToyEtswV-A_29_0"/>
      <w:bookmarkStart w:id="524" w:name="Tc_Bg0vPdK63EWgPTjZg_dZpw_28_0"/>
      <w:bookmarkStart w:id="525" w:name="Tc_aA5hftYVVkusol8LFIO5Cg_27_0"/>
      <w:bookmarkStart w:id="526" w:name="Tc_dfdps4lm-U2ekbneU0gwMg_26_0"/>
      <w:bookmarkStart w:id="527" w:name="Tc_D0YHjc1ZaUe8UCwEVV3LXQ_25_0"/>
      <w:bookmarkStart w:id="528" w:name="Tc_hsVAo1RDVUmhq17oqFdGoQ_24_0"/>
      <w:bookmarkStart w:id="529" w:name="Tc_ehfF3FDJeU2dt48hKnSczg_23_0"/>
      <w:bookmarkStart w:id="530" w:name="Tc_oo25Or22XESWNDNno_fO_w_22_0"/>
      <w:bookmarkStart w:id="531" w:name="Tc_TxgSudc6x0-tBmT40z79Bg_20_0"/>
      <w:bookmarkStart w:id="532" w:name="Tc_ktUVf8ta2Ua2dL-3e9cpgA_19_0"/>
      <w:bookmarkStart w:id="533" w:name="Tc_n8-vY7R3mEyHM4sORyxwYA_18_0"/>
      <w:bookmarkStart w:id="534" w:name="Tc_un5Tr7uC1kaCnn-o_V8t_g_17_0"/>
      <w:bookmarkStart w:id="535" w:name="Tc_aXZ40jJk-kWh9JGFApsOOg_16_0"/>
      <w:bookmarkStart w:id="536" w:name="Tc_PSTTfUMLJ0Ktunq9w3W6Ag_15_0"/>
      <w:bookmarkStart w:id="537" w:name="Tc_nyRVHHRMukS-ikzP5tcWQw_14_0"/>
      <w:bookmarkStart w:id="538" w:name="Tc_dHTlZiERJEWFRlWaGRjiDA_13_0"/>
      <w:bookmarkStart w:id="539" w:name="Tc_0xdoAuZpz0WoneF2nl-41w_12_0"/>
      <w:bookmarkStart w:id="540" w:name="Tc_TE08WOnOI0mlzNe3kxKx5w_11_0"/>
      <w:bookmarkStart w:id="541" w:name="Tc_yL8VUDczu0qG9AONpTen-g_10_0"/>
      <w:bookmarkStart w:id="542" w:name="Tc_cv28JCU33keNys5NDKAnFg_9_0"/>
      <w:bookmarkStart w:id="543" w:name="Tc_IuXqILnQLkO8LlXc89V0rw_8_0"/>
      <w:bookmarkStart w:id="544" w:name="Tc_zcIlX9MKNEuMYiwg6s3eJQ_6_5"/>
      <w:bookmarkStart w:id="545" w:name="Tc_W1U2E4DMtE29Nyw7QatpWQ_6_2"/>
      <w:bookmarkStart w:id="546" w:name="Tc_32pObOQT3EWdl7CIAb0fKQ_6_0"/>
      <w:bookmarkStart w:id="547" w:name="Tc_dtdY6ArfpECKPMRoIJ_AsQ_5_0"/>
      <w:bookmarkStart w:id="548" w:name="Tc_4-YBVzFcJUaB5BbN2ouU_Q_4_2"/>
      <w:bookmarkStart w:id="549" w:name="Tc_jGkSZrfjpk6JDPOcfOAe-w_3_5"/>
      <w:bookmarkStart w:id="550" w:name="Tc_6sKfWmPVREWL-rhJwnc92g_3_2"/>
      <w:bookmarkStart w:id="551" w:name="Tc_T1PlgZ4ZDkOfdQWGalPdqQ_2_5"/>
      <w:bookmarkStart w:id="552" w:name="Tc_JgDa4GtruUauoRKu7RmhJw_2_2"/>
      <w:bookmarkStart w:id="553" w:name="Tc_TVcyDngMRkGO6fEmk3bKlA_1_2"/>
      <w:bookmarkStart w:id="554" w:name="_31576618_fe23_409a_b911_fad95c9490dc"/>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p>
    <w:tbl>
      <w:tblPr>
        <w:tblW w:w="8950" w:type="dxa"/>
        <w:jc w:val="left"/>
        <w:tblInd w:w="0" w:type="dxa"/>
        <w:tblLayout w:type="fixed"/>
        <w:tblCellMar>
          <w:top w:w="0" w:type="dxa"/>
          <w:left w:w="0" w:type="dxa"/>
          <w:bottom w:w="0" w:type="dxa"/>
          <w:right w:w="0" w:type="dxa"/>
        </w:tblCellMar>
      </w:tblPr>
      <w:tblGrid>
        <w:gridCol w:w="5836"/>
        <w:gridCol w:w="326"/>
        <w:gridCol w:w="260"/>
        <w:gridCol w:w="1045"/>
        <w:gridCol w:w="326"/>
        <w:gridCol w:w="211"/>
        <w:gridCol w:w="946"/>
      </w:tblGrid>
      <w:tr>
        <w:trPr/>
        <w:tc>
          <w:tcPr>
            <w:tcW w:w="58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3705860" cy="175260"/>
                      <wp:effectExtent l="0" t="0" r="0" b="0"/>
                      <wp:wrapNone/>
                      <wp:docPr id="66" name="Frame66"/>
                      <a:graphic xmlns:a="http://schemas.openxmlformats.org/drawingml/2006/main">
                        <a:graphicData uri="http://schemas.microsoft.com/office/word/2010/wordprocessingShape">
                          <wps:wsp>
                            <wps:cNvSpPr txBox="1"/>
                            <wps:spPr>
                              <a:xfrm>
                                <a:off x="0" y="0"/>
                                <a:ext cx="37058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07010" cy="175260"/>
                      <wp:effectExtent l="0" t="0" r="0" b="0"/>
                      <wp:wrapNone/>
                      <wp:docPr id="67" name="Frame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165100" cy="175260"/>
                      <wp:effectExtent l="0" t="0" r="0" b="0"/>
                      <wp:wrapNone/>
                      <wp:docPr id="68" name="Frame68"/>
                      <a:graphic xmlns:a="http://schemas.openxmlformats.org/drawingml/2006/main">
                        <a:graphicData uri="http://schemas.microsoft.com/office/word/2010/wordprocessingShape">
                          <wps:wsp>
                            <wps:cNvSpPr txBox="1"/>
                            <wps:spPr>
                              <a:xfrm>
                                <a:off x="0" y="0"/>
                                <a:ext cx="1651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63575" cy="175260"/>
                      <wp:effectExtent l="0" t="0" r="0" b="0"/>
                      <wp:wrapNone/>
                      <wp:docPr id="69" name="Frame69"/>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70" name="Frame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133985" cy="175260"/>
                      <wp:effectExtent l="0" t="0" r="0" b="0"/>
                      <wp:wrapNone/>
                      <wp:docPr id="71" name="Frame71"/>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00710" cy="175260"/>
                      <wp:effectExtent l="0" t="0" r="0" b="0"/>
                      <wp:wrapNone/>
                      <wp:docPr id="72" name="Frame7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583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788"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583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115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583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w:t>
            </w:r>
          </w:p>
        </w:tc>
        <w:tc>
          <w:tcPr>
            <w:tcW w:w="115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95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83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788"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flows from operating activities: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left"/>
              <w:rPr/>
            </w:pPr>
            <w:r>
              <w:rPr/>
              <w:t>​</w:t>
            </w:r>
          </w:p>
        </w:tc>
        <w:tc>
          <w:tcPr>
            <w:tcW w:w="1045"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pPr>
            <w:r>
              <w:rPr/>
              <w:t>​</w:t>
            </w:r>
          </w:p>
        </w:tc>
        <w:tc>
          <w:tcPr>
            <w:tcW w:w="946" w:type="dxa"/>
            <w:tcBorders/>
            <w:shd w:fill="CCEEFF" w:val="clear"/>
            <w:vAlign w:val="center"/>
          </w:tcPr>
          <w:p>
            <w:pPr>
              <w:pStyle w:val="TableContents"/>
              <w:bidi w:val="0"/>
              <w:spacing w:lineRule="atLeast" w:line="240" w:before="0" w:after="0"/>
              <w:ind w:left="0" w:right="0" w:hanging="0"/>
              <w:jc w:val="lef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Net income</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209,268</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184,261</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left"/>
              <w:rPr/>
            </w:pPr>
            <w:r>
              <w:rPr/>
              <w:t>​</w:t>
            </w:r>
          </w:p>
        </w:tc>
        <w:tc>
          <w:tcPr>
            <w:tcW w:w="1045"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lef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Non-cash and other reconciling items: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w:t>
            </w:r>
          </w:p>
        </w:tc>
        <w:tc>
          <w:tcPr>
            <w:tcW w:w="1045"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946" w:type="dxa"/>
            <w:tcBorders/>
            <w:vAlign w:val="center"/>
          </w:tcPr>
          <w:p>
            <w:pPr>
              <w:pStyle w:val="TableContents"/>
              <w:bidi w:val="0"/>
              <w:spacing w:lineRule="atLeast" w:line="240" w:before="0" w:after="0"/>
              <w:ind w:left="0" w:right="0" w:hanging="0"/>
              <w:jc w:val="right"/>
              <w:rPr/>
            </w:pPr>
            <w:r>
              <w:rPr/>
              <w:t>​</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Depreciation</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20,639</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19,640</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Amortization</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2,755</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Amortization of operating lease assets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13,271</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13,141</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Deferred income taxes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5,575</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(7,296)</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Stock-based compensation</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9,355</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8,924</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Other, net</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(20,171)</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8,224</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Changes in (net of effects from businesses acquired and divested):</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Receivables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30,190</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(419,852)</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Inventories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(371,604)</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(559,044)</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Accounts payable</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111,489</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120,938</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Accrued expenses and other, net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(50,184)</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(16,840)</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Net cash flows used for operating activities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(41,294)</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(645,149)</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flows from financing activities: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w:t>
            </w:r>
          </w:p>
        </w:tc>
        <w:tc>
          <w:tcPr>
            <w:tcW w:w="1045"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946" w:type="dxa"/>
            <w:tcBorders/>
            <w:vAlign w:val="center"/>
          </w:tcPr>
          <w:p>
            <w:pPr>
              <w:pStyle w:val="TableContents"/>
              <w:bidi w:val="0"/>
              <w:spacing w:lineRule="atLeast" w:line="240" w:before="0" w:after="0"/>
              <w:ind w:left="0" w:right="0" w:hanging="0"/>
              <w:jc w:val="right"/>
              <w:rPr/>
            </w:pPr>
            <w:r>
              <w:rPr/>
              <w:t>​</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Borrowings (repayments) under accounts receivable securitization, net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(92,100)</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152,200</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Borrowings under senior unsecured credit facility, net</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243,613</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701,987</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Repayments under bank credit facilities and other debt, net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(133)</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(85,432)</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 xml:space="preserve">Repurchases of common stock </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(24,324)</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(152,408)</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Dividends paid on common stock</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 </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(28,320)</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(26,998)</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Other, net</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1,414</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(964)</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 xml:space="preserve">Net cash flows provided by financing activities </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100,150</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588,385</w:t>
            </w:r>
          </w:p>
        </w:tc>
      </w:tr>
      <w:tr>
        <w:trPr/>
        <w:tc>
          <w:tcPr>
            <w:tcW w:w="583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w:t>
            </w:r>
          </w:p>
        </w:tc>
        <w:tc>
          <w:tcPr>
            <w:tcW w:w="1045"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946" w:type="dxa"/>
            <w:tcBorders/>
            <w:vAlign w:val="center"/>
          </w:tcPr>
          <w:p>
            <w:pPr>
              <w:pStyle w:val="TableContents"/>
              <w:bidi w:val="0"/>
              <w:spacing w:lineRule="atLeast" w:line="240" w:before="0" w:after="0"/>
              <w:ind w:left="0" w:right="0" w:hanging="0"/>
              <w:jc w:val="right"/>
              <w:rPr/>
            </w:pPr>
            <w:r>
              <w:rPr/>
              <w:t>​</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flows from investing activities:</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Purchases of property, plant and equipment</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(76,089)</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(28,208)</w:t>
            </w:r>
          </w:p>
        </w:tc>
      </w:tr>
      <w:tr>
        <w:trPr/>
        <w:tc>
          <w:tcPr>
            <w:tcW w:w="583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Other, net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7,303</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Net cash flows used for investing activities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4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(75,789)</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4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(20,905)</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Effect of currency exchange rate changes on cash and cash equivalents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right"/>
              <w:rPr/>
            </w:pPr>
            <w:r>
              <w:rPr/>
              <w:t> </w:t>
            </w:r>
          </w:p>
        </w:tc>
        <w:tc>
          <w:tcPr>
            <w:tcW w:w="10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7,382</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94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4,857</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pPr>
            <w:r>
              <w:rPr/>
              <w:t>​</w:t>
            </w:r>
          </w:p>
        </w:tc>
      </w:tr>
      <w:tr>
        <w:trPr/>
        <w:tc>
          <w:tcPr>
            <w:tcW w:w="5836" w:type="dxa"/>
            <w:tcBorders/>
            <w:vAlign w:val="center"/>
          </w:tcPr>
          <w:p>
            <w:pPr>
              <w:pStyle w:val="TableContents"/>
              <w:bidi w:val="0"/>
              <w:spacing w:lineRule="atLeast" w:line="240" w:before="0" w:after="0"/>
              <w:ind w:left="0" w:right="0" w:hanging="0"/>
              <w:jc w:val="left"/>
              <w:rPr>
                <w:rFonts w:ascii="Times New Roman;Times;serif" w:hAnsi="Times New Roman;Times;serif"/>
                <w:sz w:val="19"/>
              </w:rPr>
            </w:pPr>
            <w:r>
              <w:rPr>
                <w:rFonts w:ascii="Times New Roman;Times;serif" w:hAnsi="Times New Roman;Times;serif"/>
                <w:sz w:val="19"/>
              </w:rPr>
              <w:t>Cash and cash equivalents:</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045"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32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1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946" w:type="dxa"/>
            <w:tcBorders/>
            <w:vAlign w:val="center"/>
          </w:tcPr>
          <w:p>
            <w:pPr>
              <w:pStyle w:val="TableContents"/>
              <w:bidi w:val="0"/>
              <w:spacing w:lineRule="atLeast" w:line="240" w:before="0" w:after="0"/>
              <w:ind w:left="0" w:right="0" w:hanging="0"/>
              <w:jc w:val="left"/>
              <w:rPr>
                <w:color w:val="575757"/>
              </w:rPr>
            </w:pPr>
            <w:r>
              <w:rPr>
                <w:color w:val="575757"/>
              </w:rPr>
              <w:t>​</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 xml:space="preserve">— </w:t>
            </w:r>
            <w:r>
              <w:rPr>
                <w:rFonts w:ascii="Times New Roman;Times;serif" w:hAnsi="Times New Roman;Times;serif"/>
                <w:sz w:val="19"/>
              </w:rPr>
              <w:t>decrease</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60" w:type="dxa"/>
            <w:tcBorders/>
            <w:shd w:fill="CCEEFF" w:val="clear"/>
            <w:vAlign w:val="center"/>
          </w:tcPr>
          <w:p>
            <w:pPr>
              <w:pStyle w:val="TableContents"/>
              <w:bidi w:val="0"/>
              <w:spacing w:lineRule="atLeast" w:line="240" w:before="0" w:after="0"/>
              <w:ind w:left="0" w:right="0" w:hanging="0"/>
              <w:jc w:val="right"/>
              <w:rPr/>
            </w:pPr>
            <w:r>
              <w:rPr/>
              <w:t>​</w:t>
            </w:r>
          </w:p>
        </w:tc>
        <w:tc>
          <w:tcPr>
            <w:tcW w:w="10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(9,551)</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4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(72,812)</w:t>
            </w:r>
          </w:p>
        </w:tc>
      </w:tr>
      <w:tr>
        <w:trPr/>
        <w:tc>
          <w:tcPr>
            <w:tcW w:w="5836" w:type="dxa"/>
            <w:tcBorders/>
            <w:vAlign w:val="center"/>
          </w:tcPr>
          <w:p>
            <w:pPr>
              <w:pStyle w:val="TableContents"/>
              <w:bidi w:val="0"/>
              <w:spacing w:lineRule="atLeast" w:line="240" w:before="0" w:after="0"/>
              <w:ind w:left="0" w:right="0" w:hanging="0"/>
              <w:jc w:val="left"/>
              <w:rPr/>
            </w:pPr>
            <w:r>
              <w:rPr/>
              <w:t xml:space="preserve">— </w:t>
            </w:r>
            <w:r>
              <w:rPr>
                <w:rFonts w:ascii="Times New Roman;Times;serif" w:hAnsi="Times New Roman;Times;serif"/>
                <w:sz w:val="19"/>
              </w:rPr>
              <w:t>at beginning of period</w:t>
            </w:r>
          </w:p>
        </w:tc>
        <w:tc>
          <w:tcPr>
            <w:tcW w:w="326" w:type="dxa"/>
            <w:tcBorders/>
            <w:vAlign w:val="center"/>
          </w:tcPr>
          <w:p>
            <w:pPr>
              <w:pStyle w:val="TableContents"/>
              <w:bidi w:val="0"/>
              <w:spacing w:lineRule="atLeast" w:line="240" w:before="0" w:after="0"/>
              <w:ind w:left="0" w:right="0" w:hanging="0"/>
              <w:jc w:val="left"/>
              <w:rPr/>
            </w:pPr>
            <w:r>
              <w:rPr/>
              <w:t>​</w:t>
            </w:r>
          </w:p>
        </w:tc>
        <w:tc>
          <w:tcPr>
            <w:tcW w:w="260"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104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288,230</w:t>
            </w:r>
          </w:p>
        </w:tc>
        <w:tc>
          <w:tcPr>
            <w:tcW w:w="326" w:type="dxa"/>
            <w:tcBorders/>
            <w:vAlign w:val="center"/>
          </w:tcPr>
          <w:p>
            <w:pPr>
              <w:pStyle w:val="TableContents"/>
              <w:bidi w:val="0"/>
              <w:spacing w:lineRule="atLeast" w:line="240" w:before="0" w:after="0"/>
              <w:ind w:left="0" w:right="0" w:hanging="0"/>
              <w:jc w:val="righ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94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153,693</w:t>
            </w:r>
          </w:p>
        </w:tc>
      </w:tr>
      <w:tr>
        <w:trPr/>
        <w:tc>
          <w:tcPr>
            <w:tcW w:w="5836" w:type="dxa"/>
            <w:tcBorders/>
            <w:shd w:fill="CCEEFF" w:val="clear"/>
            <w:vAlign w:val="center"/>
          </w:tcPr>
          <w:p>
            <w:pPr>
              <w:pStyle w:val="TableContents"/>
              <w:bidi w:val="0"/>
              <w:spacing w:lineRule="atLeast" w:line="240" w:before="0" w:after="0"/>
              <w:ind w:left="0" w:right="0" w:hanging="0"/>
              <w:jc w:val="left"/>
              <w:rPr/>
            </w:pPr>
            <w:r>
              <w:rPr/>
              <w:t xml:space="preserve">— </w:t>
            </w:r>
            <w:r>
              <w:rPr>
                <w:rFonts w:ascii="Times New Roman;Times;serif" w:hAnsi="Times New Roman;Times;serif"/>
                <w:sz w:val="19"/>
              </w:rPr>
              <w:t>at end of period</w:t>
            </w:r>
          </w:p>
        </w:tc>
        <w:tc>
          <w:tcPr>
            <w:tcW w:w="32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60"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45"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278,679</w:t>
            </w:r>
          </w:p>
        </w:tc>
        <w:tc>
          <w:tcPr>
            <w:tcW w:w="326" w:type="dxa"/>
            <w:tcBorders/>
            <w:shd w:fill="CCEEFF" w:val="clear"/>
            <w:vAlign w:val="center"/>
          </w:tcPr>
          <w:p>
            <w:pPr>
              <w:pStyle w:val="TableContents"/>
              <w:bidi w:val="0"/>
              <w:spacing w:lineRule="atLeast" w:line="240" w:before="0" w:after="0"/>
              <w:ind w:left="0" w:right="0" w:hanging="0"/>
              <w:jc w:val="righ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4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80,881</w:t>
            </w:r>
          </w:p>
        </w:tc>
      </w:tr>
    </w:tbl>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AVNET, INC. AND SUBSIDIARIES</w:t>
        <w:br/>
        <w:t>NOTES TO CONSOLIDATED FINANCIAL STATEMENTS</w:t>
        <w:br/>
        <w:t>(Unaudited)</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555" w:name="bm_1_Basis_of_presentation"/>
      <w:bookmarkStart w:id="556" w:name="Notes_to_Consolidated_Financial_Statemen"/>
      <w:bookmarkEnd w:id="555"/>
      <w:bookmarkEnd w:id="556"/>
      <w:r>
        <w:rPr>
          <w:rFonts w:ascii="Times New Roman;Times;serif" w:hAnsi="Times New Roman;Times;serif"/>
          <w:b/>
          <w:sz w:val="20"/>
        </w:rPr>
        <w:t>1. Basis of presentation and new accounting pronouncements</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2023 balances to correspond to the fiscal 2024 consolidated financial statement presentation.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 </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July 1, 2023.</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Recently adopted accounting pronouncements</w:t>
      </w:r>
    </w:p>
    <w:p>
      <w:pPr>
        <w:pStyle w:val="TextBody"/>
        <w:bidi w:val="0"/>
        <w:spacing w:before="240" w:after="0"/>
        <w:ind w:left="0" w:right="0" w:firstLine="475"/>
        <w:jc w:val="left"/>
        <w:rPr>
          <w:rFonts w:ascii="Times New Roman;Times;serif" w:hAnsi="Times New Roman;Times;serif"/>
          <w:sz w:val="20"/>
        </w:rPr>
      </w:pPr>
      <w:r>
        <w:rPr>
          <w:rFonts w:ascii="Times New Roman;Times;serif" w:hAnsi="Times New Roman;Times;serif"/>
          <w:sz w:val="20"/>
        </w:rPr>
        <w:t>In September 2022, the FASB issued ASU No. 2022-04, Liabilities (subtopic 405-50): Supplier Finance Programs (“ASU No. 2022-04”) to enhance the transparency of certain supplier finance programs to assist financial statement users in understanding the effect of such programs on a company’s working capital, liquidity and cash flows. The new guidance requires qualitative and quantitative disclosure sufficient to enable users of the financial statements to understand the nature, activity during the period, changes from period to period, and potential magnitude of such programs. The Company adopted this guidance in the first quarter of fiscal 2024, except for the amendment on roll-forward information, which is effective for the Company in fiscal 2025. The Company’s adoption of ASU No. 2022-04 did not have a material impact on the Company’s consolidated financial statements.</w:t>
      </w:r>
    </w:p>
    <w:p>
      <w:pPr>
        <w:pStyle w:val="TextBody"/>
        <w:bidi w:val="0"/>
        <w:spacing w:before="0" w:after="0"/>
        <w:ind w:left="0" w:right="0" w:firstLine="475"/>
        <w:jc w:val="left"/>
        <w:rPr/>
      </w:pPr>
      <w:r>
        <w:rPr/>
        <w:t>​</w:t>
      </w:r>
    </w:p>
    <w:p>
      <w:pPr>
        <w:pStyle w:val="TextBody"/>
        <w:bidi w:val="0"/>
        <w:spacing w:before="0" w:after="0"/>
        <w:ind w:left="0" w:right="0" w:hanging="0"/>
        <w:jc w:val="both"/>
        <w:rPr/>
      </w:pPr>
      <w:r>
        <w:rPr/>
        <w:t>​</w:t>
      </w:r>
    </w:p>
    <w:p>
      <w:pPr>
        <w:pStyle w:val="TextBody"/>
        <w:bidi w:val="0"/>
        <w:spacing w:before="0" w:after="0"/>
        <w:ind w:left="0" w:right="0" w:firstLine="475"/>
        <w:jc w:val="both"/>
        <w:rPr/>
      </w:pPr>
      <w:r>
        <w:rPr/>
        <w:t>​</w:t>
      </w:r>
    </w:p>
    <w:p>
      <w:pPr>
        <w:pStyle w:val="TextBody"/>
        <w:bidi w:val="0"/>
        <w:spacing w:before="0" w:after="0"/>
        <w:ind w:left="0" w:right="0" w:hanging="0"/>
        <w:jc w:val="both"/>
        <w:rPr>
          <w:rFonts w:ascii="Times New Roman;Times;serif" w:hAnsi="Times New Roman;Times;serif"/>
          <w:b/>
          <w:sz w:val="20"/>
        </w:rPr>
      </w:pPr>
      <w:bookmarkStart w:id="557" w:name="Tc_U-2Ewdgle0-owtHns-9YXQ_5_5"/>
      <w:bookmarkStart w:id="558" w:name="Tc_wbKDUFcK6U-xmilQ6Cd0KA_5_2"/>
      <w:bookmarkStart w:id="559" w:name="Tc_oesYmcGtgk2ZVjHDI5RBcg_5_0"/>
      <w:bookmarkStart w:id="560" w:name="Tc_wHrquRqcnUiwnkV_HSwKyg_4_5"/>
      <w:bookmarkStart w:id="561" w:name="Tc_eztfF2MQEEKvZXGpP_MMHQ_4_2"/>
      <w:bookmarkStart w:id="562" w:name="Tc_bN2rdjYqa0C-FPA843cGxA_4_0"/>
      <w:bookmarkStart w:id="563" w:name="Tc_FGm2VVhhS0OqTDtWq9nnfg_3_2"/>
      <w:bookmarkStart w:id="564" w:name="Tc_DkzGaIRoCE6uiuvhi4PMQA_2_5"/>
      <w:bookmarkStart w:id="565" w:name="Tc_iQX7n7R0Z020OkgbytM3Sw_2_2"/>
      <w:bookmarkStart w:id="566" w:name="Tc_C1OkAY68kEyblQ_uQv_rJA_1_5"/>
      <w:bookmarkStart w:id="567" w:name="Tc_xNWCM96V-kaX8T4u-tni8A_1_2"/>
      <w:bookmarkEnd w:id="557"/>
      <w:bookmarkEnd w:id="558"/>
      <w:bookmarkEnd w:id="559"/>
      <w:bookmarkEnd w:id="560"/>
      <w:bookmarkEnd w:id="561"/>
      <w:bookmarkEnd w:id="562"/>
      <w:bookmarkEnd w:id="563"/>
      <w:bookmarkEnd w:id="564"/>
      <w:bookmarkEnd w:id="565"/>
      <w:bookmarkEnd w:id="566"/>
      <w:bookmarkEnd w:id="567"/>
      <w:r>
        <w:rPr>
          <w:rFonts w:ascii="Times New Roman;Times;serif" w:hAnsi="Times New Roman;Times;serif"/>
          <w:b/>
          <w:sz w:val="20"/>
        </w:rPr>
        <w:t>2. Receivables</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sz w:val="20"/>
        </w:rPr>
      </w:pPr>
      <w:r>
        <w:rPr>
          <w:rFonts w:ascii="Times New Roman;Times;serif" w:hAnsi="Times New Roman;Times;serif"/>
          <w:sz w:val="20"/>
        </w:rPr>
        <w:t>The Company’s receivables and allowance for credit losses were as follows:</w:t>
      </w:r>
    </w:p>
    <w:p>
      <w:pPr>
        <w:pStyle w:val="TextBody"/>
        <w:bidi w:val="0"/>
        <w:spacing w:before="0" w:after="0"/>
        <w:ind w:left="0" w:right="0" w:firstLine="475"/>
        <w:jc w:val="both"/>
        <w:rPr/>
      </w:pPr>
      <w:r>
        <w:rPr/>
        <w:t>​</w:t>
      </w:r>
    </w:p>
    <w:tbl>
      <w:tblPr>
        <w:tblW w:w="5111" w:type="dxa"/>
        <w:jc w:val="left"/>
        <w:tblInd w:w="0" w:type="dxa"/>
        <w:tblLayout w:type="fixed"/>
        <w:tblCellMar>
          <w:top w:w="0" w:type="dxa"/>
          <w:left w:w="0" w:type="dxa"/>
          <w:bottom w:w="0" w:type="dxa"/>
          <w:right w:w="0" w:type="dxa"/>
        </w:tblCellMar>
      </w:tblPr>
      <w:tblGrid>
        <w:gridCol w:w="2401"/>
        <w:gridCol w:w="109"/>
        <w:gridCol w:w="240"/>
        <w:gridCol w:w="1065"/>
        <w:gridCol w:w="109"/>
        <w:gridCol w:w="211"/>
        <w:gridCol w:w="976"/>
      </w:tblGrid>
      <w:tr>
        <w:trPr/>
        <w:tc>
          <w:tcPr>
            <w:tcW w:w="24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1524635" cy="175260"/>
                      <wp:effectExtent l="0" t="0" r="0" b="0"/>
                      <wp:wrapNone/>
                      <wp:docPr id="73" name="Frame73"/>
                      <a:graphic xmlns:a="http://schemas.openxmlformats.org/drawingml/2006/main">
                        <a:graphicData uri="http://schemas.microsoft.com/office/word/2010/wordprocessingShape">
                          <wps:wsp>
                            <wps:cNvSpPr txBox="1"/>
                            <wps:spPr>
                              <a:xfrm>
                                <a:off x="0" y="0"/>
                                <a:ext cx="1524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9215" cy="175260"/>
                      <wp:effectExtent l="0" t="0" r="0" b="0"/>
                      <wp:wrapNone/>
                      <wp:docPr id="74" name="Frame7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152400" cy="175260"/>
                      <wp:effectExtent l="0" t="0" r="0" b="0"/>
                      <wp:wrapNone/>
                      <wp:docPr id="75" name="Frame75"/>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76275" cy="175260"/>
                      <wp:effectExtent l="0" t="0" r="0" b="0"/>
                      <wp:wrapNone/>
                      <wp:docPr id="76" name="Frame76"/>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9215" cy="175260"/>
                      <wp:effectExtent l="0" t="0" r="0" b="0"/>
                      <wp:wrapNone/>
                      <wp:docPr id="77" name="Frame77"/>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133985" cy="175260"/>
                      <wp:effectExtent l="0" t="0" r="0" b="0"/>
                      <wp:wrapNone/>
                      <wp:docPr id="78" name="Frame7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19760" cy="175260"/>
                      <wp:effectExtent l="0" t="0" r="0" b="0"/>
                      <wp:wrapNone/>
                      <wp:docPr id="79" name="Frame7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109" w:type="dxa"/>
            <w:tcBorders/>
            <w:vAlign w:val="center"/>
          </w:tcPr>
          <w:p>
            <w:pPr>
              <w:pStyle w:val="TableContents"/>
              <w:bidi w:val="0"/>
              <w:spacing w:before="0" w:after="0"/>
              <w:ind w:left="0" w:right="0" w:hanging="0"/>
              <w:jc w:val="left"/>
              <w:rPr/>
            </w:pPr>
            <w:r>
              <w:rPr/>
              <w:t>​</w:t>
            </w:r>
          </w:p>
        </w:tc>
        <w:tc>
          <w:tcPr>
            <w:tcW w:w="118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center"/>
              <w:rPr/>
            </w:pPr>
            <w:r>
              <w:rPr/>
              <w:t>​</w:t>
            </w:r>
          </w:p>
        </w:tc>
        <w:tc>
          <w:tcPr>
            <w:tcW w:w="118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11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40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center"/>
              <w:rPr/>
            </w:pPr>
            <w:r>
              <w:rPr/>
              <w:t>​</w:t>
            </w:r>
          </w:p>
        </w:tc>
        <w:tc>
          <w:tcPr>
            <w:tcW w:w="260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4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w:t>
            </w:r>
          </w:p>
        </w:tc>
        <w:tc>
          <w:tcPr>
            <w:tcW w:w="109"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4,793,180</w:t>
            </w:r>
          </w:p>
        </w:tc>
        <w:tc>
          <w:tcPr>
            <w:tcW w:w="109"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4,876,631</w:t>
            </w:r>
          </w:p>
        </w:tc>
      </w:tr>
      <w:tr>
        <w:trPr/>
        <w:tc>
          <w:tcPr>
            <w:tcW w:w="24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Credit Losses</w:t>
            </w:r>
          </w:p>
        </w:tc>
        <w:tc>
          <w:tcPr>
            <w:tcW w:w="109"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(113,489)</w:t>
            </w:r>
          </w:p>
        </w:tc>
        <w:tc>
          <w:tcPr>
            <w:tcW w:w="109"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r>
    </w:tbl>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568" w:name="Tc_6yofl_YQdEG8jiJIP3oHwQ_9_5"/>
      <w:bookmarkStart w:id="569" w:name="Tc_lRlgBAZwiEyFnu6o4rpSAA_9_2"/>
      <w:bookmarkStart w:id="570" w:name="Tc_yLo5OwrlTEWEzbHPBMGydg_9_0"/>
      <w:bookmarkStart w:id="571" w:name="Tc_ZSdvGxhO6ESEsjIU5yEnIA_8_0"/>
      <w:bookmarkStart w:id="572" w:name="Tc_uJLcptwUCEy8TPRb6FXJaw_7_0"/>
      <w:bookmarkStart w:id="573" w:name="Tc_EYSzO4yFKk2sbxsu2NTINg_6_0"/>
      <w:bookmarkStart w:id="574" w:name="Tc_oTVROX2Ql0WdhRj2zdsdbA_5_0"/>
      <w:bookmarkStart w:id="575" w:name="Tc_hei82SoVRkyBlBx_5NCCNg_4_5"/>
      <w:bookmarkStart w:id="576" w:name="Tc_RAY8AUlbOkCVI21bP9UqpA_4_2"/>
      <w:bookmarkStart w:id="577" w:name="Tc_RN7R9XwfPkWGuGHJBmyBcg_4_0"/>
      <w:bookmarkStart w:id="578" w:name="Tc_bQRSC4e_DEiOXtGzbva5bA_3_2"/>
      <w:bookmarkStart w:id="579" w:name="Tc_MO2f55ftB0qLlBGVVqCy6g_2_5"/>
      <w:bookmarkStart w:id="580" w:name="Tc_Ur3gjCj6A0e7KOvIjWLCvQ_2_2"/>
      <w:bookmarkStart w:id="581" w:name="Tc_rn5btPC57UOJijKIKVfRbQ_1_5"/>
      <w:bookmarkStart w:id="582" w:name="Tc_Rg7EqzkmAkqGN0mUf5c4zA_1_2"/>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r>
        <w:rPr>
          <w:rFonts w:ascii="Times New Roman;Times;serif" w:hAnsi="Times New Roman;Times;serif"/>
          <w:sz w:val="20"/>
        </w:rPr>
        <w:t>The Company had the following activity in the allowance for credit losses during the first quarters of fiscal 2024 and fiscal 2023:</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tbl>
      <w:tblPr>
        <w:tblW w:w="5561" w:type="dxa"/>
        <w:jc w:val="left"/>
        <w:tblInd w:w="0" w:type="dxa"/>
        <w:tblLayout w:type="fixed"/>
        <w:tblCellMar>
          <w:top w:w="0" w:type="dxa"/>
          <w:left w:w="0" w:type="dxa"/>
          <w:bottom w:w="0" w:type="dxa"/>
          <w:right w:w="0" w:type="dxa"/>
        </w:tblCellMar>
      </w:tblPr>
      <w:tblGrid>
        <w:gridCol w:w="2941"/>
        <w:gridCol w:w="109"/>
        <w:gridCol w:w="277"/>
        <w:gridCol w:w="1028"/>
        <w:gridCol w:w="109"/>
        <w:gridCol w:w="211"/>
        <w:gridCol w:w="886"/>
      </w:tblGrid>
      <w:tr>
        <w:trPr/>
        <w:tc>
          <w:tcPr>
            <w:tcW w:w="29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1867535" cy="175260"/>
                      <wp:effectExtent l="0" t="0" r="0" b="0"/>
                      <wp:wrapNone/>
                      <wp:docPr id="80" name="Frame80"/>
                      <a:graphic xmlns:a="http://schemas.openxmlformats.org/drawingml/2006/main">
                        <a:graphicData uri="http://schemas.microsoft.com/office/word/2010/wordprocessingShape">
                          <wps:wsp>
                            <wps:cNvSpPr txBox="1"/>
                            <wps:spPr>
                              <a:xfrm>
                                <a:off x="0" y="0"/>
                                <a:ext cx="1867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9215" cy="175260"/>
                      <wp:effectExtent l="0" t="0" r="0" b="0"/>
                      <wp:wrapNone/>
                      <wp:docPr id="81" name="Frame81"/>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75895" cy="175260"/>
                      <wp:effectExtent l="0" t="0" r="0" b="0"/>
                      <wp:wrapNone/>
                      <wp:docPr id="82" name="Frame82"/>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52780" cy="175260"/>
                      <wp:effectExtent l="0" t="0" r="0" b="0"/>
                      <wp:wrapNone/>
                      <wp:docPr id="83" name="Frame83"/>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9215" cy="175260"/>
                      <wp:effectExtent l="0" t="0" r="0" b="0"/>
                      <wp:wrapNone/>
                      <wp:docPr id="84" name="Frame84"/>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133985" cy="175260"/>
                      <wp:effectExtent l="0" t="0" r="0" b="0"/>
                      <wp:wrapNone/>
                      <wp:docPr id="85" name="Frame8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562610" cy="175260"/>
                      <wp:effectExtent l="0" t="0" r="0" b="0"/>
                      <wp:wrapNone/>
                      <wp:docPr id="86" name="Frame8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09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561"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94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511"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period</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112,843</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113,902</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Provisions</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4,157</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1,442</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Credit Loss Recoveries</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shd w:fill="CCEEFF" w:val="clear"/>
            <w:vAlign w:val="center"/>
          </w:tcPr>
          <w:p>
            <w:pPr>
              <w:pStyle w:val="TableContents"/>
              <w:bidi w:val="0"/>
              <w:spacing w:before="0" w:after="0"/>
              <w:ind w:left="0" w:right="0" w:hanging="0"/>
              <w:jc w:val="left"/>
              <w:rPr/>
            </w:pPr>
            <w:r>
              <w:rPr/>
              <w:t>​</w:t>
            </w:r>
          </w:p>
        </w:tc>
        <w:tc>
          <w:tcPr>
            <w:tcW w:w="102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(216)</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Receivables Write Offs</w:t>
            </w:r>
          </w:p>
        </w:tc>
        <w:tc>
          <w:tcPr>
            <w:tcW w:w="109" w:type="dxa"/>
            <w:tcBorders/>
            <w:vAlign w:val="center"/>
          </w:tcPr>
          <w:p>
            <w:pPr>
              <w:pStyle w:val="TableContents"/>
              <w:bidi w:val="0"/>
              <w:spacing w:before="0" w:after="0"/>
              <w:ind w:left="0" w:right="0" w:hanging="0"/>
              <w:jc w:val="left"/>
              <w:rPr/>
            </w:pPr>
            <w:r>
              <w:rPr/>
              <w:t>​</w:t>
            </w:r>
          </w:p>
        </w:tc>
        <w:tc>
          <w:tcPr>
            <w:tcW w:w="277" w:type="dxa"/>
            <w:tcBorders/>
            <w:vAlign w:val="center"/>
          </w:tcPr>
          <w:p>
            <w:pPr>
              <w:pStyle w:val="TableContents"/>
              <w:bidi w:val="0"/>
              <w:spacing w:before="0" w:after="0"/>
              <w:ind w:left="0" w:right="0" w:hanging="0"/>
              <w:jc w:val="left"/>
              <w:rPr/>
            </w:pPr>
            <w:r>
              <w:rPr/>
              <w:t>​</w:t>
            </w:r>
          </w:p>
        </w:tc>
        <w:tc>
          <w:tcPr>
            <w:tcW w:w="102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(959)</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(3,378)</w:t>
            </w:r>
          </w:p>
        </w:tc>
      </w:tr>
      <w:tr>
        <w:trPr/>
        <w:tc>
          <w:tcPr>
            <w:tcW w:w="29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Effect and Other</w:t>
            </w:r>
          </w:p>
        </w:tc>
        <w:tc>
          <w:tcPr>
            <w:tcW w:w="109" w:type="dxa"/>
            <w:tcBorders/>
            <w:shd w:fill="CCEEFF" w:val="clear"/>
            <w:vAlign w:val="center"/>
          </w:tcPr>
          <w:p>
            <w:pPr>
              <w:pStyle w:val="TableContents"/>
              <w:bidi w:val="0"/>
              <w:spacing w:before="0" w:after="0"/>
              <w:ind w:left="0" w:right="0" w:hanging="0"/>
              <w:jc w:val="left"/>
              <w:rPr/>
            </w:pPr>
            <w:r>
              <w:rPr/>
              <w:t>​</w:t>
            </w:r>
          </w:p>
        </w:tc>
        <w:tc>
          <w:tcPr>
            <w:tcW w:w="277"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8"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(2,188)</w:t>
            </w:r>
          </w:p>
        </w:tc>
        <w:tc>
          <w:tcPr>
            <w:tcW w:w="109"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(5,127)</w:t>
            </w:r>
          </w:p>
        </w:tc>
      </w:tr>
      <w:tr>
        <w:trPr/>
        <w:tc>
          <w:tcPr>
            <w:tcW w:w="29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period</w:t>
            </w:r>
          </w:p>
        </w:tc>
        <w:tc>
          <w:tcPr>
            <w:tcW w:w="109" w:type="dxa"/>
            <w:tcBorders/>
            <w:vAlign w:val="center"/>
          </w:tcPr>
          <w:p>
            <w:pPr>
              <w:pStyle w:val="TableContents"/>
              <w:bidi w:val="0"/>
              <w:spacing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113,489</w:t>
            </w:r>
          </w:p>
        </w:tc>
        <w:tc>
          <w:tcPr>
            <w:tcW w:w="109" w:type="dxa"/>
            <w:tcBorders/>
            <w:vAlign w:val="center"/>
          </w:tcPr>
          <w:p>
            <w:pPr>
              <w:pStyle w:val="TableContents"/>
              <w:bidi w:val="0"/>
              <w:spacing w:before="0" w:after="0"/>
              <w:ind w:left="0" w:right="0" w:hanging="0"/>
              <w:jc w:val="left"/>
              <w:rPr>
                <w:color w:val="575757"/>
              </w:rPr>
            </w:pPr>
            <w:r>
              <w:rPr>
                <w:color w:val="575757"/>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106,623</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both"/>
        <w:rPr>
          <w:rFonts w:ascii="Times New Roman;Times;serif" w:hAnsi="Times New Roman;Times;serif"/>
          <w:b/>
          <w:sz w:val="20"/>
        </w:rPr>
      </w:pPr>
      <w:bookmarkStart w:id="583" w:name="Tc_4DOSxuGU3UiTnUJc8SgJeA_6_8"/>
      <w:bookmarkStart w:id="584" w:name="Tc_Xp88JTN090-6e0jnUhBKqA_6_5"/>
      <w:bookmarkStart w:id="585" w:name="Tc_DNMYMEpVZ0OLEHvKee0Okg_6_2"/>
      <w:bookmarkStart w:id="586" w:name="Tc_WNeQNSHM-UGyMix6kncbmw_6_0"/>
      <w:bookmarkStart w:id="587" w:name="Tc_qkgGm3BWvUOaN0IvdvXn4g_5_0"/>
      <w:bookmarkStart w:id="588" w:name="Tc_qCYKvf9MOkit9CXePUHdgQ_4_8"/>
      <w:bookmarkStart w:id="589" w:name="Tc_aoHwBeFNP0qJys98dPOiqQ_4_5"/>
      <w:bookmarkStart w:id="590" w:name="Tc_l43YQ2yP002RcpJf0xYy_w_4_2"/>
      <w:bookmarkStart w:id="591" w:name="Tc_bUx-TskrG06RFY5cQZROng_4_0"/>
      <w:bookmarkStart w:id="592" w:name="Tc_rwCYDe8uWEevQYAYdue3og_3_2"/>
      <w:bookmarkStart w:id="593" w:name="Tc_38yGQ_z-TUqoB0xsNEagnw_2_8"/>
      <w:bookmarkStart w:id="594" w:name="Tc_lLuwkIe9VE6ZBt64kaW9lA_2_5"/>
      <w:bookmarkStart w:id="595" w:name="Tc_WKrZfpyVlUWpMFtV5Gq0vw_2_2"/>
      <w:bookmarkStart w:id="596" w:name="Tc_UxJi_25whkqY_HzlJikSGg_1_2"/>
      <w:bookmarkStart w:id="597" w:name="bm_3_Goodwill_and_intangible_assets"/>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r>
        <w:rPr>
          <w:rFonts w:ascii="Times New Roman;Times;serif" w:hAnsi="Times New Roman;Times;serif"/>
          <w:b/>
          <w:sz w:val="20"/>
        </w:rPr>
        <w:t>3. Goodwill</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following table presents the change in goodwill by reportable segment for the first quarter ended September 30, 2023. </w:t>
      </w:r>
    </w:p>
    <w:p>
      <w:pPr>
        <w:pStyle w:val="TextBody"/>
        <w:bidi w:val="0"/>
        <w:spacing w:before="0" w:after="0"/>
        <w:ind w:left="0" w:right="0" w:hanging="0"/>
        <w:jc w:val="left"/>
        <w:rPr/>
      </w:pPr>
      <w:r>
        <w:rPr/>
        <w:t>​</w:t>
      </w:r>
    </w:p>
    <w:tbl>
      <w:tblPr>
        <w:tblW w:w="7284" w:type="dxa"/>
        <w:jc w:val="left"/>
        <w:tblInd w:w="0" w:type="dxa"/>
        <w:tblLayout w:type="fixed"/>
        <w:tblCellMar>
          <w:top w:w="0" w:type="dxa"/>
          <w:left w:w="0" w:type="dxa"/>
          <w:bottom w:w="0" w:type="dxa"/>
          <w:right w:w="0" w:type="dxa"/>
        </w:tblCellMar>
      </w:tblPr>
      <w:tblGrid>
        <w:gridCol w:w="3406"/>
        <w:gridCol w:w="206"/>
        <w:gridCol w:w="245"/>
        <w:gridCol w:w="911"/>
        <w:gridCol w:w="206"/>
        <w:gridCol w:w="211"/>
        <w:gridCol w:w="796"/>
        <w:gridCol w:w="206"/>
        <w:gridCol w:w="211"/>
        <w:gridCol w:w="886"/>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2162810" cy="175260"/>
                      <wp:effectExtent l="0" t="0" r="0" b="0"/>
                      <wp:wrapNone/>
                      <wp:docPr id="87" name="Frame87"/>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130810" cy="175260"/>
                      <wp:effectExtent l="0" t="0" r="0" b="0"/>
                      <wp:wrapNone/>
                      <wp:docPr id="88" name="Frame8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155575" cy="175260"/>
                      <wp:effectExtent l="0" t="0" r="0" b="0"/>
                      <wp:wrapNone/>
                      <wp:docPr id="89" name="Frame89"/>
                      <a:graphic xmlns:a="http://schemas.openxmlformats.org/drawingml/2006/main">
                        <a:graphicData uri="http://schemas.microsoft.com/office/word/2010/wordprocessingShape">
                          <wps:wsp>
                            <wps:cNvSpPr txBox="1"/>
                            <wps:spPr>
                              <a:xfrm>
                                <a:off x="0" y="0"/>
                                <a:ext cx="155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578485" cy="175260"/>
                      <wp:effectExtent l="0" t="0" r="0" b="0"/>
                      <wp:wrapNone/>
                      <wp:docPr id="90" name="Frame90"/>
                      <a:graphic xmlns:a="http://schemas.openxmlformats.org/drawingml/2006/main">
                        <a:graphicData uri="http://schemas.microsoft.com/office/word/2010/wordprocessingShape">
                          <wps:wsp>
                            <wps:cNvSpPr txBox="1"/>
                            <wps:spPr>
                              <a:xfrm>
                                <a:off x="0" y="0"/>
                                <a:ext cx="578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130810" cy="175260"/>
                      <wp:effectExtent l="0" t="0" r="0" b="0"/>
                      <wp:wrapNone/>
                      <wp:docPr id="91" name="Frame9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505460" cy="175260"/>
                      <wp:effectExtent l="0" t="0" r="0" b="0"/>
                      <wp:wrapNone/>
                      <wp:docPr id="93" name="Frame93"/>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0810" cy="175260"/>
                      <wp:effectExtent l="0" t="0" r="0" b="0"/>
                      <wp:wrapNone/>
                      <wp:docPr id="94" name="Frame94"/>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133985" cy="175260"/>
                      <wp:effectExtent l="0" t="0" r="0" b="0"/>
                      <wp:wrapNone/>
                      <wp:docPr id="95" name="Frame95"/>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562610" cy="175260"/>
                      <wp:effectExtent l="0" t="0" r="0" b="0"/>
                      <wp:wrapNone/>
                      <wp:docPr id="96" name="Frame96"/>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  </w:t>
            </w:r>
          </w:p>
        </w:tc>
        <w:tc>
          <w:tcPr>
            <w:tcW w:w="115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Electronic </w:t>
            </w:r>
          </w:p>
        </w:tc>
        <w:tc>
          <w:tcPr>
            <w:tcW w:w="206" w:type="dxa"/>
            <w:tcBorders/>
            <w:vAlign w:val="center"/>
          </w:tcPr>
          <w:p>
            <w:pPr>
              <w:pStyle w:val="TableContents"/>
              <w:bidi w:val="0"/>
              <w:spacing w:before="0" w:after="0"/>
              <w:ind w:left="0" w:right="0" w:hanging="0"/>
              <w:jc w:val="center"/>
              <w:rPr/>
            </w:pPr>
            <w:r>
              <w:rPr/>
              <w:t>  </w:t>
            </w:r>
          </w:p>
        </w:tc>
        <w:tc>
          <w:tcPr>
            <w:tcW w:w="1007" w:type="dxa"/>
            <w:gridSpan w:val="2"/>
            <w:tcBorders/>
            <w:vAlign w:val="center"/>
          </w:tcPr>
          <w:p>
            <w:pPr>
              <w:pStyle w:val="TableContents"/>
              <w:bidi w:val="0"/>
              <w:spacing w:before="0" w:after="0"/>
              <w:ind w:left="0" w:right="0" w:hanging="0"/>
              <w:jc w:val="center"/>
              <w:rPr/>
            </w:pPr>
            <w:r>
              <w:rPr/>
              <w:t>​</w:t>
            </w:r>
          </w:p>
        </w:tc>
        <w:tc>
          <w:tcPr>
            <w:tcW w:w="206" w:type="dxa"/>
            <w:tcBorders/>
            <w:vAlign w:val="center"/>
          </w:tcPr>
          <w:p>
            <w:pPr>
              <w:pStyle w:val="TableContents"/>
              <w:bidi w:val="0"/>
              <w:spacing w:before="0" w:after="0"/>
              <w:ind w:left="0" w:right="0" w:hanging="0"/>
              <w:jc w:val="center"/>
              <w:rPr/>
            </w:pPr>
            <w:r>
              <w:rPr/>
              <w:t>  </w:t>
            </w:r>
          </w:p>
        </w:tc>
        <w:tc>
          <w:tcPr>
            <w:tcW w:w="211" w:type="dxa"/>
            <w:tcBorders/>
            <w:vAlign w:val="center"/>
          </w:tcPr>
          <w:p>
            <w:pPr>
              <w:pStyle w:val="TableContents"/>
              <w:bidi w:val="0"/>
              <w:spacing w:before="0" w:after="0"/>
              <w:ind w:left="0" w:right="0" w:hanging="0"/>
              <w:jc w:val="center"/>
              <w:rPr/>
            </w:pPr>
            <w:r>
              <w:rPr/>
              <w:t>​</w:t>
            </w:r>
          </w:p>
        </w:tc>
        <w:tc>
          <w:tcPr>
            <w:tcW w:w="886" w:type="dxa"/>
            <w:tcBorders/>
            <w:vAlign w:val="center"/>
          </w:tcPr>
          <w:p>
            <w:pPr>
              <w:pStyle w:val="TableContents"/>
              <w:bidi w:val="0"/>
              <w:spacing w:before="0" w:after="0"/>
              <w:ind w:left="0" w:right="0" w:hanging="0"/>
              <w:jc w:val="center"/>
              <w:rPr/>
            </w:pPr>
            <w:r>
              <w:rPr/>
              <w:t>​</w:t>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115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Components</w:t>
            </w:r>
          </w:p>
        </w:tc>
        <w:tc>
          <w:tcPr>
            <w:tcW w:w="206" w:type="dxa"/>
            <w:tcBorders/>
            <w:vAlign w:val="center"/>
          </w:tcPr>
          <w:p>
            <w:pPr>
              <w:pStyle w:val="TableContents"/>
              <w:bidi w:val="0"/>
              <w:spacing w:before="0" w:after="0"/>
              <w:ind w:left="0" w:right="0" w:hanging="0"/>
              <w:jc w:val="center"/>
              <w:rPr/>
            </w:pPr>
            <w:r>
              <w:rPr/>
              <w:t>​</w:t>
            </w:r>
          </w:p>
        </w:tc>
        <w:tc>
          <w:tcPr>
            <w:tcW w:w="100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Farnell</w:t>
            </w:r>
          </w:p>
        </w:tc>
        <w:tc>
          <w:tcPr>
            <w:tcW w:w="206" w:type="dxa"/>
            <w:tcBorders/>
            <w:vAlign w:val="center"/>
          </w:tcPr>
          <w:p>
            <w:pPr>
              <w:pStyle w:val="TableContents"/>
              <w:bidi w:val="0"/>
              <w:spacing w:before="0" w:after="0"/>
              <w:ind w:left="0" w:right="0" w:hanging="0"/>
              <w:jc w:val="center"/>
              <w:rPr/>
            </w:pPr>
            <w:r>
              <w:rPr/>
              <w:t>​</w:t>
            </w:r>
          </w:p>
        </w:tc>
        <w:tc>
          <w:tcPr>
            <w:tcW w:w="109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7284"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40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center"/>
              <w:rPr/>
            </w:pPr>
            <w:r>
              <w:rPr/>
              <w:t>​</w:t>
            </w:r>
          </w:p>
        </w:tc>
        <w:tc>
          <w:tcPr>
            <w:tcW w:w="3672"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July 1, 2023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296,829</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483,800</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780,629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206" w:type="dxa"/>
            <w:tcBorders/>
            <w:vAlign w:val="center"/>
          </w:tcPr>
          <w:p>
            <w:pPr>
              <w:pStyle w:val="TableContents"/>
              <w:bidi w:val="0"/>
              <w:spacing w:before="0" w:after="0"/>
              <w:ind w:left="0" w:right="0" w:hanging="0"/>
              <w:jc w:val="left"/>
              <w:rPr/>
            </w:pPr>
            <w:r>
              <w:rPr/>
              <w:t>​</w:t>
            </w:r>
          </w:p>
        </w:tc>
        <w:tc>
          <w:tcPr>
            <w:tcW w:w="245"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1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(4,748)</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9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(16,033)</w:t>
            </w:r>
          </w:p>
        </w:tc>
        <w:tc>
          <w:tcPr>
            <w:tcW w:w="20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(20,781)</w:t>
            </w:r>
          </w:p>
        </w:tc>
      </w:tr>
      <w:tr>
        <w:trPr/>
        <w:tc>
          <w:tcPr>
            <w:tcW w:w="3406"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Carrying value at September 30, 2023 </w:t>
            </w:r>
            <w:r>
              <w:rPr>
                <w:rFonts w:ascii="Times New Roman;Times;serif" w:hAnsi="Times New Roman;Times;serif"/>
                <w:sz w:val="15"/>
              </w:rPr>
              <w:t>(1)</w:t>
            </w:r>
          </w:p>
        </w:tc>
        <w:tc>
          <w:tcPr>
            <w:tcW w:w="206" w:type="dxa"/>
            <w:tcBorders/>
            <w:shd w:fill="CCEEFF" w:val="clear"/>
            <w:vAlign w:val="center"/>
          </w:tcPr>
          <w:p>
            <w:pPr>
              <w:pStyle w:val="TableContents"/>
              <w:bidi w:val="0"/>
              <w:spacing w:before="0" w:after="0"/>
              <w:ind w:left="0" w:right="0" w:hanging="0"/>
              <w:jc w:val="left"/>
              <w:rPr/>
            </w:pPr>
            <w:r>
              <w:rPr/>
              <w:t>​</w:t>
            </w:r>
          </w:p>
        </w:tc>
        <w:tc>
          <w:tcPr>
            <w:tcW w:w="2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292,081</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467,767</w:t>
            </w:r>
          </w:p>
        </w:tc>
        <w:tc>
          <w:tcPr>
            <w:tcW w:w="20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759,848</w:t>
            </w:r>
          </w:p>
        </w:tc>
      </w:tr>
    </w:tbl>
    <w:tbl>
      <w:tblPr>
        <w:tblW w:w="5642" w:type="dxa"/>
        <w:jc w:val="left"/>
        <w:tblInd w:w="0" w:type="dxa"/>
        <w:tblLayout w:type="fixed"/>
        <w:tblCellMar>
          <w:top w:w="0" w:type="dxa"/>
          <w:left w:w="0" w:type="dxa"/>
          <w:bottom w:w="0" w:type="dxa"/>
          <w:right w:w="0" w:type="dxa"/>
        </w:tblCellMar>
      </w:tblPr>
      <w:tblGrid>
        <w:gridCol w:w="286"/>
        <w:gridCol w:w="5356"/>
      </w:tblGrid>
      <w:tr>
        <w:trPr/>
        <w:tc>
          <w:tcPr>
            <w:tcW w:w="286" w:type="dxa"/>
            <w:tcBorders/>
            <w:vAlign w:val="center"/>
          </w:tcPr>
          <w:p>
            <w:pPr>
              <w:pStyle w:val="TableContents"/>
              <w:bidi w:val="0"/>
              <w:spacing w:before="0" w:after="283"/>
              <w:jc w:val="left"/>
              <w:rPr>
                <w:rFonts w:ascii="Times New Roman;Times;serif" w:hAnsi="Times New Roman;Times;serif"/>
                <w:sz w:val="14"/>
              </w:rPr>
            </w:pPr>
            <w:r>
              <w:rPr>
                <w:rFonts w:ascii="Times New Roman;Times;serif" w:hAnsi="Times New Roman;Times;serif"/>
                <w:sz w:val="14"/>
              </w:rPr>
              <w:t>(1)</w:t>
            </w:r>
          </w:p>
        </w:tc>
        <w:tc>
          <w:tcPr>
            <w:tcW w:w="5356" w:type="dxa"/>
            <w:tcBorders/>
            <w:vAlign w:val="center"/>
          </w:tcPr>
          <w:p>
            <w:pPr>
              <w:pStyle w:val="TableContents"/>
              <w:bidi w:val="0"/>
              <w:spacing w:before="0" w:after="283"/>
              <w:jc w:val="left"/>
              <w:rPr/>
            </w:pPr>
            <w:r>
              <w:rPr>
                <w:rFonts w:ascii="Times New Roman;Times;serif" w:hAnsi="Times New Roman;Times;serif"/>
                <w:b w:val="false"/>
                <w:i w:val="false"/>
                <w:caps w:val="false"/>
                <w:smallCaps w:val="false"/>
                <w:sz w:val="18"/>
              </w:rPr>
              <w:t>Includes accumulated impairments of $1,482,677</w:t>
            </w:r>
            <w:r>
              <w:rPr>
                <w:caps w:val="false"/>
                <w:smallCaps w:val="false"/>
              </w:rPr>
              <w:t xml:space="preserve"> </w:t>
            </w:r>
            <w:r>
              <w:rPr>
                <w:rFonts w:ascii="Times New Roman;Times;serif" w:hAnsi="Times New Roman;Times;serif"/>
                <w:b w:val="false"/>
                <w:i w:val="false"/>
                <w:caps w:val="false"/>
                <w:smallCaps w:val="false"/>
                <w:sz w:val="18"/>
              </w:rPr>
              <w:t xml:space="preserve">from prior fiscal years. </w:t>
            </w:r>
          </w:p>
        </w:tc>
      </w:tr>
    </w:tbl>
    <w:p>
      <w:pPr>
        <w:pStyle w:val="TextBody"/>
        <w:bidi w:val="0"/>
        <w:spacing w:before="0" w:after="0"/>
        <w:ind w:left="0" w:right="0" w:hanging="0"/>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598" w:name="Tc_KttV9ZPcd0KSjVjqKhs86g_5_11"/>
      <w:bookmarkStart w:id="599" w:name="Tc_HJOqo8mXik2uvCYtjxSifg_5_8"/>
      <w:bookmarkStart w:id="600" w:name="Tc_3qlviwVrtEKy2MfEoUaDkw_5_0"/>
      <w:bookmarkStart w:id="601" w:name="Tc_3i4y0Mthb0e2lsMsa10v8A_4_11"/>
      <w:bookmarkStart w:id="602" w:name="Tc_K0koH-s4_06f-Ls-2Q8xWQ_4_8"/>
      <w:bookmarkStart w:id="603" w:name="Tc_qT3b6GDDZkGaISNsCt7HVg_4_6"/>
      <w:bookmarkStart w:id="604" w:name="Tc_TNnItj9I70G7qU5x1QIm0g_4_3"/>
      <w:bookmarkStart w:id="605" w:name="Tc_GdDEghO2FU6WnH7e7m8O6g_4_0"/>
      <w:bookmarkStart w:id="606" w:name="Tc_4qE4Z4-2lUGiwh04fdFkpA_3_8"/>
      <w:bookmarkStart w:id="607" w:name="Tc_rwyWyaW6kUGhqMVZtFihyw_3_2"/>
      <w:bookmarkStart w:id="608" w:name="Tc_0rA41BFHGkqtvxKTJKhyzA_2_11"/>
      <w:bookmarkStart w:id="609" w:name="Tc_Ty66AqXrfUWPRr1Ia-IwkQ_2_8"/>
      <w:bookmarkStart w:id="610" w:name="Tc_La0IJU2XfkC26Ut7pTKM0w_2_5"/>
      <w:bookmarkStart w:id="611" w:name="Tc_hZpYLMpDckek6QfSJKLzXA_2_2"/>
      <w:bookmarkStart w:id="612" w:name="Tc_t0aSoW9uxUKe8uAFGhTtGw_1_11"/>
      <w:bookmarkStart w:id="613" w:name="Tc_dNRIJrimiUaIulC-PyQBSg_1_8"/>
      <w:bookmarkStart w:id="614" w:name="Tc_g6r0c1K8d0mkrzXfVTwa9A_1_5"/>
      <w:bookmarkStart w:id="615" w:name="Tc_uwIvwt5-XEeRTvmCDvYkBg_1_2"/>
      <w:bookmarkStart w:id="616" w:name="_9b387134_d4fb_461d_acf1_533731ae6b2d"/>
      <w:bookmarkStart w:id="617" w:name="bm_4_Debt_"/>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Pr>
          <w:rFonts w:ascii="Times New Roman;Times;serif" w:hAnsi="Times New Roman;Times;serif"/>
          <w:b/>
          <w:sz w:val="20"/>
        </w:rPr>
        <w:t>4. Debt</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Short-term debt consists of the following (carrying balances in thousands):</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tbl>
      <w:tblPr>
        <w:tblW w:w="7223" w:type="dxa"/>
        <w:jc w:val="left"/>
        <w:tblInd w:w="0" w:type="dxa"/>
        <w:tblLayout w:type="fixed"/>
        <w:tblCellMar>
          <w:top w:w="0" w:type="dxa"/>
          <w:left w:w="0" w:type="dxa"/>
          <w:bottom w:w="0" w:type="dxa"/>
          <w:right w:w="0" w:type="dxa"/>
        </w:tblCellMar>
      </w:tblPr>
      <w:tblGrid>
        <w:gridCol w:w="1891"/>
        <w:gridCol w:w="109"/>
        <w:gridCol w:w="825"/>
        <w:gridCol w:w="480"/>
        <w:gridCol w:w="266"/>
        <w:gridCol w:w="466"/>
        <w:gridCol w:w="271"/>
        <w:gridCol w:w="266"/>
        <w:gridCol w:w="309"/>
        <w:gridCol w:w="996"/>
        <w:gridCol w:w="266"/>
        <w:gridCol w:w="211"/>
        <w:gridCol w:w="676"/>
        <w:gridCol w:w="19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1200785" cy="175260"/>
                      <wp:effectExtent l="0" t="0" r="0" b="0"/>
                      <wp:wrapNone/>
                      <wp:docPr id="97" name="Frame97"/>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9215" cy="175260"/>
                      <wp:effectExtent l="0" t="0" r="0" b="0"/>
                      <wp:wrapNone/>
                      <wp:docPr id="98" name="Frame9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523875" cy="175260"/>
                      <wp:effectExtent l="0" t="0" r="0" b="0"/>
                      <wp:wrapNone/>
                      <wp:docPr id="99" name="Frame99"/>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304800" cy="175260"/>
                      <wp:effectExtent l="0" t="0" r="0" b="0"/>
                      <wp:wrapNone/>
                      <wp:docPr id="100" name="Frame100"/>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68910" cy="175260"/>
                      <wp:effectExtent l="0" t="0" r="0" b="0"/>
                      <wp:wrapNone/>
                      <wp:docPr id="101" name="Frame101"/>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95910" cy="175260"/>
                      <wp:effectExtent l="0" t="0" r="0" b="0"/>
                      <wp:wrapNone/>
                      <wp:docPr id="102" name="Frame102"/>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172085" cy="175260"/>
                      <wp:effectExtent l="0" t="0" r="0" b="0"/>
                      <wp:wrapNone/>
                      <wp:docPr id="103" name="Frame103"/>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68910" cy="175260"/>
                      <wp:effectExtent l="0" t="0" r="0" b="0"/>
                      <wp:wrapNone/>
                      <wp:docPr id="104" name="Frame104"/>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96215" cy="175260"/>
                      <wp:effectExtent l="0" t="0" r="0" b="0"/>
                      <wp:wrapNone/>
                      <wp:docPr id="105" name="Frame10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32460" cy="175260"/>
                      <wp:effectExtent l="0" t="0" r="0" b="0"/>
                      <wp:wrapNone/>
                      <wp:docPr id="106" name="Frame106"/>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68910" cy="175260"/>
                      <wp:effectExtent l="0" t="0" r="0" b="0"/>
                      <wp:wrapNone/>
                      <wp:docPr id="107" name="Frame107"/>
                      <a:graphic xmlns:a="http://schemas.openxmlformats.org/drawingml/2006/main">
                        <a:graphicData uri="http://schemas.microsoft.com/office/word/2010/wordprocessingShape">
                          <wps:wsp>
                            <wps:cNvSpPr txBox="1"/>
                            <wps:spPr>
                              <a:xfrm>
                                <a:off x="0" y="0"/>
                                <a:ext cx="1689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133985" cy="175260"/>
                      <wp:effectExtent l="0" t="0" r="0" b="0"/>
                      <wp:wrapNone/>
                      <wp:docPr id="108" name="Frame108"/>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429260" cy="175260"/>
                      <wp:effectExtent l="0" t="0" r="0" b="0"/>
                      <wp:wrapNone/>
                      <wp:docPr id="109" name="Frame10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121285" cy="175260"/>
                      <wp:effectExtent l="0" t="0" r="0" b="0"/>
                      <wp:wrapNone/>
                      <wp:docPr id="110" name="Frame110"/>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66" w:type="dxa"/>
            <w:tcBorders/>
            <w:vAlign w:val="center"/>
          </w:tcPr>
          <w:p>
            <w:pPr>
              <w:pStyle w:val="TableContents"/>
              <w:bidi w:val="0"/>
              <w:spacing w:lineRule="atLeast" w:line="240" w:before="0" w:after="0"/>
              <w:ind w:left="0" w:right="0" w:hanging="0"/>
              <w:jc w:val="center"/>
              <w:rPr/>
            </w:pPr>
            <w:r>
              <w:rPr/>
              <w:t>​</w:t>
            </w:r>
          </w:p>
        </w:tc>
        <w:tc>
          <w:tcPr>
            <w:tcW w:w="73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266"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66" w:type="dxa"/>
            <w:tcBorders/>
            <w:vAlign w:val="center"/>
          </w:tcPr>
          <w:p>
            <w:pPr>
              <w:pStyle w:val="TableContents"/>
              <w:bidi w:val="0"/>
              <w:spacing w:lineRule="atLeast" w:line="240" w:before="0" w:after="0"/>
              <w:ind w:left="0" w:right="0" w:hanging="0"/>
              <w:jc w:val="center"/>
              <w:rPr/>
            </w:pPr>
            <w:r>
              <w:rPr/>
              <w:t>​</w:t>
            </w:r>
          </w:p>
        </w:tc>
        <w:tc>
          <w:tcPr>
            <w:tcW w:w="88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1" w:type="dxa"/>
            <w:tcBorders/>
            <w:vAlign w:val="center"/>
          </w:tcPr>
          <w:p>
            <w:pPr>
              <w:pStyle w:val="TableContents"/>
              <w:bidi w:val="0"/>
              <w:spacing w:lineRule="atLeast" w:line="240" w:before="0" w:after="0"/>
              <w:ind w:left="0" w:right="0" w:hanging="0"/>
              <w:jc w:val="center"/>
              <w:rPr/>
            </w:pPr>
            <w:r>
              <w:rPr/>
              <w:t>​</w:t>
            </w:r>
          </w:p>
        </w:tc>
      </w:tr>
      <w:tr>
        <w:trPr/>
        <w:tc>
          <w:tcPr>
            <w:tcW w:w="18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lineRule="atLeast" w:line="240" w:before="0" w:after="0"/>
              <w:ind w:left="0" w:right="0" w:hanging="0"/>
              <w:jc w:val="center"/>
              <w:rPr/>
            </w:pPr>
            <w:r>
              <w:rPr/>
              <w:t>   </w:t>
            </w:r>
          </w:p>
        </w:tc>
        <w:tc>
          <w:tcPr>
            <w:tcW w:w="73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lineRule="atLeast" w:line="240" w:before="0" w:after="0"/>
              <w:ind w:left="0" w:right="0" w:hanging="0"/>
              <w:jc w:val="center"/>
              <w:rPr/>
            </w:pPr>
            <w:r>
              <w:rPr/>
              <w:t>   </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6" w:type="dxa"/>
            <w:tcBorders/>
            <w:vAlign w:val="center"/>
          </w:tcPr>
          <w:p>
            <w:pPr>
              <w:pStyle w:val="TableContents"/>
              <w:bidi w:val="0"/>
              <w:spacing w:lineRule="atLeast" w:line="240" w:before="0" w:after="0"/>
              <w:ind w:left="0" w:right="0" w:hanging="0"/>
              <w:jc w:val="center"/>
              <w:rPr/>
            </w:pPr>
            <w:r>
              <w:rPr/>
              <w:t>   </w:t>
            </w:r>
          </w:p>
        </w:tc>
        <w:tc>
          <w:tcPr>
            <w:tcW w:w="88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1" w:type="dxa"/>
            <w:tcBorders/>
            <w:vAlign w:val="center"/>
          </w:tcPr>
          <w:p>
            <w:pPr>
              <w:pStyle w:val="TableContents"/>
              <w:bidi w:val="0"/>
              <w:spacing w:lineRule="atLeast" w:line="240" w:before="0" w:after="0"/>
              <w:ind w:left="0" w:right="0" w:hanging="0"/>
              <w:jc w:val="center"/>
              <w:rPr/>
            </w:pPr>
            <w:r>
              <w:rPr/>
              <w:t>​</w:t>
            </w:r>
          </w:p>
        </w:tc>
      </w:tr>
      <w:tr>
        <w:trPr/>
        <w:tc>
          <w:tcPr>
            <w:tcW w:w="7223"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18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2308"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66" w:type="dxa"/>
            <w:tcBorders/>
            <w:vAlign w:val="center"/>
          </w:tcPr>
          <w:p>
            <w:pPr>
              <w:pStyle w:val="TableContents"/>
              <w:bidi w:val="0"/>
              <w:spacing w:lineRule="atLeast" w:line="240" w:before="0" w:after="0"/>
              <w:ind w:left="0" w:right="0" w:hanging="0"/>
              <w:jc w:val="center"/>
              <w:rPr/>
            </w:pPr>
            <w:r>
              <w:rPr/>
              <w:t>​</w:t>
            </w:r>
          </w:p>
        </w:tc>
        <w:tc>
          <w:tcPr>
            <w:tcW w:w="2458"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1" w:type="dxa"/>
            <w:tcBorders/>
            <w:vAlign w:val="center"/>
          </w:tcPr>
          <w:p>
            <w:pPr>
              <w:pStyle w:val="TableContents"/>
              <w:bidi w:val="0"/>
              <w:spacing w:lineRule="atLeast" w:line="240" w:before="0" w:after="0"/>
              <w:ind w:left="0" w:right="0" w:hanging="0"/>
              <w:jc w:val="center"/>
              <w:rPr/>
            </w:pPr>
            <w:r>
              <w:rPr/>
              <w:t> </w:t>
            </w:r>
          </w:p>
        </w:tc>
      </w:tr>
      <w:tr>
        <w:trPr/>
        <w:tc>
          <w:tcPr>
            <w:tcW w:w="189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short-term debt </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82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5.59</w:t>
            </w:r>
          </w:p>
        </w:tc>
        <w:tc>
          <w:tcPr>
            <w:tcW w:w="480"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lineRule="atLeast" w:line="240" w:before="0" w:after="0"/>
              <w:ind w:left="0" w:right="0" w:hanging="0"/>
              <w:jc w:val="left"/>
              <w:rPr/>
            </w:pPr>
            <w:r>
              <w:rPr/>
              <w:t>​</w:t>
            </w:r>
          </w:p>
        </w:tc>
        <w:tc>
          <w:tcPr>
            <w:tcW w:w="46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5.08</w:t>
            </w:r>
          </w:p>
        </w:tc>
        <w:tc>
          <w:tcPr>
            <w:tcW w:w="2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6" w:type="dxa"/>
            <w:tcBorders/>
            <w:shd w:fill="CCEEFF" w:val="clear"/>
            <w:vAlign w:val="center"/>
          </w:tcPr>
          <w:p>
            <w:pPr>
              <w:pStyle w:val="TableContents"/>
              <w:bidi w:val="0"/>
              <w:spacing w:lineRule="atLeast" w:line="240" w:before="0" w:after="0"/>
              <w:ind w:left="0" w:right="0" w:hanging="0"/>
              <w:jc w:val="left"/>
              <w:rPr/>
            </w:pPr>
            <w:r>
              <w:rPr/>
              <w:t>​</w:t>
            </w:r>
          </w:p>
        </w:tc>
        <w:tc>
          <w:tcPr>
            <w:tcW w:w="309"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68,601</w:t>
            </w:r>
          </w:p>
        </w:tc>
        <w:tc>
          <w:tcPr>
            <w:tcW w:w="26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1" w:type="dxa"/>
            <w:tcBorders/>
            <w:shd w:fill="CCEEFF" w:val="clear"/>
            <w:vAlign w:val="center"/>
          </w:tcPr>
          <w:p>
            <w:pPr>
              <w:pStyle w:val="TableContents"/>
              <w:bidi w:val="0"/>
              <w:spacing w:lineRule="atLeast" w:line="240" w:before="0" w:after="0"/>
              <w:ind w:left="0" w:right="0" w:hanging="0"/>
              <w:jc w:val="right"/>
              <w:rPr/>
            </w:pPr>
            <w:r>
              <w:rPr/>
              <w:t>​</w:t>
            </w:r>
          </w:p>
        </w:tc>
      </w:tr>
      <w:tr>
        <w:trPr/>
        <w:tc>
          <w:tcPr>
            <w:tcW w:w="189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Short-term debt</w:t>
            </w:r>
          </w:p>
        </w:tc>
        <w:tc>
          <w:tcPr>
            <w:tcW w:w="109" w:type="dxa"/>
            <w:tcBorders/>
            <w:vAlign w:val="center"/>
          </w:tcPr>
          <w:p>
            <w:pPr>
              <w:pStyle w:val="TableContents"/>
              <w:bidi w:val="0"/>
              <w:spacing w:lineRule="atLeast" w:line="240" w:before="0" w:after="0"/>
              <w:ind w:left="0" w:right="0" w:hanging="0"/>
              <w:jc w:val="left"/>
              <w:rPr/>
            </w:pPr>
            <w:r>
              <w:rPr/>
              <w:t>​</w:t>
            </w:r>
          </w:p>
        </w:tc>
        <w:tc>
          <w:tcPr>
            <w:tcW w:w="825"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480"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6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46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7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66" w:type="dxa"/>
            <w:tcBorders/>
            <w:vAlign w:val="center"/>
          </w:tcPr>
          <w:p>
            <w:pPr>
              <w:pStyle w:val="TableContents"/>
              <w:bidi w:val="0"/>
              <w:spacing w:lineRule="atLeast" w:line="240" w:before="0" w:after="0"/>
              <w:ind w:left="0" w:right="0" w:hanging="0"/>
              <w:jc w:val="left"/>
              <w:rPr/>
            </w:pPr>
            <w:r>
              <w:rPr/>
              <w:t>​</w:t>
            </w:r>
          </w:p>
        </w:tc>
        <w:tc>
          <w:tcPr>
            <w:tcW w:w="309"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68,601</w:t>
            </w:r>
          </w:p>
        </w:tc>
        <w:tc>
          <w:tcPr>
            <w:tcW w:w="266" w:type="dxa"/>
            <w:tcBorders/>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70,636</w:t>
            </w:r>
          </w:p>
        </w:tc>
        <w:tc>
          <w:tcPr>
            <w:tcW w:w="191" w:type="dxa"/>
            <w:tcBorders/>
            <w:vAlign w:val="center"/>
          </w:tcPr>
          <w:p>
            <w:pPr>
              <w:pStyle w:val="TableContents"/>
              <w:bidi w:val="0"/>
              <w:spacing w:lineRule="atLeast" w:line="240" w:before="0" w:after="0"/>
              <w:ind w:left="0" w:right="0" w:hanging="0"/>
              <w:jc w:val="righ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Other short-term debt consists primarily of various committed and uncommitted lines of credit and other forms of bank debt with financial institutions utilized primarily to support the ongoing working capital requirements of the Company, including its foreign operations.</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618" w:name="_Hlk124833251"/>
      <w:bookmarkStart w:id="619" w:name="_Hlk124836356"/>
      <w:bookmarkStart w:id="620" w:name="Tc_47zxQp2g1UCYu6U0ndhxGA_14_11"/>
      <w:bookmarkStart w:id="621" w:name="Tc_Rp-4_c6sv0e_Cd4X2IxZig_14_8"/>
      <w:bookmarkStart w:id="622" w:name="Tc_ipv5OrAmXkSiFN2w_8saxA_14_0"/>
      <w:bookmarkStart w:id="623" w:name="Tc_eJ8zSypl4U2zRblUpq_snA_13_0"/>
      <w:bookmarkStart w:id="624" w:name="Tc_qqUvr048iUOY4Ae04jPvUA_12_0"/>
      <w:bookmarkStart w:id="625" w:name="Tc_v1LK3u6NsE2f6gApfopDJA_11_6"/>
      <w:bookmarkStart w:id="626" w:name="Tc_Ee4pCIpuq0WcVr3KroLSlA_11_3"/>
      <w:bookmarkStart w:id="627" w:name="Tc_oZErSFmTM0KuDXUCvhDzfw_11_0"/>
      <w:bookmarkStart w:id="628" w:name="Tc_bU4RTKf-xU65JIggOtndXw_10_6"/>
      <w:bookmarkStart w:id="629" w:name="Tc_ulBvRSx4jU2y64GOMOwR-A_10_3"/>
      <w:bookmarkStart w:id="630" w:name="Tc_mTkEItVqXk2ppXyTN16pVg_10_0"/>
      <w:bookmarkStart w:id="631" w:name="Tc_VhD-QcdgDEmBnCa8obiXrw_9_6"/>
      <w:bookmarkStart w:id="632" w:name="Tc_ecUnexfDFE-lDkS_3hRqgQ_9_3"/>
      <w:bookmarkStart w:id="633" w:name="Tc_9OYh9S-zHUiSSOmqrYQtww_9_0"/>
      <w:bookmarkStart w:id="634" w:name="Tc_MkRNlniPS0GfzYnlSUof4A_8_6"/>
      <w:bookmarkStart w:id="635" w:name="Tc_GNBflwfLOUqIEMhN_l8KbQ_8_3"/>
      <w:bookmarkStart w:id="636" w:name="Tc_kiNye0an4ESUblfJD_lhUA_8_0"/>
      <w:bookmarkStart w:id="637" w:name="Tc_7r5VLdgeqUGs7fYlfyw67g_7_0"/>
      <w:bookmarkStart w:id="638" w:name="Tc_6-JOCR226Eex4A3GrVc2yg_6_6"/>
      <w:bookmarkStart w:id="639" w:name="Tc_1OwyENbtnEG8WQITQL7dqQ_6_3"/>
      <w:bookmarkStart w:id="640" w:name="Tc_5UvpETRgukiyiFZK5eeC7Q_6_0"/>
      <w:bookmarkStart w:id="641" w:name="Tc_RFA2vSMlhkeGHEura0VfIQ_5_11"/>
      <w:bookmarkStart w:id="642" w:name="Tc_3optlmsFK0CMnADmOJUcvg_5_8"/>
      <w:bookmarkStart w:id="643" w:name="Tc_0CKCdItaCkyd61dh_vhg4w_5_6"/>
      <w:bookmarkStart w:id="644" w:name="Tc_sWxTPuk_RUCG3GmmOBSMRw_5_3"/>
      <w:bookmarkStart w:id="645" w:name="Tc_linrOL55s0uUMY7QLNoKUQ_5_0"/>
      <w:bookmarkStart w:id="646" w:name="Tc_ozoLgq03VUuU4j9LrOZmGQ_4_0"/>
      <w:bookmarkStart w:id="647" w:name="Tc_TnlLtjWL-EqnukxLekU9KA_3_8"/>
      <w:bookmarkStart w:id="648" w:name="Tc_Ke8uNb83DUyn_v9E72ilFQ_3_2"/>
      <w:bookmarkStart w:id="649" w:name="Tc_OxPQqzt_fEqonqDgumc-KQ_2_11"/>
      <w:bookmarkStart w:id="650" w:name="Tc_h-SbKKJs-kKXmmceoY39UA_2_8"/>
      <w:bookmarkStart w:id="651" w:name="Tc_YVmXO-ih8ky2AW58hQsnVw_2_5"/>
      <w:bookmarkStart w:id="652" w:name="Tc_wtYGx53TvUq2kk57BUVQ5A_2_2"/>
      <w:bookmarkStart w:id="653" w:name="Tc_TZG86QdI0kGBaXkVTtUk_w_1_11"/>
      <w:bookmarkStart w:id="654" w:name="Tc_fg9Oi0BPQEacrvNXfOW1Wg_1_8"/>
      <w:bookmarkStart w:id="655" w:name="Tc_ubI_Nq4tWk-WkXr14nvjBQ_1_5"/>
      <w:bookmarkStart w:id="656" w:name="Tc_nzpVlicPT0664VJ0e9zZtw_1_2"/>
      <w:bookmarkStart w:id="657" w:name="_6a0ecb88_6b05_4e86_ba2e_d32b3f44e39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r>
        <w:rPr>
          <w:rFonts w:ascii="Times New Roman;Times;serif" w:hAnsi="Times New Roman;Times;serif"/>
          <w:sz w:val="20"/>
        </w:rPr>
        <w:t>Long-term debt consists of the following (carrying balances in thousands):</w:t>
      </w:r>
    </w:p>
    <w:p>
      <w:pPr>
        <w:pStyle w:val="TextBody"/>
        <w:bidi w:val="0"/>
        <w:spacing w:before="0" w:after="0"/>
        <w:ind w:left="0" w:right="0" w:firstLine="480"/>
        <w:jc w:val="both"/>
        <w:rPr/>
      </w:pPr>
      <w:r>
        <w:rPr/>
        <w:t>​</w:t>
      </w:r>
    </w:p>
    <w:tbl>
      <w:tblPr>
        <w:tblW w:w="10205" w:type="dxa"/>
        <w:jc w:val="left"/>
        <w:tblInd w:w="0" w:type="dxa"/>
        <w:tblLayout w:type="fixed"/>
        <w:tblCellMar>
          <w:top w:w="0" w:type="dxa"/>
          <w:left w:w="0" w:type="dxa"/>
          <w:bottom w:w="0" w:type="dxa"/>
          <w:right w:w="0" w:type="dxa"/>
        </w:tblCellMar>
      </w:tblPr>
      <w:tblGrid>
        <w:gridCol w:w="4693"/>
        <w:gridCol w:w="109"/>
        <w:gridCol w:w="820"/>
        <w:gridCol w:w="477"/>
        <w:gridCol w:w="326"/>
        <w:gridCol w:w="466"/>
        <w:gridCol w:w="271"/>
        <w:gridCol w:w="206"/>
        <w:gridCol w:w="238"/>
        <w:gridCol w:w="1058"/>
        <w:gridCol w:w="206"/>
        <w:gridCol w:w="211"/>
        <w:gridCol w:w="931"/>
        <w:gridCol w:w="193"/>
      </w:tblGrid>
      <w:tr>
        <w:trPr/>
        <w:tc>
          <w:tcPr>
            <w:tcW w:w="46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980055" cy="175260"/>
                      <wp:effectExtent l="0" t="0" r="0" b="0"/>
                      <wp:wrapNone/>
                      <wp:docPr id="111" name="Frame111"/>
                      <a:graphic xmlns:a="http://schemas.openxmlformats.org/drawingml/2006/main">
                        <a:graphicData uri="http://schemas.microsoft.com/office/word/2010/wordprocessingShape">
                          <wps:wsp>
                            <wps:cNvSpPr txBox="1"/>
                            <wps:spPr>
                              <a:xfrm>
                                <a:off x="0" y="0"/>
                                <a:ext cx="29800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9215" cy="175260"/>
                      <wp:effectExtent l="0" t="0" r="0" b="0"/>
                      <wp:wrapNone/>
                      <wp:docPr id="112" name="Frame112"/>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20700" cy="175260"/>
                      <wp:effectExtent l="0" t="0" r="0" b="0"/>
                      <wp:wrapNone/>
                      <wp:docPr id="113" name="Frame113"/>
                      <a:graphic xmlns:a="http://schemas.openxmlformats.org/drawingml/2006/main">
                        <a:graphicData uri="http://schemas.microsoft.com/office/word/2010/wordprocessingShape">
                          <wps:wsp>
                            <wps:cNvSpPr txBox="1"/>
                            <wps:spPr>
                              <a:xfrm>
                                <a:off x="0" y="0"/>
                                <a:ext cx="5207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02895" cy="175260"/>
                      <wp:effectExtent l="0" t="0" r="0" b="0"/>
                      <wp:wrapNone/>
                      <wp:docPr id="114" name="Frame114"/>
                      <a:graphic xmlns:a="http://schemas.openxmlformats.org/drawingml/2006/main">
                        <a:graphicData uri="http://schemas.microsoft.com/office/word/2010/wordprocessingShape">
                          <wps:wsp>
                            <wps:cNvSpPr txBox="1"/>
                            <wps:spPr>
                              <a:xfrm>
                                <a:off x="0" y="0"/>
                                <a:ext cx="3028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5" name="Frame1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295910" cy="175260"/>
                      <wp:effectExtent l="0" t="0" r="0" b="0"/>
                      <wp:wrapNone/>
                      <wp:docPr id="116" name="Frame116"/>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172085" cy="175260"/>
                      <wp:effectExtent l="0" t="0" r="0" b="0"/>
                      <wp:wrapNone/>
                      <wp:docPr id="117" name="Frame117"/>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30810" cy="175260"/>
                      <wp:effectExtent l="0" t="0" r="0" b="0"/>
                      <wp:wrapNone/>
                      <wp:docPr id="118" name="Frame118"/>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3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51130" cy="175260"/>
                      <wp:effectExtent l="0" t="0" r="0" b="0"/>
                      <wp:wrapNone/>
                      <wp:docPr id="119" name="Frame119"/>
                      <a:graphic xmlns:a="http://schemas.openxmlformats.org/drawingml/2006/main">
                        <a:graphicData uri="http://schemas.microsoft.com/office/word/2010/wordprocessingShape">
                          <wps:wsp>
                            <wps:cNvSpPr txBox="1"/>
                            <wps:spPr>
                              <a:xfrm>
                                <a:off x="0" y="0"/>
                                <a:ext cx="15113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71830" cy="175260"/>
                      <wp:effectExtent l="0" t="0" r="0" b="0"/>
                      <wp:wrapNone/>
                      <wp:docPr id="120" name="Frame120"/>
                      <a:graphic xmlns:a="http://schemas.openxmlformats.org/drawingml/2006/main">
                        <a:graphicData uri="http://schemas.microsoft.com/office/word/2010/wordprocessingShape">
                          <wps:wsp>
                            <wps:cNvSpPr txBox="1"/>
                            <wps:spPr>
                              <a:xfrm>
                                <a:off x="0" y="0"/>
                                <a:ext cx="67183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130810" cy="175260"/>
                      <wp:effectExtent l="0" t="0" r="0" b="0"/>
                      <wp:wrapNone/>
                      <wp:docPr id="121" name="Frame121"/>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133985" cy="175260"/>
                      <wp:effectExtent l="0" t="0" r="0" b="0"/>
                      <wp:wrapNone/>
                      <wp:docPr id="122" name="Frame122"/>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591185" cy="175260"/>
                      <wp:effectExtent l="0" t="0" r="0" b="0"/>
                      <wp:wrapNone/>
                      <wp:docPr id="123" name="Frame12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122555" cy="175260"/>
                      <wp:effectExtent l="0" t="0" r="0" b="0"/>
                      <wp:wrapNone/>
                      <wp:docPr id="124" name="Frame124"/>
                      <a:graphic xmlns:a="http://schemas.openxmlformats.org/drawingml/2006/main">
                        <a:graphicData uri="http://schemas.microsoft.com/office/word/2010/wordprocessingShape">
                          <wps:wsp>
                            <wps:cNvSpPr txBox="1"/>
                            <wps:spPr>
                              <a:xfrm>
                                <a:off x="0" y="0"/>
                                <a:ext cx="12255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4693"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29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lineRule="atLeast" w:line="240" w:before="0" w:after="0"/>
              <w:ind w:left="0" w:right="0" w:hanging="0"/>
              <w:jc w:val="center"/>
              <w:rPr/>
            </w:pPr>
            <w:r>
              <w:rPr/>
              <w:t>​</w:t>
            </w:r>
          </w:p>
        </w:tc>
        <w:tc>
          <w:tcPr>
            <w:tcW w:w="73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206" w:type="dxa"/>
            <w:tcBorders/>
            <w:vAlign w:val="center"/>
          </w:tcPr>
          <w:p>
            <w:pPr>
              <w:pStyle w:val="TableContents"/>
              <w:bidi w:val="0"/>
              <w:spacing w:lineRule="atLeast" w:line="240" w:before="0" w:after="0"/>
              <w:ind w:left="0" w:right="0" w:hanging="0"/>
              <w:jc w:val="center"/>
              <w:rPr/>
            </w:pPr>
            <w:r>
              <w:rPr/>
              <w:t>​</w:t>
            </w:r>
          </w:p>
        </w:tc>
        <w:tc>
          <w:tcPr>
            <w:tcW w:w="129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06" w:type="dxa"/>
            <w:tcBorders/>
            <w:vAlign w:val="center"/>
          </w:tcPr>
          <w:p>
            <w:pPr>
              <w:pStyle w:val="TableContents"/>
              <w:bidi w:val="0"/>
              <w:spacing w:lineRule="atLeast" w:line="240" w:before="0" w:after="0"/>
              <w:ind w:left="0" w:right="0" w:hanging="0"/>
              <w:jc w:val="center"/>
              <w:rPr/>
            </w:pPr>
            <w:r>
              <w:rPr/>
              <w:t>​</w:t>
            </w:r>
          </w:p>
        </w:tc>
        <w:tc>
          <w:tcPr>
            <w:tcW w:w="114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c>
          <w:tcPr>
            <w:tcW w:w="193" w:type="dxa"/>
            <w:tcBorders/>
            <w:vAlign w:val="center"/>
          </w:tcPr>
          <w:p>
            <w:pPr>
              <w:pStyle w:val="TableContents"/>
              <w:bidi w:val="0"/>
              <w:spacing w:lineRule="atLeast" w:line="240" w:before="0" w:after="0"/>
              <w:ind w:left="0" w:right="0" w:hanging="0"/>
              <w:jc w:val="center"/>
              <w:rPr/>
            </w:pPr>
            <w:r>
              <w:rPr/>
              <w:t>​</w:t>
            </w:r>
          </w:p>
        </w:tc>
      </w:tr>
      <w:tr>
        <w:trPr/>
        <w:tc>
          <w:tcPr>
            <w:tcW w:w="4693"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29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    </w:t>
            </w:r>
          </w:p>
        </w:tc>
        <w:tc>
          <w:tcPr>
            <w:tcW w:w="73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lineRule="atLeast" w:line="240" w:before="0" w:after="0"/>
              <w:ind w:left="0" w:right="0" w:hanging="0"/>
              <w:jc w:val="center"/>
              <w:rPr/>
            </w:pPr>
            <w:r>
              <w:rPr/>
              <w:t>  </w:t>
            </w:r>
          </w:p>
        </w:tc>
        <w:tc>
          <w:tcPr>
            <w:tcW w:w="129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lineRule="atLeast" w:line="240" w:before="0" w:after="0"/>
              <w:ind w:left="0" w:right="0" w:hanging="0"/>
              <w:jc w:val="center"/>
              <w:rPr/>
            </w:pPr>
            <w:r>
              <w:rPr/>
              <w:t>  </w:t>
            </w:r>
          </w:p>
        </w:tc>
        <w:tc>
          <w:tcPr>
            <w:tcW w:w="114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193" w:type="dxa"/>
            <w:tcBorders/>
            <w:vAlign w:val="center"/>
          </w:tcPr>
          <w:p>
            <w:pPr>
              <w:pStyle w:val="TableContents"/>
              <w:bidi w:val="0"/>
              <w:spacing w:lineRule="atLeast" w:line="240" w:before="0" w:after="0"/>
              <w:ind w:left="0" w:right="0" w:hanging="0"/>
              <w:jc w:val="center"/>
              <w:rPr/>
            </w:pPr>
            <w:r>
              <w:rPr/>
              <w:t>​</w:t>
            </w:r>
          </w:p>
        </w:tc>
      </w:tr>
      <w:tr>
        <w:trPr/>
        <w:tc>
          <w:tcPr>
            <w:tcW w:w="10205" w:type="dxa"/>
            <w:gridSpan w:val="14"/>
            <w:tcBorders/>
            <w:vAlign w:val="center"/>
          </w:tcPr>
          <w:p>
            <w:pPr>
              <w:pStyle w:val="TableContents"/>
              <w:bidi w:val="0"/>
              <w:spacing w:before="0" w:after="283"/>
              <w:ind w:left="0" w:right="0" w:hanging="0"/>
              <w:jc w:val="left"/>
              <w:rPr>
                <w:sz w:val="4"/>
                <w:szCs w:val="4"/>
              </w:rPr>
            </w:pPr>
            <w:r>
              <w:rPr>
                <w:sz w:val="4"/>
                <w:szCs w:val="4"/>
              </w:rPr>
            </w:r>
          </w:p>
        </w:tc>
      </w:tr>
      <w:tr>
        <w:trPr/>
        <w:tc>
          <w:tcPr>
            <w:tcW w:w="4693"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2360"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Interest Rate</w:t>
            </w:r>
          </w:p>
        </w:tc>
        <w:tc>
          <w:tcPr>
            <w:tcW w:w="206" w:type="dxa"/>
            <w:tcBorders/>
            <w:vAlign w:val="center"/>
          </w:tcPr>
          <w:p>
            <w:pPr>
              <w:pStyle w:val="TableContents"/>
              <w:bidi w:val="0"/>
              <w:spacing w:lineRule="atLeast" w:line="240" w:before="0" w:after="0"/>
              <w:ind w:left="0" w:right="0" w:hanging="0"/>
              <w:jc w:val="center"/>
              <w:rPr/>
            </w:pPr>
            <w:r>
              <w:rPr/>
              <w:t>​</w:t>
            </w:r>
          </w:p>
        </w:tc>
        <w:tc>
          <w:tcPr>
            <w:tcW w:w="2644"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Carrying Balance</w:t>
            </w:r>
          </w:p>
        </w:tc>
        <w:tc>
          <w:tcPr>
            <w:tcW w:w="193" w:type="dxa"/>
            <w:tcBorders/>
            <w:vAlign w:val="center"/>
          </w:tcPr>
          <w:p>
            <w:pPr>
              <w:pStyle w:val="TableContents"/>
              <w:bidi w:val="0"/>
              <w:spacing w:lineRule="atLeast" w:line="240" w:before="0" w:after="0"/>
              <w:ind w:left="0" w:right="0" w:hanging="0"/>
              <w:jc w:val="center"/>
              <w:rPr/>
            </w:pPr>
            <w:r>
              <w:rPr/>
              <w:t> </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Revolving credit facilities:</w:t>
            </w:r>
          </w:p>
        </w:tc>
        <w:tc>
          <w:tcPr>
            <w:tcW w:w="109" w:type="dxa"/>
            <w:tcBorders/>
            <w:shd w:fill="CCEEFF" w:val="clear"/>
            <w:vAlign w:val="center"/>
          </w:tcPr>
          <w:p>
            <w:pPr>
              <w:pStyle w:val="TableContents"/>
              <w:bidi w:val="0"/>
              <w:spacing w:lineRule="atLeast" w:line="240" w:before="0" w:after="0"/>
              <w:ind w:left="0" w:right="0" w:hanging="0"/>
              <w:jc w:val="center"/>
              <w:rPr/>
            </w:pPr>
            <w:r>
              <w:rPr/>
              <w:t>​</w:t>
            </w:r>
          </w:p>
        </w:tc>
        <w:tc>
          <w:tcPr>
            <w:tcW w:w="820" w:type="dxa"/>
            <w:tcBorders/>
            <w:shd w:fill="CCEEFF" w:val="clear"/>
            <w:vAlign w:val="center"/>
          </w:tcPr>
          <w:p>
            <w:pPr>
              <w:pStyle w:val="TableContents"/>
              <w:bidi w:val="0"/>
              <w:spacing w:lineRule="atLeast" w:line="240" w:before="0" w:after="0"/>
              <w:ind w:left="0" w:right="0" w:hanging="0"/>
              <w:jc w:val="center"/>
              <w:rPr/>
            </w:pPr>
            <w:r>
              <w:rPr/>
              <w:t>​</w:t>
            </w:r>
          </w:p>
        </w:tc>
        <w:tc>
          <w:tcPr>
            <w:tcW w:w="477" w:type="dxa"/>
            <w:tcBorders/>
            <w:shd w:fill="CCEEFF" w:val="clear"/>
            <w:vAlign w:val="center"/>
          </w:tcPr>
          <w:p>
            <w:pPr>
              <w:pStyle w:val="TableContents"/>
              <w:bidi w:val="0"/>
              <w:spacing w:lineRule="atLeast" w:line="240" w:before="0" w:after="0"/>
              <w:ind w:left="0" w:right="0" w:hanging="0"/>
              <w:jc w:val="center"/>
              <w:rPr/>
            </w:pPr>
            <w:r>
              <w:rPr/>
              <w:t>​</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466" w:type="dxa"/>
            <w:tcBorders/>
            <w:shd w:fill="CCEEFF" w:val="clear"/>
            <w:vAlign w:val="center"/>
          </w:tcPr>
          <w:p>
            <w:pPr>
              <w:pStyle w:val="TableContents"/>
              <w:bidi w:val="0"/>
              <w:spacing w:lineRule="atLeast" w:line="240" w:before="0" w:after="0"/>
              <w:ind w:left="0" w:right="0" w:hanging="0"/>
              <w:jc w:val="center"/>
              <w:rPr/>
            </w:pPr>
            <w:r>
              <w:rPr/>
              <w:t>​</w:t>
            </w:r>
          </w:p>
        </w:tc>
        <w:tc>
          <w:tcPr>
            <w:tcW w:w="271" w:type="dxa"/>
            <w:tcBorders/>
            <w:shd w:fill="CCEEFF" w:val="clear"/>
            <w:vAlign w:val="center"/>
          </w:tcPr>
          <w:p>
            <w:pPr>
              <w:pStyle w:val="TableContents"/>
              <w:bidi w:val="0"/>
              <w:spacing w:lineRule="atLeast" w:line="240" w:before="0" w:after="0"/>
              <w:ind w:left="0" w:right="0" w:hanging="0"/>
              <w:jc w:val="center"/>
              <w:rPr/>
            </w:pPr>
            <w:r>
              <w:rPr/>
              <w:t>​</w:t>
            </w:r>
          </w:p>
        </w:tc>
        <w:tc>
          <w:tcPr>
            <w:tcW w:w="206" w:type="dxa"/>
            <w:tcBorders/>
            <w:shd w:fill="CCEEFF" w:val="clear"/>
            <w:vAlign w:val="center"/>
          </w:tcPr>
          <w:p>
            <w:pPr>
              <w:pStyle w:val="TableContents"/>
              <w:bidi w:val="0"/>
              <w:spacing w:lineRule="atLeast" w:line="240" w:before="0" w:after="0"/>
              <w:ind w:left="0" w:right="0" w:hanging="0"/>
              <w:jc w:val="center"/>
              <w:rPr/>
            </w:pPr>
            <w:r>
              <w:rPr/>
              <w:t>​</w:t>
            </w:r>
          </w:p>
        </w:tc>
        <w:tc>
          <w:tcPr>
            <w:tcW w:w="238" w:type="dxa"/>
            <w:tcBorders/>
            <w:shd w:fill="CCEEFF" w:val="clear"/>
            <w:vAlign w:val="center"/>
          </w:tcPr>
          <w:p>
            <w:pPr>
              <w:pStyle w:val="TableContents"/>
              <w:bidi w:val="0"/>
              <w:spacing w:lineRule="atLeast" w:line="240" w:before="0" w:after="0"/>
              <w:ind w:left="0" w:right="0" w:hanging="0"/>
              <w:jc w:val="center"/>
              <w:rPr/>
            </w:pPr>
            <w:r>
              <w:rPr/>
              <w:t>​</w:t>
            </w:r>
          </w:p>
        </w:tc>
        <w:tc>
          <w:tcPr>
            <w:tcW w:w="1058" w:type="dxa"/>
            <w:tcBorders/>
            <w:shd w:fill="CCEEFF" w:val="clear"/>
            <w:vAlign w:val="center"/>
          </w:tcPr>
          <w:p>
            <w:pPr>
              <w:pStyle w:val="TableContents"/>
              <w:bidi w:val="0"/>
              <w:spacing w:lineRule="atLeast" w:line="240" w:before="0" w:after="0"/>
              <w:ind w:left="0" w:right="0" w:hanging="0"/>
              <w:jc w:val="center"/>
              <w:rPr/>
            </w:pPr>
            <w:r>
              <w:rPr/>
              <w:t>​</w:t>
            </w:r>
          </w:p>
        </w:tc>
        <w:tc>
          <w:tcPr>
            <w:tcW w:w="206" w:type="dxa"/>
            <w:tcBorders/>
            <w:shd w:fill="CCEEFF" w:val="clear"/>
            <w:vAlign w:val="center"/>
          </w:tcPr>
          <w:p>
            <w:pPr>
              <w:pStyle w:val="TableContents"/>
              <w:bidi w:val="0"/>
              <w:spacing w:lineRule="atLeast" w:line="240" w:before="0" w:after="0"/>
              <w:ind w:left="0" w:right="0" w:hanging="0"/>
              <w:jc w:val="center"/>
              <w:rPr/>
            </w:pPr>
            <w:r>
              <w:rPr/>
              <w:t>​</w:t>
            </w:r>
          </w:p>
        </w:tc>
        <w:tc>
          <w:tcPr>
            <w:tcW w:w="211" w:type="dxa"/>
            <w:tcBorders/>
            <w:shd w:fill="CCEEFF" w:val="clear"/>
            <w:vAlign w:val="center"/>
          </w:tcPr>
          <w:p>
            <w:pPr>
              <w:pStyle w:val="TableContents"/>
              <w:bidi w:val="0"/>
              <w:spacing w:lineRule="atLeast" w:line="240" w:before="0" w:after="0"/>
              <w:ind w:left="0" w:right="0" w:hanging="0"/>
              <w:jc w:val="center"/>
              <w:rPr/>
            </w:pPr>
            <w:r>
              <w:rPr/>
              <w:t>​</w:t>
            </w:r>
          </w:p>
        </w:tc>
        <w:tc>
          <w:tcPr>
            <w:tcW w:w="931" w:type="dxa"/>
            <w:tcBorders/>
            <w:shd w:fill="CCEEFF" w:val="clear"/>
            <w:vAlign w:val="center"/>
          </w:tcPr>
          <w:p>
            <w:pPr>
              <w:pStyle w:val="TableContents"/>
              <w:bidi w:val="0"/>
              <w:spacing w:lineRule="atLeast" w:line="240" w:before="0" w:after="0"/>
              <w:ind w:left="0" w:right="0" w:hanging="0"/>
              <w:jc w:val="center"/>
              <w:rPr/>
            </w:pPr>
            <w:r>
              <w:rPr/>
              <w:t>​</w:t>
            </w:r>
          </w:p>
        </w:tc>
        <w:tc>
          <w:tcPr>
            <w:tcW w:w="193" w:type="dxa"/>
            <w:tcBorders/>
            <w:shd w:fill="CCEEFF" w:val="clear"/>
            <w:vAlign w:val="center"/>
          </w:tcPr>
          <w:p>
            <w:pPr>
              <w:pStyle w:val="TableContents"/>
              <w:bidi w:val="0"/>
              <w:spacing w:lineRule="atLeast" w:line="240" w:before="0" w:after="0"/>
              <w:ind w:left="0" w:right="0" w:hanging="0"/>
              <w:jc w:val="center"/>
              <w:rPr/>
            </w:pPr>
            <w:r>
              <w:rPr/>
              <w:t>​</w:t>
            </w:r>
          </w:p>
        </w:tc>
      </w:tr>
      <w:tr>
        <w:trPr/>
        <w:tc>
          <w:tcPr>
            <w:tcW w:w="4693" w:type="dxa"/>
            <w:tcBorders/>
            <w:vAlign w:val="center"/>
          </w:tcPr>
          <w:p>
            <w:pPr>
              <w:pStyle w:val="TableContents"/>
              <w:pBdr/>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Accounts receivable securitization program (due December 2024)</w:t>
            </w:r>
          </w:p>
        </w:tc>
        <w:tc>
          <w:tcPr>
            <w:tcW w:w="109" w:type="dxa"/>
            <w:tcBorders/>
            <w:vAlign w:val="center"/>
          </w:tcPr>
          <w:p>
            <w:pPr>
              <w:pStyle w:val="TableContents"/>
              <w:bidi w:val="0"/>
              <w:spacing w:lineRule="atLeast" w:line="240" w:before="0" w:after="0"/>
              <w:ind w:left="0" w:right="0" w:hanging="0"/>
              <w:jc w:val="center"/>
              <w:rPr/>
            </w:pPr>
            <w:r>
              <w:rPr/>
              <w:t>​</w:t>
            </w:r>
          </w:p>
        </w:tc>
        <w:tc>
          <w:tcPr>
            <w:tcW w:w="820"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6.17</w:t>
            </w:r>
          </w:p>
        </w:tc>
        <w:tc>
          <w:tcPr>
            <w:tcW w:w="47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46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5.99</w:t>
            </w:r>
          </w:p>
        </w:tc>
        <w:tc>
          <w:tcPr>
            <w:tcW w:w="2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lineRule="atLeast" w:line="240" w:before="0" w:after="0"/>
              <w:ind w:left="0" w:right="0" w:hanging="0"/>
              <w:jc w:val="center"/>
              <w:rPr/>
            </w:pPr>
            <w:r>
              <w:rPr/>
              <w:t>​</w:t>
            </w:r>
          </w:p>
        </w:tc>
        <w:tc>
          <w:tcPr>
            <w:tcW w:w="238"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463,700</w:t>
            </w:r>
          </w:p>
        </w:tc>
        <w:tc>
          <w:tcPr>
            <w:tcW w:w="206" w:type="dxa"/>
            <w:tcBorders/>
            <w:vAlign w:val="center"/>
          </w:tcPr>
          <w:p>
            <w:pPr>
              <w:pStyle w:val="TableContents"/>
              <w:bidi w:val="0"/>
              <w:spacing w:lineRule="atLeast" w:line="240" w:before="0" w:after="0"/>
              <w:ind w:left="0" w:right="0" w:hanging="0"/>
              <w:jc w:val="center"/>
              <w:rPr/>
            </w:pPr>
            <w:r>
              <w:rPr/>
              <w:t>​</w:t>
            </w:r>
          </w:p>
        </w:tc>
        <w:tc>
          <w:tcPr>
            <w:tcW w:w="2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555,800</w:t>
            </w:r>
          </w:p>
        </w:tc>
        <w:tc>
          <w:tcPr>
            <w:tcW w:w="193" w:type="dxa"/>
            <w:tcBorders/>
            <w:vAlign w:val="center"/>
          </w:tcPr>
          <w:p>
            <w:pPr>
              <w:pStyle w:val="TableContents"/>
              <w:bidi w:val="0"/>
              <w:spacing w:lineRule="atLeast" w:line="240" w:before="0" w:after="0"/>
              <w:ind w:left="0" w:right="0" w:hanging="0"/>
              <w:jc w:val="center"/>
              <w:rPr/>
            </w:pPr>
            <w:r>
              <w:rPr/>
              <w:t>​</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Credit Facility (due August 2027)</w:t>
            </w:r>
          </w:p>
        </w:tc>
        <w:tc>
          <w:tcPr>
            <w:tcW w:w="109" w:type="dxa"/>
            <w:tcBorders/>
            <w:shd w:fill="CCEEFF" w:val="clear"/>
            <w:vAlign w:val="center"/>
          </w:tcPr>
          <w:p>
            <w:pPr>
              <w:pStyle w:val="TableContents"/>
              <w:bidi w:val="0"/>
              <w:spacing w:lineRule="atLeast" w:line="240" w:before="0" w:after="0"/>
              <w:ind w:left="0" w:right="0" w:hanging="0"/>
              <w:jc w:val="center"/>
              <w:rPr/>
            </w:pPr>
            <w:r>
              <w:rPr/>
              <w:t>​</w:t>
            </w:r>
          </w:p>
        </w:tc>
        <w:tc>
          <w:tcPr>
            <w:tcW w:w="820"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5.48</w:t>
            </w:r>
          </w:p>
        </w:tc>
        <w:tc>
          <w:tcPr>
            <w:tcW w:w="47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46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2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center"/>
              <w:rPr/>
            </w:pPr>
            <w:r>
              <w:rPr/>
              <w:t>​</w:t>
            </w:r>
          </w:p>
        </w:tc>
        <w:tc>
          <w:tcPr>
            <w:tcW w:w="238" w:type="dxa"/>
            <w:tcBorders/>
            <w:shd w:fill="CCEEFF" w:val="clear"/>
            <w:vAlign w:val="center"/>
          </w:tcPr>
          <w:p>
            <w:pPr>
              <w:pStyle w:val="TableContents"/>
              <w:bidi w:val="0"/>
              <w:spacing w:lineRule="atLeast" w:line="240" w:before="0" w:after="0"/>
              <w:ind w:left="0" w:right="0" w:hanging="0"/>
              <w:jc w:val="left"/>
              <w:rPr/>
            </w:pPr>
            <w:r>
              <w:rPr/>
              <w:t>​</w:t>
            </w:r>
          </w:p>
        </w:tc>
        <w:tc>
          <w:tcPr>
            <w:tcW w:w="1058"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1,002,024</w:t>
            </w:r>
          </w:p>
        </w:tc>
        <w:tc>
          <w:tcPr>
            <w:tcW w:w="206" w:type="dxa"/>
            <w:tcBorders/>
            <w:shd w:fill="CCEEFF" w:val="clear"/>
            <w:vAlign w:val="center"/>
          </w:tcPr>
          <w:p>
            <w:pPr>
              <w:pStyle w:val="TableContents"/>
              <w:bidi w:val="0"/>
              <w:spacing w:lineRule="atLeast" w:line="240" w:before="0" w:after="0"/>
              <w:ind w:left="0" w:right="0" w:hanging="0"/>
              <w:jc w:val="center"/>
              <w:rPr/>
            </w:pPr>
            <w:r>
              <w:rPr/>
              <w:t>​</w:t>
            </w:r>
          </w:p>
        </w:tc>
        <w:tc>
          <w:tcPr>
            <w:tcW w:w="211" w:type="dxa"/>
            <w:tcBorders/>
            <w:shd w:fill="CCEEFF" w:val="clear"/>
            <w:vAlign w:val="center"/>
          </w:tcPr>
          <w:p>
            <w:pPr>
              <w:pStyle w:val="TableContents"/>
              <w:bidi w:val="0"/>
              <w:spacing w:lineRule="atLeast" w:line="240" w:before="0" w:after="0"/>
              <w:ind w:left="0" w:right="0" w:hanging="0"/>
              <w:jc w:val="left"/>
              <w:rPr/>
            </w:pPr>
            <w:r>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796,552</w:t>
            </w:r>
          </w:p>
        </w:tc>
        <w:tc>
          <w:tcPr>
            <w:tcW w:w="193" w:type="dxa"/>
            <w:tcBorders/>
            <w:shd w:fill="CCEEFF" w:val="clear"/>
            <w:vAlign w:val="center"/>
          </w:tcPr>
          <w:p>
            <w:pPr>
              <w:pStyle w:val="TableContents"/>
              <w:bidi w:val="0"/>
              <w:spacing w:lineRule="atLeast" w:line="240" w:before="0" w:after="0"/>
              <w:ind w:left="0" w:right="0" w:hanging="0"/>
              <w:jc w:val="center"/>
              <w:rPr/>
            </w:pPr>
            <w:r>
              <w:rPr/>
              <w:t>​</w:t>
            </w:r>
          </w:p>
        </w:tc>
      </w:tr>
      <w:tr>
        <w:trPr/>
        <w:tc>
          <w:tcPr>
            <w:tcW w:w="4693"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Public notes due:</w:t>
            </w:r>
          </w:p>
        </w:tc>
        <w:tc>
          <w:tcPr>
            <w:tcW w:w="109" w:type="dxa"/>
            <w:tcBorders/>
            <w:vAlign w:val="center"/>
          </w:tcPr>
          <w:p>
            <w:pPr>
              <w:pStyle w:val="TableContents"/>
              <w:bidi w:val="0"/>
              <w:spacing w:lineRule="atLeast" w:line="240" w:before="0" w:after="0"/>
              <w:ind w:left="0" w:right="0" w:hanging="0"/>
              <w:jc w:val="left"/>
              <w:rPr/>
            </w:pPr>
            <w:r>
              <w:rPr/>
              <w:t>​</w:t>
            </w:r>
          </w:p>
        </w:tc>
        <w:tc>
          <w:tcPr>
            <w:tcW w:w="820" w:type="dxa"/>
            <w:tcBorders/>
            <w:vAlign w:val="center"/>
          </w:tcPr>
          <w:p>
            <w:pPr>
              <w:pStyle w:val="TableContents"/>
              <w:bidi w:val="0"/>
              <w:spacing w:lineRule="atLeast" w:line="240" w:before="0" w:after="0"/>
              <w:ind w:left="0" w:right="0" w:hanging="0"/>
              <w:jc w:val="right"/>
              <w:rPr/>
            </w:pPr>
            <w:r>
              <w:rPr/>
              <w:t>​</w:t>
            </w:r>
          </w:p>
        </w:tc>
        <w:tc>
          <w:tcPr>
            <w:tcW w:w="477"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466" w:type="dxa"/>
            <w:tcBorders/>
            <w:vAlign w:val="center"/>
          </w:tcPr>
          <w:p>
            <w:pPr>
              <w:pStyle w:val="TableContents"/>
              <w:bidi w:val="0"/>
              <w:spacing w:lineRule="atLeast" w:line="240" w:before="0" w:after="0"/>
              <w:ind w:left="0" w:right="0" w:hanging="0"/>
              <w:jc w:val="right"/>
              <w:rPr/>
            </w:pPr>
            <w:r>
              <w:rPr/>
              <w:t>​</w:t>
            </w:r>
          </w:p>
        </w:tc>
        <w:tc>
          <w:tcPr>
            <w:tcW w:w="271" w:type="dxa"/>
            <w:tcBorders/>
            <w:vAlign w:val="center"/>
          </w:tcPr>
          <w:p>
            <w:pPr>
              <w:pStyle w:val="TableContents"/>
              <w:bidi w:val="0"/>
              <w:spacing w:lineRule="atLeast" w:line="240" w:before="0" w:after="0"/>
              <w:ind w:left="0" w:right="0" w:hanging="0"/>
              <w:jc w:val="left"/>
              <w:rPr/>
            </w:pPr>
            <w:r>
              <w:rPr/>
              <w:t>​</w:t>
            </w:r>
          </w:p>
        </w:tc>
        <w:tc>
          <w:tcPr>
            <w:tcW w:w="206" w:type="dxa"/>
            <w:tcBorders/>
            <w:vAlign w:val="center"/>
          </w:tcPr>
          <w:p>
            <w:pPr>
              <w:pStyle w:val="TableContents"/>
              <w:bidi w:val="0"/>
              <w:spacing w:lineRule="atLeast" w:line="240" w:before="0" w:after="0"/>
              <w:ind w:left="0" w:right="0" w:hanging="0"/>
              <w:jc w:val="left"/>
              <w:rPr/>
            </w:pPr>
            <w:r>
              <w:rPr/>
              <w:t>​</w:t>
            </w:r>
          </w:p>
        </w:tc>
        <w:tc>
          <w:tcPr>
            <w:tcW w:w="238" w:type="dxa"/>
            <w:tcBorders/>
            <w:vAlign w:val="center"/>
          </w:tcPr>
          <w:p>
            <w:pPr>
              <w:pStyle w:val="TableContents"/>
              <w:bidi w:val="0"/>
              <w:spacing w:lineRule="atLeast" w:line="240" w:before="0" w:after="0"/>
              <w:ind w:left="0" w:right="0" w:hanging="0"/>
              <w:jc w:val="left"/>
              <w:rPr/>
            </w:pPr>
            <w:r>
              <w:rPr/>
              <w:t>​</w:t>
            </w:r>
          </w:p>
        </w:tc>
        <w:tc>
          <w:tcPr>
            <w:tcW w:w="1058" w:type="dxa"/>
            <w:tcBorders/>
            <w:vAlign w:val="center"/>
          </w:tcPr>
          <w:p>
            <w:pPr>
              <w:pStyle w:val="TableContents"/>
              <w:bidi w:val="0"/>
              <w:spacing w:lineRule="atLeast" w:line="240" w:before="0" w:after="0"/>
              <w:ind w:left="0" w:right="0" w:hanging="0"/>
              <w:jc w:val="right"/>
              <w:rPr/>
            </w:pPr>
            <w:r>
              <w:rPr/>
              <w:t>​</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931" w:type="dxa"/>
            <w:tcBorders/>
            <w:vAlign w:val="center"/>
          </w:tcPr>
          <w:p>
            <w:pPr>
              <w:pStyle w:val="TableContents"/>
              <w:bidi w:val="0"/>
              <w:spacing w:lineRule="atLeast" w:line="240" w:before="0" w:after="0"/>
              <w:ind w:left="0" w:right="0" w:hanging="0"/>
              <w:jc w:val="right"/>
              <w:rPr/>
            </w:pPr>
            <w:r>
              <w:rPr/>
              <w:t>​</w:t>
            </w:r>
          </w:p>
        </w:tc>
        <w:tc>
          <w:tcPr>
            <w:tcW w:w="193" w:type="dxa"/>
            <w:tcBorders/>
            <w:vAlign w:val="center"/>
          </w:tcPr>
          <w:p>
            <w:pPr>
              <w:pStyle w:val="TableContents"/>
              <w:bidi w:val="0"/>
              <w:spacing w:lineRule="atLeast" w:line="240" w:before="0" w:after="0"/>
              <w:ind w:left="0" w:right="0" w:hanging="0"/>
              <w:jc w:val="left"/>
              <w:rPr/>
            </w:pPr>
            <w:r>
              <w:rPr/>
              <w:t>​</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April 2026</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820"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47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46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4.63</w:t>
            </w:r>
          </w:p>
        </w:tc>
        <w:tc>
          <w:tcPr>
            <w:tcW w:w="2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38" w:type="dxa"/>
            <w:tcBorders/>
            <w:shd w:fill="CCEEFF" w:val="clear"/>
            <w:vAlign w:val="center"/>
          </w:tcPr>
          <w:p>
            <w:pPr>
              <w:pStyle w:val="TableContents"/>
              <w:bidi w:val="0"/>
              <w:spacing w:lineRule="atLeast" w:line="240" w:before="0" w:after="0"/>
              <w:ind w:left="0" w:right="0" w:hanging="0"/>
              <w:jc w:val="right"/>
              <w:rPr/>
            </w:pPr>
            <w:r>
              <w:rPr/>
              <w:t>​</w:t>
            </w:r>
          </w:p>
        </w:tc>
        <w:tc>
          <w:tcPr>
            <w:tcW w:w="1058"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550,000</w:t>
            </w:r>
          </w:p>
        </w:tc>
        <w:tc>
          <w:tcPr>
            <w:tcW w:w="193" w:type="dxa"/>
            <w:tcBorders/>
            <w:shd w:fill="CCEEFF" w:val="clear"/>
            <w:vAlign w:val="center"/>
          </w:tcPr>
          <w:p>
            <w:pPr>
              <w:pStyle w:val="TableContents"/>
              <w:bidi w:val="0"/>
              <w:spacing w:lineRule="atLeast" w:line="240" w:before="0" w:after="0"/>
              <w:ind w:left="0" w:right="0" w:hanging="0"/>
              <w:jc w:val="right"/>
              <w:rPr/>
            </w:pPr>
            <w:r>
              <w:rPr/>
              <w:t>​</w:t>
            </w:r>
          </w:p>
        </w:tc>
      </w:tr>
      <w:tr>
        <w:trPr/>
        <w:tc>
          <w:tcPr>
            <w:tcW w:w="4693"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May 2031</w:t>
            </w:r>
          </w:p>
        </w:tc>
        <w:tc>
          <w:tcPr>
            <w:tcW w:w="109" w:type="dxa"/>
            <w:tcBorders/>
            <w:vAlign w:val="center"/>
          </w:tcPr>
          <w:p>
            <w:pPr>
              <w:pStyle w:val="TableContents"/>
              <w:bidi w:val="0"/>
              <w:spacing w:lineRule="atLeast" w:line="240" w:before="0" w:after="0"/>
              <w:ind w:left="0" w:right="0" w:hanging="0"/>
              <w:jc w:val="left"/>
              <w:rPr/>
            </w:pPr>
            <w:r>
              <w:rPr/>
              <w:t>​</w:t>
            </w:r>
          </w:p>
        </w:tc>
        <w:tc>
          <w:tcPr>
            <w:tcW w:w="820"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47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lineRule="atLeast" w:line="240" w:before="0" w:after="0"/>
              <w:ind w:left="0" w:right="0" w:hanging="0"/>
              <w:jc w:val="left"/>
              <w:rPr/>
            </w:pPr>
            <w:r>
              <w:rPr/>
              <w:t>​</w:t>
            </w:r>
          </w:p>
        </w:tc>
        <w:tc>
          <w:tcPr>
            <w:tcW w:w="46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w:t>
            </w:r>
          </w:p>
        </w:tc>
        <w:tc>
          <w:tcPr>
            <w:tcW w:w="2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lineRule="atLeast" w:line="240" w:before="0" w:after="0"/>
              <w:ind w:left="0" w:right="0" w:hanging="0"/>
              <w:jc w:val="left"/>
              <w:rPr/>
            </w:pPr>
            <w:r>
              <w:rPr/>
              <w:t>​</w:t>
            </w:r>
          </w:p>
        </w:tc>
        <w:tc>
          <w:tcPr>
            <w:tcW w:w="238" w:type="dxa"/>
            <w:tcBorders/>
            <w:vAlign w:val="center"/>
          </w:tcPr>
          <w:p>
            <w:pPr>
              <w:pStyle w:val="TableContents"/>
              <w:bidi w:val="0"/>
              <w:spacing w:lineRule="atLeast" w:line="240" w:before="0" w:after="0"/>
              <w:ind w:left="0" w:right="0" w:hanging="0"/>
              <w:jc w:val="right"/>
              <w:rPr/>
            </w:pPr>
            <w:r>
              <w:rPr/>
              <w:t>​</w:t>
            </w:r>
          </w:p>
        </w:tc>
        <w:tc>
          <w:tcPr>
            <w:tcW w:w="1058"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w:t>
            </w:r>
          </w:p>
        </w:tc>
        <w:tc>
          <w:tcPr>
            <w:tcW w:w="93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3" w:type="dxa"/>
            <w:tcBorders/>
            <w:vAlign w:val="center"/>
          </w:tcPr>
          <w:p>
            <w:pPr>
              <w:pStyle w:val="TableContents"/>
              <w:bidi w:val="0"/>
              <w:spacing w:lineRule="atLeast" w:line="240" w:before="0" w:after="0"/>
              <w:ind w:left="0" w:right="0" w:hanging="0"/>
              <w:jc w:val="right"/>
              <w:rPr/>
            </w:pPr>
            <w:r>
              <w:rPr/>
              <w:t>​</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June 2032</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820"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47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46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5.50</w:t>
            </w:r>
          </w:p>
        </w:tc>
        <w:tc>
          <w:tcPr>
            <w:tcW w:w="2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38" w:type="dxa"/>
            <w:tcBorders/>
            <w:shd w:fill="CCEEFF" w:val="clear"/>
            <w:vAlign w:val="center"/>
          </w:tcPr>
          <w:p>
            <w:pPr>
              <w:pStyle w:val="TableContents"/>
              <w:bidi w:val="0"/>
              <w:spacing w:lineRule="atLeast" w:line="240" w:before="0" w:after="0"/>
              <w:ind w:left="0" w:right="0" w:hanging="0"/>
              <w:jc w:val="right"/>
              <w:rPr/>
            </w:pPr>
            <w:r>
              <w:rPr/>
              <w:t>​</w:t>
            </w:r>
          </w:p>
        </w:tc>
        <w:tc>
          <w:tcPr>
            <w:tcW w:w="1058"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300,000</w:t>
            </w:r>
          </w:p>
        </w:tc>
        <w:tc>
          <w:tcPr>
            <w:tcW w:w="193" w:type="dxa"/>
            <w:tcBorders/>
            <w:shd w:fill="CCEEFF" w:val="clear"/>
            <w:vAlign w:val="center"/>
          </w:tcPr>
          <w:p>
            <w:pPr>
              <w:pStyle w:val="TableContents"/>
              <w:bidi w:val="0"/>
              <w:spacing w:lineRule="atLeast" w:line="240" w:before="0" w:after="0"/>
              <w:ind w:left="0" w:right="0" w:hanging="0"/>
              <w:jc w:val="right"/>
              <w:rPr/>
            </w:pPr>
            <w:r>
              <w:rPr/>
              <w:t>​</w:t>
            </w:r>
          </w:p>
        </w:tc>
      </w:tr>
      <w:tr>
        <w:trPr/>
        <w:tc>
          <w:tcPr>
            <w:tcW w:w="4693"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March 2028</w:t>
            </w:r>
          </w:p>
        </w:tc>
        <w:tc>
          <w:tcPr>
            <w:tcW w:w="109" w:type="dxa"/>
            <w:tcBorders/>
            <w:vAlign w:val="center"/>
          </w:tcPr>
          <w:p>
            <w:pPr>
              <w:pStyle w:val="TableContents"/>
              <w:bidi w:val="0"/>
              <w:spacing w:lineRule="atLeast" w:line="240" w:before="0" w:after="0"/>
              <w:ind w:left="0" w:right="0" w:hanging="0"/>
              <w:jc w:val="left"/>
              <w:rPr/>
            </w:pPr>
            <w:r>
              <w:rPr/>
              <w:t>​</w:t>
            </w:r>
          </w:p>
        </w:tc>
        <w:tc>
          <w:tcPr>
            <w:tcW w:w="820"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47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lineRule="atLeast" w:line="240" w:before="0" w:after="0"/>
              <w:ind w:left="0" w:right="0" w:hanging="0"/>
              <w:jc w:val="left"/>
              <w:rPr/>
            </w:pPr>
            <w:r>
              <w:rPr/>
              <w:t>​</w:t>
            </w:r>
          </w:p>
        </w:tc>
        <w:tc>
          <w:tcPr>
            <w:tcW w:w="46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6.25</w:t>
            </w:r>
          </w:p>
        </w:tc>
        <w:tc>
          <w:tcPr>
            <w:tcW w:w="2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06" w:type="dxa"/>
            <w:tcBorders/>
            <w:vAlign w:val="center"/>
          </w:tcPr>
          <w:p>
            <w:pPr>
              <w:pStyle w:val="TableContents"/>
              <w:bidi w:val="0"/>
              <w:spacing w:lineRule="atLeast" w:line="240" w:before="0" w:after="0"/>
              <w:ind w:left="0" w:right="0" w:hanging="0"/>
              <w:jc w:val="left"/>
              <w:rPr/>
            </w:pPr>
            <w:r>
              <w:rPr/>
              <w:t>​</w:t>
            </w:r>
          </w:p>
        </w:tc>
        <w:tc>
          <w:tcPr>
            <w:tcW w:w="238"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58"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500,000</w:t>
            </w:r>
          </w:p>
        </w:tc>
        <w:tc>
          <w:tcPr>
            <w:tcW w:w="193" w:type="dxa"/>
            <w:tcBorders/>
            <w:vAlign w:val="center"/>
          </w:tcPr>
          <w:p>
            <w:pPr>
              <w:pStyle w:val="TableContents"/>
              <w:bidi w:val="0"/>
              <w:spacing w:lineRule="atLeast" w:line="240" w:before="0" w:after="0"/>
              <w:ind w:left="0" w:right="0" w:hanging="0"/>
              <w:jc w:val="right"/>
              <w:rPr/>
            </w:pPr>
            <w:r>
              <w:rPr/>
              <w:t>​</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Long-term debt before discount and debt issuance costs</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820" w:type="dxa"/>
            <w:tcBorders/>
            <w:shd w:fill="CCEEFF" w:val="clear"/>
            <w:vAlign w:val="center"/>
          </w:tcPr>
          <w:p>
            <w:pPr>
              <w:pStyle w:val="TableContents"/>
              <w:bidi w:val="0"/>
              <w:spacing w:lineRule="atLeast" w:line="240" w:before="0" w:after="0"/>
              <w:ind w:left="0" w:right="0" w:hanging="0"/>
              <w:jc w:val="left"/>
              <w:rPr/>
            </w:pPr>
            <w:r>
              <w:rPr/>
              <w:t>​</w:t>
            </w:r>
          </w:p>
        </w:tc>
        <w:tc>
          <w:tcPr>
            <w:tcW w:w="477"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466" w:type="dxa"/>
            <w:tcBorders/>
            <w:shd w:fill="CCEEFF" w:val="clear"/>
            <w:vAlign w:val="center"/>
          </w:tcPr>
          <w:p>
            <w:pPr>
              <w:pStyle w:val="TableContents"/>
              <w:bidi w:val="0"/>
              <w:spacing w:lineRule="atLeast" w:line="240" w:before="0" w:after="0"/>
              <w:ind w:left="0" w:right="0" w:hanging="0"/>
              <w:jc w:val="left"/>
              <w:rPr/>
            </w:pPr>
            <w:r>
              <w:rPr/>
              <w:t>​</w:t>
            </w:r>
          </w:p>
        </w:tc>
        <w:tc>
          <w:tcPr>
            <w:tcW w:w="271"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38" w:type="dxa"/>
            <w:tcBorders/>
            <w:shd w:fill="CCEEFF" w:val="clear"/>
            <w:vAlign w:val="center"/>
          </w:tcPr>
          <w:p>
            <w:pPr>
              <w:pStyle w:val="TableContents"/>
              <w:bidi w:val="0"/>
              <w:spacing w:lineRule="atLeast" w:line="240" w:before="0" w:after="0"/>
              <w:ind w:left="0" w:right="0" w:hanging="0"/>
              <w:jc w:val="right"/>
              <w:rPr/>
            </w:pPr>
            <w:r>
              <w:rPr/>
              <w:t> </w:t>
            </w:r>
          </w:p>
        </w:tc>
        <w:tc>
          <w:tcPr>
            <w:tcW w:w="1058"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3,115,724</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93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3,002,352</w:t>
            </w:r>
          </w:p>
        </w:tc>
        <w:tc>
          <w:tcPr>
            <w:tcW w:w="193" w:type="dxa"/>
            <w:tcBorders/>
            <w:shd w:fill="CCEEFF" w:val="clear"/>
            <w:vAlign w:val="center"/>
          </w:tcPr>
          <w:p>
            <w:pPr>
              <w:pStyle w:val="TableContents"/>
              <w:bidi w:val="0"/>
              <w:spacing w:lineRule="atLeast" w:line="240" w:before="0" w:after="0"/>
              <w:ind w:left="0" w:right="0" w:hanging="0"/>
              <w:jc w:val="right"/>
              <w:rPr/>
            </w:pPr>
            <w:r>
              <w:rPr/>
              <w:t>​</w:t>
            </w:r>
          </w:p>
        </w:tc>
      </w:tr>
      <w:tr>
        <w:trPr/>
        <w:tc>
          <w:tcPr>
            <w:tcW w:w="4693"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Discount and debt issuance costs – unamortized</w:t>
            </w:r>
          </w:p>
        </w:tc>
        <w:tc>
          <w:tcPr>
            <w:tcW w:w="109" w:type="dxa"/>
            <w:tcBorders/>
            <w:vAlign w:val="center"/>
          </w:tcPr>
          <w:p>
            <w:pPr>
              <w:pStyle w:val="TableContents"/>
              <w:bidi w:val="0"/>
              <w:spacing w:lineRule="atLeast" w:line="240" w:before="0" w:after="0"/>
              <w:ind w:left="0" w:right="0" w:hanging="0"/>
              <w:jc w:val="left"/>
              <w:rPr/>
            </w:pPr>
            <w:r>
              <w:rPr/>
              <w:t>​</w:t>
            </w:r>
          </w:p>
        </w:tc>
        <w:tc>
          <w:tcPr>
            <w:tcW w:w="820" w:type="dxa"/>
            <w:tcBorders/>
            <w:vAlign w:val="center"/>
          </w:tcPr>
          <w:p>
            <w:pPr>
              <w:pStyle w:val="TableContents"/>
              <w:bidi w:val="0"/>
              <w:spacing w:lineRule="atLeast" w:line="240" w:before="0" w:after="0"/>
              <w:ind w:left="0" w:right="0" w:hanging="0"/>
              <w:jc w:val="left"/>
              <w:rPr/>
            </w:pPr>
            <w:r>
              <w:rPr/>
              <w:t>​</w:t>
            </w:r>
          </w:p>
        </w:tc>
        <w:tc>
          <w:tcPr>
            <w:tcW w:w="477"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466" w:type="dxa"/>
            <w:tcBorders/>
            <w:vAlign w:val="center"/>
          </w:tcPr>
          <w:p>
            <w:pPr>
              <w:pStyle w:val="TableContents"/>
              <w:bidi w:val="0"/>
              <w:spacing w:lineRule="atLeast" w:line="240" w:before="0" w:after="0"/>
              <w:ind w:left="0" w:right="0" w:hanging="0"/>
              <w:jc w:val="left"/>
              <w:rPr/>
            </w:pPr>
            <w:r>
              <w:rPr/>
              <w:t>​</w:t>
            </w:r>
          </w:p>
        </w:tc>
        <w:tc>
          <w:tcPr>
            <w:tcW w:w="27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06" w:type="dxa"/>
            <w:tcBorders/>
            <w:vAlign w:val="center"/>
          </w:tcPr>
          <w:p>
            <w:pPr>
              <w:pStyle w:val="TableContents"/>
              <w:bidi w:val="0"/>
              <w:spacing w:lineRule="atLeast" w:line="240" w:before="0" w:after="0"/>
              <w:ind w:left="0" w:right="0" w:hanging="0"/>
              <w:jc w:val="left"/>
              <w:rPr/>
            </w:pPr>
            <w:r>
              <w:rPr/>
              <w:t>​</w:t>
            </w:r>
          </w:p>
        </w:tc>
        <w:tc>
          <w:tcPr>
            <w:tcW w:w="238"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058"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(13,821)</w:t>
            </w:r>
          </w:p>
        </w:tc>
        <w:tc>
          <w:tcPr>
            <w:tcW w:w="206" w:type="dxa"/>
            <w:tcBorders/>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3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(14,323)</w:t>
            </w:r>
          </w:p>
        </w:tc>
        <w:tc>
          <w:tcPr>
            <w:tcW w:w="193" w:type="dxa"/>
            <w:tcBorders/>
            <w:vAlign w:val="center"/>
          </w:tcPr>
          <w:p>
            <w:pPr>
              <w:pStyle w:val="TableContents"/>
              <w:bidi w:val="0"/>
              <w:spacing w:lineRule="atLeast" w:line="240" w:before="0" w:after="0"/>
              <w:ind w:left="0" w:right="0" w:hanging="0"/>
              <w:jc w:val="right"/>
              <w:rPr/>
            </w:pPr>
            <w:r>
              <w:rPr/>
              <w:t>​</w:t>
            </w:r>
          </w:p>
        </w:tc>
      </w:tr>
      <w:tr>
        <w:trPr/>
        <w:tc>
          <w:tcPr>
            <w:tcW w:w="4693"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Long-term debt</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820" w:type="dxa"/>
            <w:tcBorders/>
            <w:shd w:fill="CCEEFF" w:val="clear"/>
            <w:vAlign w:val="center"/>
          </w:tcPr>
          <w:p>
            <w:pPr>
              <w:pStyle w:val="TableContents"/>
              <w:bidi w:val="0"/>
              <w:spacing w:lineRule="atLeast" w:line="240" w:before="0" w:after="0"/>
              <w:ind w:left="0" w:right="0" w:hanging="0"/>
              <w:jc w:val="left"/>
              <w:rPr/>
            </w:pPr>
            <w:r>
              <w:rPr/>
              <w:t>​</w:t>
            </w:r>
          </w:p>
        </w:tc>
        <w:tc>
          <w:tcPr>
            <w:tcW w:w="477"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466" w:type="dxa"/>
            <w:tcBorders/>
            <w:shd w:fill="CCEEFF" w:val="clear"/>
            <w:vAlign w:val="center"/>
          </w:tcPr>
          <w:p>
            <w:pPr>
              <w:pStyle w:val="TableContents"/>
              <w:bidi w:val="0"/>
              <w:spacing w:lineRule="atLeast" w:line="240" w:before="0" w:after="0"/>
              <w:ind w:left="0" w:right="0" w:hanging="0"/>
              <w:jc w:val="left"/>
              <w:rPr/>
            </w:pPr>
            <w:r>
              <w:rPr/>
              <w:t>​</w:t>
            </w:r>
          </w:p>
        </w:tc>
        <w:tc>
          <w:tcPr>
            <w:tcW w:w="271" w:type="dxa"/>
            <w:tcBorders/>
            <w:shd w:fill="CCEEFF" w:val="clear"/>
            <w:vAlign w:val="center"/>
          </w:tcPr>
          <w:p>
            <w:pPr>
              <w:pStyle w:val="TableContents"/>
              <w:bidi w:val="0"/>
              <w:spacing w:lineRule="atLeast" w:line="240" w:before="0" w:after="0"/>
              <w:ind w:left="0" w:right="0" w:hanging="0"/>
              <w:jc w:val="left"/>
              <w:rPr/>
            </w:pPr>
            <w:r>
              <w:rPr/>
              <w:t>​</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58"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3,101,903</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3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2,988,029</w:t>
            </w:r>
          </w:p>
        </w:tc>
        <w:tc>
          <w:tcPr>
            <w:tcW w:w="193" w:type="dxa"/>
            <w:tcBorders/>
            <w:shd w:fill="CCEEFF" w:val="clear"/>
            <w:vAlign w:val="center"/>
          </w:tcPr>
          <w:p>
            <w:pPr>
              <w:pStyle w:val="TableContents"/>
              <w:bidi w:val="0"/>
              <w:spacing w:lineRule="atLeast" w:line="240" w:before="0" w:after="0"/>
              <w:ind w:left="0" w:right="0" w:hanging="0"/>
              <w:jc w:val="left"/>
              <w:rPr/>
            </w:pPr>
            <w:r>
              <w:rPr/>
              <w:t>​</w:t>
            </w:r>
          </w:p>
        </w:tc>
      </w:tr>
    </w:tbl>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$700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$1.31 billion and $1.27 billion at September 30, 2023, and July 1, 2023, respectively. The Securitization Program contains certain covenants relating to the quality of the receivables sold.</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has a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September 30, 2023, and July 1, 2023, there were $0.9 million in letters of credit issued under the Credit Facility.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September 30, 2023, and July 1, 2023. </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September 30, 2023, the carrying value and fair value of the Company’s total debt was $3.17 billion and $3.05 billion, respectively. At July 1, 2023, the carrying value and fair value of the Company’s total debt was $3.06 billion and $2.98 billion, respectively. Fair value for the public notes was estimated based upon quoted market prices (Level 1) and, for other forms of debt, fair value approximates carrying value due to the market based variable nature of the interest rates on those debt facilities (Level 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both"/>
        <w:rPr/>
      </w:pPr>
      <w:r>
        <w:rPr/>
        <w:t>​</w:t>
      </w:r>
    </w:p>
    <w:p>
      <w:pPr>
        <w:pStyle w:val="TextBody"/>
        <w:bidi w:val="0"/>
        <w:spacing w:before="0" w:after="0"/>
        <w:ind w:left="0" w:right="0" w:hanging="0"/>
        <w:jc w:val="both"/>
        <w:rPr>
          <w:rFonts w:ascii="Times New Roman;Times;serif" w:hAnsi="Times New Roman;Times;serif"/>
          <w:b/>
          <w:sz w:val="20"/>
        </w:rPr>
      </w:pPr>
      <w:bookmarkStart w:id="658" w:name="Tc_yvbk8Uw7IUC5jogmdafDpA_6_5"/>
      <w:bookmarkStart w:id="659" w:name="Tc_7INco_5UWUaKCd4VI4z-dg_6_2"/>
      <w:bookmarkStart w:id="660" w:name="Tc_NgqtqohEe0WjejR3uMZxDw_6_0"/>
      <w:bookmarkStart w:id="661" w:name="Tc_xQnJK5bGxE6b8At0BrAI7g_5_5"/>
      <w:bookmarkStart w:id="662" w:name="Tc_XjIjOMqkdEON-a6r0yPN_A_5_2"/>
      <w:bookmarkStart w:id="663" w:name="Tc_qswC-in7x0qyBz0OgfpBsw_5_0"/>
      <w:bookmarkStart w:id="664" w:name="Tc_NwR4NrMW5EGs5XSZ19zHpg_4_0"/>
      <w:bookmarkStart w:id="665" w:name="Tc_YLQsfGpupkSSRBrE6mL4Jg_3_5"/>
      <w:bookmarkStart w:id="666" w:name="Tc_l6qdgb1Lf0GalyLgOIe8lw_3_2"/>
      <w:bookmarkStart w:id="667" w:name="Tc_k3xN2SAopUCYgP00Z5n7GA_2_5"/>
      <w:bookmarkStart w:id="668" w:name="Tc_cWwXj1G8E0y3v9udhjBf1g_2_2"/>
      <w:bookmarkStart w:id="669" w:name="Tc_9S3D-QBuM0qCH3Fi8osw5A_1_2"/>
      <w:bookmarkStart w:id="670" w:name="_8995feff_0eb3_4aaa_a64c_898730b2cdff"/>
      <w:bookmarkStart w:id="671" w:name="Tc_tHvgN10QTkmINIfmU5tTsg_6_6"/>
      <w:bookmarkStart w:id="672" w:name="Tc_9o5vEvOLjEKbBUG4BVk1ig_6_3"/>
      <w:bookmarkStart w:id="673" w:name="Tc_org26snvhkeoX2UOZFtBsg_6_0"/>
      <w:bookmarkStart w:id="674" w:name="Tc_o74FsfNkNkKoYe6dMPhlrw_5_0"/>
      <w:bookmarkStart w:id="675" w:name="Tc_Io33Qvps5EWS8aCvSfgGgA_4_0"/>
      <w:bookmarkStart w:id="676" w:name="Tc_idSjpIVDskOtmQpR0kJTLg_3_5"/>
      <w:bookmarkStart w:id="677" w:name="Tc_Js6ZIpSttEu24x5CDFx3qQ_3_2"/>
      <w:bookmarkStart w:id="678" w:name="Tc_g7jgpT9QTEu2KjP9jB-o_Q_2_5"/>
      <w:bookmarkStart w:id="679" w:name="Tc_2l2v4uov0Uq2_jHozJ4zBg_2_2"/>
      <w:bookmarkStart w:id="680" w:name="Tc_SQxxHSKuqkade63wkZps-g_1_2"/>
      <w:bookmarkStart w:id="681" w:name="_e2237672_1167_4761_8d6a_03213eb73e6d"/>
      <w:bookmarkStart w:id="682" w:name="Tc_OZRM8-nU60KfUuXbKPh8RA_10_1"/>
      <w:bookmarkStart w:id="683" w:name="Tc_kozlQjpfHUqLnYQzecU5aA_10_0"/>
      <w:bookmarkStart w:id="684" w:name="Tc_iBQygtd9Z0WHGn6vG-XYsg_9_0"/>
      <w:bookmarkStart w:id="685" w:name="Tc_1xY2tRAXKEmGrywFaW_DRA_8_0"/>
      <w:bookmarkStart w:id="686" w:name="Tc_3yLhpOuSy0ilFzz9CmNE0A_7_0"/>
      <w:bookmarkStart w:id="687" w:name="Tc_zdEo1Ti9xESgsXZj9hO0Qg_6_0"/>
      <w:bookmarkStart w:id="688" w:name="Tc_lx597I4La0G3WZkKv9x2NA_5_0"/>
      <w:bookmarkStart w:id="689" w:name="Tc_mcv3L6QXWEqoEIYDoHj_IA_4_0"/>
      <w:bookmarkStart w:id="690" w:name="Tc_eS67ZpTH0UqarkGQWl2jKg_3_0"/>
      <w:bookmarkStart w:id="691" w:name="Tc_PXd0xXX1_USPrK-Jv25lmQ_2_1"/>
      <w:bookmarkStart w:id="692" w:name="Tc_q2qv0wjbLUap8l_8bam9Rg_2_0"/>
      <w:bookmarkStart w:id="693" w:name="Tc_DoEGC-83tEagX_NIPIRYqw_1_0"/>
      <w:bookmarkStart w:id="694" w:name="_7028d80d_2004_4645_9478_c36724646a2b"/>
      <w:bookmarkStart w:id="695" w:name="Tc_bgc-jVJSzUiDbMNSMvtDSw_6_5"/>
      <w:bookmarkStart w:id="696" w:name="Tc_ncTfc0TjeECLQ3-9Q54bAg_6_2"/>
      <w:bookmarkStart w:id="697" w:name="Tc_X38nPby_okaylQEAZftDaQ_6_0"/>
      <w:bookmarkStart w:id="698" w:name="Tc_9q_i554jl0my-rPHywLjHw_5_0"/>
      <w:bookmarkStart w:id="699" w:name="Tc_fJ7CgmFyg0WfehCgYnFIaQ_4_5"/>
      <w:bookmarkStart w:id="700" w:name="Tc_b_VEVSAH6km_00mV37lgQA_4_2"/>
      <w:bookmarkStart w:id="701" w:name="Tc_Qy1NrhEY9UGx4iNqiRLYiQ_4_0"/>
      <w:bookmarkStart w:id="702" w:name="Tc_fC0iU9Wiw0Olj4JD5NEAkQ_3_5"/>
      <w:bookmarkStart w:id="703" w:name="Tc_lIBoiJGNOEGbgMlYv5rkpg_3_2"/>
      <w:bookmarkStart w:id="704" w:name="Tc_qv7eGR8ItEeHUO5YixjoPA_2_5"/>
      <w:bookmarkStart w:id="705" w:name="Tc_vPYsBdQs1U6gAM297aZ2qQ_2_2"/>
      <w:bookmarkStart w:id="706" w:name="Tc_cqhvx1YtG0-cMCUGAb5A6A_1_2"/>
      <w:bookmarkStart w:id="707" w:name="_d2edd133_fcb6_44a1_a9e8_4a6be3c3d23a"/>
      <w:bookmarkStart w:id="708" w:name="_Hlk126071764"/>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r>
        <w:rPr>
          <w:rFonts w:ascii="Times New Roman;Times;serif" w:hAnsi="Times New Roman;Times;serif"/>
          <w:b/>
          <w:sz w:val="20"/>
        </w:rPr>
        <w:t>5. Leases</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Substantially all the Company’s leases are classified as operating leases and are predominately related to real property for distribution centers, office space, and integration facilities with a lease term of up to 15 years. The Company’s equipment leases are primarily for automobiles and equipment and are not material to the consolidated financial statements.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components of lease cost related to the Company’s operating leases were as follows (in thousands):</w:t>
      </w:r>
    </w:p>
    <w:p>
      <w:pPr>
        <w:pStyle w:val="TextBody"/>
        <w:bidi w:val="0"/>
        <w:spacing w:before="0" w:after="0"/>
        <w:ind w:left="0" w:right="0" w:firstLine="475"/>
        <w:jc w:val="both"/>
        <w:rPr/>
      </w:pPr>
      <w:r>
        <w:rPr/>
        <w:t>​</w:t>
      </w:r>
    </w:p>
    <w:tbl>
      <w:tblPr>
        <w:tblW w:w="4411" w:type="dxa"/>
        <w:jc w:val="left"/>
        <w:tblInd w:w="0" w:type="dxa"/>
        <w:tblLayout w:type="fixed"/>
        <w:tblCellMar>
          <w:top w:w="0" w:type="dxa"/>
          <w:left w:w="0" w:type="dxa"/>
          <w:bottom w:w="0" w:type="dxa"/>
          <w:right w:w="0" w:type="dxa"/>
        </w:tblCellMar>
      </w:tblPr>
      <w:tblGrid>
        <w:gridCol w:w="1756"/>
        <w:gridCol w:w="109"/>
        <w:gridCol w:w="309"/>
        <w:gridCol w:w="996"/>
        <w:gridCol w:w="206"/>
        <w:gridCol w:w="220"/>
        <w:gridCol w:w="815"/>
      </w:tblGrid>
      <w:tr>
        <w:trPr/>
        <w:tc>
          <w:tcPr>
            <w:tcW w:w="1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1115060" cy="175260"/>
                      <wp:effectExtent l="0" t="0" r="0" b="0"/>
                      <wp:wrapNone/>
                      <wp:docPr id="125" name="Frame125"/>
                      <a:graphic xmlns:a="http://schemas.openxmlformats.org/drawingml/2006/main">
                        <a:graphicData uri="http://schemas.microsoft.com/office/word/2010/wordprocessingShape">
                          <wps:wsp>
                            <wps:cNvSpPr txBox="1"/>
                            <wps:spPr>
                              <a:xfrm>
                                <a:off x="0" y="0"/>
                                <a:ext cx="11150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9215" cy="175260"/>
                      <wp:effectExtent l="0" t="0" r="0" b="0"/>
                      <wp:wrapNone/>
                      <wp:docPr id="126" name="Frame12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96215" cy="175260"/>
                      <wp:effectExtent l="0" t="0" r="0" b="0"/>
                      <wp:wrapNone/>
                      <wp:docPr id="127" name="Frame127"/>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32460" cy="175260"/>
                      <wp:effectExtent l="0" t="0" r="0" b="0"/>
                      <wp:wrapNone/>
                      <wp:docPr id="128" name="Frame128"/>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130810" cy="175260"/>
                      <wp:effectExtent l="0" t="0" r="0" b="0"/>
                      <wp:wrapNone/>
                      <wp:docPr id="129" name="Frame129"/>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139700" cy="175260"/>
                      <wp:effectExtent l="0" t="0" r="0" b="0"/>
                      <wp:wrapNone/>
                      <wp:docPr id="130" name="Frame130"/>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517525" cy="175260"/>
                      <wp:effectExtent l="0" t="0" r="0" b="0"/>
                      <wp:wrapNone/>
                      <wp:docPr id="131" name="Frame131"/>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1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2546"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1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06" w:type="dxa"/>
            <w:tcBorders/>
            <w:vAlign w:val="center"/>
          </w:tcPr>
          <w:p>
            <w:pPr>
              <w:pStyle w:val="TableContents"/>
              <w:bidi w:val="0"/>
              <w:spacing w:lineRule="atLeast" w:line="240" w:before="0" w:after="0"/>
              <w:ind w:left="0" w:right="0" w:hanging="0"/>
              <w:jc w:val="center"/>
              <w:rPr/>
            </w:pPr>
            <w:r>
              <w:rPr/>
              <w:t>​</w:t>
            </w:r>
          </w:p>
        </w:tc>
        <w:tc>
          <w:tcPr>
            <w:tcW w:w="103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1756"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lineRule="atLeast" w:line="240" w:before="0" w:after="0"/>
              <w:ind w:left="0" w:right="0" w:hanging="0"/>
              <w:jc w:val="left"/>
              <w:rPr/>
            </w:pPr>
            <w:r>
              <w:rPr/>
              <w:t>  </w:t>
            </w:r>
          </w:p>
        </w:tc>
        <w:tc>
          <w:tcPr>
            <w:tcW w:w="103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75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cost</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30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15,539</w:t>
            </w:r>
          </w:p>
        </w:tc>
        <w:tc>
          <w:tcPr>
            <w:tcW w:w="20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16,566</w:t>
            </w:r>
          </w:p>
        </w:tc>
      </w:tr>
      <w:tr>
        <w:trPr/>
        <w:tc>
          <w:tcPr>
            <w:tcW w:w="175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Variable lease cost</w:t>
            </w:r>
          </w:p>
        </w:tc>
        <w:tc>
          <w:tcPr>
            <w:tcW w:w="109" w:type="dxa"/>
            <w:tcBorders/>
            <w:vAlign w:val="center"/>
          </w:tcPr>
          <w:p>
            <w:pPr>
              <w:pStyle w:val="TableContents"/>
              <w:bidi w:val="0"/>
              <w:spacing w:lineRule="atLeast" w:line="240" w:before="0" w:after="0"/>
              <w:ind w:left="0" w:right="0" w:hanging="0"/>
              <w:jc w:val="left"/>
              <w:rPr/>
            </w:pPr>
            <w:r>
              <w:rPr/>
              <w:t>​</w:t>
            </w:r>
          </w:p>
        </w:tc>
        <w:tc>
          <w:tcPr>
            <w:tcW w:w="309" w:type="dxa"/>
            <w:tcBorders>
              <w:bottom w:val="single" w:sz="12" w:space="0" w:color="000000"/>
            </w:tcBorders>
            <w:tcMar>
              <w:bottom w:w="28" w:type="dxa"/>
            </w:tcMar>
            <w:vAlign w:val="center"/>
          </w:tcPr>
          <w:p>
            <w:pPr>
              <w:pStyle w:val="TableContents"/>
              <w:bidi w:val="0"/>
              <w:spacing w:lineRule="atLeast" w:line="240" w:before="0" w:after="0"/>
              <w:ind w:left="0" w:right="0" w:hanging="0"/>
              <w:jc w:val="left"/>
              <w:rPr/>
            </w:pPr>
            <w:r>
              <w:rPr/>
              <w:t>​</w:t>
            </w:r>
          </w:p>
        </w:tc>
        <w:tc>
          <w:tcPr>
            <w:tcW w:w="99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7,167</w:t>
            </w:r>
          </w:p>
        </w:tc>
        <w:tc>
          <w:tcPr>
            <w:tcW w:w="20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bottom w:val="single" w:sz="12" w:space="0" w:color="000000"/>
            </w:tcBorders>
            <w:tcMar>
              <w:bottom w:w="28" w:type="dxa"/>
            </w:tcMar>
            <w:vAlign w:val="center"/>
          </w:tcPr>
          <w:p>
            <w:pPr>
              <w:pStyle w:val="TableContents"/>
              <w:bidi w:val="0"/>
              <w:spacing w:lineRule="atLeast" w:line="240" w:before="0" w:after="0"/>
              <w:ind w:left="0" w:right="0" w:hanging="0"/>
              <w:jc w:val="left"/>
              <w:rPr>
                <w:color w:val="575757"/>
              </w:rPr>
            </w:pPr>
            <w:r>
              <w:rPr>
                <w:color w:val="575757"/>
              </w:rPr>
              <w:t>​</w:t>
            </w:r>
          </w:p>
        </w:tc>
        <w:tc>
          <w:tcPr>
            <w:tcW w:w="81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6,313</w:t>
            </w:r>
          </w:p>
        </w:tc>
      </w:tr>
      <w:tr>
        <w:trPr/>
        <w:tc>
          <w:tcPr>
            <w:tcW w:w="175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309"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22,706</w:t>
            </w:r>
          </w:p>
        </w:tc>
        <w:tc>
          <w:tcPr>
            <w:tcW w:w="20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22,879</w:t>
            </w:r>
          </w:p>
        </w:tc>
      </w:tr>
    </w:tbl>
    <w:p>
      <w:pPr>
        <w:pStyle w:val="TextBody"/>
        <w:bidi w:val="0"/>
        <w:spacing w:before="0" w:after="0"/>
        <w:ind w:left="0" w:right="0" w:hanging="0"/>
        <w:jc w:val="both"/>
        <w:rPr>
          <w:color w:val="252525"/>
        </w:rPr>
      </w:pPr>
      <w:r>
        <w:rPr>
          <w:color w:val="252525"/>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Future minimum operating lease payments as of September 30, 2023, are as follows (in thousands):</w:t>
      </w:r>
    </w:p>
    <w:p>
      <w:pPr>
        <w:pStyle w:val="TextBody"/>
        <w:bidi w:val="0"/>
        <w:spacing w:before="0" w:after="0"/>
        <w:ind w:left="0" w:right="0" w:hanging="0"/>
        <w:jc w:val="both"/>
        <w:rPr>
          <w:color w:val="252525"/>
        </w:rPr>
      </w:pPr>
      <w:r>
        <w:rPr>
          <w:color w:val="252525"/>
        </w:rPr>
        <w:t>​</w:t>
      </w:r>
    </w:p>
    <w:tbl>
      <w:tblPr>
        <w:tblW w:w="5373" w:type="dxa"/>
        <w:jc w:val="left"/>
        <w:tblInd w:w="0" w:type="dxa"/>
        <w:tblLayout w:type="fixed"/>
        <w:tblCellMar>
          <w:top w:w="0" w:type="dxa"/>
          <w:left w:w="0" w:type="dxa"/>
          <w:bottom w:w="0" w:type="dxa"/>
          <w:right w:w="0" w:type="dxa"/>
        </w:tblCellMar>
      </w:tblPr>
      <w:tblGrid>
        <w:gridCol w:w="4276"/>
        <w:gridCol w:w="211"/>
        <w:gridCol w:w="886"/>
      </w:tblGrid>
      <w:tr>
        <w:trPr/>
        <w:tc>
          <w:tcPr>
            <w:tcW w:w="42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2715260" cy="175260"/>
                      <wp:effectExtent l="0" t="0" r="0" b="0"/>
                      <wp:wrapNone/>
                      <wp:docPr id="132" name="Frame132"/>
                      <a:graphic xmlns:a="http://schemas.openxmlformats.org/drawingml/2006/main">
                        <a:graphicData uri="http://schemas.microsoft.com/office/word/2010/wordprocessingShape">
                          <wps:wsp>
                            <wps:cNvSpPr txBox="1"/>
                            <wps:spPr>
                              <a:xfrm>
                                <a:off x="0" y="0"/>
                                <a:ext cx="27152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133985" cy="175260"/>
                      <wp:effectExtent l="0" t="0" r="0" b="0"/>
                      <wp:wrapNone/>
                      <wp:docPr id="133" name="Frame133"/>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562610" cy="175260"/>
                      <wp:effectExtent l="0" t="0" r="0" b="0"/>
                      <wp:wrapNone/>
                      <wp:docPr id="134" name="Frame13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4276" w:type="dxa"/>
            <w:tcBorders/>
            <w:vAlign w:val="center"/>
          </w:tcPr>
          <w:p>
            <w:pPr>
              <w:pStyle w:val="TableContents"/>
              <w:bidi w:val="0"/>
              <w:spacing w:lineRule="atLeast" w:line="240" w:before="0" w:after="0"/>
              <w:ind w:left="0" w:right="0" w:hanging="0"/>
              <w:jc w:val="left"/>
              <w:rPr>
                <w:rFonts w:ascii="Times New Roman;Times;serif" w:hAnsi="Times New Roman;Times;serif"/>
                <w:b/>
                <w:sz w:val="20"/>
              </w:rPr>
            </w:pPr>
            <w:r>
              <w:rPr>
                <w:rFonts w:ascii="Times New Roman;Times;serif" w:hAnsi="Times New Roman;Times;serif"/>
                <w:b/>
                <w:sz w:val="20"/>
              </w:rPr>
              <w:t>Fiscal Year</w:t>
            </w:r>
          </w:p>
        </w:tc>
        <w:tc>
          <w:tcPr>
            <w:tcW w:w="211" w:type="dxa"/>
            <w:tcBorders/>
            <w:vAlign w:val="center"/>
          </w:tcPr>
          <w:p>
            <w:pPr>
              <w:pStyle w:val="TableContents"/>
              <w:bidi w:val="0"/>
              <w:spacing w:lineRule="atLeast" w:line="240" w:before="0" w:after="0"/>
              <w:ind w:left="0" w:right="0" w:hanging="0"/>
              <w:jc w:val="left"/>
              <w:rPr/>
            </w:pPr>
            <w:r>
              <w:rPr/>
              <w:t>​</w:t>
            </w:r>
          </w:p>
        </w:tc>
        <w:tc>
          <w:tcPr>
            <w:tcW w:w="886" w:type="dxa"/>
            <w:tcBorders/>
            <w:vAlign w:val="center"/>
          </w:tcPr>
          <w:p>
            <w:pPr>
              <w:pStyle w:val="TableContents"/>
              <w:bidi w:val="0"/>
              <w:spacing w:lineRule="atLeast" w:line="240" w:before="0" w:after="0"/>
              <w:ind w:left="0" w:right="0" w:hanging="0"/>
              <w:jc w:val="right"/>
              <w:rPr/>
            </w:pPr>
            <w:r>
              <w:rPr/>
              <w:t>​</w:t>
            </w:r>
          </w:p>
        </w:tc>
      </w:tr>
      <w:tr>
        <w:trPr/>
        <w:tc>
          <w:tcPr>
            <w:tcW w:w="4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Remainder of fiscal 2024</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46,377</w:t>
            </w:r>
          </w:p>
        </w:tc>
      </w:tr>
      <w:tr>
        <w:trPr/>
        <w:tc>
          <w:tcPr>
            <w:tcW w:w="427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211" w:type="dxa"/>
            <w:tcBorders/>
            <w:vAlign w:val="center"/>
          </w:tcPr>
          <w:p>
            <w:pPr>
              <w:pStyle w:val="TableContents"/>
              <w:bidi w:val="0"/>
              <w:spacing w:lineRule="atLeast" w:line="240" w:before="0" w:after="0"/>
              <w:ind w:left="0" w:right="0" w:hanging="0"/>
              <w:jc w:val="left"/>
              <w:rPr/>
            </w:pPr>
            <w:r>
              <w:rPr/>
              <w:t>​</w:t>
            </w:r>
          </w:p>
        </w:tc>
        <w:tc>
          <w:tcPr>
            <w:tcW w:w="8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52,620</w:t>
            </w:r>
          </w:p>
        </w:tc>
      </w:tr>
      <w:tr>
        <w:trPr/>
        <w:tc>
          <w:tcPr>
            <w:tcW w:w="4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8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41,715</w:t>
            </w:r>
          </w:p>
        </w:tc>
      </w:tr>
      <w:tr>
        <w:trPr/>
        <w:tc>
          <w:tcPr>
            <w:tcW w:w="427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211" w:type="dxa"/>
            <w:tcBorders/>
            <w:vAlign w:val="center"/>
          </w:tcPr>
          <w:p>
            <w:pPr>
              <w:pStyle w:val="TableContents"/>
              <w:bidi w:val="0"/>
              <w:spacing w:lineRule="atLeast" w:line="240" w:before="0" w:after="0"/>
              <w:ind w:left="0" w:right="0" w:hanging="0"/>
              <w:jc w:val="right"/>
              <w:rPr/>
            </w:pPr>
            <w:r>
              <w:rPr/>
              <w:t> </w:t>
            </w:r>
          </w:p>
        </w:tc>
        <w:tc>
          <w:tcPr>
            <w:tcW w:w="88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25,110</w:t>
            </w:r>
          </w:p>
        </w:tc>
      </w:tr>
      <w:tr>
        <w:trPr/>
        <w:tc>
          <w:tcPr>
            <w:tcW w:w="4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211" w:type="dxa"/>
            <w:tcBorders/>
            <w:shd w:fill="CCEEFF" w:val="clear"/>
            <w:vAlign w:val="center"/>
          </w:tcPr>
          <w:p>
            <w:pPr>
              <w:pStyle w:val="TableContents"/>
              <w:bidi w:val="0"/>
              <w:spacing w:lineRule="atLeast" w:line="240" w:before="0" w:after="0"/>
              <w:ind w:left="0" w:right="0" w:hanging="0"/>
              <w:jc w:val="right"/>
              <w:rPr/>
            </w:pPr>
            <w:r>
              <w:rPr/>
              <w:t> </w:t>
            </w:r>
          </w:p>
        </w:tc>
        <w:tc>
          <w:tcPr>
            <w:tcW w:w="8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19,758</w:t>
            </w:r>
          </w:p>
        </w:tc>
      </w:tr>
      <w:tr>
        <w:trPr/>
        <w:tc>
          <w:tcPr>
            <w:tcW w:w="427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88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97,740</w:t>
            </w:r>
          </w:p>
        </w:tc>
      </w:tr>
      <w:tr>
        <w:trPr/>
        <w:tc>
          <w:tcPr>
            <w:tcW w:w="4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future operating lease payments</w:t>
            </w:r>
          </w:p>
        </w:tc>
        <w:tc>
          <w:tcPr>
            <w:tcW w:w="211" w:type="dxa"/>
            <w:tcBorders/>
            <w:shd w:fill="CCEEFF" w:val="clear"/>
            <w:vAlign w:val="center"/>
          </w:tcPr>
          <w:p>
            <w:pPr>
              <w:pStyle w:val="TableContents"/>
              <w:bidi w:val="0"/>
              <w:spacing w:lineRule="atLeast" w:line="240" w:before="0" w:after="0"/>
              <w:ind w:left="0" w:right="0" w:hanging="0"/>
              <w:jc w:val="right"/>
              <w:rPr/>
            </w:pPr>
            <w:r>
              <w:rPr/>
              <w:t>​</w:t>
            </w:r>
          </w:p>
        </w:tc>
        <w:tc>
          <w:tcPr>
            <w:tcW w:w="8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283,320</w:t>
            </w:r>
          </w:p>
        </w:tc>
      </w:tr>
      <w:tr>
        <w:trPr/>
        <w:tc>
          <w:tcPr>
            <w:tcW w:w="427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imputed interest on operating lease liabilities</w:t>
            </w:r>
          </w:p>
        </w:tc>
        <w:tc>
          <w:tcPr>
            <w:tcW w:w="21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w:t>
            </w:r>
          </w:p>
        </w:tc>
        <w:tc>
          <w:tcPr>
            <w:tcW w:w="886"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(42,918)</w:t>
            </w:r>
          </w:p>
        </w:tc>
      </w:tr>
      <w:tr>
        <w:trPr/>
        <w:tc>
          <w:tcPr>
            <w:tcW w:w="427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21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240,402</w:t>
            </w:r>
          </w:p>
        </w:tc>
      </w:tr>
    </w:tbl>
    <w:p>
      <w:pPr>
        <w:pStyle w:val="TextBody"/>
        <w:bidi w:val="0"/>
        <w:spacing w:lineRule="auto" w:line="343" w:before="0" w:after="0"/>
        <w:ind w:left="0" w:right="0" w:hanging="0"/>
        <w:jc w:val="both"/>
        <w:rPr>
          <w:color w:val="252525"/>
        </w:rPr>
      </w:pPr>
      <w:r>
        <w:rPr>
          <w:color w:val="252525"/>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Other information pertaining to operating leases consists of the following:</w:t>
      </w:r>
    </w:p>
    <w:p>
      <w:pPr>
        <w:pStyle w:val="TextBody"/>
        <w:bidi w:val="0"/>
        <w:spacing w:before="0" w:after="0"/>
        <w:ind w:left="0" w:right="0" w:firstLine="475"/>
        <w:jc w:val="both"/>
        <w:rPr/>
      </w:pPr>
      <w:r>
        <w:rPr/>
        <w:t>​</w:t>
      </w:r>
    </w:p>
    <w:tbl>
      <w:tblPr>
        <w:tblW w:w="6720" w:type="dxa"/>
        <w:jc w:val="left"/>
        <w:tblInd w:w="0" w:type="dxa"/>
        <w:tblLayout w:type="fixed"/>
        <w:tblCellMar>
          <w:top w:w="0" w:type="dxa"/>
          <w:left w:w="0" w:type="dxa"/>
          <w:bottom w:w="0" w:type="dxa"/>
          <w:right w:w="0" w:type="dxa"/>
        </w:tblCellMar>
      </w:tblPr>
      <w:tblGrid>
        <w:gridCol w:w="4006"/>
        <w:gridCol w:w="109"/>
        <w:gridCol w:w="745"/>
        <w:gridCol w:w="560"/>
        <w:gridCol w:w="265"/>
        <w:gridCol w:w="549"/>
        <w:gridCol w:w="486"/>
      </w:tblGrid>
      <w:tr>
        <w:trPr/>
        <w:tc>
          <w:tcPr>
            <w:tcW w:w="4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2543810" cy="175260"/>
                      <wp:effectExtent l="0" t="0" r="0" b="0"/>
                      <wp:wrapNone/>
                      <wp:docPr id="135" name="Frame135"/>
                      <a:graphic xmlns:a="http://schemas.openxmlformats.org/drawingml/2006/main">
                        <a:graphicData uri="http://schemas.microsoft.com/office/word/2010/wordprocessingShape">
                          <wps:wsp>
                            <wps:cNvSpPr txBox="1"/>
                            <wps:spPr>
                              <a:xfrm>
                                <a:off x="0" y="0"/>
                                <a:ext cx="2543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9215" cy="175260"/>
                      <wp:effectExtent l="0" t="0" r="0" b="0"/>
                      <wp:wrapNone/>
                      <wp:docPr id="136" name="Frame136"/>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473075" cy="175260"/>
                      <wp:effectExtent l="0" t="0" r="0" b="0"/>
                      <wp:wrapNone/>
                      <wp:docPr id="137" name="Frame137"/>
                      <a:graphic xmlns:a="http://schemas.openxmlformats.org/drawingml/2006/main">
                        <a:graphicData uri="http://schemas.microsoft.com/office/word/2010/wordprocessingShape">
                          <wps:wsp>
                            <wps:cNvSpPr txBox="1"/>
                            <wps:spPr>
                              <a:xfrm>
                                <a:off x="0" y="0"/>
                                <a:ext cx="4730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56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355600" cy="175260"/>
                      <wp:effectExtent l="0" t="0" r="0" b="0"/>
                      <wp:wrapNone/>
                      <wp:docPr id="138" name="Frame138"/>
                      <a:graphic xmlns:a="http://schemas.openxmlformats.org/drawingml/2006/main">
                        <a:graphicData uri="http://schemas.microsoft.com/office/word/2010/wordprocessingShape">
                          <wps:wsp>
                            <wps:cNvSpPr txBox="1"/>
                            <wps:spPr>
                              <a:xfrm>
                                <a:off x="0" y="0"/>
                                <a:ext cx="3556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168275" cy="175260"/>
                      <wp:effectExtent l="0" t="0" r="0" b="0"/>
                      <wp:wrapNone/>
                      <wp:docPr id="139" name="Frame139"/>
                      <a:graphic xmlns:a="http://schemas.openxmlformats.org/drawingml/2006/main">
                        <a:graphicData uri="http://schemas.microsoft.com/office/word/2010/wordprocessingShape">
                          <wps:wsp>
                            <wps:cNvSpPr txBox="1"/>
                            <wps:spPr>
                              <a:xfrm>
                                <a:off x="0" y="0"/>
                                <a:ext cx="1682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348615" cy="175260"/>
                      <wp:effectExtent l="0" t="0" r="0" b="0"/>
                      <wp:wrapNone/>
                      <wp:docPr id="140" name="Frame140"/>
                      <a:graphic xmlns:a="http://schemas.openxmlformats.org/drawingml/2006/main">
                        <a:graphicData uri="http://schemas.microsoft.com/office/word/2010/wordprocessingShape">
                          <wps:wsp>
                            <wps:cNvSpPr txBox="1"/>
                            <wps:spPr>
                              <a:xfrm>
                                <a:off x="0" y="0"/>
                                <a:ext cx="3486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308610" cy="175260"/>
                      <wp:effectExtent l="0" t="0" r="0" b="0"/>
                      <wp:wrapNone/>
                      <wp:docPr id="141" name="Frame141"/>
                      <a:graphic xmlns:a="http://schemas.openxmlformats.org/drawingml/2006/main">
                        <a:graphicData uri="http://schemas.microsoft.com/office/word/2010/wordprocessingShape">
                          <wps:wsp>
                            <wps:cNvSpPr txBox="1"/>
                            <wps:spPr>
                              <a:xfrm>
                                <a:off x="0" y="0"/>
                                <a:ext cx="3086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4006"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109"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2605"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4006"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109"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65" w:type="dxa"/>
            <w:tcBorders/>
            <w:vAlign w:val="center"/>
          </w:tcPr>
          <w:p>
            <w:pPr>
              <w:pStyle w:val="TableContents"/>
              <w:bidi w:val="0"/>
              <w:spacing w:lineRule="atLeast" w:line="240" w:before="0" w:after="0"/>
              <w:ind w:left="0" w:right="0" w:hanging="0"/>
              <w:jc w:val="center"/>
              <w:rPr/>
            </w:pPr>
            <w:r>
              <w:rPr/>
              <w:t>​</w:t>
            </w:r>
          </w:p>
        </w:tc>
        <w:tc>
          <w:tcPr>
            <w:tcW w:w="103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4006"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109"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65" w:type="dxa"/>
            <w:tcBorders/>
            <w:vAlign w:val="center"/>
          </w:tcPr>
          <w:p>
            <w:pPr>
              <w:pStyle w:val="TableContents"/>
              <w:bidi w:val="0"/>
              <w:spacing w:lineRule="atLeast" w:line="240" w:before="0" w:after="0"/>
              <w:ind w:left="0" w:right="0" w:hanging="0"/>
              <w:jc w:val="center"/>
              <w:rPr/>
            </w:pPr>
            <w:r>
              <w:rPr/>
              <w:t>  </w:t>
            </w:r>
          </w:p>
        </w:tc>
        <w:tc>
          <w:tcPr>
            <w:tcW w:w="103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400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Term and Discount Rate</w:t>
            </w:r>
          </w:p>
        </w:tc>
        <w:tc>
          <w:tcPr>
            <w:tcW w:w="109" w:type="dxa"/>
            <w:tcBorders/>
            <w:vAlign w:val="center"/>
          </w:tcPr>
          <w:p>
            <w:pPr>
              <w:pStyle w:val="TableContents"/>
              <w:bidi w:val="0"/>
              <w:spacing w:lineRule="atLeast" w:line="240" w:before="0" w:after="0"/>
              <w:ind w:left="0" w:right="0" w:hanging="0"/>
              <w:jc w:val="left"/>
              <w:rPr>
                <w:color w:val="D9D9D9"/>
              </w:rPr>
            </w:pPr>
            <w:r>
              <w:rPr>
                <w:color w:val="D9D9D9"/>
              </w:rPr>
              <w:t>​</w:t>
            </w:r>
          </w:p>
        </w:tc>
        <w:tc>
          <w:tcPr>
            <w:tcW w:w="745" w:type="dxa"/>
            <w:tcBorders/>
            <w:vAlign w:val="center"/>
          </w:tcPr>
          <w:p>
            <w:pPr>
              <w:pStyle w:val="TableContents"/>
              <w:bidi w:val="0"/>
              <w:spacing w:lineRule="atLeast" w:line="240" w:before="0" w:after="0"/>
              <w:ind w:left="0" w:right="0" w:hanging="0"/>
              <w:jc w:val="right"/>
              <w:rPr/>
            </w:pPr>
            <w:r>
              <w:rPr/>
              <w:t>​</w:t>
            </w:r>
          </w:p>
        </w:tc>
        <w:tc>
          <w:tcPr>
            <w:tcW w:w="560" w:type="dxa"/>
            <w:tcBorders/>
            <w:vAlign w:val="center"/>
          </w:tcPr>
          <w:p>
            <w:pPr>
              <w:pStyle w:val="TableContents"/>
              <w:bidi w:val="0"/>
              <w:spacing w:lineRule="atLeast" w:line="240" w:before="0" w:after="0"/>
              <w:ind w:left="0" w:right="0" w:hanging="0"/>
              <w:jc w:val="left"/>
              <w:rPr/>
            </w:pPr>
            <w:r>
              <w:rPr/>
              <w:t>​</w:t>
            </w:r>
          </w:p>
        </w:tc>
        <w:tc>
          <w:tcPr>
            <w:tcW w:w="265" w:type="dxa"/>
            <w:tcBorders/>
            <w:vAlign w:val="center"/>
          </w:tcPr>
          <w:p>
            <w:pPr>
              <w:pStyle w:val="TableContents"/>
              <w:bidi w:val="0"/>
              <w:spacing w:lineRule="atLeast" w:line="240" w:before="0" w:after="0"/>
              <w:ind w:left="0" w:right="0" w:hanging="0"/>
              <w:jc w:val="left"/>
              <w:rPr/>
            </w:pPr>
            <w:r>
              <w:rPr/>
              <w:t>​</w:t>
            </w:r>
          </w:p>
        </w:tc>
        <w:tc>
          <w:tcPr>
            <w:tcW w:w="549" w:type="dxa"/>
            <w:tcBorders/>
            <w:vAlign w:val="center"/>
          </w:tcPr>
          <w:p>
            <w:pPr>
              <w:pStyle w:val="TableContents"/>
              <w:bidi w:val="0"/>
              <w:spacing w:lineRule="atLeast" w:line="240" w:before="0" w:after="0"/>
              <w:ind w:left="0" w:right="0" w:hanging="0"/>
              <w:jc w:val="left"/>
              <w:rPr/>
            </w:pPr>
            <w:r>
              <w:rPr/>
              <w:t>​</w:t>
            </w:r>
          </w:p>
        </w:tc>
        <w:tc>
          <w:tcPr>
            <w:tcW w:w="486" w:type="dxa"/>
            <w:tcBorders/>
            <w:vAlign w:val="center"/>
          </w:tcPr>
          <w:p>
            <w:pPr>
              <w:pStyle w:val="TableContents"/>
              <w:bidi w:val="0"/>
              <w:spacing w:lineRule="atLeast" w:line="240" w:before="0" w:after="0"/>
              <w:ind w:left="0" w:right="0" w:hanging="0"/>
              <w:jc w:val="left"/>
              <w:rPr/>
            </w:pPr>
            <w:r>
              <w:rPr/>
              <w:t>​</w:t>
            </w:r>
          </w:p>
        </w:tc>
      </w:tr>
      <w:tr>
        <w:trPr/>
        <w:tc>
          <w:tcPr>
            <w:tcW w:w="400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Weighted-average remaining lease term in years</w:t>
            </w:r>
          </w:p>
        </w:tc>
        <w:tc>
          <w:tcPr>
            <w:tcW w:w="109" w:type="dxa"/>
            <w:tcBorders/>
            <w:shd w:fill="CCEEFF" w:val="clear"/>
            <w:vAlign w:val="center"/>
          </w:tcPr>
          <w:p>
            <w:pPr>
              <w:pStyle w:val="TableContents"/>
              <w:bidi w:val="0"/>
              <w:spacing w:lineRule="atLeast" w:line="240" w:before="0" w:after="0"/>
              <w:ind w:left="0" w:right="0" w:hanging="0"/>
              <w:jc w:val="right"/>
              <w:rPr>
                <w:color w:val="D9D9D9"/>
              </w:rPr>
            </w:pPr>
            <w:r>
              <w:rPr>
                <w:color w:val="D9D9D9"/>
              </w:rPr>
              <w:t>​</w:t>
            </w:r>
          </w:p>
        </w:tc>
        <w:tc>
          <w:tcPr>
            <w:tcW w:w="74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560" w:type="dxa"/>
            <w:tcBorders/>
            <w:shd w:fill="CCEEFF" w:val="clear"/>
            <w:vAlign w:val="center"/>
          </w:tcPr>
          <w:p>
            <w:pPr>
              <w:pStyle w:val="TableContents"/>
              <w:bidi w:val="0"/>
              <w:spacing w:lineRule="atLeast" w:line="240" w:before="0" w:after="0"/>
              <w:ind w:left="0" w:right="0" w:hanging="0"/>
              <w:jc w:val="left"/>
              <w:rPr/>
            </w:pPr>
            <w:r>
              <w:rPr/>
              <w:t>​</w:t>
            </w:r>
          </w:p>
        </w:tc>
        <w:tc>
          <w:tcPr>
            <w:tcW w:w="265" w:type="dxa"/>
            <w:tcBorders/>
            <w:shd w:fill="CCEEFF" w:val="clear"/>
            <w:vAlign w:val="center"/>
          </w:tcPr>
          <w:p>
            <w:pPr>
              <w:pStyle w:val="TableContents"/>
              <w:bidi w:val="0"/>
              <w:spacing w:lineRule="atLeast" w:line="240" w:before="0" w:after="0"/>
              <w:ind w:left="0" w:right="0" w:hanging="0"/>
              <w:jc w:val="left"/>
              <w:rPr/>
            </w:pPr>
            <w:r>
              <w:rPr/>
              <w:t>​</w:t>
            </w:r>
          </w:p>
        </w:tc>
        <w:tc>
          <w:tcPr>
            <w:tcW w:w="54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486" w:type="dxa"/>
            <w:tcBorders/>
            <w:shd w:fill="CCEEFF" w:val="clear"/>
            <w:vAlign w:val="center"/>
          </w:tcPr>
          <w:p>
            <w:pPr>
              <w:pStyle w:val="TableContents"/>
              <w:bidi w:val="0"/>
              <w:spacing w:lineRule="atLeast" w:line="240" w:before="0" w:after="0"/>
              <w:ind w:left="0" w:right="0" w:hanging="0"/>
              <w:jc w:val="left"/>
              <w:rPr/>
            </w:pPr>
            <w:r>
              <w:rPr/>
              <w:t>​</w:t>
            </w:r>
          </w:p>
        </w:tc>
      </w:tr>
      <w:tr>
        <w:trPr/>
        <w:tc>
          <w:tcPr>
            <w:tcW w:w="400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Weighted-average discount rate</w:t>
            </w:r>
          </w:p>
        </w:tc>
        <w:tc>
          <w:tcPr>
            <w:tcW w:w="109" w:type="dxa"/>
            <w:tcBorders/>
            <w:vAlign w:val="center"/>
          </w:tcPr>
          <w:p>
            <w:pPr>
              <w:pStyle w:val="TableContents"/>
              <w:bidi w:val="0"/>
              <w:spacing w:lineRule="atLeast" w:line="240" w:before="0" w:after="0"/>
              <w:ind w:left="0" w:right="0" w:hanging="0"/>
              <w:jc w:val="right"/>
              <w:rPr>
                <w:color w:val="D9D9D9"/>
              </w:rPr>
            </w:pPr>
            <w:r>
              <w:rPr>
                <w:color w:val="D9D9D9"/>
              </w:rPr>
              <w:t>​</w:t>
            </w:r>
          </w:p>
        </w:tc>
        <w:tc>
          <w:tcPr>
            <w:tcW w:w="74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56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265" w:type="dxa"/>
            <w:tcBorders/>
            <w:vAlign w:val="center"/>
          </w:tcPr>
          <w:p>
            <w:pPr>
              <w:pStyle w:val="TableContents"/>
              <w:bidi w:val="0"/>
              <w:spacing w:lineRule="atLeast" w:line="240" w:before="0" w:after="0"/>
              <w:ind w:left="0" w:right="0" w:hanging="0"/>
              <w:jc w:val="left"/>
              <w:rPr/>
            </w:pPr>
            <w:r>
              <w:rPr/>
              <w:t>​</w:t>
            </w:r>
          </w:p>
        </w:tc>
        <w:tc>
          <w:tcPr>
            <w:tcW w:w="549"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3.9</w:t>
            </w:r>
          </w:p>
        </w:tc>
        <w:tc>
          <w:tcPr>
            <w:tcW w:w="48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Supplemental cash flow information related to the Company’s operating leases was as follows (in thousands):</w:t>
      </w:r>
    </w:p>
    <w:p>
      <w:pPr>
        <w:pStyle w:val="TextBody"/>
        <w:bidi w:val="0"/>
        <w:spacing w:before="0" w:after="0"/>
        <w:ind w:left="0" w:right="0" w:firstLine="475"/>
        <w:jc w:val="both"/>
        <w:rPr/>
      </w:pPr>
      <w:r>
        <w:rPr/>
        <w:t>​</w:t>
      </w:r>
    </w:p>
    <w:tbl>
      <w:tblPr>
        <w:tblW w:w="8206" w:type="dxa"/>
        <w:jc w:val="left"/>
        <w:tblInd w:w="0" w:type="dxa"/>
        <w:tblLayout w:type="fixed"/>
        <w:tblCellMar>
          <w:top w:w="0" w:type="dxa"/>
          <w:left w:w="0" w:type="dxa"/>
          <w:bottom w:w="0" w:type="dxa"/>
          <w:right w:w="0" w:type="dxa"/>
        </w:tblCellMar>
      </w:tblPr>
      <w:tblGrid>
        <w:gridCol w:w="5551"/>
        <w:gridCol w:w="109"/>
        <w:gridCol w:w="309"/>
        <w:gridCol w:w="996"/>
        <w:gridCol w:w="206"/>
        <w:gridCol w:w="220"/>
        <w:gridCol w:w="815"/>
      </w:tblGrid>
      <w:tr>
        <w:trPr/>
        <w:tc>
          <w:tcPr>
            <w:tcW w:w="55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3524885" cy="175260"/>
                      <wp:effectExtent l="0" t="0" r="0" b="0"/>
                      <wp:wrapNone/>
                      <wp:docPr id="142" name="Frame142"/>
                      <a:graphic xmlns:a="http://schemas.openxmlformats.org/drawingml/2006/main">
                        <a:graphicData uri="http://schemas.microsoft.com/office/word/2010/wordprocessingShape">
                          <wps:wsp>
                            <wps:cNvSpPr txBox="1"/>
                            <wps:spPr>
                              <a:xfrm>
                                <a:off x="0" y="0"/>
                                <a:ext cx="35248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7.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9215" cy="175260"/>
                      <wp:effectExtent l="0" t="0" r="0" b="0"/>
                      <wp:wrapNone/>
                      <wp:docPr id="143" name="Frame14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196215" cy="175260"/>
                      <wp:effectExtent l="0" t="0" r="0" b="0"/>
                      <wp:wrapNone/>
                      <wp:docPr id="144" name="Frame144"/>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32460" cy="175260"/>
                      <wp:effectExtent l="0" t="0" r="0" b="0"/>
                      <wp:wrapNone/>
                      <wp:docPr id="145" name="Frame145"/>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30810" cy="175260"/>
                      <wp:effectExtent l="0" t="0" r="0" b="0"/>
                      <wp:wrapNone/>
                      <wp:docPr id="146" name="Frame146"/>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139700" cy="175260"/>
                      <wp:effectExtent l="0" t="0" r="0" b="0"/>
                      <wp:wrapNone/>
                      <wp:docPr id="147" name="Frame147"/>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517525" cy="175260"/>
                      <wp:effectExtent l="0" t="0" r="0" b="0"/>
                      <wp:wrapNone/>
                      <wp:docPr id="148" name="Frame148"/>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555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09"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546"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555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09"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06" w:type="dxa"/>
            <w:tcBorders/>
            <w:vAlign w:val="center"/>
          </w:tcPr>
          <w:p>
            <w:pPr>
              <w:pStyle w:val="TableContents"/>
              <w:bidi w:val="0"/>
              <w:spacing w:lineRule="atLeast" w:line="240" w:before="0" w:after="0"/>
              <w:ind w:left="0" w:right="0" w:hanging="0"/>
              <w:jc w:val="center"/>
              <w:rPr/>
            </w:pPr>
            <w:r>
              <w:rPr/>
              <w:t>​</w:t>
            </w:r>
          </w:p>
        </w:tc>
        <w:tc>
          <w:tcPr>
            <w:tcW w:w="103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5551"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09"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6" w:type="dxa"/>
            <w:tcBorders/>
            <w:vAlign w:val="center"/>
          </w:tcPr>
          <w:p>
            <w:pPr>
              <w:pStyle w:val="TableContents"/>
              <w:bidi w:val="0"/>
              <w:spacing w:lineRule="atLeast" w:line="240" w:before="0" w:after="0"/>
              <w:ind w:left="0" w:right="0" w:hanging="0"/>
              <w:jc w:val="center"/>
              <w:rPr/>
            </w:pPr>
            <w:r>
              <w:rPr/>
              <w:t>  </w:t>
            </w:r>
          </w:p>
        </w:tc>
        <w:tc>
          <w:tcPr>
            <w:tcW w:w="103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555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109"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1305" w:type="dxa"/>
            <w:gridSpan w:val="2"/>
            <w:tcBorders/>
            <w:shd w:fill="CCEEFF" w:val="clear"/>
            <w:vAlign w:val="center"/>
          </w:tcPr>
          <w:p>
            <w:pPr>
              <w:pStyle w:val="TableContents"/>
              <w:bidi w:val="0"/>
              <w:spacing w:lineRule="atLeast" w:line="240" w:before="0" w:after="0"/>
              <w:ind w:left="0" w:right="0" w:hanging="0"/>
              <w:jc w:val="center"/>
              <w:rPr>
                <w:color w:val="575757"/>
              </w:rPr>
            </w:pPr>
            <w:r>
              <w:rPr>
                <w:color w:val="575757"/>
              </w:rPr>
              <w:t>​</w:t>
            </w:r>
          </w:p>
        </w:tc>
        <w:tc>
          <w:tcPr>
            <w:tcW w:w="206" w:type="dxa"/>
            <w:tcBorders/>
            <w:shd w:fill="CCEEFF" w:val="clear"/>
            <w:vAlign w:val="center"/>
          </w:tcPr>
          <w:p>
            <w:pPr>
              <w:pStyle w:val="TableContents"/>
              <w:bidi w:val="0"/>
              <w:spacing w:lineRule="atLeast" w:line="240" w:before="0" w:after="0"/>
              <w:ind w:left="0" w:right="0" w:hanging="0"/>
              <w:jc w:val="center"/>
              <w:rPr/>
            </w:pPr>
            <w:r>
              <w:rPr/>
              <w:t>​</w:t>
            </w:r>
          </w:p>
        </w:tc>
        <w:tc>
          <w:tcPr>
            <w:tcW w:w="1035" w:type="dxa"/>
            <w:gridSpan w:val="2"/>
            <w:tcBorders/>
            <w:shd w:fill="CCEEFF" w:val="clear"/>
            <w:vAlign w:val="center"/>
          </w:tcPr>
          <w:p>
            <w:pPr>
              <w:pStyle w:val="TableContents"/>
              <w:bidi w:val="0"/>
              <w:spacing w:lineRule="atLeast" w:line="240" w:before="0" w:after="0"/>
              <w:ind w:left="0" w:right="0" w:hanging="0"/>
              <w:jc w:val="center"/>
              <w:rPr>
                <w:color w:val="575757"/>
              </w:rPr>
            </w:pPr>
            <w:r>
              <w:rPr>
                <w:color w:val="575757"/>
              </w:rPr>
              <w:t>​</w:t>
            </w:r>
          </w:p>
        </w:tc>
      </w:tr>
      <w:tr>
        <w:trPr/>
        <w:tc>
          <w:tcPr>
            <w:tcW w:w="555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Cash paid for operating lease liabilities</w:t>
            </w:r>
          </w:p>
        </w:tc>
        <w:tc>
          <w:tcPr>
            <w:tcW w:w="109"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30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13,856</w:t>
            </w:r>
          </w:p>
        </w:tc>
        <w:tc>
          <w:tcPr>
            <w:tcW w:w="206" w:type="dxa"/>
            <w:tcBorders/>
            <w:vAlign w:val="center"/>
          </w:tcPr>
          <w:p>
            <w:pPr>
              <w:pStyle w:val="TableContents"/>
              <w:bidi w:val="0"/>
              <w:spacing w:lineRule="atLeast" w:line="240" w:before="0" w:after="0"/>
              <w:ind w:left="0" w:right="0" w:hanging="0"/>
              <w:jc w:val="left"/>
              <w:rPr/>
            </w:pPr>
            <w:r>
              <w:rPr/>
              <w:t>​</w:t>
            </w:r>
          </w:p>
        </w:tc>
        <w:tc>
          <w:tcPr>
            <w:tcW w:w="22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14,062</w:t>
            </w:r>
          </w:p>
        </w:tc>
      </w:tr>
      <w:tr>
        <w:trPr/>
        <w:tc>
          <w:tcPr>
            <w:tcW w:w="555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lease assets obtained from new operating lease liabilities</w:t>
            </w:r>
          </w:p>
        </w:tc>
        <w:tc>
          <w:tcPr>
            <w:tcW w:w="109"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15,132</w:t>
            </w:r>
          </w:p>
        </w:tc>
        <w:tc>
          <w:tcPr>
            <w:tcW w:w="206" w:type="dxa"/>
            <w:tcBorders/>
            <w:shd w:fill="CCEEFF" w:val="clear"/>
            <w:vAlign w:val="center"/>
          </w:tcPr>
          <w:p>
            <w:pPr>
              <w:pStyle w:val="TableContents"/>
              <w:bidi w:val="0"/>
              <w:spacing w:lineRule="atLeast" w:line="240" w:before="0" w:after="0"/>
              <w:ind w:left="0" w:right="0" w:hanging="0"/>
              <w:jc w:val="left"/>
              <w:rPr/>
            </w:pPr>
            <w:r>
              <w:rPr/>
              <w:t>​</w:t>
            </w:r>
          </w:p>
        </w:tc>
        <w:tc>
          <w:tcPr>
            <w:tcW w:w="220"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20,796</w:t>
            </w:r>
          </w:p>
        </w:tc>
      </w:tr>
    </w:tbl>
    <w:p>
      <w:pPr>
        <w:pStyle w:val="TextBody"/>
        <w:bidi w:val="0"/>
        <w:spacing w:before="0" w:after="0"/>
        <w:ind w:left="0" w:right="0" w:firstLine="475"/>
        <w:jc w:val="both"/>
        <w:rPr/>
      </w:pPr>
      <w:r>
        <w:rPr/>
        <w:t>​</w:t>
      </w:r>
    </w:p>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both"/>
        <w:rPr/>
      </w:pPr>
      <w:r>
        <w:rPr/>
        <w:t>​</w:t>
      </w:r>
    </w:p>
    <w:p>
      <w:pPr>
        <w:pStyle w:val="TextBody"/>
        <w:bidi w:val="0"/>
        <w:spacing w:before="0" w:after="0"/>
        <w:ind w:left="0" w:right="0" w:hanging="0"/>
        <w:jc w:val="both"/>
        <w:rPr/>
      </w:pPr>
      <w:bookmarkStart w:id="709" w:name="Tc_y-Uv_DGiK0G17cd8qXKWnA_8_5"/>
      <w:bookmarkStart w:id="710" w:name="Tc_7YWrt8CDRUaZdoVloH9MGA_8_2"/>
      <w:bookmarkStart w:id="711" w:name="Tc_u4TQodnb10efLZj6rwoiNQ_7_0"/>
      <w:bookmarkStart w:id="712" w:name="Tc_zfX0ZLsz3kydyJc5hl6n1Q_6_5"/>
      <w:bookmarkStart w:id="713" w:name="Tc_3eXStBtAbEWIOYpLKuAOtw_6_2"/>
      <w:bookmarkStart w:id="714" w:name="Tc_eHS1lNmfbky4Zzinh69TIQ_5_5"/>
      <w:bookmarkStart w:id="715" w:name="Tc_fgCMoyKWI0O_ulWcr9yZ3g_5_2"/>
      <w:bookmarkStart w:id="716" w:name="Tc_DGdungPnf0KnFKjo5hE6XQ_4_0"/>
      <w:bookmarkStart w:id="717" w:name="Tc_1hyWhSmFckeggI_H3gpvVg_3_2"/>
      <w:bookmarkStart w:id="718" w:name="Tc_tOVr1kmQ6kmNpWmymlwAzg_2_5"/>
      <w:bookmarkStart w:id="719" w:name="Tc_6Z9QrwQsJkun1k40aJQKTg_2_2"/>
      <w:bookmarkStart w:id="720" w:name="Tc_PRVSCcg0iki8av4EzZXreA_1_5"/>
      <w:bookmarkStart w:id="721" w:name="Tc_pIo0eihM2kSDo4mi1q_ung_1_2"/>
      <w:bookmarkStart w:id="722" w:name="bm_5_Derivative_financial_instruments"/>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6. Derivative financial instruments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economic hedges to reduce this risk utilizing natural hedging (</w:t>
      </w:r>
      <w:r>
        <w:rPr>
          <w:rFonts w:ascii="Times New Roman;Times;serif" w:hAnsi="Times New Roman;Times;serif"/>
          <w:i/>
          <w:sz w:val="20"/>
        </w:rPr>
        <w:t>i.e.</w:t>
      </w:r>
      <w:r>
        <w:rPr>
          <w:rFonts w:ascii="Times New Roman;Times;serif" w:hAnsi="Times New Roman;Times;serif"/>
          <w:sz w:val="20"/>
        </w:rPr>
        <w:t>, offsetting receivables and payables in the same foreign currency) and creating offsetting positions through the use of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upon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In fiscal 2023, the Company entered into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income”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are based upon Level 2 criteria under the ASC 820 fair value hierarchy.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locations and fair values of the Company’s derivative financial instruments in the Company’s consolidated balance sheets are as follows:</w:t>
      </w:r>
    </w:p>
    <w:p>
      <w:pPr>
        <w:pStyle w:val="TextBody"/>
        <w:bidi w:val="0"/>
        <w:spacing w:before="0" w:after="0"/>
        <w:ind w:left="0" w:right="0" w:firstLine="475"/>
        <w:jc w:val="both"/>
        <w:rPr/>
      </w:pPr>
      <w:r>
        <w:rPr/>
        <w:t>​</w:t>
      </w:r>
    </w:p>
    <w:tbl>
      <w:tblPr>
        <w:tblW w:w="5403" w:type="dxa"/>
        <w:jc w:val="left"/>
        <w:tblInd w:w="0" w:type="dxa"/>
        <w:tblLayout w:type="fixed"/>
        <w:tblCellMar>
          <w:top w:w="0" w:type="dxa"/>
          <w:left w:w="0" w:type="dxa"/>
          <w:bottom w:w="0" w:type="dxa"/>
          <w:right w:w="0" w:type="dxa"/>
        </w:tblCellMar>
      </w:tblPr>
      <w:tblGrid>
        <w:gridCol w:w="2671"/>
        <w:gridCol w:w="109"/>
        <w:gridCol w:w="309"/>
        <w:gridCol w:w="996"/>
        <w:gridCol w:w="326"/>
        <w:gridCol w:w="211"/>
        <w:gridCol w:w="781"/>
      </w:tblGrid>
      <w:tr>
        <w:trPr/>
        <w:tc>
          <w:tcPr>
            <w:tcW w:w="26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1696085" cy="175260"/>
                      <wp:effectExtent l="0" t="0" r="0" b="0"/>
                      <wp:wrapNone/>
                      <wp:docPr id="149" name="Frame149"/>
                      <a:graphic xmlns:a="http://schemas.openxmlformats.org/drawingml/2006/main">
                        <a:graphicData uri="http://schemas.microsoft.com/office/word/2010/wordprocessingShape">
                          <wps:wsp>
                            <wps:cNvSpPr txBox="1"/>
                            <wps:spPr>
                              <a:xfrm>
                                <a:off x="0" y="0"/>
                                <a:ext cx="16960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9215" cy="175260"/>
                      <wp:effectExtent l="0" t="0" r="0" b="0"/>
                      <wp:wrapNone/>
                      <wp:docPr id="150" name="Frame150"/>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96215" cy="175260"/>
                      <wp:effectExtent l="0" t="0" r="0" b="0"/>
                      <wp:wrapNone/>
                      <wp:docPr id="151" name="Frame151"/>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32460" cy="175260"/>
                      <wp:effectExtent l="0" t="0" r="0" b="0"/>
                      <wp:wrapNone/>
                      <wp:docPr id="152" name="Frame152"/>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175260"/>
                      <wp:effectExtent l="0" t="0" r="0" b="0"/>
                      <wp:wrapNone/>
                      <wp:docPr id="153" name="Frame1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133985" cy="175260"/>
                      <wp:effectExtent l="0" t="0" r="0" b="0"/>
                      <wp:wrapNone/>
                      <wp:docPr id="154" name="Frame154"/>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495935" cy="175260"/>
                      <wp:effectExtent l="0" t="0" r="0" b="0"/>
                      <wp:wrapNone/>
                      <wp:docPr id="155" name="Frame15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992"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July 1,</w:t>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w:t>
            </w:r>
          </w:p>
        </w:tc>
        <w:tc>
          <w:tcPr>
            <w:tcW w:w="992"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r>
      <w:tr>
        <w:trPr/>
        <w:tc>
          <w:tcPr>
            <w:tcW w:w="540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267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center"/>
              <w:rPr/>
            </w:pPr>
            <w:r>
              <w:rPr/>
              <w:t>​</w:t>
            </w:r>
          </w:p>
        </w:tc>
        <w:tc>
          <w:tcPr>
            <w:tcW w:w="2623"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Economic hedges</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309" w:type="dxa"/>
            <w:tcBorders/>
            <w:shd w:fill="CCEEFF" w:val="clear"/>
            <w:vAlign w:val="center"/>
          </w:tcPr>
          <w:p>
            <w:pPr>
              <w:pStyle w:val="TableContents"/>
              <w:bidi w:val="0"/>
              <w:spacing w:lineRule="atLeast" w:line="240" w:before="0" w:after="0"/>
              <w:ind w:left="0" w:right="0" w:hanging="0"/>
              <w:jc w:val="left"/>
              <w:rPr/>
            </w:pPr>
            <w:r>
              <w:rPr/>
              <w:t>​</w:t>
            </w:r>
          </w:p>
        </w:tc>
        <w:tc>
          <w:tcPr>
            <w:tcW w:w="996"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pPr>
            <w:r>
              <w:rPr/>
              <w:t>​</w:t>
            </w:r>
          </w:p>
        </w:tc>
        <w:tc>
          <w:tcPr>
            <w:tcW w:w="781" w:type="dxa"/>
            <w:tcBorders/>
            <w:shd w:fill="CCEEFF" w:val="clear"/>
            <w:vAlign w:val="center"/>
          </w:tcPr>
          <w:p>
            <w:pPr>
              <w:pStyle w:val="TableContents"/>
              <w:bidi w:val="0"/>
              <w:spacing w:lineRule="atLeast" w:line="240" w:before="0" w:after="0"/>
              <w:ind w:left="0" w:right="0" w:hanging="0"/>
              <w:jc w:val="right"/>
              <w:rPr/>
            </w:pPr>
            <w:r>
              <w:rPr/>
              <w:t>​</w:t>
            </w:r>
          </w:p>
        </w:tc>
      </w:tr>
      <w:tr>
        <w:trPr/>
        <w:tc>
          <w:tcPr>
            <w:tcW w:w="2671" w:type="dxa"/>
            <w:tcBorders/>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and other current assets</w:t>
            </w:r>
          </w:p>
        </w:tc>
        <w:tc>
          <w:tcPr>
            <w:tcW w:w="109" w:type="dxa"/>
            <w:tcBorders/>
            <w:vAlign w:val="center"/>
          </w:tcPr>
          <w:p>
            <w:pPr>
              <w:pStyle w:val="TableContents"/>
              <w:bidi w:val="0"/>
              <w:spacing w:lineRule="atLeast" w:line="240" w:before="0" w:after="0"/>
              <w:ind w:left="0" w:right="0" w:hanging="0"/>
              <w:jc w:val="left"/>
              <w:rPr/>
            </w:pPr>
            <w:r>
              <w:rPr/>
              <w:t>​</w:t>
            </w:r>
          </w:p>
        </w:tc>
        <w:tc>
          <w:tcPr>
            <w:tcW w:w="30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17,171</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69,104</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30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37,890</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68,594</w:t>
            </w:r>
          </w:p>
        </w:tc>
      </w:tr>
      <w:tr>
        <w:trPr/>
        <w:tc>
          <w:tcPr>
            <w:tcW w:w="26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Cross-currency swap</w:t>
            </w:r>
          </w:p>
        </w:tc>
        <w:tc>
          <w:tcPr>
            <w:tcW w:w="109" w:type="dxa"/>
            <w:tcBorders/>
            <w:vAlign w:val="center"/>
          </w:tcPr>
          <w:p>
            <w:pPr>
              <w:pStyle w:val="TableContents"/>
              <w:bidi w:val="0"/>
              <w:spacing w:lineRule="atLeast" w:line="240" w:before="0" w:after="0"/>
              <w:ind w:left="0" w:right="0" w:hanging="0"/>
              <w:jc w:val="left"/>
              <w:rPr/>
            </w:pPr>
            <w:r>
              <w:rPr/>
              <w:t>​</w:t>
            </w:r>
          </w:p>
        </w:tc>
        <w:tc>
          <w:tcPr>
            <w:tcW w:w="309" w:type="dxa"/>
            <w:tcBorders/>
            <w:vAlign w:val="center"/>
          </w:tcPr>
          <w:p>
            <w:pPr>
              <w:pStyle w:val="TableContents"/>
              <w:bidi w:val="0"/>
              <w:spacing w:lineRule="atLeast" w:line="240" w:before="0" w:after="0"/>
              <w:ind w:left="0" w:right="0" w:hanging="0"/>
              <w:jc w:val="left"/>
              <w:rPr/>
            </w:pPr>
            <w:r>
              <w:rPr/>
              <w:t>​</w:t>
            </w:r>
          </w:p>
        </w:tc>
        <w:tc>
          <w:tcPr>
            <w:tcW w:w="996" w:type="dxa"/>
            <w:tcBorders/>
            <w:vAlign w:val="center"/>
          </w:tcPr>
          <w:p>
            <w:pPr>
              <w:pStyle w:val="TableContents"/>
              <w:bidi w:val="0"/>
              <w:spacing w:lineRule="atLeast" w:line="240" w:before="0" w:after="0"/>
              <w:ind w:left="0" w:right="0" w:hanging="0"/>
              <w:jc w:val="right"/>
              <w:rPr/>
            </w:pPr>
            <w:r>
              <w:rPr/>
              <w:t>​</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left"/>
              <w:rPr/>
            </w:pPr>
            <w:r>
              <w:rPr/>
              <w:t>​</w:t>
            </w:r>
          </w:p>
        </w:tc>
        <w:tc>
          <w:tcPr>
            <w:tcW w:w="781" w:type="dxa"/>
            <w:tcBorders/>
            <w:vAlign w:val="center"/>
          </w:tcPr>
          <w:p>
            <w:pPr>
              <w:pStyle w:val="TableContents"/>
              <w:bidi w:val="0"/>
              <w:spacing w:lineRule="atLeast" w:line="240" w:before="0" w:after="0"/>
              <w:ind w:left="0" w:right="0" w:hanging="0"/>
              <w:jc w:val="right"/>
              <w:rPr/>
            </w:pPr>
            <w:r>
              <w:rPr/>
              <w:t>​</w:t>
            </w:r>
          </w:p>
        </w:tc>
      </w:tr>
      <w:tr>
        <w:trPr/>
        <w:tc>
          <w:tcPr>
            <w:tcW w:w="26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liabilities</w:t>
            </w:r>
          </w:p>
        </w:tc>
        <w:tc>
          <w:tcPr>
            <w:tcW w:w="109"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11,041</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22,849</w:t>
            </w:r>
          </w:p>
        </w:tc>
      </w:tr>
    </w:tbl>
    <w:p>
      <w:pPr>
        <w:pStyle w:val="TextBody"/>
        <w:bidi w:val="0"/>
        <w:spacing w:before="0" w:after="0"/>
        <w:ind w:left="0" w:right="0" w:firstLine="475"/>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firstLine="475"/>
        <w:jc w:val="left"/>
        <w:rPr>
          <w:rFonts w:ascii="Times New Roman;Times;serif" w:hAnsi="Times New Roman;Times;serif"/>
          <w:sz w:val="20"/>
        </w:rPr>
      </w:pPr>
      <w:bookmarkStart w:id="723" w:name="Tc_l3Lgsr_RR0mek-Em7BFyWA_6_7"/>
      <w:bookmarkStart w:id="724" w:name="Tc_HmB2zcr4Skei391C5eUK3w_6_3"/>
      <w:bookmarkStart w:id="725" w:name="Tc_EBebAQx9i0qidXfg1vtXDw_6_1"/>
      <w:bookmarkStart w:id="726" w:name="Tc_UgtGSwtmZEq1Irwqq_UAIA_6_0"/>
      <w:bookmarkStart w:id="727" w:name="Tc_wY8RJp_5-U22765GWYoElA_5_6"/>
      <w:bookmarkStart w:id="728" w:name="Tc_wJ8R7KJ0hE2TFZch7929Eg_5_3"/>
      <w:bookmarkStart w:id="729" w:name="Tc_yGrkLnpjqk6cRH0Ft9I0lg_5_0"/>
      <w:bookmarkStart w:id="730" w:name="Tc_SjsMpqHuw0KgU7Rt3HPcoA_4_3"/>
      <w:bookmarkStart w:id="731" w:name="Tc_FvW4RvUiPES91Hf5LyMfzA_3_6"/>
      <w:bookmarkStart w:id="732" w:name="Tc_stleDl6fNEuh4eB2SqAZ2w_3_3"/>
      <w:bookmarkStart w:id="733" w:name="Tc_lhtFof_yJ068k6Ofpr2_Vw_2_6"/>
      <w:bookmarkStart w:id="734" w:name="Tc_LZ6h1bWV10aD-8aqvvxlZQ_2_3"/>
      <w:bookmarkStart w:id="735" w:name="Tc_Ot9AHbbKyEO2mObqB0Uegg_1_3"/>
      <w:bookmarkEnd w:id="723"/>
      <w:bookmarkEnd w:id="724"/>
      <w:bookmarkEnd w:id="725"/>
      <w:bookmarkEnd w:id="726"/>
      <w:bookmarkEnd w:id="727"/>
      <w:bookmarkEnd w:id="728"/>
      <w:bookmarkEnd w:id="729"/>
      <w:bookmarkEnd w:id="730"/>
      <w:bookmarkEnd w:id="731"/>
      <w:bookmarkEnd w:id="732"/>
      <w:bookmarkEnd w:id="733"/>
      <w:bookmarkEnd w:id="734"/>
      <w:bookmarkEnd w:id="735"/>
      <w:r>
        <w:rPr>
          <w:rFonts w:ascii="Times New Roman;Times;serif" w:hAnsi="Times New Roman;Times;serif"/>
          <w:sz w:val="20"/>
        </w:rPr>
        <w:t>The locations of derivative financial instruments on the Company’s consolidated statements of operations are as follows:</w:t>
      </w:r>
    </w:p>
    <w:p>
      <w:pPr>
        <w:pStyle w:val="TextBody"/>
        <w:bidi w:val="0"/>
        <w:spacing w:before="0" w:after="0"/>
        <w:ind w:left="0" w:right="0" w:hanging="0"/>
        <w:jc w:val="both"/>
        <w:rPr/>
      </w:pPr>
      <w:r>
        <w:rPr/>
        <w:t>​</w:t>
      </w:r>
    </w:p>
    <w:tbl>
      <w:tblPr>
        <w:tblW w:w="7836" w:type="dxa"/>
        <w:jc w:val="left"/>
        <w:tblInd w:w="0" w:type="dxa"/>
        <w:tblLayout w:type="fixed"/>
        <w:tblCellMar>
          <w:top w:w="0" w:type="dxa"/>
          <w:left w:w="0" w:type="dxa"/>
          <w:bottom w:w="0" w:type="dxa"/>
          <w:right w:w="0" w:type="dxa"/>
        </w:tblCellMar>
      </w:tblPr>
      <w:tblGrid>
        <w:gridCol w:w="1771"/>
        <w:gridCol w:w="3391"/>
        <w:gridCol w:w="109"/>
        <w:gridCol w:w="326"/>
        <w:gridCol w:w="979"/>
        <w:gridCol w:w="225"/>
        <w:gridCol w:w="294"/>
        <w:gridCol w:w="741"/>
      </w:tblGrid>
      <w:tr>
        <w:trPr/>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1124585" cy="175260"/>
                      <wp:effectExtent l="0" t="0" r="0" b="0"/>
                      <wp:wrapNone/>
                      <wp:docPr id="156" name="Frame156"/>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3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2153285" cy="175260"/>
                      <wp:effectExtent l="0" t="0" r="0" b="0"/>
                      <wp:wrapNone/>
                      <wp:docPr id="157" name="Frame157"/>
                      <a:graphic xmlns:a="http://schemas.openxmlformats.org/drawingml/2006/main">
                        <a:graphicData uri="http://schemas.microsoft.com/office/word/2010/wordprocessingShape">
                          <wps:wsp>
                            <wps:cNvSpPr txBox="1"/>
                            <wps:spPr>
                              <a:xfrm>
                                <a:off x="0" y="0"/>
                                <a:ext cx="21532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9215" cy="175260"/>
                      <wp:effectExtent l="0" t="0" r="0" b="0"/>
                      <wp:wrapNone/>
                      <wp:docPr id="158" name="Frame158"/>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207010" cy="175260"/>
                      <wp:effectExtent l="0" t="0" r="0" b="0"/>
                      <wp:wrapNone/>
                      <wp:docPr id="159" name="Frame1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21665" cy="175260"/>
                      <wp:effectExtent l="0" t="0" r="0" b="0"/>
                      <wp:wrapNone/>
                      <wp:docPr id="160" name="Frame160"/>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2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142875" cy="175260"/>
                      <wp:effectExtent l="0" t="0" r="0" b="0"/>
                      <wp:wrapNone/>
                      <wp:docPr id="161" name="Frame161"/>
                      <a:graphic xmlns:a="http://schemas.openxmlformats.org/drawingml/2006/main">
                        <a:graphicData uri="http://schemas.microsoft.com/office/word/2010/wordprocessingShape">
                          <wps:wsp>
                            <wps:cNvSpPr txBox="1"/>
                            <wps:spPr>
                              <a:xfrm>
                                <a:off x="0" y="0"/>
                                <a:ext cx="14287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9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186690" cy="175260"/>
                      <wp:effectExtent l="0" t="0" r="0" b="0"/>
                      <wp:wrapNone/>
                      <wp:docPr id="162" name="Frame162"/>
                      <a:graphic xmlns:a="http://schemas.openxmlformats.org/drawingml/2006/main">
                        <a:graphicData uri="http://schemas.microsoft.com/office/word/2010/wordprocessingShape">
                          <wps:wsp>
                            <wps:cNvSpPr txBox="1"/>
                            <wps:spPr>
                              <a:xfrm>
                                <a:off x="0" y="0"/>
                                <a:ext cx="18669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470535" cy="175260"/>
                      <wp:effectExtent l="0" t="0" r="0" b="0"/>
                      <wp:wrapNone/>
                      <wp:docPr id="163" name="Frame163"/>
                      <a:graphic xmlns:a="http://schemas.openxmlformats.org/drawingml/2006/main">
                        <a:graphicData uri="http://schemas.microsoft.com/office/word/2010/wordprocessingShape">
                          <wps:wsp>
                            <wps:cNvSpPr txBox="1"/>
                            <wps:spPr>
                              <a:xfrm>
                                <a:off x="0" y="0"/>
                                <a:ext cx="47053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1771" w:type="dxa"/>
            <w:tcBorders/>
            <w:vAlign w:val="center"/>
          </w:tcPr>
          <w:p>
            <w:pPr>
              <w:pStyle w:val="TableContents"/>
              <w:bidi w:val="0"/>
              <w:spacing w:lineRule="atLeast" w:line="240" w:before="0" w:after="0"/>
              <w:ind w:left="0" w:right="0" w:hanging="0"/>
              <w:jc w:val="left"/>
              <w:rPr/>
            </w:pPr>
            <w:r>
              <w:rPr/>
              <w:t>​</w:t>
            </w:r>
          </w:p>
        </w:tc>
        <w:tc>
          <w:tcPr>
            <w:tcW w:w="33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2565"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1771" w:type="dxa"/>
            <w:tcBorders/>
            <w:vAlign w:val="center"/>
          </w:tcPr>
          <w:p>
            <w:pPr>
              <w:pStyle w:val="TableContents"/>
              <w:bidi w:val="0"/>
              <w:spacing w:lineRule="atLeast" w:line="240" w:before="0" w:after="0"/>
              <w:ind w:left="0" w:right="0" w:hanging="0"/>
              <w:jc w:val="left"/>
              <w:rPr/>
            </w:pPr>
            <w:r>
              <w:rPr/>
              <w:t>​</w:t>
            </w:r>
          </w:p>
        </w:tc>
        <w:tc>
          <w:tcPr>
            <w:tcW w:w="33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225" w:type="dxa"/>
            <w:tcBorders/>
            <w:vAlign w:val="center"/>
          </w:tcPr>
          <w:p>
            <w:pPr>
              <w:pStyle w:val="TableContents"/>
              <w:bidi w:val="0"/>
              <w:spacing w:lineRule="atLeast" w:line="240" w:before="0" w:after="0"/>
              <w:ind w:left="0" w:right="0" w:hanging="0"/>
              <w:jc w:val="center"/>
              <w:rPr/>
            </w:pPr>
            <w:r>
              <w:rPr/>
              <w:t>  </w:t>
            </w:r>
          </w:p>
        </w:tc>
        <w:tc>
          <w:tcPr>
            <w:tcW w:w="103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1771" w:type="dxa"/>
            <w:tcBorders/>
            <w:vAlign w:val="center"/>
          </w:tcPr>
          <w:p>
            <w:pPr>
              <w:pStyle w:val="TableContents"/>
              <w:bidi w:val="0"/>
              <w:spacing w:lineRule="atLeast" w:line="240" w:before="0" w:after="0"/>
              <w:ind w:left="0" w:right="0" w:hanging="0"/>
              <w:jc w:val="left"/>
              <w:rPr/>
            </w:pPr>
            <w:r>
              <w:rPr/>
              <w:t>​</w:t>
            </w:r>
          </w:p>
        </w:tc>
        <w:tc>
          <w:tcPr>
            <w:tcW w:w="33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25" w:type="dxa"/>
            <w:tcBorders/>
            <w:vAlign w:val="center"/>
          </w:tcPr>
          <w:p>
            <w:pPr>
              <w:pStyle w:val="TableContents"/>
              <w:bidi w:val="0"/>
              <w:spacing w:lineRule="atLeast" w:line="240" w:before="0" w:after="0"/>
              <w:ind w:left="0" w:right="0" w:hanging="0"/>
              <w:jc w:val="center"/>
              <w:rPr/>
            </w:pPr>
            <w:r>
              <w:rPr/>
              <w:t>​</w:t>
            </w:r>
          </w:p>
        </w:tc>
        <w:tc>
          <w:tcPr>
            <w:tcW w:w="103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836" w:type="dxa"/>
            <w:gridSpan w:val="8"/>
            <w:tcBorders/>
            <w:vAlign w:val="center"/>
          </w:tcPr>
          <w:p>
            <w:pPr>
              <w:pStyle w:val="TableContents"/>
              <w:bidi w:val="0"/>
              <w:spacing w:before="0" w:after="283"/>
              <w:ind w:left="0" w:right="0" w:hanging="0"/>
              <w:jc w:val="left"/>
              <w:rPr>
                <w:sz w:val="4"/>
                <w:szCs w:val="4"/>
              </w:rPr>
            </w:pPr>
            <w:r>
              <w:rPr>
                <w:sz w:val="4"/>
                <w:szCs w:val="4"/>
              </w:rPr>
            </w:r>
          </w:p>
        </w:tc>
      </w:tr>
      <w:tr>
        <w:trPr/>
        <w:tc>
          <w:tcPr>
            <w:tcW w:w="1771" w:type="dxa"/>
            <w:tcBorders/>
            <w:vAlign w:val="center"/>
          </w:tcPr>
          <w:p>
            <w:pPr>
              <w:pStyle w:val="TableContents"/>
              <w:bidi w:val="0"/>
              <w:spacing w:lineRule="atLeast" w:line="240" w:before="0" w:after="0"/>
              <w:ind w:left="0" w:right="0" w:hanging="0"/>
              <w:jc w:val="left"/>
              <w:rPr/>
            </w:pPr>
            <w:r>
              <w:rPr/>
              <w:t>​</w:t>
            </w:r>
          </w:p>
        </w:tc>
        <w:tc>
          <w:tcPr>
            <w:tcW w:w="3391" w:type="dxa"/>
            <w:tcBorders/>
            <w:vAlign w:val="center"/>
          </w:tcPr>
          <w:p>
            <w:pPr>
              <w:pStyle w:val="TableContents"/>
              <w:bidi w:val="0"/>
              <w:spacing w:lineRule="atLeast" w:line="240" w:before="0" w:after="0"/>
              <w:ind w:left="0" w:right="0" w:hanging="0"/>
              <w:jc w:val="left"/>
              <w:rPr/>
            </w:pPr>
            <w:r>
              <w:rPr/>
              <w:t>​</w:t>
            </w:r>
          </w:p>
        </w:tc>
        <w:tc>
          <w:tcPr>
            <w:tcW w:w="109" w:type="dxa"/>
            <w:tcBorders/>
            <w:vAlign w:val="center"/>
          </w:tcPr>
          <w:p>
            <w:pPr>
              <w:pStyle w:val="TableContents"/>
              <w:bidi w:val="0"/>
              <w:spacing w:lineRule="atLeast" w:line="240" w:before="0" w:after="0"/>
              <w:ind w:left="0" w:right="0" w:hanging="0"/>
              <w:jc w:val="left"/>
              <w:rPr/>
            </w:pPr>
            <w:r>
              <w:rPr/>
              <w:t>​</w:t>
            </w:r>
          </w:p>
        </w:tc>
        <w:tc>
          <w:tcPr>
            <w:tcW w:w="2565"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17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Economic hedges </w:t>
            </w:r>
          </w:p>
        </w:tc>
        <w:tc>
          <w:tcPr>
            <w:tcW w:w="339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income, net</w:t>
            </w:r>
          </w:p>
        </w:tc>
        <w:tc>
          <w:tcPr>
            <w:tcW w:w="109" w:type="dxa"/>
            <w:tcBorders/>
            <w:shd w:fill="CCEEFF" w:val="clear"/>
            <w:vAlign w:val="center"/>
          </w:tcPr>
          <w:p>
            <w:pPr>
              <w:pStyle w:val="TableContents"/>
              <w:bidi w:val="0"/>
              <w:spacing w:lineRule="atLeast" w:line="240" w:before="0" w:after="0"/>
              <w:ind w:left="0" w:right="0" w:hanging="0"/>
              <w:jc w:val="left"/>
              <w:rPr/>
            </w:pPr>
            <w:r>
              <w:rPr/>
              <w:t>​</w:t>
            </w:r>
          </w:p>
        </w:tc>
        <w:tc>
          <w:tcPr>
            <w:tcW w:w="32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(2,103)</w:t>
            </w:r>
          </w:p>
        </w:tc>
        <w:tc>
          <w:tcPr>
            <w:tcW w:w="225" w:type="dxa"/>
            <w:tcBorders/>
            <w:shd w:fill="CCEEFF" w:val="clear"/>
            <w:vAlign w:val="center"/>
          </w:tcPr>
          <w:p>
            <w:pPr>
              <w:pStyle w:val="TableContents"/>
              <w:bidi w:val="0"/>
              <w:spacing w:lineRule="atLeast" w:line="240" w:before="0" w:after="0"/>
              <w:ind w:left="0" w:right="0" w:hanging="0"/>
              <w:jc w:val="left"/>
              <w:rPr/>
            </w:pPr>
            <w:r>
              <w:rPr/>
              <w:t>​</w:t>
            </w:r>
          </w:p>
        </w:tc>
        <w:tc>
          <w:tcPr>
            <w:tcW w:w="294"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(359)</w:t>
            </w:r>
          </w:p>
        </w:tc>
      </w:tr>
      <w:tr>
        <w:trPr/>
        <w:tc>
          <w:tcPr>
            <w:tcW w:w="17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Cross currency swap</w:t>
            </w:r>
          </w:p>
        </w:tc>
        <w:tc>
          <w:tcPr>
            <w:tcW w:w="339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Interest and other financing expense, net</w:t>
            </w:r>
          </w:p>
        </w:tc>
        <w:tc>
          <w:tcPr>
            <w:tcW w:w="109"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1,013</w:t>
            </w:r>
          </w:p>
        </w:tc>
        <w:tc>
          <w:tcPr>
            <w:tcW w:w="225" w:type="dxa"/>
            <w:tcBorders/>
            <w:vAlign w:val="center"/>
          </w:tcPr>
          <w:p>
            <w:pPr>
              <w:pStyle w:val="TableContents"/>
              <w:bidi w:val="0"/>
              <w:spacing w:lineRule="atLeast" w:line="240" w:before="0" w:after="0"/>
              <w:ind w:left="0" w:right="0" w:hanging="0"/>
              <w:jc w:val="left"/>
              <w:rPr/>
            </w:pPr>
            <w:r>
              <w:rPr/>
              <w:t>​</w:t>
            </w:r>
          </w:p>
        </w:tc>
        <w:tc>
          <w:tcPr>
            <w:tcW w:w="294" w:type="dxa"/>
            <w:tcBorders/>
            <w:vAlign w:val="center"/>
          </w:tcPr>
          <w:p>
            <w:pPr>
              <w:pStyle w:val="TableContents"/>
              <w:bidi w:val="0"/>
              <w:spacing w:lineRule="atLeast" w:line="240" w:before="0" w:after="0"/>
              <w:ind w:left="0" w:right="0" w:hanging="0"/>
              <w:jc w:val="left"/>
              <w:rPr/>
            </w:pPr>
            <w:r>
              <w:rPr/>
              <w:t>​</w:t>
            </w:r>
          </w:p>
        </w:tc>
        <w:tc>
          <w:tcPr>
            <w:tcW w:w="741" w:type="dxa"/>
            <w:tcBorders/>
            <w:vAlign w:val="center"/>
          </w:tcPr>
          <w:p>
            <w:pPr>
              <w:pStyle w:val="TableContents"/>
              <w:bidi w:val="0"/>
              <w:spacing w:lineRule="atLeast" w:line="240" w:before="0" w:after="0"/>
              <w:ind w:left="0" w:right="60" w:hanging="0"/>
              <w:jc w:val="right"/>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736" w:name="_Hlk148421035"/>
      <w:bookmarkStart w:id="737" w:name="_Hlk124836390"/>
      <w:bookmarkStart w:id="738" w:name="_Hlk124835110"/>
      <w:bookmarkStart w:id="739" w:name="bm_6_Commitments_and_contingencies"/>
      <w:bookmarkEnd w:id="736"/>
      <w:bookmarkEnd w:id="737"/>
      <w:bookmarkEnd w:id="738"/>
      <w:bookmarkEnd w:id="739"/>
      <w:r>
        <w:rPr>
          <w:rFonts w:ascii="Times New Roman;Times;serif" w:hAnsi="Times New Roman;Times;serif"/>
          <w:b/>
          <w:sz w:val="20"/>
        </w:rPr>
        <w:t>7. Commitments and contingencies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 </w:t>
      </w:r>
    </w:p>
    <w:p>
      <w:pPr>
        <w:pStyle w:val="TextBody"/>
        <w:bidi w:val="0"/>
        <w:spacing w:before="0" w:after="0"/>
        <w:ind w:left="0" w:right="0" w:firstLine="274"/>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to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0" w:after="0"/>
        <w:ind w:left="0" w:right="0" w:firstLine="274"/>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September 30, 2023, and July 1, 2023, the Company had aggregate estimated liabilities of $22.7 million classified within accrued expenses and other for such compliance-related matters that were reasonably estimable as of such dates.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i/>
          <w:sz w:val="20"/>
        </w:rPr>
      </w:pPr>
      <w:r>
        <w:rPr>
          <w:rFonts w:ascii="Times New Roman;Times;serif" w:hAnsi="Times New Roman;Times;serif"/>
          <w:i/>
          <w:sz w:val="20"/>
        </w:rPr>
        <w:t>Gain on Legal Settlements and Other</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quarter of fiscal 2024, the Company recorded a gain on legal settlements and other of $86.5 million in connection with a settlement of a claim filed against a manufacturer of capacitor.</w:t>
      </w:r>
    </w:p>
    <w:p>
      <w:pPr>
        <w:pStyle w:val="TextBody"/>
        <w:bidi w:val="0"/>
        <w:spacing w:before="0" w:after="0"/>
        <w:ind w:left="0" w:right="0" w:firstLine="480"/>
        <w:jc w:val="both"/>
        <w:rPr/>
      </w:pPr>
      <w:r>
        <w:rPr/>
        <w:t>​</w:t>
      </w:r>
    </w:p>
    <w:p>
      <w:pPr>
        <w:pStyle w:val="TextBody"/>
        <w:bidi w:val="0"/>
        <w:spacing w:before="0" w:after="0"/>
        <w:ind w:left="0" w:right="0" w:hanging="0"/>
        <w:jc w:val="both"/>
        <w:rPr>
          <w:rFonts w:ascii="Times New Roman;Times;serif" w:hAnsi="Times New Roman;Times;serif"/>
          <w:b/>
          <w:sz w:val="20"/>
        </w:rPr>
      </w:pPr>
      <w:bookmarkStart w:id="740" w:name="bm_7_Income_taxes"/>
      <w:bookmarkStart w:id="741" w:name="_Hlk93498429"/>
      <w:bookmarkEnd w:id="740"/>
      <w:bookmarkEnd w:id="741"/>
      <w:r>
        <w:rPr>
          <w:rFonts w:ascii="Times New Roman;Times;serif" w:hAnsi="Times New Roman;Times;serif"/>
          <w:b/>
          <w:sz w:val="20"/>
        </w:rPr>
        <w:t>8. Income taxes</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below discussion of the effective tax rate for the periods presented in the statements of operations is in comparison to the 21% U.S. statutory federal income tax rate.</w:t>
      </w:r>
    </w:p>
    <w:p>
      <w:pPr>
        <w:pStyle w:val="TextBody"/>
        <w:bidi w:val="0"/>
        <w:spacing w:before="0" w:after="0"/>
        <w:ind w:left="0" w:right="0" w:firstLine="475"/>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Company’s effective tax rate on its income before taxes was 24.0% in the first quarter of fiscal 2024. During the first quarter of fiscal 2024, the Company’s effective tax rate was unfavorably impacted primarily by (i) increases to unrecognized tax benefit reserves net of settlements, (ii) U.S. state taxes, and (iii) the mix of income in higher tax jurisdictions.</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quarter of fiscal 2023, the Company’s effective tax rate on its income before taxes was 25.0%. During the first quarter of fiscal 2023, the Company’s effective tax rate was unfavorably impacted primarily by (i) increases to unrecognized tax benefit reserves and (ii) the mix of income in higher tax jurisdictions.</w:t>
      </w:r>
    </w:p>
    <w:p>
      <w:pPr>
        <w:pStyle w:val="TextBody"/>
        <w:bidi w:val="0"/>
        <w:spacing w:before="0" w:after="0"/>
        <w:ind w:left="0" w:right="0" w:firstLine="48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b/>
          <w:sz w:val="20"/>
        </w:rPr>
      </w:pPr>
      <w:bookmarkStart w:id="742" w:name="Narr_h3IihvZHGEu5BU7CdX2dCw"/>
      <w:bookmarkStart w:id="743" w:name="Narr_CflR1x60xUu8hexayrLi3A"/>
      <w:bookmarkStart w:id="744" w:name="Tc_fBQcc1m9QE-KxOQ4A_M_5g_13_5"/>
      <w:bookmarkStart w:id="745" w:name="Tc_31lcjsY-H0u2jMPbVCNVXQ_13_2"/>
      <w:bookmarkStart w:id="746" w:name="Tc_Cg5mNhx9B0GcyX5LCrw6Sg_13_0"/>
      <w:bookmarkStart w:id="747" w:name="Tc_Vo6idvAfMU2LbTkmpouv8g_11_0"/>
      <w:bookmarkStart w:id="748" w:name="Tc_RMHU4SpmikGp3qpb93Ey6A_10_0"/>
      <w:bookmarkStart w:id="749" w:name="Tc_ToIZOby4-EinSkWQjLefNQ_9_0"/>
      <w:bookmarkStart w:id="750" w:name="Tc_Rkal73lS_0W6QOrjXXbQHA_8_0"/>
      <w:bookmarkStart w:id="751" w:name="Tc_r2UlaXhH0Uqae0-9hnVl5A_7_0"/>
      <w:bookmarkStart w:id="752" w:name="Tc_LGsgrVoNeUGKxmN-eoWBtQ_5_5"/>
      <w:bookmarkStart w:id="753" w:name="Tc_Z2qWEAlcTUOO66mOo-4APg_5_2"/>
      <w:bookmarkStart w:id="754" w:name="Tc_p_VlX-XqXEC0cKIbN_mhTQ_5_0"/>
      <w:bookmarkStart w:id="755" w:name="Tc_m6o-8jI5PEePZ3zm7eiYJg_4_2"/>
      <w:bookmarkStart w:id="756" w:name="Tc_ptdhB24BUUiNy9OJeAUVdw_3_5"/>
      <w:bookmarkStart w:id="757" w:name="Tc__AMXQcB2SUuZJ6m2BChmsQ_3_2"/>
      <w:bookmarkStart w:id="758" w:name="Tc_0mCQMrtOKkqaeFMX4rDn9Q_2_5"/>
      <w:bookmarkStart w:id="759" w:name="Tc_yQ5vFvZl2ESk1vgZ8Mz6wg_2_2"/>
      <w:bookmarkStart w:id="760" w:name="Tc_HOZg5S3AUUa4fty63RxhRw_1_2"/>
      <w:bookmarkStart w:id="761" w:name="_bd246086_7ffe_448a_8c20_c88ea474e528"/>
      <w:bookmarkStart w:id="762" w:name="bm_8_Pension_plan"/>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r>
        <w:rPr>
          <w:rFonts w:ascii="Times New Roman;Times;serif" w:hAnsi="Times New Roman;Times;serif"/>
          <w:b/>
          <w:sz w:val="20"/>
        </w:rPr>
        <w:t>9. Pension plan</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a noncontributory defined benefit pension plan that covers substantially all current or former U.S. employees (the “Plan”). Components of net periodic pension cost for the Plan was as follows:</w:t>
      </w:r>
    </w:p>
    <w:p>
      <w:pPr>
        <w:pStyle w:val="TextBody"/>
        <w:bidi w:val="0"/>
        <w:spacing w:before="0" w:after="0"/>
        <w:ind w:left="0" w:right="0" w:firstLine="480"/>
        <w:jc w:val="both"/>
        <w:rPr/>
      </w:pPr>
      <w:r>
        <w:rPr/>
        <w:t>​</w:t>
      </w:r>
    </w:p>
    <w:tbl>
      <w:tblPr>
        <w:tblW w:w="8185" w:type="dxa"/>
        <w:jc w:val="left"/>
        <w:tblInd w:w="0" w:type="dxa"/>
        <w:tblLayout w:type="fixed"/>
        <w:tblCellMar>
          <w:top w:w="0" w:type="dxa"/>
          <w:left w:w="0" w:type="dxa"/>
          <w:bottom w:w="0" w:type="dxa"/>
          <w:right w:w="0" w:type="dxa"/>
        </w:tblCellMar>
      </w:tblPr>
      <w:tblGrid>
        <w:gridCol w:w="5296"/>
        <w:gridCol w:w="206"/>
        <w:gridCol w:w="326"/>
        <w:gridCol w:w="979"/>
        <w:gridCol w:w="326"/>
        <w:gridCol w:w="211"/>
        <w:gridCol w:w="841"/>
      </w:tblGrid>
      <w:tr>
        <w:trPr/>
        <w:tc>
          <w:tcPr>
            <w:tcW w:w="52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3362960" cy="175260"/>
                      <wp:effectExtent l="0" t="0" r="0" b="0"/>
                      <wp:wrapNone/>
                      <wp:docPr id="164" name="Frame164"/>
                      <a:graphic xmlns:a="http://schemas.openxmlformats.org/drawingml/2006/main">
                        <a:graphicData uri="http://schemas.microsoft.com/office/word/2010/wordprocessingShape">
                          <wps:wsp>
                            <wps:cNvSpPr txBox="1"/>
                            <wps:spPr>
                              <a:xfrm>
                                <a:off x="0" y="0"/>
                                <a:ext cx="3362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130810" cy="175260"/>
                      <wp:effectExtent l="0" t="0" r="0" b="0"/>
                      <wp:wrapNone/>
                      <wp:docPr id="165" name="Frame165"/>
                      <a:graphic xmlns:a="http://schemas.openxmlformats.org/drawingml/2006/main">
                        <a:graphicData uri="http://schemas.microsoft.com/office/word/2010/wordprocessingShape">
                          <wps:wsp>
                            <wps:cNvSpPr txBox="1"/>
                            <wps:spPr>
                              <a:xfrm>
                                <a:off x="0" y="0"/>
                                <a:ext cx="13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6" name="Frame1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21665" cy="175260"/>
                      <wp:effectExtent l="0" t="0" r="0" b="0"/>
                      <wp:wrapNone/>
                      <wp:docPr id="167" name="Frame167"/>
                      <a:graphic xmlns:a="http://schemas.openxmlformats.org/drawingml/2006/main">
                        <a:graphicData uri="http://schemas.microsoft.com/office/word/2010/wordprocessingShape">
                          <wps:wsp>
                            <wps:cNvSpPr txBox="1"/>
                            <wps:spPr>
                              <a:xfrm>
                                <a:off x="0" y="0"/>
                                <a:ext cx="6216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8" name="Frame1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133985" cy="175260"/>
                      <wp:effectExtent l="0" t="0" r="0" b="0"/>
                      <wp:wrapNone/>
                      <wp:docPr id="169" name="Frame169"/>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534035" cy="175260"/>
                      <wp:effectExtent l="0" t="0" r="0" b="0"/>
                      <wp:wrapNone/>
                      <wp:docPr id="170" name="Frame17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83"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  </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05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18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2683"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Service cost within selling, general and administrative expenses</w:t>
            </w:r>
          </w:p>
        </w:tc>
        <w:tc>
          <w:tcPr>
            <w:tcW w:w="2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3,004</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7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cost</w:t>
            </w:r>
          </w:p>
        </w:tc>
        <w:tc>
          <w:tcPr>
            <w:tcW w:w="2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6,145</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6,682</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return on plan assets</w:t>
            </w:r>
          </w:p>
        </w:tc>
        <w:tc>
          <w:tcPr>
            <w:tcW w:w="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right"/>
              <w:rPr/>
            </w:pPr>
            <w:r>
              <w:rPr/>
              <w:t> </w:t>
            </w:r>
          </w:p>
        </w:tc>
        <w:tc>
          <w:tcPr>
            <w:tcW w:w="97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(9,985)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(12,215)</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Amortization of prior service cost</w:t>
            </w:r>
          </w:p>
        </w:tc>
        <w:tc>
          <w:tcPr>
            <w:tcW w:w="2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 </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 </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52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Recognized net actuarial loss</w:t>
            </w:r>
          </w:p>
        </w:tc>
        <w:tc>
          <w:tcPr>
            <w:tcW w:w="206" w:type="dxa"/>
            <w:tcBorders/>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979"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84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617</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periodic pension benefit within other income, net</w:t>
            </w:r>
          </w:p>
        </w:tc>
        <w:tc>
          <w:tcPr>
            <w:tcW w:w="20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979"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(3,783)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(4,915)</w:t>
            </w:r>
          </w:p>
        </w:tc>
      </w:tr>
      <w:tr>
        <w:trPr/>
        <w:tc>
          <w:tcPr>
            <w:tcW w:w="5296" w:type="dxa"/>
            <w:tcBorders/>
            <w:vAlign w:val="center"/>
          </w:tcPr>
          <w:p>
            <w:pPr>
              <w:pStyle w:val="TableContents"/>
              <w:bidi w:val="0"/>
              <w:spacing w:before="0" w:after="0"/>
              <w:ind w:left="0" w:right="0" w:hanging="0"/>
              <w:jc w:val="left"/>
              <w:rPr/>
            </w:pPr>
            <w:r>
              <w:rPr/>
              <w:t>​</w:t>
            </w:r>
          </w:p>
        </w:tc>
        <w:tc>
          <w:tcPr>
            <w:tcW w:w="206" w:type="dxa"/>
            <w:tcBorders/>
            <w:vAlign w:val="center"/>
          </w:tcPr>
          <w:p>
            <w:pPr>
              <w:pStyle w:val="TableContents"/>
              <w:bidi w:val="0"/>
              <w:spacing w:before="0" w:after="0"/>
              <w:ind w:left="0" w:right="0" w:hanging="0"/>
              <w:jc w:val="left"/>
              <w:rPr/>
            </w:pPr>
            <w:r>
              <w:rPr/>
              <w:t>​</w:t>
            </w:r>
          </w:p>
        </w:tc>
        <w:tc>
          <w:tcPr>
            <w:tcW w:w="326"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97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84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r>
      <w:tr>
        <w:trPr/>
        <w:tc>
          <w:tcPr>
            <w:tcW w:w="52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periodic pension benefit</w:t>
            </w:r>
          </w:p>
        </w:tc>
        <w:tc>
          <w:tcPr>
            <w:tcW w:w="206" w:type="dxa"/>
            <w:tcBorders/>
            <w:shd w:fill="CCEEFF" w:val="clear"/>
            <w:vAlign w:val="center"/>
          </w:tcPr>
          <w:p>
            <w:pPr>
              <w:pStyle w:val="TableContents"/>
              <w:bidi w:val="0"/>
              <w:spacing w:before="0" w:after="0"/>
              <w:ind w:left="0" w:right="0" w:hanging="0"/>
              <w:jc w:val="left"/>
              <w:rPr/>
            </w:pPr>
            <w:r>
              <w:rPr/>
              <w:t>​</w:t>
            </w:r>
          </w:p>
        </w:tc>
        <w:tc>
          <w:tcPr>
            <w:tcW w:w="3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7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(1,220)</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(1,911)</w:t>
            </w:r>
          </w:p>
        </w:tc>
      </w:tr>
    </w:tbl>
    <w:p>
      <w:pPr>
        <w:pStyle w:val="TextBody"/>
        <w:bidi w:val="0"/>
        <w:spacing w:before="0" w:after="0"/>
        <w:ind w:left="0" w:right="0" w:hanging="0"/>
        <w:jc w:val="left"/>
        <w:rPr/>
      </w:pPr>
      <w:r>
        <w:rPr/>
        <w:t>​</w:t>
      </w:r>
    </w:p>
    <w:p>
      <w:pPr>
        <w:pStyle w:val="TextBody"/>
        <w:bidi w:val="0"/>
        <w:spacing w:before="0" w:after="0"/>
        <w:ind w:left="0" w:right="0" w:firstLine="48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made $4.0 million of contributions during the first quarter of fiscal 2024 and expects to make additional contributions to the Plan of $4.0 million in the remainder of fiscal 2024.</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0"/>
        </w:rPr>
      </w:pPr>
      <w:bookmarkStart w:id="763" w:name="bm_9_Shareholders_equity"/>
      <w:bookmarkEnd w:id="763"/>
      <w:r>
        <w:rPr>
          <w:rFonts w:ascii="Times New Roman;Times;serif" w:hAnsi="Times New Roman;Times;serif"/>
          <w:b/>
          <w:sz w:val="20"/>
        </w:rPr>
        <w:t>10. Shareholders’ equity</w:t>
      </w:r>
    </w:p>
    <w:p>
      <w:pPr>
        <w:pStyle w:val="TextBody"/>
        <w:bidi w:val="0"/>
        <w:spacing w:before="0" w:after="0"/>
        <w:ind w:left="0" w:right="0" w:hanging="0"/>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Share repurchase program</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quarter of fiscal 2024, the Company repurchased 0.6 million shares under existing programs for a total cost of $27.0 million. As of September 30, 2023, the Company had $291.5 million remaining under its share repurchase authorization.</w:t>
      </w:r>
    </w:p>
    <w:p>
      <w:pPr>
        <w:pStyle w:val="TextBody"/>
        <w:bidi w:val="0"/>
        <w:spacing w:before="0" w:after="0"/>
        <w:ind w:left="0" w:right="0" w:firstLine="475"/>
        <w:jc w:val="both"/>
        <w:rPr/>
      </w:pPr>
      <w:r>
        <w:rPr/>
        <w:t>​</w:t>
      </w:r>
    </w:p>
    <w:p>
      <w:pPr>
        <w:pStyle w:val="TextBody"/>
        <w:bidi w:val="0"/>
        <w:spacing w:before="0" w:after="0"/>
        <w:ind w:left="0" w:right="0" w:firstLine="475"/>
        <w:jc w:val="both"/>
        <w:rPr>
          <w:rFonts w:ascii="Times New Roman;Times;serif" w:hAnsi="Times New Roman;Times;serif"/>
          <w:i/>
          <w:sz w:val="20"/>
        </w:rPr>
      </w:pPr>
      <w:r>
        <w:rPr>
          <w:rFonts w:ascii="Times New Roman;Times;serif" w:hAnsi="Times New Roman;Times;serif"/>
          <w:i/>
          <w:sz w:val="20"/>
        </w:rPr>
        <w:t>Common stock dividend</w:t>
      </w:r>
    </w:p>
    <w:p>
      <w:pPr>
        <w:pStyle w:val="TextBody"/>
        <w:bidi w:val="0"/>
        <w:spacing w:before="0" w:after="0"/>
        <w:ind w:left="0" w:right="0" w:firstLine="1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August 2023, the Company’s Board of Directors approved a dividend of $0.31 per common share and dividend payments of $28.3 million were made in September 2023.</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both"/>
        <w:rPr>
          <w:rFonts w:ascii="Times New Roman;Times;serif" w:hAnsi="Times New Roman;Times;serif"/>
          <w:b/>
          <w:sz w:val="20"/>
        </w:rPr>
      </w:pPr>
      <w:bookmarkStart w:id="764" w:name="Tc_Fxk_NtWHs0KOhXXTUJ3A7g_14_0"/>
      <w:bookmarkStart w:id="765" w:name="Tc_tUDHcG_B4kWBkClvv02HMg_13_5"/>
      <w:bookmarkStart w:id="766" w:name="Tc_2d4mxDVxq0WwLK4I-NhYuA_13_2"/>
      <w:bookmarkStart w:id="767" w:name="Tc_yH_9ndFPFkOWGq821YWHtQ_13_0"/>
      <w:bookmarkStart w:id="768" w:name="Tc_HpIvAsJBrUa1AJgINc6MSw_12_5"/>
      <w:bookmarkStart w:id="769" w:name="Tc_2Z399OCVU0iY1CKDWaKZxg_12_2"/>
      <w:bookmarkStart w:id="770" w:name="Tc_BWx7n-tpukKEP24eJ9wuyA_12_0"/>
      <w:bookmarkStart w:id="771" w:name="Tc_cpI0Ppsl3kixpDQW0o-sFw_11_0"/>
      <w:bookmarkStart w:id="772" w:name="Tc_iBCQVpJCG0W-MQw2ipOrVw_10_0"/>
      <w:bookmarkStart w:id="773" w:name="Tc_rn_dxE4kq0avZDlGDIrZZQ_9_0"/>
      <w:bookmarkStart w:id="774" w:name="Tc_y_QsO0zKXkmGXRHJieACzQ_8_0"/>
      <w:bookmarkStart w:id="775" w:name="Tc_GU3-OqDbDkSceQHgiMsB1Q_6_5"/>
      <w:bookmarkStart w:id="776" w:name="Tc__tZH8AzfykK7Fs7X1c9F1A_6_2"/>
      <w:bookmarkStart w:id="777" w:name="Tc_eQqyzkbLfUe3LPEiU9P6iQ_6_0"/>
      <w:bookmarkStart w:id="778" w:name="Tc_-n44X4Cus0yBXwEt8U1j0A_5_0"/>
      <w:bookmarkStart w:id="779" w:name="Tc_LI4HeF0I8EOaBc_LdNovWQ_4_2"/>
      <w:bookmarkStart w:id="780" w:name="Tc_tmf-CsQbx0WcYou_hK2iSw_3_5"/>
      <w:bookmarkStart w:id="781" w:name="Tc_QNdhxWmJPkqR6i77CFHEQw_3_2"/>
      <w:bookmarkStart w:id="782" w:name="Tc_BIszhJNsHkOl_tNNDJp8Ng_2_5"/>
      <w:bookmarkStart w:id="783" w:name="Tc_tG9pFlGAJUqkRz2yxyjX-g_2_2"/>
      <w:bookmarkStart w:id="784" w:name="Tc_YpdBSNBlPEavyQxWVeB6Lg_1_2"/>
      <w:bookmarkStart w:id="785" w:name="bm_10_Earnings_per_share"/>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r>
        <w:rPr>
          <w:rFonts w:ascii="Times New Roman;Times;serif" w:hAnsi="Times New Roman;Times;serif"/>
          <w:b/>
          <w:sz w:val="20"/>
        </w:rPr>
        <w:t>11. Earnings per share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987"/>
        <w:gridCol w:w="146"/>
        <w:gridCol w:w="320"/>
        <w:gridCol w:w="1189"/>
        <w:gridCol w:w="317"/>
        <w:gridCol w:w="251"/>
        <w:gridCol w:w="995"/>
      </w:tblGrid>
      <w:tr>
        <w:trPr/>
        <w:tc>
          <w:tcPr>
            <w:tcW w:w="698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4436745" cy="175260"/>
                      <wp:effectExtent l="0" t="0" r="0" b="0"/>
                      <wp:wrapNone/>
                      <wp:docPr id="171" name="Frame171"/>
                      <a:graphic xmlns:a="http://schemas.openxmlformats.org/drawingml/2006/main">
                        <a:graphicData uri="http://schemas.microsoft.com/office/word/2010/wordprocessingShape">
                          <wps:wsp>
                            <wps:cNvSpPr txBox="1"/>
                            <wps:spPr>
                              <a:xfrm>
                                <a:off x="0" y="0"/>
                                <a:ext cx="443674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9.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92710" cy="175260"/>
                      <wp:effectExtent l="0" t="0" r="0" b="0"/>
                      <wp:wrapNone/>
                      <wp:docPr id="172" name="Frame172"/>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3200" cy="175260"/>
                      <wp:effectExtent l="0" t="0" r="0" b="0"/>
                      <wp:wrapNone/>
                      <wp:docPr id="173" name="Frame173"/>
                      <a:graphic xmlns:a="http://schemas.openxmlformats.org/drawingml/2006/main">
                        <a:graphicData uri="http://schemas.microsoft.com/office/word/2010/wordprocessingShape">
                          <wps:wsp>
                            <wps:cNvSpPr txBox="1"/>
                            <wps:spPr>
                              <a:xfrm>
                                <a:off x="0" y="0"/>
                                <a:ext cx="2032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1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755015" cy="175260"/>
                      <wp:effectExtent l="0" t="0" r="0" b="0"/>
                      <wp:wrapNone/>
                      <wp:docPr id="174" name="Frame174"/>
                      <a:graphic xmlns:a="http://schemas.openxmlformats.org/drawingml/2006/main">
                        <a:graphicData uri="http://schemas.microsoft.com/office/word/2010/wordprocessingShape">
                          <wps:wsp>
                            <wps:cNvSpPr txBox="1"/>
                            <wps:spPr>
                              <a:xfrm>
                                <a:off x="0" y="0"/>
                                <a:ext cx="7550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1295" cy="175260"/>
                      <wp:effectExtent l="0" t="0" r="0" b="0"/>
                      <wp:wrapNone/>
                      <wp:docPr id="175" name="Frame175"/>
                      <a:graphic xmlns:a="http://schemas.openxmlformats.org/drawingml/2006/main">
                        <a:graphicData uri="http://schemas.microsoft.com/office/word/2010/wordprocessingShape">
                          <wps:wsp>
                            <wps:cNvSpPr txBox="1"/>
                            <wps:spPr>
                              <a:xfrm>
                                <a:off x="0" y="0"/>
                                <a:ext cx="2012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159385" cy="175260"/>
                      <wp:effectExtent l="0" t="0" r="0" b="0"/>
                      <wp:wrapNone/>
                      <wp:docPr id="176" name="Frame176"/>
                      <a:graphic xmlns:a="http://schemas.openxmlformats.org/drawingml/2006/main">
                        <a:graphicData uri="http://schemas.microsoft.com/office/word/2010/wordprocessingShape">
                          <wps:wsp>
                            <wps:cNvSpPr txBox="1"/>
                            <wps:spPr>
                              <a:xfrm>
                                <a:off x="0" y="0"/>
                                <a:ext cx="1593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31825" cy="175260"/>
                      <wp:effectExtent l="0" t="0" r="0" b="0"/>
                      <wp:wrapNone/>
                      <wp:docPr id="177" name="Frame177"/>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6987" w:type="dxa"/>
            <w:tcBorders/>
            <w:vAlign w:val="center"/>
          </w:tcPr>
          <w:p>
            <w:pPr>
              <w:pStyle w:val="TableContents"/>
              <w:bidi w:val="0"/>
              <w:spacing w:lineRule="atLeast" w:line="240" w:before="0" w:after="0"/>
              <w:ind w:left="0" w:right="0" w:hanging="0"/>
              <w:jc w:val="left"/>
              <w:rPr/>
            </w:pPr>
            <w:r>
              <w:rPr/>
              <w:t>​</w:t>
            </w:r>
          </w:p>
        </w:tc>
        <w:tc>
          <w:tcPr>
            <w:tcW w:w="146" w:type="dxa"/>
            <w:tcBorders/>
            <w:vAlign w:val="center"/>
          </w:tcPr>
          <w:p>
            <w:pPr>
              <w:pStyle w:val="TableContents"/>
              <w:bidi w:val="0"/>
              <w:spacing w:lineRule="atLeast" w:line="240" w:before="0" w:after="0"/>
              <w:ind w:left="0" w:right="0" w:hanging="0"/>
              <w:jc w:val="left"/>
              <w:rPr/>
            </w:pPr>
            <w:r>
              <w:rPr/>
              <w:t>​</w:t>
            </w:r>
          </w:p>
        </w:tc>
        <w:tc>
          <w:tcPr>
            <w:tcW w:w="3072"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6987" w:type="dxa"/>
            <w:tcBorders/>
            <w:vAlign w:val="center"/>
          </w:tcPr>
          <w:p>
            <w:pPr>
              <w:pStyle w:val="TableContents"/>
              <w:bidi w:val="0"/>
              <w:spacing w:lineRule="atLeast" w:line="240" w:before="0" w:after="0"/>
              <w:ind w:left="0" w:right="0" w:hanging="0"/>
              <w:jc w:val="left"/>
              <w:rPr/>
            </w:pPr>
            <w:r>
              <w:rPr/>
              <w:t>​</w:t>
            </w:r>
          </w:p>
        </w:tc>
        <w:tc>
          <w:tcPr>
            <w:tcW w:w="146" w:type="dxa"/>
            <w:tcBorders/>
            <w:vAlign w:val="center"/>
          </w:tcPr>
          <w:p>
            <w:pPr>
              <w:pStyle w:val="TableContents"/>
              <w:bidi w:val="0"/>
              <w:spacing w:lineRule="atLeast" w:line="240" w:before="0" w:after="0"/>
              <w:ind w:left="0" w:right="0" w:hanging="0"/>
              <w:jc w:val="left"/>
              <w:rPr/>
            </w:pPr>
            <w:r>
              <w:rPr/>
              <w:t> </w:t>
            </w:r>
          </w:p>
        </w:tc>
        <w:tc>
          <w:tcPr>
            <w:tcW w:w="1509"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17" w:type="dxa"/>
            <w:tcBorders/>
            <w:vAlign w:val="center"/>
          </w:tcPr>
          <w:p>
            <w:pPr>
              <w:pStyle w:val="TableContents"/>
              <w:bidi w:val="0"/>
              <w:spacing w:lineRule="atLeast" w:line="240" w:before="0" w:after="0"/>
              <w:ind w:left="0" w:right="0" w:hanging="0"/>
              <w:jc w:val="center"/>
              <w:rPr/>
            </w:pPr>
            <w:r>
              <w:rPr/>
              <w:t>​</w:t>
            </w:r>
          </w:p>
        </w:tc>
        <w:tc>
          <w:tcPr>
            <w:tcW w:w="1246"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6987" w:type="dxa"/>
            <w:tcBorders/>
            <w:vAlign w:val="center"/>
          </w:tcPr>
          <w:p>
            <w:pPr>
              <w:pStyle w:val="TableContents"/>
              <w:bidi w:val="0"/>
              <w:spacing w:lineRule="atLeast" w:line="240" w:before="0" w:after="0"/>
              <w:ind w:left="0" w:right="0" w:hanging="0"/>
              <w:jc w:val="left"/>
              <w:rPr/>
            </w:pPr>
            <w:r>
              <w:rPr/>
              <w:t>​</w:t>
            </w:r>
          </w:p>
        </w:tc>
        <w:tc>
          <w:tcPr>
            <w:tcW w:w="146" w:type="dxa"/>
            <w:tcBorders/>
            <w:vAlign w:val="center"/>
          </w:tcPr>
          <w:p>
            <w:pPr>
              <w:pStyle w:val="TableContents"/>
              <w:bidi w:val="0"/>
              <w:spacing w:lineRule="atLeast" w:line="240" w:before="0" w:after="0"/>
              <w:ind w:left="0" w:right="0" w:hanging="0"/>
              <w:jc w:val="left"/>
              <w:rPr/>
            </w:pPr>
            <w:r>
              <w:rPr/>
              <w:t>​</w:t>
            </w:r>
          </w:p>
        </w:tc>
        <w:tc>
          <w:tcPr>
            <w:tcW w:w="1509"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17" w:type="dxa"/>
            <w:tcBorders/>
            <w:vAlign w:val="center"/>
          </w:tcPr>
          <w:p>
            <w:pPr>
              <w:pStyle w:val="TableContents"/>
              <w:bidi w:val="0"/>
              <w:spacing w:lineRule="atLeast" w:line="240" w:before="0" w:after="0"/>
              <w:ind w:left="0" w:right="0" w:hanging="0"/>
              <w:jc w:val="center"/>
              <w:rPr/>
            </w:pPr>
            <w:r>
              <w:rPr/>
              <w:t>  </w:t>
            </w:r>
          </w:p>
        </w:tc>
        <w:tc>
          <w:tcPr>
            <w:tcW w:w="1246"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1020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6987" w:type="dxa"/>
            <w:tcBorders/>
            <w:vAlign w:val="center"/>
          </w:tcPr>
          <w:p>
            <w:pPr>
              <w:pStyle w:val="TableContents"/>
              <w:bidi w:val="0"/>
              <w:spacing w:lineRule="atLeast" w:line="240" w:before="0" w:after="0"/>
              <w:ind w:left="0" w:right="0" w:hanging="0"/>
              <w:jc w:val="left"/>
              <w:rPr/>
            </w:pPr>
            <w:r>
              <w:rPr/>
              <w:t>​</w:t>
            </w:r>
          </w:p>
        </w:tc>
        <w:tc>
          <w:tcPr>
            <w:tcW w:w="146" w:type="dxa"/>
            <w:tcBorders/>
            <w:vAlign w:val="center"/>
          </w:tcPr>
          <w:p>
            <w:pPr>
              <w:pStyle w:val="TableContents"/>
              <w:bidi w:val="0"/>
              <w:spacing w:lineRule="atLeast" w:line="240" w:before="0" w:after="0"/>
              <w:ind w:left="0" w:right="0" w:hanging="0"/>
              <w:jc w:val="left"/>
              <w:rPr/>
            </w:pPr>
            <w:r>
              <w:rPr/>
              <w:t>​</w:t>
            </w:r>
          </w:p>
        </w:tc>
        <w:tc>
          <w:tcPr>
            <w:tcW w:w="3072"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 except per share data)</w:t>
            </w:r>
          </w:p>
        </w:tc>
      </w:tr>
      <w:tr>
        <w:trPr/>
        <w:tc>
          <w:tcPr>
            <w:tcW w:w="698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Numerator:</w:t>
            </w:r>
          </w:p>
        </w:tc>
        <w:tc>
          <w:tcPr>
            <w:tcW w:w="146" w:type="dxa"/>
            <w:tcBorders/>
            <w:shd w:fill="CCEEFF" w:val="clear"/>
            <w:vAlign w:val="center"/>
          </w:tcPr>
          <w:p>
            <w:pPr>
              <w:pStyle w:val="TableContents"/>
              <w:bidi w:val="0"/>
              <w:spacing w:lineRule="atLeast" w:line="240" w:before="0" w:after="0"/>
              <w:ind w:left="0" w:right="0" w:hanging="0"/>
              <w:jc w:val="left"/>
              <w:rPr/>
            </w:pPr>
            <w:r>
              <w:rPr/>
              <w:t>​</w:t>
            </w:r>
          </w:p>
        </w:tc>
        <w:tc>
          <w:tcPr>
            <w:tcW w:w="320" w:type="dxa"/>
            <w:tcBorders/>
            <w:shd w:fill="CCEEFF" w:val="clear"/>
            <w:vAlign w:val="center"/>
          </w:tcPr>
          <w:p>
            <w:pPr>
              <w:pStyle w:val="TableContents"/>
              <w:bidi w:val="0"/>
              <w:spacing w:lineRule="atLeast" w:line="240" w:before="0" w:after="0"/>
              <w:ind w:left="0" w:right="0" w:hanging="0"/>
              <w:jc w:val="left"/>
              <w:rPr/>
            </w:pPr>
            <w:r>
              <w:rPr/>
              <w:t>​</w:t>
            </w:r>
          </w:p>
        </w:tc>
        <w:tc>
          <w:tcPr>
            <w:tcW w:w="1189" w:type="dxa"/>
            <w:tcBorders/>
            <w:shd w:fill="CCEEFF" w:val="clear"/>
            <w:vAlign w:val="center"/>
          </w:tcPr>
          <w:p>
            <w:pPr>
              <w:pStyle w:val="TableContents"/>
              <w:bidi w:val="0"/>
              <w:spacing w:lineRule="atLeast" w:line="240" w:before="0" w:after="0"/>
              <w:ind w:left="0" w:right="0" w:hanging="0"/>
              <w:jc w:val="left"/>
              <w:rPr/>
            </w:pPr>
            <w:r>
              <w:rPr/>
              <w:t>​</w:t>
            </w:r>
          </w:p>
        </w:tc>
        <w:tc>
          <w:tcPr>
            <w:tcW w:w="317" w:type="dxa"/>
            <w:tcBorders/>
            <w:shd w:fill="CCEEFF" w:val="clear"/>
            <w:vAlign w:val="center"/>
          </w:tcPr>
          <w:p>
            <w:pPr>
              <w:pStyle w:val="TableContents"/>
              <w:bidi w:val="0"/>
              <w:spacing w:lineRule="atLeast" w:line="240" w:before="0" w:after="0"/>
              <w:ind w:left="0" w:right="0" w:hanging="0"/>
              <w:jc w:val="center"/>
              <w:rPr/>
            </w:pPr>
            <w:r>
              <w:rPr/>
              <w:t>   </w:t>
            </w:r>
          </w:p>
        </w:tc>
        <w:tc>
          <w:tcPr>
            <w:tcW w:w="251" w:type="dxa"/>
            <w:tcBorders/>
            <w:shd w:fill="CCEEFF" w:val="clear"/>
            <w:vAlign w:val="center"/>
          </w:tcPr>
          <w:p>
            <w:pPr>
              <w:pStyle w:val="TableContents"/>
              <w:bidi w:val="0"/>
              <w:spacing w:lineRule="atLeast" w:line="240" w:before="0" w:after="0"/>
              <w:ind w:left="0" w:right="0" w:hanging="0"/>
              <w:jc w:val="left"/>
              <w:rPr/>
            </w:pPr>
            <w:r>
              <w:rPr/>
              <w:t>​</w:t>
            </w:r>
          </w:p>
        </w:tc>
        <w:tc>
          <w:tcPr>
            <w:tcW w:w="995" w:type="dxa"/>
            <w:tcBorders/>
            <w:shd w:fill="CCEEFF" w:val="clear"/>
            <w:vAlign w:val="center"/>
          </w:tcPr>
          <w:p>
            <w:pPr>
              <w:pStyle w:val="TableContents"/>
              <w:bidi w:val="0"/>
              <w:spacing w:lineRule="atLeast" w:line="240" w:before="0" w:after="0"/>
              <w:ind w:left="0" w:right="0" w:hanging="0"/>
              <w:jc w:val="left"/>
              <w:rPr/>
            </w:pPr>
            <w:r>
              <w:rPr/>
              <w:t>​</w:t>
            </w:r>
          </w:p>
        </w:tc>
      </w:tr>
      <w:tr>
        <w:trPr/>
        <w:tc>
          <w:tcPr>
            <w:tcW w:w="698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146" w:type="dxa"/>
            <w:tcBorders/>
            <w:vAlign w:val="center"/>
          </w:tcPr>
          <w:p>
            <w:pPr>
              <w:pStyle w:val="TableContents"/>
              <w:bidi w:val="0"/>
              <w:spacing w:lineRule="atLeast" w:line="240"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209,268</w:t>
            </w:r>
          </w:p>
        </w:tc>
        <w:tc>
          <w:tcPr>
            <w:tcW w:w="317" w:type="dxa"/>
            <w:tcBorders/>
            <w:vAlign w:val="center"/>
          </w:tcPr>
          <w:p>
            <w:pPr>
              <w:pStyle w:val="TableContents"/>
              <w:bidi w:val="0"/>
              <w:spacing w:lineRule="atLeast" w:line="240" w:before="0" w:after="0"/>
              <w:ind w:left="0" w:right="0" w:hanging="0"/>
              <w:jc w:val="center"/>
              <w:rPr/>
            </w:pPr>
            <w:r>
              <w:rPr/>
              <w:t>​</w:t>
            </w:r>
          </w:p>
        </w:tc>
        <w:tc>
          <w:tcPr>
            <w:tcW w:w="25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184,261</w:t>
            </w:r>
          </w:p>
        </w:tc>
      </w:tr>
      <w:tr>
        <w:trPr/>
        <w:tc>
          <w:tcPr>
            <w:tcW w:w="6987" w:type="dxa"/>
            <w:tcBorders/>
            <w:shd w:fill="CCEEFF" w:val="clear"/>
            <w:vAlign w:val="center"/>
          </w:tcPr>
          <w:p>
            <w:pPr>
              <w:pStyle w:val="TableContents"/>
              <w:bidi w:val="0"/>
              <w:spacing w:lineRule="atLeast" w:line="240" w:before="0" w:after="0"/>
              <w:ind w:left="0" w:right="0" w:hanging="0"/>
              <w:jc w:val="left"/>
              <w:rPr/>
            </w:pPr>
            <w:r>
              <w:rPr/>
              <w:t>​</w:t>
            </w:r>
          </w:p>
        </w:tc>
        <w:tc>
          <w:tcPr>
            <w:tcW w:w="146" w:type="dxa"/>
            <w:tcBorders/>
            <w:shd w:fill="CCEEFF" w:val="clear"/>
            <w:vAlign w:val="center"/>
          </w:tcPr>
          <w:p>
            <w:pPr>
              <w:pStyle w:val="TableContents"/>
              <w:bidi w:val="0"/>
              <w:spacing w:lineRule="atLeast" w:line="240" w:before="0" w:after="0"/>
              <w:ind w:left="0" w:right="0" w:hanging="0"/>
              <w:jc w:val="left"/>
              <w:rPr/>
            </w:pPr>
            <w:r>
              <w:rPr/>
              <w:t>​</w:t>
            </w:r>
          </w:p>
        </w:tc>
        <w:tc>
          <w:tcPr>
            <w:tcW w:w="320" w:type="dxa"/>
            <w:tcBorders/>
            <w:shd w:fill="CCEEFF" w:val="clear"/>
            <w:vAlign w:val="center"/>
          </w:tcPr>
          <w:p>
            <w:pPr>
              <w:pStyle w:val="TableContents"/>
              <w:bidi w:val="0"/>
              <w:spacing w:lineRule="atLeast" w:line="240" w:before="0" w:after="0"/>
              <w:ind w:left="0" w:right="0" w:hanging="0"/>
              <w:jc w:val="left"/>
              <w:rPr/>
            </w:pPr>
            <w:r>
              <w:rPr/>
              <w:t>​</w:t>
            </w:r>
          </w:p>
        </w:tc>
        <w:tc>
          <w:tcPr>
            <w:tcW w:w="1189" w:type="dxa"/>
            <w:tcBorders/>
            <w:shd w:fill="CCEEFF" w:val="clear"/>
            <w:vAlign w:val="center"/>
          </w:tcPr>
          <w:p>
            <w:pPr>
              <w:pStyle w:val="TableContents"/>
              <w:bidi w:val="0"/>
              <w:spacing w:lineRule="atLeast" w:line="240" w:before="0" w:after="0"/>
              <w:ind w:left="0" w:right="0" w:hanging="0"/>
              <w:jc w:val="right"/>
              <w:rPr/>
            </w:pPr>
            <w:r>
              <w:rPr/>
              <w:t>​</w:t>
            </w:r>
          </w:p>
        </w:tc>
        <w:tc>
          <w:tcPr>
            <w:tcW w:w="317" w:type="dxa"/>
            <w:tcBorders/>
            <w:shd w:fill="CCEEFF" w:val="clear"/>
            <w:vAlign w:val="center"/>
          </w:tcPr>
          <w:p>
            <w:pPr>
              <w:pStyle w:val="TableContents"/>
              <w:bidi w:val="0"/>
              <w:spacing w:lineRule="atLeast" w:line="240" w:before="0" w:after="0"/>
              <w:ind w:left="0" w:right="0" w:hanging="0"/>
              <w:jc w:val="center"/>
              <w:rPr/>
            </w:pPr>
            <w:r>
              <w:rPr/>
              <w:t>​</w:t>
            </w:r>
          </w:p>
        </w:tc>
        <w:tc>
          <w:tcPr>
            <w:tcW w:w="251" w:type="dxa"/>
            <w:tcBorders/>
            <w:shd w:fill="CCEEFF" w:val="clear"/>
            <w:vAlign w:val="center"/>
          </w:tcPr>
          <w:p>
            <w:pPr>
              <w:pStyle w:val="TableContents"/>
              <w:bidi w:val="0"/>
              <w:spacing w:lineRule="atLeast" w:line="240" w:before="0" w:after="0"/>
              <w:ind w:left="0" w:right="0" w:hanging="0"/>
              <w:jc w:val="left"/>
              <w:rPr/>
            </w:pPr>
            <w:r>
              <w:rPr/>
              <w:t>​</w:t>
            </w:r>
          </w:p>
        </w:tc>
        <w:tc>
          <w:tcPr>
            <w:tcW w:w="995" w:type="dxa"/>
            <w:tcBorders/>
            <w:shd w:fill="CCEEFF" w:val="clear"/>
            <w:vAlign w:val="center"/>
          </w:tcPr>
          <w:p>
            <w:pPr>
              <w:pStyle w:val="TableContents"/>
              <w:bidi w:val="0"/>
              <w:spacing w:lineRule="atLeast" w:line="240" w:before="0" w:after="0"/>
              <w:ind w:left="0" w:right="0" w:hanging="0"/>
              <w:jc w:val="right"/>
              <w:rPr/>
            </w:pPr>
            <w:r>
              <w:rPr/>
              <w:t>​</w:t>
            </w:r>
          </w:p>
        </w:tc>
      </w:tr>
      <w:tr>
        <w:trPr/>
        <w:tc>
          <w:tcPr>
            <w:tcW w:w="698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Denominator:</w:t>
            </w:r>
          </w:p>
        </w:tc>
        <w:tc>
          <w:tcPr>
            <w:tcW w:w="146" w:type="dxa"/>
            <w:tcBorders/>
            <w:vAlign w:val="center"/>
          </w:tcPr>
          <w:p>
            <w:pPr>
              <w:pStyle w:val="TableContents"/>
              <w:bidi w:val="0"/>
              <w:spacing w:lineRule="atLeast" w:line="240" w:before="0" w:after="0"/>
              <w:ind w:left="0" w:right="0" w:hanging="0"/>
              <w:jc w:val="left"/>
              <w:rPr/>
            </w:pPr>
            <w:r>
              <w:rPr/>
              <w:t>​</w:t>
            </w:r>
          </w:p>
        </w:tc>
        <w:tc>
          <w:tcPr>
            <w:tcW w:w="320" w:type="dxa"/>
            <w:tcBorders/>
            <w:vAlign w:val="center"/>
          </w:tcPr>
          <w:p>
            <w:pPr>
              <w:pStyle w:val="TableContents"/>
              <w:bidi w:val="0"/>
              <w:spacing w:lineRule="atLeast" w:line="240" w:before="0" w:after="0"/>
              <w:ind w:left="0" w:right="0" w:hanging="0"/>
              <w:jc w:val="right"/>
              <w:rPr/>
            </w:pPr>
            <w:r>
              <w:rPr/>
              <w:t>​</w:t>
            </w:r>
          </w:p>
        </w:tc>
        <w:tc>
          <w:tcPr>
            <w:tcW w:w="1189" w:type="dxa"/>
            <w:tcBorders/>
            <w:vAlign w:val="center"/>
          </w:tcPr>
          <w:p>
            <w:pPr>
              <w:pStyle w:val="TableContents"/>
              <w:bidi w:val="0"/>
              <w:spacing w:lineRule="atLeast" w:line="240" w:before="0" w:after="0"/>
              <w:ind w:left="0" w:right="0" w:hanging="0"/>
              <w:jc w:val="right"/>
              <w:rPr/>
            </w:pPr>
            <w:r>
              <w:rPr/>
              <w:t>​</w:t>
            </w:r>
          </w:p>
        </w:tc>
        <w:tc>
          <w:tcPr>
            <w:tcW w:w="317" w:type="dxa"/>
            <w:tcBorders/>
            <w:vAlign w:val="center"/>
          </w:tcPr>
          <w:p>
            <w:pPr>
              <w:pStyle w:val="TableContents"/>
              <w:bidi w:val="0"/>
              <w:spacing w:lineRule="atLeast" w:line="240" w:before="0" w:after="0"/>
              <w:ind w:left="0" w:right="0" w:hanging="0"/>
              <w:jc w:val="left"/>
              <w:rPr/>
            </w:pPr>
            <w:r>
              <w:rPr/>
              <w:t>​</w:t>
            </w:r>
          </w:p>
        </w:tc>
        <w:tc>
          <w:tcPr>
            <w:tcW w:w="251" w:type="dxa"/>
            <w:tcBorders/>
            <w:vAlign w:val="center"/>
          </w:tcPr>
          <w:p>
            <w:pPr>
              <w:pStyle w:val="TableContents"/>
              <w:bidi w:val="0"/>
              <w:spacing w:lineRule="atLeast" w:line="240" w:before="0" w:after="0"/>
              <w:ind w:left="0" w:right="0" w:hanging="0"/>
              <w:jc w:val="right"/>
              <w:rPr/>
            </w:pPr>
            <w:r>
              <w:rPr/>
              <w:t>​</w:t>
            </w:r>
          </w:p>
        </w:tc>
        <w:tc>
          <w:tcPr>
            <w:tcW w:w="995" w:type="dxa"/>
            <w:tcBorders/>
            <w:vAlign w:val="center"/>
          </w:tcPr>
          <w:p>
            <w:pPr>
              <w:pStyle w:val="TableContents"/>
              <w:bidi w:val="0"/>
              <w:spacing w:lineRule="atLeast" w:line="240" w:before="0" w:after="0"/>
              <w:ind w:left="0" w:right="0" w:hanging="0"/>
              <w:jc w:val="right"/>
              <w:rPr/>
            </w:pPr>
            <w:r>
              <w:rPr/>
              <w:t>​</w:t>
            </w:r>
          </w:p>
        </w:tc>
      </w:tr>
      <w:tr>
        <w:trPr/>
        <w:tc>
          <w:tcPr>
            <w:tcW w:w="698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basic earnings per share</w:t>
            </w:r>
          </w:p>
        </w:tc>
        <w:tc>
          <w:tcPr>
            <w:tcW w:w="146" w:type="dxa"/>
            <w:tcBorders/>
            <w:shd w:fill="CCEEFF" w:val="clear"/>
            <w:vAlign w:val="center"/>
          </w:tcPr>
          <w:p>
            <w:pPr>
              <w:pStyle w:val="TableContents"/>
              <w:bidi w:val="0"/>
              <w:spacing w:lineRule="atLeast" w:line="240" w:before="0" w:after="0"/>
              <w:ind w:left="0" w:right="0" w:hanging="0"/>
              <w:jc w:val="left"/>
              <w:rPr/>
            </w:pPr>
            <w:r>
              <w:rPr/>
              <w:t>​</w:t>
            </w:r>
          </w:p>
        </w:tc>
        <w:tc>
          <w:tcPr>
            <w:tcW w:w="320" w:type="dxa"/>
            <w:tcBorders/>
            <w:shd w:fill="CCEEFF" w:val="clear"/>
            <w:vAlign w:val="center"/>
          </w:tcPr>
          <w:p>
            <w:pPr>
              <w:pStyle w:val="TableContents"/>
              <w:bidi w:val="0"/>
              <w:spacing w:lineRule="atLeast" w:line="240" w:before="0" w:after="0"/>
              <w:ind w:left="0" w:right="0" w:hanging="0"/>
              <w:jc w:val="right"/>
              <w:rPr/>
            </w:pPr>
            <w:r>
              <w:rPr/>
              <w:t> </w:t>
            </w:r>
          </w:p>
        </w:tc>
        <w:tc>
          <w:tcPr>
            <w:tcW w:w="1189"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91,495</w:t>
            </w:r>
          </w:p>
        </w:tc>
        <w:tc>
          <w:tcPr>
            <w:tcW w:w="317" w:type="dxa"/>
            <w:tcBorders/>
            <w:shd w:fill="CCEEFF" w:val="clear"/>
            <w:vAlign w:val="center"/>
          </w:tcPr>
          <w:p>
            <w:pPr>
              <w:pStyle w:val="TableContents"/>
              <w:bidi w:val="0"/>
              <w:spacing w:lineRule="atLeast" w:line="240" w:before="0" w:after="0"/>
              <w:ind w:left="0" w:right="0" w:hanging="0"/>
              <w:jc w:val="left"/>
              <w:rPr/>
            </w:pPr>
            <w:r>
              <w:rPr/>
              <w:t>​</w:t>
            </w:r>
          </w:p>
        </w:tc>
        <w:tc>
          <w:tcPr>
            <w:tcW w:w="251" w:type="dxa"/>
            <w:tcBorders/>
            <w:shd w:fill="CCEEFF" w:val="clear"/>
            <w:vAlign w:val="center"/>
          </w:tcPr>
          <w:p>
            <w:pPr>
              <w:pStyle w:val="TableContents"/>
              <w:bidi w:val="0"/>
              <w:spacing w:lineRule="atLeast" w:line="240" w:before="0" w:after="0"/>
              <w:ind w:left="0" w:right="0" w:hanging="0"/>
              <w:jc w:val="right"/>
              <w:rPr/>
            </w:pPr>
            <w:r>
              <w:rPr/>
              <w:t> </w:t>
            </w:r>
          </w:p>
        </w:tc>
        <w:tc>
          <w:tcPr>
            <w:tcW w:w="995"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94,051</w:t>
            </w:r>
          </w:p>
        </w:tc>
      </w:tr>
      <w:tr>
        <w:trPr/>
        <w:tc>
          <w:tcPr>
            <w:tcW w:w="698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Net effect of dilutive stock-based compensation awards</w:t>
            </w:r>
          </w:p>
        </w:tc>
        <w:tc>
          <w:tcPr>
            <w:tcW w:w="146" w:type="dxa"/>
            <w:tcBorders/>
            <w:vAlign w:val="center"/>
          </w:tcPr>
          <w:p>
            <w:pPr>
              <w:pStyle w:val="TableContents"/>
              <w:bidi w:val="0"/>
              <w:spacing w:lineRule="atLeast" w:line="240" w:before="0" w:after="0"/>
              <w:ind w:left="0" w:right="0" w:hanging="0"/>
              <w:jc w:val="left"/>
              <w:rPr/>
            </w:pPr>
            <w:r>
              <w:rPr/>
              <w:t>​</w:t>
            </w:r>
          </w:p>
        </w:tc>
        <w:tc>
          <w:tcPr>
            <w:tcW w:w="320"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1189"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17" w:type="dxa"/>
            <w:tcBorders/>
            <w:vAlign w:val="center"/>
          </w:tcPr>
          <w:p>
            <w:pPr>
              <w:pStyle w:val="TableContents"/>
              <w:bidi w:val="0"/>
              <w:spacing w:lineRule="atLeast" w:line="240" w:before="0" w:after="0"/>
              <w:ind w:left="0" w:right="0" w:hanging="0"/>
              <w:jc w:val="left"/>
              <w:rPr/>
            </w:pPr>
            <w:r>
              <w:rPr/>
              <w:t>​</w:t>
            </w:r>
          </w:p>
        </w:tc>
        <w:tc>
          <w:tcPr>
            <w:tcW w:w="251"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pPr>
            <w:r>
              <w:rPr/>
              <w:t> </w:t>
            </w:r>
          </w:p>
        </w:tc>
        <w:tc>
          <w:tcPr>
            <w:tcW w:w="995" w:type="dxa"/>
            <w:tcBorders>
              <w:bottom w:val="single" w:sz="12"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1,585</w:t>
            </w:r>
          </w:p>
        </w:tc>
      </w:tr>
      <w:tr>
        <w:trPr/>
        <w:tc>
          <w:tcPr>
            <w:tcW w:w="698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Weighted average common shares for diluted earnings per share</w:t>
            </w:r>
          </w:p>
        </w:tc>
        <w:tc>
          <w:tcPr>
            <w:tcW w:w="146" w:type="dxa"/>
            <w:tcBorders/>
            <w:shd w:fill="CCEEFF" w:val="clear"/>
            <w:vAlign w:val="center"/>
          </w:tcPr>
          <w:p>
            <w:pPr>
              <w:pStyle w:val="TableContents"/>
              <w:bidi w:val="0"/>
              <w:spacing w:lineRule="atLeast" w:line="240"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189"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93,178</w:t>
            </w:r>
          </w:p>
        </w:tc>
        <w:tc>
          <w:tcPr>
            <w:tcW w:w="317" w:type="dxa"/>
            <w:tcBorders/>
            <w:shd w:fill="CCEEFF" w:val="clear"/>
            <w:vAlign w:val="center"/>
          </w:tcPr>
          <w:p>
            <w:pPr>
              <w:pStyle w:val="TableContents"/>
              <w:bidi w:val="0"/>
              <w:spacing w:lineRule="atLeast" w:line="240"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995"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95,636</w:t>
            </w:r>
          </w:p>
        </w:tc>
      </w:tr>
      <w:tr>
        <w:trPr/>
        <w:tc>
          <w:tcPr>
            <w:tcW w:w="6987"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Basic earnings per share</w:t>
            </w:r>
          </w:p>
        </w:tc>
        <w:tc>
          <w:tcPr>
            <w:tcW w:w="146" w:type="dxa"/>
            <w:tcBorders/>
            <w:vAlign w:val="center"/>
          </w:tcPr>
          <w:p>
            <w:pPr>
              <w:pStyle w:val="TableContents"/>
              <w:bidi w:val="0"/>
              <w:spacing w:lineRule="atLeast" w:line="240" w:before="0" w:after="0"/>
              <w:ind w:left="0" w:right="0" w:hanging="0"/>
              <w:jc w:val="left"/>
              <w:rPr/>
            </w:pPr>
            <w:r>
              <w:rPr/>
              <w:t>​</w:t>
            </w:r>
          </w:p>
        </w:tc>
        <w:tc>
          <w:tcPr>
            <w:tcW w:w="320"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17" w:type="dxa"/>
            <w:tcBorders/>
            <w:vAlign w:val="center"/>
          </w:tcPr>
          <w:p>
            <w:pPr>
              <w:pStyle w:val="TableContents"/>
              <w:bidi w:val="0"/>
              <w:spacing w:lineRule="atLeast" w:line="240" w:before="0" w:after="0"/>
              <w:ind w:left="0" w:right="0" w:hanging="0"/>
              <w:jc w:val="left"/>
              <w:rPr/>
            </w:pPr>
            <w:r>
              <w:rPr/>
              <w:t>​</w:t>
            </w:r>
          </w:p>
        </w:tc>
        <w:tc>
          <w:tcPr>
            <w:tcW w:w="25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698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Diluted earnings per share</w:t>
            </w:r>
          </w:p>
        </w:tc>
        <w:tc>
          <w:tcPr>
            <w:tcW w:w="146" w:type="dxa"/>
            <w:tcBorders/>
            <w:shd w:fill="CCEEFF" w:val="clear"/>
            <w:vAlign w:val="center"/>
          </w:tcPr>
          <w:p>
            <w:pPr>
              <w:pStyle w:val="TableContents"/>
              <w:bidi w:val="0"/>
              <w:spacing w:lineRule="atLeast" w:line="240" w:before="0" w:after="0"/>
              <w:ind w:left="0" w:right="0" w:hanging="0"/>
              <w:jc w:val="left"/>
              <w:rPr/>
            </w:pPr>
            <w:r>
              <w:rPr/>
              <w:t>​</w:t>
            </w:r>
          </w:p>
        </w:tc>
        <w:tc>
          <w:tcPr>
            <w:tcW w:w="320"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189"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2.25</w:t>
            </w:r>
          </w:p>
        </w:tc>
        <w:tc>
          <w:tcPr>
            <w:tcW w:w="317" w:type="dxa"/>
            <w:tcBorders/>
            <w:shd w:fill="CCEEFF" w:val="clear"/>
            <w:vAlign w:val="center"/>
          </w:tcPr>
          <w:p>
            <w:pPr>
              <w:pStyle w:val="TableContents"/>
              <w:bidi w:val="0"/>
              <w:spacing w:lineRule="atLeast" w:line="240"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1.93</w:t>
            </w:r>
          </w:p>
        </w:tc>
      </w:tr>
      <w:tr>
        <w:trPr/>
        <w:tc>
          <w:tcPr>
            <w:tcW w:w="6987" w:type="dxa"/>
            <w:tcBorders/>
            <w:vAlign w:val="center"/>
          </w:tcPr>
          <w:p>
            <w:pPr>
              <w:pStyle w:val="TableContents"/>
              <w:pBdr/>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Stock options excluded from earnings per share calculation due to an anti-dilutive effect</w:t>
            </w:r>
          </w:p>
        </w:tc>
        <w:tc>
          <w:tcPr>
            <w:tcW w:w="146" w:type="dxa"/>
            <w:tcBorders/>
            <w:vAlign w:val="center"/>
          </w:tcPr>
          <w:p>
            <w:pPr>
              <w:pStyle w:val="TableContents"/>
              <w:bidi w:val="0"/>
              <w:spacing w:lineRule="atLeast" w:line="240" w:before="0" w:after="0"/>
              <w:ind w:left="0" w:right="0" w:hanging="0"/>
              <w:jc w:val="left"/>
              <w:rPr/>
            </w:pPr>
            <w:r>
              <w:rPr/>
              <w:t>​</w:t>
            </w:r>
          </w:p>
        </w:tc>
        <w:tc>
          <w:tcPr>
            <w:tcW w:w="320" w:type="dxa"/>
            <w:tcBorders/>
            <w:vAlign w:val="center"/>
          </w:tcPr>
          <w:p>
            <w:pPr>
              <w:pStyle w:val="TableContents"/>
              <w:bidi w:val="0"/>
              <w:spacing w:lineRule="atLeast" w:line="240" w:before="0" w:after="0"/>
              <w:ind w:left="0" w:right="0" w:hanging="0"/>
              <w:jc w:val="left"/>
              <w:rPr/>
            </w:pPr>
            <w:r>
              <w:rPr/>
              <w:t>​</w:t>
            </w:r>
          </w:p>
        </w:tc>
        <w:tc>
          <w:tcPr>
            <w:tcW w:w="1189"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122</w:t>
            </w:r>
          </w:p>
        </w:tc>
        <w:tc>
          <w:tcPr>
            <w:tcW w:w="317" w:type="dxa"/>
            <w:tcBorders/>
            <w:vAlign w:val="center"/>
          </w:tcPr>
          <w:p>
            <w:pPr>
              <w:pStyle w:val="TableContents"/>
              <w:bidi w:val="0"/>
              <w:spacing w:lineRule="atLeast" w:line="240" w:before="0" w:after="0"/>
              <w:ind w:left="0" w:right="0" w:hanging="0"/>
              <w:jc w:val="left"/>
              <w:rPr/>
            </w:pPr>
            <w:r>
              <w:rPr/>
              <w:t>​</w:t>
            </w:r>
          </w:p>
        </w:tc>
        <w:tc>
          <w:tcPr>
            <w:tcW w:w="251" w:type="dxa"/>
            <w:tcBorders/>
            <w:vAlign w:val="center"/>
          </w:tcPr>
          <w:p>
            <w:pPr>
              <w:pStyle w:val="TableContents"/>
              <w:bidi w:val="0"/>
              <w:spacing w:lineRule="atLeast" w:line="240" w:before="0" w:after="0"/>
              <w:ind w:left="0" w:right="0" w:hanging="0"/>
              <w:jc w:val="left"/>
              <w:rPr/>
            </w:pPr>
            <w:r>
              <w:rPr/>
              <w:t>​</w:t>
            </w:r>
          </w:p>
        </w:tc>
        <w:tc>
          <w:tcPr>
            <w:tcW w:w="995" w:type="dxa"/>
            <w:tcBorders/>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146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75"/>
        <w:jc w:val="left"/>
        <w:rPr/>
      </w:pPr>
      <w:r>
        <w:rPr/>
        <w:t>​</w:t>
      </w:r>
    </w:p>
    <w:p>
      <w:pPr>
        <w:pStyle w:val="TextBody"/>
        <w:bidi w:val="0"/>
        <w:spacing w:before="0" w:after="0"/>
        <w:ind w:left="0" w:right="0" w:hanging="0"/>
        <w:jc w:val="both"/>
        <w:rPr>
          <w:rFonts w:ascii="Times New Roman;Times;serif" w:hAnsi="Times New Roman;Times;serif"/>
          <w:b/>
          <w:sz w:val="20"/>
        </w:rPr>
      </w:pPr>
      <w:bookmarkStart w:id="786" w:name="Tc_qab9WuqkwE-queGF0AHGlw_11_5"/>
      <w:bookmarkStart w:id="787" w:name="Tc_W-NcvOkXj0SyqwUso_rN2g_11_2"/>
      <w:bookmarkStart w:id="788" w:name="Tc_PpZ3twtJlk-OlNzMx2hbkg_11_0"/>
      <w:bookmarkStart w:id="789" w:name="Tc_KbaXbGcUWU-lGzyjyzGCFw_10_5"/>
      <w:bookmarkStart w:id="790" w:name="Tc_B_pWeZmw80CeoBeJVcSzTQ_10_2"/>
      <w:bookmarkStart w:id="791" w:name="Tc_qfQheghxUEyNjM009VCVGw_10_0"/>
      <w:bookmarkStart w:id="792" w:name="Tc_cl1UcQNnsEyNywESs7zOsQ_9_0"/>
      <w:bookmarkStart w:id="793" w:name="Tc_EZAQ0uvXpUe2Dsj75xtRDQ_8_5"/>
      <w:bookmarkStart w:id="794" w:name="Tc_8xShpxZgKUStPh7svDQH1A_8_2"/>
      <w:bookmarkStart w:id="795" w:name="Tc_9oNii60xpU-dN1CGZbvRdg_8_0"/>
      <w:bookmarkStart w:id="796" w:name="Tc_qS6UTzB8AkeD-Y0PmFKOIw_7_0"/>
      <w:bookmarkStart w:id="797" w:name="Tc_lUeusr8G-kiVRyOeA-BcyQ_6_5"/>
      <w:bookmarkStart w:id="798" w:name="Tc_JKk9lezGCkqvcU96AbKH7A_6_2"/>
      <w:bookmarkStart w:id="799" w:name="Tc_HTpFy4rUNE-TgEUA9OpigA_6_0"/>
      <w:bookmarkStart w:id="800" w:name="Tc_Tbb_0mMdQEqLBo8Jouj2Ig_5_0"/>
      <w:bookmarkStart w:id="801" w:name="Tc_SqnQwQ-sZ0GIyo7A-OrMjQ_4_2"/>
      <w:bookmarkStart w:id="802" w:name="Tc_M2dFHQphtki5xSj6XYhgcQ_3_5"/>
      <w:bookmarkStart w:id="803" w:name="Tc_Rvnvj74wzUOPD5b6tE2krw_3_2"/>
      <w:bookmarkStart w:id="804" w:name="Tc_jihgx7qa9ESwMeCqPmhIvA_2_5"/>
      <w:bookmarkStart w:id="805" w:name="Tc_U2vv6te1602Nx0DljyZp_A_2_2"/>
      <w:bookmarkStart w:id="806" w:name="Tc_ofOPKXF2skyE7x4XKxQp6Q_1_2"/>
      <w:bookmarkStart w:id="807" w:name="bm_11_Additional_cash_flow_information"/>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r>
        <w:rPr>
          <w:rFonts w:ascii="Times New Roman;Times;serif" w:hAnsi="Times New Roman;Times;serif"/>
          <w:b/>
          <w:sz w:val="20"/>
        </w:rPr>
        <w:t>12. Additional cash flow information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Non-cash investing and financing activities and supplemental cash flow information were as follows:</w:t>
      </w:r>
    </w:p>
    <w:p>
      <w:pPr>
        <w:pStyle w:val="TextBody"/>
        <w:bidi w:val="0"/>
        <w:spacing w:before="0" w:after="0"/>
        <w:ind w:left="0" w:right="0" w:firstLine="480"/>
        <w:jc w:val="left"/>
        <w:rPr/>
      </w:pPr>
      <w:r>
        <w:rPr/>
        <w:t>​</w:t>
      </w:r>
    </w:p>
    <w:tbl>
      <w:tblPr>
        <w:tblW w:w="6563" w:type="dxa"/>
        <w:jc w:val="left"/>
        <w:tblInd w:w="0" w:type="dxa"/>
        <w:tblLayout w:type="fixed"/>
        <w:tblCellMar>
          <w:top w:w="0" w:type="dxa"/>
          <w:left w:w="0" w:type="dxa"/>
          <w:bottom w:w="0" w:type="dxa"/>
          <w:right w:w="0" w:type="dxa"/>
        </w:tblCellMar>
      </w:tblPr>
      <w:tblGrid>
        <w:gridCol w:w="3571"/>
        <w:gridCol w:w="326"/>
        <w:gridCol w:w="309"/>
        <w:gridCol w:w="996"/>
        <w:gridCol w:w="326"/>
        <w:gridCol w:w="220"/>
        <w:gridCol w:w="815"/>
      </w:tblGrid>
      <w:tr>
        <w:trPr/>
        <w:tc>
          <w:tcPr>
            <w:tcW w:w="3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2267585" cy="175260"/>
                      <wp:effectExtent l="0" t="0" r="0" b="0"/>
                      <wp:wrapNone/>
                      <wp:docPr id="178" name="Frame178"/>
                      <a:graphic xmlns:a="http://schemas.openxmlformats.org/drawingml/2006/main">
                        <a:graphicData uri="http://schemas.microsoft.com/office/word/2010/wordprocessingShape">
                          <wps:wsp>
                            <wps:cNvSpPr txBox="1"/>
                            <wps:spPr>
                              <a:xfrm>
                                <a:off x="0" y="0"/>
                                <a:ext cx="22675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9"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196215" cy="175260"/>
                      <wp:effectExtent l="0" t="0" r="0" b="0"/>
                      <wp:wrapNone/>
                      <wp:docPr id="180" name="Frame180"/>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32460" cy="175260"/>
                      <wp:effectExtent l="0" t="0" r="0" b="0"/>
                      <wp:wrapNone/>
                      <wp:docPr id="181" name="Frame181"/>
                      <a:graphic xmlns:a="http://schemas.openxmlformats.org/drawingml/2006/main">
                        <a:graphicData uri="http://schemas.microsoft.com/office/word/2010/wordprocessingShape">
                          <wps:wsp>
                            <wps:cNvSpPr txBox="1"/>
                            <wps:spPr>
                              <a:xfrm>
                                <a:off x="0" y="0"/>
                                <a:ext cx="63246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207010" cy="175260"/>
                      <wp:effectExtent l="0" t="0" r="0" b="0"/>
                      <wp:wrapNone/>
                      <wp:docPr id="182" name="Frame18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139700" cy="175260"/>
                      <wp:effectExtent l="0" t="0" r="0" b="0"/>
                      <wp:wrapNone/>
                      <wp:docPr id="183" name="Frame183"/>
                      <a:graphic xmlns:a="http://schemas.openxmlformats.org/drawingml/2006/main">
                        <a:graphicData uri="http://schemas.microsoft.com/office/word/2010/wordprocessingShape">
                          <wps:wsp>
                            <wps:cNvSpPr txBox="1"/>
                            <wps:spPr>
                              <a:xfrm>
                                <a:off x="0" y="0"/>
                                <a:ext cx="13970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517525" cy="175260"/>
                      <wp:effectExtent l="0" t="0" r="0" b="0"/>
                      <wp:wrapNone/>
                      <wp:docPr id="184" name="Frame184"/>
                      <a:graphic xmlns:a="http://schemas.openxmlformats.org/drawingml/2006/main">
                        <a:graphicData uri="http://schemas.microsoft.com/office/word/2010/wordprocessingShape">
                          <wps:wsp>
                            <wps:cNvSpPr txBox="1"/>
                            <wps:spPr>
                              <a:xfrm>
                                <a:off x="0" y="0"/>
                                <a:ext cx="51752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357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666"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357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103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357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w:t>
            </w:r>
          </w:p>
        </w:tc>
        <w:tc>
          <w:tcPr>
            <w:tcW w:w="103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6563"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3571"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666"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5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Non-cash Investing Activities:</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309" w:type="dxa"/>
            <w:tcBorders/>
            <w:shd w:fill="CCEEFF" w:val="clear"/>
            <w:vAlign w:val="center"/>
          </w:tcPr>
          <w:p>
            <w:pPr>
              <w:pStyle w:val="TableContents"/>
              <w:bidi w:val="0"/>
              <w:spacing w:lineRule="atLeast" w:line="240" w:before="0" w:after="0"/>
              <w:ind w:left="0" w:right="0" w:hanging="0"/>
              <w:jc w:val="left"/>
              <w:rPr/>
            </w:pPr>
            <w:r>
              <w:rPr/>
              <w:t>​</w:t>
            </w:r>
          </w:p>
        </w:tc>
        <w:tc>
          <w:tcPr>
            <w:tcW w:w="996"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shd w:fill="CCEEFF" w:val="clear"/>
            <w:vAlign w:val="center"/>
          </w:tcPr>
          <w:p>
            <w:pPr>
              <w:pStyle w:val="TableContents"/>
              <w:bidi w:val="0"/>
              <w:spacing w:lineRule="atLeast" w:line="240" w:before="0" w:after="0"/>
              <w:ind w:left="0" w:right="0" w:hanging="0"/>
              <w:jc w:val="left"/>
              <w:rPr/>
            </w:pPr>
            <w:r>
              <w:rPr/>
              <w:t>​</w:t>
            </w:r>
          </w:p>
        </w:tc>
        <w:tc>
          <w:tcPr>
            <w:tcW w:w="815" w:type="dxa"/>
            <w:tcBorders/>
            <w:shd w:fill="CCEEFF" w:val="clear"/>
            <w:vAlign w:val="center"/>
          </w:tcPr>
          <w:p>
            <w:pPr>
              <w:pStyle w:val="TableContents"/>
              <w:bidi w:val="0"/>
              <w:spacing w:lineRule="atLeast" w:line="240" w:before="0" w:after="0"/>
              <w:ind w:left="0" w:right="0" w:hanging="0"/>
              <w:jc w:val="right"/>
              <w:rPr/>
            </w:pPr>
            <w:r>
              <w:rPr/>
              <w:t>​</w:t>
            </w:r>
          </w:p>
        </w:tc>
      </w:tr>
      <w:tr>
        <w:trPr/>
        <w:tc>
          <w:tcPr>
            <w:tcW w:w="35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Capital expenditures incurred but not paid</w:t>
            </w:r>
          </w:p>
        </w:tc>
        <w:tc>
          <w:tcPr>
            <w:tcW w:w="326" w:type="dxa"/>
            <w:tcBorders/>
            <w:vAlign w:val="center"/>
          </w:tcPr>
          <w:p>
            <w:pPr>
              <w:pStyle w:val="TableContents"/>
              <w:bidi w:val="0"/>
              <w:spacing w:lineRule="atLeast" w:line="240" w:before="0" w:after="0"/>
              <w:ind w:left="0" w:right="0" w:hanging="0"/>
              <w:jc w:val="center"/>
              <w:rPr/>
            </w:pPr>
            <w:r>
              <w:rPr/>
              <w:t>​</w:t>
            </w:r>
          </w:p>
        </w:tc>
        <w:tc>
          <w:tcPr>
            <w:tcW w:w="30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13,967</w:t>
            </w:r>
          </w:p>
        </w:tc>
        <w:tc>
          <w:tcPr>
            <w:tcW w:w="32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11,916</w:t>
            </w:r>
          </w:p>
        </w:tc>
      </w:tr>
      <w:tr>
        <w:trPr/>
        <w:tc>
          <w:tcPr>
            <w:tcW w:w="35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Non-cash Financing Activities:</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309" w:type="dxa"/>
            <w:tcBorders/>
            <w:shd w:fill="CCEEFF" w:val="clear"/>
            <w:vAlign w:val="center"/>
          </w:tcPr>
          <w:p>
            <w:pPr>
              <w:pStyle w:val="TableContents"/>
              <w:bidi w:val="0"/>
              <w:spacing w:lineRule="atLeast" w:line="240" w:before="0" w:after="0"/>
              <w:ind w:left="0" w:right="0" w:hanging="0"/>
              <w:jc w:val="left"/>
              <w:rPr/>
            </w:pPr>
            <w:r>
              <w:rPr/>
              <w:t>​</w:t>
            </w:r>
          </w:p>
        </w:tc>
        <w:tc>
          <w:tcPr>
            <w:tcW w:w="996" w:type="dxa"/>
            <w:tcBorders/>
            <w:shd w:fill="CCEEFF" w:val="clear"/>
            <w:vAlign w:val="center"/>
          </w:tcPr>
          <w:p>
            <w:pPr>
              <w:pStyle w:val="TableContents"/>
              <w:bidi w:val="0"/>
              <w:spacing w:lineRule="atLeast" w:line="240" w:before="0" w:after="0"/>
              <w:ind w:left="0" w:right="0" w:hanging="0"/>
              <w:jc w:val="right"/>
              <w:rPr/>
            </w:pPr>
            <w:r>
              <w:rPr/>
              <w:t>​</w:t>
            </w:r>
          </w:p>
        </w:tc>
        <w:tc>
          <w:tcPr>
            <w:tcW w:w="32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shd w:fill="CCEEFF" w:val="clear"/>
            <w:vAlign w:val="center"/>
          </w:tcPr>
          <w:p>
            <w:pPr>
              <w:pStyle w:val="TableContents"/>
              <w:bidi w:val="0"/>
              <w:spacing w:lineRule="atLeast" w:line="240" w:before="0" w:after="0"/>
              <w:ind w:left="0" w:right="0" w:hanging="0"/>
              <w:jc w:val="left"/>
              <w:rPr/>
            </w:pPr>
            <w:r>
              <w:rPr/>
              <w:t>​</w:t>
            </w:r>
          </w:p>
        </w:tc>
        <w:tc>
          <w:tcPr>
            <w:tcW w:w="815" w:type="dxa"/>
            <w:tcBorders/>
            <w:shd w:fill="CCEEFF" w:val="clear"/>
            <w:vAlign w:val="center"/>
          </w:tcPr>
          <w:p>
            <w:pPr>
              <w:pStyle w:val="TableContents"/>
              <w:bidi w:val="0"/>
              <w:spacing w:lineRule="atLeast" w:line="240" w:before="0" w:after="0"/>
              <w:ind w:left="0" w:right="0" w:hanging="0"/>
              <w:jc w:val="right"/>
              <w:rPr/>
            </w:pPr>
            <w:r>
              <w:rPr/>
              <w:t>​</w:t>
            </w:r>
          </w:p>
        </w:tc>
      </w:tr>
      <w:tr>
        <w:trPr/>
        <w:tc>
          <w:tcPr>
            <w:tcW w:w="35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Unsettled share repurchases</w:t>
            </w:r>
          </w:p>
        </w:tc>
        <w:tc>
          <w:tcPr>
            <w:tcW w:w="326" w:type="dxa"/>
            <w:tcBorders/>
            <w:vAlign w:val="center"/>
          </w:tcPr>
          <w:p>
            <w:pPr>
              <w:pStyle w:val="TableContents"/>
              <w:bidi w:val="0"/>
              <w:spacing w:lineRule="atLeast" w:line="240" w:before="0" w:after="0"/>
              <w:ind w:left="0" w:right="0" w:hanging="0"/>
              <w:jc w:val="center"/>
              <w:rPr/>
            </w:pPr>
            <w:r>
              <w:rPr/>
              <w:t>​</w:t>
            </w:r>
          </w:p>
        </w:tc>
        <w:tc>
          <w:tcPr>
            <w:tcW w:w="30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2,718</w:t>
            </w:r>
          </w:p>
        </w:tc>
        <w:tc>
          <w:tcPr>
            <w:tcW w:w="32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4,449</w:t>
            </w:r>
          </w:p>
        </w:tc>
      </w:tr>
      <w:tr>
        <w:trPr/>
        <w:tc>
          <w:tcPr>
            <w:tcW w:w="35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Supplemental Cash Flow Information:</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309" w:type="dxa"/>
            <w:tcBorders/>
            <w:shd w:fill="CCEEFF" w:val="clear"/>
            <w:vAlign w:val="center"/>
          </w:tcPr>
          <w:p>
            <w:pPr>
              <w:pStyle w:val="TableContents"/>
              <w:bidi w:val="0"/>
              <w:spacing w:lineRule="atLeast" w:line="240" w:before="0" w:after="0"/>
              <w:ind w:left="0" w:right="0" w:hanging="0"/>
              <w:jc w:val="center"/>
              <w:rPr/>
            </w:pPr>
            <w:r>
              <w:rPr/>
              <w:t>​</w:t>
            </w:r>
          </w:p>
        </w:tc>
        <w:tc>
          <w:tcPr>
            <w:tcW w:w="996" w:type="dxa"/>
            <w:tcBorders/>
            <w:shd w:fill="CCEEFF" w:val="clear"/>
            <w:vAlign w:val="center"/>
          </w:tcPr>
          <w:p>
            <w:pPr>
              <w:pStyle w:val="TableContents"/>
              <w:bidi w:val="0"/>
              <w:spacing w:lineRule="atLeast" w:line="240" w:before="0" w:after="0"/>
              <w:ind w:left="0" w:right="0" w:hanging="0"/>
              <w:jc w:val="center"/>
              <w:rPr/>
            </w:pPr>
            <w:r>
              <w:rPr/>
              <w:t>​</w:t>
            </w:r>
          </w:p>
        </w:tc>
        <w:tc>
          <w:tcPr>
            <w:tcW w:w="326" w:type="dxa"/>
            <w:tcBorders/>
            <w:shd w:fill="CCEEFF" w:val="clear"/>
            <w:vAlign w:val="center"/>
          </w:tcPr>
          <w:p>
            <w:pPr>
              <w:pStyle w:val="TableContents"/>
              <w:bidi w:val="0"/>
              <w:spacing w:lineRule="atLeast" w:line="240" w:before="0" w:after="0"/>
              <w:ind w:left="0" w:right="0" w:hanging="0"/>
              <w:jc w:val="center"/>
              <w:rPr/>
            </w:pPr>
            <w:r>
              <w:rPr/>
              <w:t>​</w:t>
            </w:r>
          </w:p>
        </w:tc>
        <w:tc>
          <w:tcPr>
            <w:tcW w:w="220" w:type="dxa"/>
            <w:tcBorders/>
            <w:shd w:fill="CCEEFF" w:val="clear"/>
            <w:vAlign w:val="center"/>
          </w:tcPr>
          <w:p>
            <w:pPr>
              <w:pStyle w:val="TableContents"/>
              <w:bidi w:val="0"/>
              <w:spacing w:lineRule="atLeast" w:line="240" w:before="0" w:after="0"/>
              <w:ind w:left="0" w:right="0" w:hanging="0"/>
              <w:jc w:val="center"/>
              <w:rPr/>
            </w:pPr>
            <w:r>
              <w:rPr/>
              <w:t>​</w:t>
            </w:r>
          </w:p>
        </w:tc>
        <w:tc>
          <w:tcPr>
            <w:tcW w:w="815" w:type="dxa"/>
            <w:tcBorders/>
            <w:shd w:fill="CCEEFF" w:val="clear"/>
            <w:vAlign w:val="center"/>
          </w:tcPr>
          <w:p>
            <w:pPr>
              <w:pStyle w:val="TableContents"/>
              <w:bidi w:val="0"/>
              <w:spacing w:lineRule="atLeast" w:line="240" w:before="0" w:after="0"/>
              <w:ind w:left="0" w:right="0" w:hanging="0"/>
              <w:jc w:val="center"/>
              <w:rPr/>
            </w:pPr>
            <w:r>
              <w:rPr/>
              <w:t>​</w:t>
            </w:r>
          </w:p>
        </w:tc>
      </w:tr>
      <w:tr>
        <w:trPr/>
        <w:tc>
          <w:tcPr>
            <w:tcW w:w="3571"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Interest</w:t>
            </w:r>
          </w:p>
        </w:tc>
        <w:tc>
          <w:tcPr>
            <w:tcW w:w="32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309"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81,446</w:t>
            </w:r>
          </w:p>
        </w:tc>
        <w:tc>
          <w:tcPr>
            <w:tcW w:w="326" w:type="dxa"/>
            <w:tcBorders/>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32,855</w:t>
            </w:r>
          </w:p>
        </w:tc>
      </w:tr>
      <w:tr>
        <w:trPr/>
        <w:tc>
          <w:tcPr>
            <w:tcW w:w="357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Income tax payments, net</w:t>
            </w:r>
          </w:p>
        </w:tc>
        <w:tc>
          <w:tcPr>
            <w:tcW w:w="32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78,357</w:t>
            </w:r>
          </w:p>
        </w:tc>
        <w:tc>
          <w:tcPr>
            <w:tcW w:w="326" w:type="dxa"/>
            <w:tcBorders/>
            <w:shd w:fill="CCEEFF" w:val="clear"/>
            <w:vAlign w:val="center"/>
          </w:tcPr>
          <w:p>
            <w:pPr>
              <w:pStyle w:val="TableContents"/>
              <w:bidi w:val="0"/>
              <w:spacing w:lineRule="atLeast" w:line="240" w:before="0" w:after="0"/>
              <w:ind w:left="0" w:right="0" w:hanging="0"/>
              <w:jc w:val="left"/>
              <w:rPr>
                <w:color w:val="575757"/>
              </w:rPr>
            </w:pPr>
            <w:r>
              <w:rPr>
                <w:color w:val="575757"/>
              </w:rPr>
              <w:t>​</w:t>
            </w:r>
          </w:p>
        </w:tc>
        <w:tc>
          <w:tcPr>
            <w:tcW w:w="220"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15" w:type="dxa"/>
            <w:tcBorders/>
            <w:shd w:fill="CCEEFF" w:val="cle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57,426</w:t>
            </w:r>
          </w:p>
        </w:tc>
      </w:tr>
    </w:tbl>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Included in cash and cash equivalents as of September 30, 2023, and July 1, 2023, was $11.4 million and $3.7 million, respectively, of cash equivalents, which was primarily comprised of investment grade money market funds and overnight time deposits.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AVNET, INC. AND SUBSIDIARIES</w:t>
      </w:r>
    </w:p>
    <w:p>
      <w:pPr>
        <w:pStyle w:val="TextBody"/>
        <w:bidi w:val="0"/>
        <w:spacing w:lineRule="auto" w:line="343" w:before="0" w:after="24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 - (Continued)</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808" w:name="Tc_mnnnN1C6q062AHh5_DPn3w_22_5"/>
      <w:bookmarkStart w:id="809" w:name="Tc_T5RDoRjYoUiBoDP0U0-YVA_22_2"/>
      <w:bookmarkStart w:id="810" w:name="Tc_yfbLVIjKlUqBUhppuba88A_22_0"/>
      <w:bookmarkStart w:id="811" w:name="Tc_LbGSOQuE6EWbxMKexigAKQ_21_0"/>
      <w:bookmarkStart w:id="812" w:name="Tc_hfWbvQZnD0-GoYaPsmpn5w_20_0"/>
      <w:bookmarkStart w:id="813" w:name="Tc_o3GV6HnWBU2X0ksCZMY-cg_19_5"/>
      <w:bookmarkStart w:id="814" w:name="Tc_VWpurh0KpEWWrNJ6EB9v2g_19_2"/>
      <w:bookmarkStart w:id="815" w:name="Tc_daw64X6AyE6aQH4HtjCiuQ_19_0"/>
      <w:bookmarkStart w:id="816" w:name="Tc_RHGTnHk2eUSjmiSZFibr0w_18_0"/>
      <w:bookmarkStart w:id="817" w:name="Tc_m7_e4He37EO6L5dlP7P9EQ_16_5"/>
      <w:bookmarkStart w:id="818" w:name="Tc_zWVQyRi4ek6onsi2tNJ96g_16_2"/>
      <w:bookmarkStart w:id="819" w:name="Tc_fZkamq1NNUeyWpMUMw-RFA_16_0"/>
      <w:bookmarkStart w:id="820" w:name="Tc_YPiFyrUT_U2EVjCefp_KnA_15_0"/>
      <w:bookmarkStart w:id="821" w:name="Tc_Gg0hTrsv7Emxmdg6kSxsGg_14_6"/>
      <w:bookmarkStart w:id="822" w:name="Tc_LhxVc1L1a06xTX4NxGK1TQ_14_0"/>
      <w:bookmarkStart w:id="823" w:name="Tc_q7FZrVVO1kyGKzkKcOpQoQ_13_0"/>
      <w:bookmarkStart w:id="824" w:name="Tc_di_DD5FeY0aM8S4-GzBuzw_11_0"/>
      <w:bookmarkStart w:id="825" w:name="Tc_5PnH--4A5U63L9OXled14g_10_5"/>
      <w:bookmarkStart w:id="826" w:name="Tc_-XbP-Ui8XkWVxKlWULxVuw_10_2"/>
      <w:bookmarkStart w:id="827" w:name="Tc_aWpsP2yiQU2iKEYIiaurQg_10_0"/>
      <w:bookmarkStart w:id="828" w:name="Tc_wNFnsEf2nUWWngLos9XIog_9_0"/>
      <w:bookmarkStart w:id="829" w:name="Tc_JarCQdDgTEmEIZCxH2KAbQ_7_0"/>
      <w:bookmarkStart w:id="830" w:name="Tc_xLfh7rWkK0S3wJwvy_AIxg_6_5"/>
      <w:bookmarkStart w:id="831" w:name="Tc_ai-VnRDstkmFKtkKSrh5eA_6_2"/>
      <w:bookmarkStart w:id="832" w:name="Tc_OqjOPWkUC0S6DYtoRVAOlA_6_0"/>
      <w:bookmarkStart w:id="833" w:name="Tc_j1szlunxT0eppyuVTpbZKw_5_0"/>
      <w:bookmarkStart w:id="834" w:name="Tc_cTi3IxF8P0eP3Vmq_lx_6w_4_2"/>
      <w:bookmarkStart w:id="835" w:name="Tc_IXyxjwR-XkikCY1Z21WmnA_3_5"/>
      <w:bookmarkStart w:id="836" w:name="Tc_0MMGzusy6EGDKiRaXyVujw_3_2"/>
      <w:bookmarkStart w:id="837" w:name="Tc_C7aoNUVRfUSX3WnKL55Ziw_2_5"/>
      <w:bookmarkStart w:id="838" w:name="Tc_TfuRAkFM90a5KIciJBVROA_2_2"/>
      <w:bookmarkStart w:id="839" w:name="Tc_kP1gxcuiUkiogpQkVtQ6Ow_1_2"/>
      <w:bookmarkStart w:id="840" w:name="_e9f61b91_e319_4e3f_9cd3_1ea7c02fb0be"/>
      <w:bookmarkStart w:id="841" w:name="bm_12_Segment_information"/>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r>
        <w:rPr>
          <w:rFonts w:ascii="Times New Roman;Times;serif" w:hAnsi="Times New Roman;Times;serif"/>
          <w:b/>
          <w:sz w:val="20"/>
        </w:rPr>
        <w:t>13. Segment information</w:t>
      </w:r>
    </w:p>
    <w:p>
      <w:pPr>
        <w:pStyle w:val="TextBody"/>
        <w:bidi w:val="0"/>
        <w:spacing w:before="0" w:after="0"/>
        <w:ind w:left="0" w:right="0" w:hanging="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Electronic Components (“EC”) and Farnell (“Farnell”) are the Company’s reportable segments (“operating groups”). </w:t>
      </w:r>
    </w:p>
    <w:p>
      <w:pPr>
        <w:pStyle w:val="TextBody"/>
        <w:bidi w:val="0"/>
        <w:spacing w:before="0" w:after="0"/>
        <w:ind w:left="0" w:right="0" w:firstLine="475"/>
        <w:jc w:val="both"/>
        <w:rPr/>
      </w:pPr>
      <w:r>
        <w:rPr/>
        <w:t>​</w:t>
      </w:r>
    </w:p>
    <w:tbl>
      <w:tblPr>
        <w:tblW w:w="7615" w:type="dxa"/>
        <w:jc w:val="left"/>
        <w:tblInd w:w="0" w:type="dxa"/>
        <w:tblLayout w:type="fixed"/>
        <w:tblCellMar>
          <w:top w:w="0" w:type="dxa"/>
          <w:left w:w="0" w:type="dxa"/>
          <w:bottom w:w="0" w:type="dxa"/>
          <w:right w:w="0" w:type="dxa"/>
        </w:tblCellMar>
      </w:tblPr>
      <w:tblGrid>
        <w:gridCol w:w="4411"/>
        <w:gridCol w:w="326"/>
        <w:gridCol w:w="240"/>
        <w:gridCol w:w="1065"/>
        <w:gridCol w:w="326"/>
        <w:gridCol w:w="211"/>
        <w:gridCol w:w="1036"/>
      </w:tblGrid>
      <w:tr>
        <w:trPr/>
        <w:tc>
          <w:tcPr>
            <w:tcW w:w="4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800985" cy="175260"/>
                      <wp:effectExtent l="0" t="0" r="0" b="0"/>
                      <wp:wrapNone/>
                      <wp:docPr id="185" name="Frame185"/>
                      <a:graphic xmlns:a="http://schemas.openxmlformats.org/drawingml/2006/main">
                        <a:graphicData uri="http://schemas.microsoft.com/office/word/2010/wordprocessingShape">
                          <wps:wsp>
                            <wps:cNvSpPr txBox="1"/>
                            <wps:spPr>
                              <a:xfrm>
                                <a:off x="0" y="0"/>
                                <a:ext cx="2800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207010" cy="175260"/>
                      <wp:effectExtent l="0" t="0" r="0" b="0"/>
                      <wp:wrapNone/>
                      <wp:docPr id="186"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152400" cy="175260"/>
                      <wp:effectExtent l="0" t="0" r="0" b="0"/>
                      <wp:wrapNone/>
                      <wp:docPr id="187" name="Frame187"/>
                      <a:graphic xmlns:a="http://schemas.openxmlformats.org/drawingml/2006/main">
                        <a:graphicData uri="http://schemas.microsoft.com/office/word/2010/wordprocessingShape">
                          <wps:wsp>
                            <wps:cNvSpPr txBox="1"/>
                            <wps:spPr>
                              <a:xfrm>
                                <a:off x="0" y="0"/>
                                <a:ext cx="1524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76275" cy="175260"/>
                      <wp:effectExtent l="0" t="0" r="0" b="0"/>
                      <wp:wrapNone/>
                      <wp:docPr id="188" name="Frame188"/>
                      <a:graphic xmlns:a="http://schemas.openxmlformats.org/drawingml/2006/main">
                        <a:graphicData uri="http://schemas.microsoft.com/office/word/2010/wordprocessingShape">
                          <wps:wsp>
                            <wps:cNvSpPr txBox="1"/>
                            <wps:spPr>
                              <a:xfrm>
                                <a:off x="0" y="0"/>
                                <a:ext cx="6762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9" name="Frame1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133985" cy="175260"/>
                      <wp:effectExtent l="0" t="0" r="0" b="0"/>
                      <wp:wrapNone/>
                      <wp:docPr id="190" name="Frame19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57860" cy="175260"/>
                      <wp:effectExtent l="0" t="0" r="0" b="0"/>
                      <wp:wrapNone/>
                      <wp:docPr id="191" name="Frame19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878"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before="0" w:after="0"/>
              <w:ind w:left="0" w:right="0" w:hanging="0"/>
              <w:jc w:val="center"/>
              <w:rPr/>
            </w:pPr>
            <w:r>
              <w:rPr/>
              <w:t>​</w:t>
            </w:r>
          </w:p>
        </w:tc>
        <w:tc>
          <w:tcPr>
            <w:tcW w:w="1247"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before="0" w:after="0"/>
              <w:ind w:left="0" w:right="0" w:hanging="0"/>
              <w:jc w:val="center"/>
              <w:rPr/>
            </w:pPr>
            <w:r>
              <w:rPr/>
              <w:t>    </w:t>
            </w:r>
          </w:p>
        </w:tc>
        <w:tc>
          <w:tcPr>
            <w:tcW w:w="1247"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615"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4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2878"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26" w:type="dxa"/>
            <w:tcBorders/>
            <w:shd w:fill="CCEEFF" w:val="clear"/>
            <w:vAlign w:val="center"/>
          </w:tcPr>
          <w:p>
            <w:pPr>
              <w:pStyle w:val="TableContents"/>
              <w:bidi w:val="0"/>
              <w:spacing w:before="0" w:after="0"/>
              <w:ind w:left="0" w:right="0" w:hanging="0"/>
              <w:jc w:val="left"/>
              <w:rPr/>
            </w:pPr>
            <w:r>
              <w:rPr/>
              <w:t>    </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    </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5,914,405</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6,324,223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421,243</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425,910</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6,335,648</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6,750,133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lef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Electronic Components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272,751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267,253</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51,611</w:t>
            </w:r>
          </w:p>
        </w:tc>
      </w:tr>
      <w:tr>
        <w:trPr/>
        <w:tc>
          <w:tcPr>
            <w:tcW w:w="4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290,422</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318,864</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right"/>
              <w:rPr/>
            </w:pPr>
            <w:r>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(28,724)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(25,568)</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Amortization of acquired intangible assets and other </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(2,759)</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vAlign w:val="center"/>
          </w:tcPr>
          <w:p>
            <w:pPr>
              <w:pStyle w:val="TableContents"/>
              <w:bidi w:val="0"/>
              <w:spacing w:before="0" w:after="0"/>
              <w:ind w:left="0" w:right="0" w:hanging="0"/>
              <w:jc w:val="left"/>
              <w:rPr/>
            </w:pPr>
            <w:r>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253,769</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290,537</w:t>
            </w:r>
          </w:p>
        </w:tc>
      </w:tr>
      <w:tr>
        <w:trPr/>
        <w:tc>
          <w:tcPr>
            <w:tcW w:w="441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106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pPr>
            <w:r>
              <w:rPr/>
              <w:t>​</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by geographic area:</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left"/>
              <w:rPr/>
            </w:pPr>
            <w:r>
              <w:rPr/>
              <w:t>​</w:t>
            </w:r>
          </w:p>
        </w:tc>
        <w:tc>
          <w:tcPr>
            <w:tcW w:w="1065"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left"/>
              <w:rPr/>
            </w:pPr>
            <w:r>
              <w:rPr/>
              <w:t>​</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1,573,521</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1,678,903</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326" w:type="dxa"/>
            <w:tcBorders/>
            <w:vAlign w:val="center"/>
          </w:tcPr>
          <w:p>
            <w:pPr>
              <w:pStyle w:val="TableContents"/>
              <w:bidi w:val="0"/>
              <w:spacing w:before="0" w:after="0"/>
              <w:ind w:left="0" w:right="0" w:hanging="0"/>
              <w:jc w:val="left"/>
              <w:rPr/>
            </w:pPr>
            <w:r>
              <w:rPr/>
              <w:t>​</w:t>
            </w:r>
          </w:p>
        </w:tc>
        <w:tc>
          <w:tcPr>
            <w:tcW w:w="240" w:type="dxa"/>
            <w:tcBorders/>
            <w:vAlign w:val="center"/>
          </w:tcPr>
          <w:p>
            <w:pPr>
              <w:pStyle w:val="TableContents"/>
              <w:bidi w:val="0"/>
              <w:spacing w:before="0" w:after="0"/>
              <w:ind w:left="0" w:right="0" w:hanging="0"/>
              <w:jc w:val="right"/>
              <w:rPr/>
            </w:pPr>
            <w:r>
              <w:rPr/>
              <w:t> </w:t>
            </w:r>
          </w:p>
        </w:tc>
        <w:tc>
          <w:tcPr>
            <w:tcW w:w="10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2,308,051</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righ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2,129,539</w:t>
            </w:r>
          </w:p>
        </w:tc>
      </w:tr>
      <w:tr>
        <w:trPr/>
        <w:tc>
          <w:tcPr>
            <w:tcW w:w="4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326" w:type="dxa"/>
            <w:tcBorders/>
            <w:shd w:fill="CCEEFF" w:val="clear"/>
            <w:vAlign w:val="center"/>
          </w:tcPr>
          <w:p>
            <w:pPr>
              <w:pStyle w:val="TableContents"/>
              <w:bidi w:val="0"/>
              <w:spacing w:before="0" w:after="0"/>
              <w:ind w:left="0" w:right="0" w:hanging="0"/>
              <w:jc w:val="left"/>
              <w:rPr/>
            </w:pPr>
            <w:r>
              <w:rPr/>
              <w:t>​</w:t>
            </w:r>
          </w:p>
        </w:tc>
        <w:tc>
          <w:tcPr>
            <w:tcW w:w="240"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65"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2,454,076</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6" w:type="dxa"/>
            <w:tcBorders>
              <w:bottom w:val="single" w:sz="1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2,941,691</w:t>
            </w:r>
          </w:p>
        </w:tc>
      </w:tr>
      <w:tr>
        <w:trPr/>
        <w:tc>
          <w:tcPr>
            <w:tcW w:w="44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40"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6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6,335,648</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6,750,133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pBdr/>
        <w:bidi w:val="0"/>
        <w:spacing w:before="0" w:after="0"/>
        <w:ind w:left="0" w:right="0" w:hanging="360"/>
        <w:jc w:val="left"/>
        <w:rPr/>
      </w:pPr>
      <w:r>
        <w:rPr/>
        <w:t>​</w:t>
      </w:r>
    </w:p>
    <w:p>
      <w:pPr>
        <w:pStyle w:val="TextBody"/>
        <w:pBdr/>
        <w:bidi w:val="0"/>
        <w:spacing w:before="0" w:after="0"/>
        <w:ind w:left="0" w:right="0" w:hanging="36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842" w:name="Tc_tFQMiJnjgU6V433uqLDD5Q_8_8"/>
      <w:bookmarkStart w:id="843" w:name="Tc_YOZzs9zfgE695VDZ2fZrHw_8_5"/>
      <w:bookmarkStart w:id="844" w:name="Tc_SDX5-tWjJ0mW055PI727_A_8_2"/>
      <w:bookmarkStart w:id="845" w:name="Tc_8zJmx3R0Xk22zH9VSu57Gw_8_0"/>
      <w:bookmarkStart w:id="846" w:name="Tc_6_HEDVRft0yIqvOoYetZMg_7_6"/>
      <w:bookmarkStart w:id="847" w:name="Tc_AnMVVaPXC06TEK_XoRZs7Q_7_0"/>
      <w:bookmarkStart w:id="848" w:name="Tc_M5b4iJDJDEaRzEqDjQBbEA_6_6"/>
      <w:bookmarkStart w:id="849" w:name="Tc_LRueW54y20yrhfobDj_lAQ_6_0"/>
      <w:bookmarkStart w:id="850" w:name="Tc_jW_n7ZK7L0GycRVWRPiHwg_5_6"/>
      <w:bookmarkStart w:id="851" w:name="Tc_RAkQ9uulS0SZrIJPgTD3Eg_5_0"/>
      <w:bookmarkStart w:id="852" w:name="Tc_rOvU2ezOYUK_oZPGhkrYeA_4_8"/>
      <w:bookmarkStart w:id="853" w:name="Tc_yG5lZKuAtkypN9DSWYzaLw_4_5"/>
      <w:bookmarkStart w:id="854" w:name="Tc_46r0Bg_I8kOwC8u37dl5YQ_4_2"/>
      <w:bookmarkStart w:id="855" w:name="Tc_Mm_tJTNh5UmeDyFQg8omBw_4_0"/>
      <w:bookmarkStart w:id="856" w:name="Tc_6Yj0CQCNq0KcLZ9J35m8Xw_3_2"/>
      <w:bookmarkStart w:id="857" w:name="Tc_HpcWJ6XEt0CsDpmDCVJ8Ug_2_8"/>
      <w:bookmarkStart w:id="858" w:name="Tc_enczZH8U40O7u4fDKgn5LQ_2_5"/>
      <w:bookmarkStart w:id="859" w:name="Tc_DTc0PIQ0aES76-WXlmjGHg_2_2"/>
      <w:bookmarkStart w:id="860" w:name="Tc_S84DcyZ9nEOpPQ2Ya-lvaw_1_5"/>
      <w:bookmarkStart w:id="861" w:name="_e8ed3cf1_5499_44e9_b3e4_f2ef670caa28"/>
      <w:bookmarkStart w:id="862" w:name="bm_13_Restructuring_integration_and_othe"/>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r>
        <w:rPr>
          <w:rFonts w:ascii="Times New Roman;Times;serif" w:hAnsi="Times New Roman;Times;serif"/>
          <w:b/>
          <w:sz w:val="20"/>
        </w:rPr>
        <w:t>14. Restructuring expenses</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fiscal 2023, the Company’s Farnell operating group incurred restructuring expenses primarily related to the planned closure of a distribution center intended to reduce future operating expenses. The following table presents the activity during the first quarter of fiscal 2024 related to the restructuring liabilities established during fiscal 2024 and the remaining restructuring liabilities established during fiscal 2023:</w:t>
      </w:r>
    </w:p>
    <w:p>
      <w:pPr>
        <w:pStyle w:val="TextBody"/>
        <w:bidi w:val="0"/>
        <w:spacing w:before="0" w:after="0"/>
        <w:ind w:left="0" w:right="0" w:firstLine="480"/>
        <w:jc w:val="left"/>
        <w:rPr/>
      </w:pPr>
      <w:r>
        <w:rPr/>
        <w:t>​</w:t>
      </w:r>
    </w:p>
    <w:tbl>
      <w:tblPr>
        <w:tblW w:w="7763" w:type="dxa"/>
        <w:jc w:val="left"/>
        <w:tblInd w:w="0" w:type="dxa"/>
        <w:tblLayout w:type="fixed"/>
        <w:tblCellMar>
          <w:top w:w="0" w:type="dxa"/>
          <w:left w:w="0" w:type="dxa"/>
          <w:bottom w:w="0" w:type="dxa"/>
          <w:right w:w="0" w:type="dxa"/>
        </w:tblCellMar>
      </w:tblPr>
      <w:tblGrid>
        <w:gridCol w:w="3856"/>
        <w:gridCol w:w="326"/>
        <w:gridCol w:w="232"/>
        <w:gridCol w:w="744"/>
        <w:gridCol w:w="326"/>
        <w:gridCol w:w="319"/>
        <w:gridCol w:w="642"/>
        <w:gridCol w:w="326"/>
        <w:gridCol w:w="211"/>
        <w:gridCol w:w="781"/>
      </w:tblGrid>
      <w:tr>
        <w:trPr/>
        <w:tc>
          <w:tcPr>
            <w:tcW w:w="38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448560" cy="175260"/>
                      <wp:effectExtent l="0" t="0" r="0" b="0"/>
                      <wp:wrapNone/>
                      <wp:docPr id="192" name="Frame192"/>
                      <a:graphic xmlns:a="http://schemas.openxmlformats.org/drawingml/2006/main">
                        <a:graphicData uri="http://schemas.microsoft.com/office/word/2010/wordprocessingShape">
                          <wps:wsp>
                            <wps:cNvSpPr txBox="1"/>
                            <wps:spPr>
                              <a:xfrm>
                                <a:off x="0" y="0"/>
                                <a:ext cx="2448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207010" cy="175260"/>
                      <wp:effectExtent l="0" t="0" r="0" b="0"/>
                      <wp:wrapNone/>
                      <wp:docPr id="193" name="Frame1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147320" cy="175260"/>
                      <wp:effectExtent l="0" t="0" r="0" b="0"/>
                      <wp:wrapNone/>
                      <wp:docPr id="194" name="Frame194"/>
                      <a:graphic xmlns:a="http://schemas.openxmlformats.org/drawingml/2006/main">
                        <a:graphicData uri="http://schemas.microsoft.com/office/word/2010/wordprocessingShape">
                          <wps:wsp>
                            <wps:cNvSpPr txBox="1"/>
                            <wps:spPr>
                              <a:xfrm>
                                <a:off x="0" y="0"/>
                                <a:ext cx="1473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472440" cy="175260"/>
                      <wp:effectExtent l="0" t="0" r="0" b="0"/>
                      <wp:wrapNone/>
                      <wp:docPr id="195" name="Frame195"/>
                      <a:graphic xmlns:a="http://schemas.openxmlformats.org/drawingml/2006/main">
                        <a:graphicData uri="http://schemas.microsoft.com/office/word/2010/wordprocessingShape">
                          <wps:wsp>
                            <wps:cNvSpPr txBox="1"/>
                            <wps:spPr>
                              <a:xfrm>
                                <a:off x="0" y="0"/>
                                <a:ext cx="472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6"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202565" cy="175260"/>
                      <wp:effectExtent l="0" t="0" r="0" b="0"/>
                      <wp:wrapNone/>
                      <wp:docPr id="197" name="Frame197"/>
                      <a:graphic xmlns:a="http://schemas.openxmlformats.org/drawingml/2006/main">
                        <a:graphicData uri="http://schemas.microsoft.com/office/word/2010/wordprocessingShape">
                          <wps:wsp>
                            <wps:cNvSpPr txBox="1"/>
                            <wps:spPr>
                              <a:xfrm>
                                <a:off x="0" y="0"/>
                                <a:ext cx="2025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407670" cy="175260"/>
                      <wp:effectExtent l="0" t="0" r="0" b="0"/>
                      <wp:wrapNone/>
                      <wp:docPr id="198" name="Frame198"/>
                      <a:graphic xmlns:a="http://schemas.openxmlformats.org/drawingml/2006/main">
                        <a:graphicData uri="http://schemas.microsoft.com/office/word/2010/wordprocessingShape">
                          <wps:wsp>
                            <wps:cNvSpPr txBox="1"/>
                            <wps:spPr>
                              <a:xfrm>
                                <a:off x="0" y="0"/>
                                <a:ext cx="4076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207010" cy="175260"/>
                      <wp:effectExtent l="0" t="0" r="0" b="0"/>
                      <wp:wrapNone/>
                      <wp:docPr id="199" name="Frame1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133985" cy="175260"/>
                      <wp:effectExtent l="0" t="0" r="0" b="0"/>
                      <wp:wrapNone/>
                      <wp:docPr id="200" name="Frame200"/>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495935" cy="175260"/>
                      <wp:effectExtent l="0" t="0" r="0" b="0"/>
                      <wp:wrapNone/>
                      <wp:docPr id="201" name="Frame2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856" w:type="dxa"/>
            <w:tcBorders/>
            <w:vAlign w:val="center"/>
          </w:tcPr>
          <w:p>
            <w:pPr>
              <w:pStyle w:val="TableContents"/>
              <w:bidi w:val="0"/>
              <w:spacing w:before="0" w:after="0"/>
              <w:ind w:left="0" w:right="0" w:hanging="0"/>
              <w:jc w:val="left"/>
              <w:rPr>
                <w:color w:val="B2B2B2"/>
              </w:rPr>
            </w:pPr>
            <w:r>
              <w:rPr>
                <w:color w:val="B2B2B2"/>
              </w:rPr>
              <w:t>​</w:t>
            </w:r>
          </w:p>
        </w:tc>
        <w:tc>
          <w:tcPr>
            <w:tcW w:w="326" w:type="dxa"/>
            <w:tcBorders/>
            <w:vAlign w:val="center"/>
          </w:tcPr>
          <w:p>
            <w:pPr>
              <w:pStyle w:val="TableContents"/>
              <w:bidi w:val="0"/>
              <w:spacing w:before="0" w:after="0"/>
              <w:ind w:left="0" w:right="0" w:hanging="0"/>
              <w:jc w:val="center"/>
              <w:rPr>
                <w:color w:val="B2B2B2"/>
              </w:rPr>
            </w:pPr>
            <w:r>
              <w:rPr>
                <w:color w:val="B2B2B2"/>
              </w:rPr>
              <w:t>    </w:t>
            </w:r>
          </w:p>
        </w:tc>
        <w:tc>
          <w:tcPr>
            <w:tcW w:w="232" w:type="dxa"/>
            <w:tcBorders/>
            <w:vAlign w:val="center"/>
          </w:tcPr>
          <w:p>
            <w:pPr>
              <w:pStyle w:val="TableContents"/>
              <w:bidi w:val="0"/>
              <w:spacing w:before="0" w:after="0"/>
              <w:ind w:left="0" w:right="0" w:hanging="0"/>
              <w:jc w:val="center"/>
              <w:rPr>
                <w:color w:val="B2B2B2"/>
              </w:rPr>
            </w:pPr>
            <w:r>
              <w:rPr>
                <w:color w:val="B2B2B2"/>
              </w:rPr>
              <w:t>​</w:t>
            </w:r>
          </w:p>
        </w:tc>
        <w:tc>
          <w:tcPr>
            <w:tcW w:w="744" w:type="dxa"/>
            <w:tcBorders/>
            <w:vAlign w:val="center"/>
          </w:tcPr>
          <w:p>
            <w:pPr>
              <w:pStyle w:val="TableContents"/>
              <w:bidi w:val="0"/>
              <w:spacing w:before="0" w:after="0"/>
              <w:ind w:left="0" w:right="0" w:hanging="0"/>
              <w:jc w:val="center"/>
              <w:rPr>
                <w:color w:val="B2B2B2"/>
              </w:rPr>
            </w:pPr>
            <w:r>
              <w:rPr>
                <w:color w:val="B2B2B2"/>
              </w:rPr>
              <w:t>​</w:t>
            </w:r>
          </w:p>
        </w:tc>
        <w:tc>
          <w:tcPr>
            <w:tcW w:w="326" w:type="dxa"/>
            <w:tcBorders/>
            <w:vAlign w:val="center"/>
          </w:tcPr>
          <w:p>
            <w:pPr>
              <w:pStyle w:val="TableContents"/>
              <w:bidi w:val="0"/>
              <w:spacing w:before="0" w:after="0"/>
              <w:ind w:left="0" w:right="0" w:hanging="0"/>
              <w:jc w:val="center"/>
              <w:rPr>
                <w:color w:val="B2B2B2"/>
              </w:rPr>
            </w:pPr>
            <w:r>
              <w:rPr>
                <w:color w:val="B2B2B2"/>
              </w:rPr>
              <w:t>    </w:t>
            </w:r>
          </w:p>
        </w:tc>
        <w:tc>
          <w:tcPr>
            <w:tcW w:w="961"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Facility</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vAlign w:val="center"/>
          </w:tcPr>
          <w:p>
            <w:pPr>
              <w:pStyle w:val="TableContents"/>
              <w:bidi w:val="0"/>
              <w:spacing w:before="0" w:after="0"/>
              <w:ind w:left="0" w:right="0" w:hanging="0"/>
              <w:jc w:val="center"/>
              <w:rPr/>
            </w:pPr>
            <w:r>
              <w:rPr/>
              <w:t>​</w:t>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7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Severance</w:t>
            </w:r>
          </w:p>
        </w:tc>
        <w:tc>
          <w:tcPr>
            <w:tcW w:w="326" w:type="dxa"/>
            <w:tcBorders/>
            <w:vAlign w:val="center"/>
          </w:tcPr>
          <w:p>
            <w:pPr>
              <w:pStyle w:val="TableContents"/>
              <w:bidi w:val="0"/>
              <w:spacing w:before="0" w:after="0"/>
              <w:ind w:left="0" w:right="0" w:hanging="0"/>
              <w:jc w:val="center"/>
              <w:rPr/>
            </w:pPr>
            <w:r>
              <w:rPr/>
              <w:t>    </w:t>
            </w:r>
          </w:p>
        </w:tc>
        <w:tc>
          <w:tcPr>
            <w:tcW w:w="96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Exit Costs</w:t>
            </w:r>
          </w:p>
        </w:tc>
        <w:tc>
          <w:tcPr>
            <w:tcW w:w="326" w:type="dxa"/>
            <w:tcBorders/>
            <w:vAlign w:val="center"/>
          </w:tcPr>
          <w:p>
            <w:pPr>
              <w:pStyle w:val="TableContents"/>
              <w:bidi w:val="0"/>
              <w:spacing w:before="0" w:after="0"/>
              <w:ind w:left="0" w:right="0" w:hanging="0"/>
              <w:jc w:val="center"/>
              <w:rPr/>
            </w:pPr>
            <w:r>
              <w:rPr/>
              <w:t>    </w:t>
            </w:r>
          </w:p>
        </w:tc>
        <w:tc>
          <w:tcPr>
            <w:tcW w:w="992"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r>
      <w:tr>
        <w:trPr/>
        <w:tc>
          <w:tcPr>
            <w:tcW w:w="7763" w:type="dxa"/>
            <w:gridSpan w:val="10"/>
            <w:tcBorders/>
            <w:vAlign w:val="center"/>
          </w:tcPr>
          <w:p>
            <w:pPr>
              <w:pStyle w:val="TableContents"/>
              <w:bidi w:val="0"/>
              <w:spacing w:before="0" w:after="283"/>
              <w:ind w:left="0" w:right="0" w:hanging="0"/>
              <w:jc w:val="left"/>
              <w:rPr>
                <w:sz w:val="4"/>
                <w:szCs w:val="4"/>
              </w:rPr>
            </w:pPr>
            <w:r>
              <w:rPr>
                <w:sz w:val="4"/>
                <w:szCs w:val="4"/>
              </w:rPr>
            </w:r>
          </w:p>
        </w:tc>
      </w:tr>
      <w:tr>
        <w:trPr/>
        <w:tc>
          <w:tcPr>
            <w:tcW w:w="38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81" w:type="dxa"/>
            <w:gridSpan w:val="8"/>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July 1, 2023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15,507</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16,011</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2024 restructuring expenses</w:t>
            </w:r>
          </w:p>
        </w:tc>
        <w:tc>
          <w:tcPr>
            <w:tcW w:w="326" w:type="dxa"/>
            <w:tcBorders/>
            <w:vAlign w:val="center"/>
          </w:tcPr>
          <w:p>
            <w:pPr>
              <w:pStyle w:val="TableContents"/>
              <w:bidi w:val="0"/>
              <w:spacing w:before="0" w:after="0"/>
              <w:ind w:left="0" w:right="0" w:hanging="0"/>
              <w:jc w:val="left"/>
              <w:rPr/>
            </w:pPr>
            <w:r>
              <w:rPr/>
              <w:t>​</w:t>
            </w:r>
          </w:p>
        </w:tc>
        <w:tc>
          <w:tcPr>
            <w:tcW w:w="232" w:type="dxa"/>
            <w:tcBorders/>
            <w:vAlign w:val="center"/>
          </w:tcPr>
          <w:p>
            <w:pPr>
              <w:pStyle w:val="TableContents"/>
              <w:bidi w:val="0"/>
              <w:spacing w:before="0" w:after="0"/>
              <w:ind w:left="0" w:right="0" w:hanging="0"/>
              <w:jc w:val="left"/>
              <w:rPr/>
            </w:pPr>
            <w:r>
              <w:rPr/>
              <w:t>​</w:t>
            </w:r>
          </w:p>
        </w:tc>
        <w:tc>
          <w:tcPr>
            <w:tcW w:w="7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w:t>
            </w:r>
          </w:p>
        </w:tc>
        <w:tc>
          <w:tcPr>
            <w:tcW w:w="326" w:type="dxa"/>
            <w:tcBorders/>
            <w:vAlign w:val="center"/>
          </w:tcPr>
          <w:p>
            <w:pPr>
              <w:pStyle w:val="TableContents"/>
              <w:bidi w:val="0"/>
              <w:spacing w:before="0" w:after="0"/>
              <w:ind w:left="0" w:right="0" w:hanging="0"/>
              <w:jc w:val="left"/>
              <w:rPr/>
            </w:pPr>
            <w:r>
              <w:rPr/>
              <w:t>​</w:t>
            </w:r>
          </w:p>
        </w:tc>
        <w:tc>
          <w:tcPr>
            <w:tcW w:w="319" w:type="dxa"/>
            <w:tcBorders/>
            <w:vAlign w:val="center"/>
          </w:tcPr>
          <w:p>
            <w:pPr>
              <w:pStyle w:val="TableContents"/>
              <w:bidi w:val="0"/>
              <w:spacing w:before="0" w:after="0"/>
              <w:ind w:left="0" w:right="0" w:hanging="0"/>
              <w:jc w:val="left"/>
              <w:rPr/>
            </w:pPr>
            <w:r>
              <w:rPr/>
              <w:t>​</w:t>
            </w:r>
          </w:p>
        </w:tc>
        <w:tc>
          <w:tcPr>
            <w:tcW w:w="642"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2,678</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payments</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shd w:fill="CCEEFF" w:val="clear"/>
            <w:vAlign w:val="center"/>
          </w:tcPr>
          <w:p>
            <w:pPr>
              <w:pStyle w:val="TableContents"/>
              <w:bidi w:val="0"/>
              <w:spacing w:before="0" w:after="0"/>
              <w:ind w:left="0" w:right="0" w:hanging="0"/>
              <w:jc w:val="right"/>
              <w:rPr/>
            </w:pPr>
            <w:r>
              <w:rPr/>
              <w:t> </w:t>
            </w:r>
          </w:p>
        </w:tc>
        <w:tc>
          <w:tcPr>
            <w:tcW w:w="7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shd w:fill="CCEEFF" w:val="clear"/>
            <w:vAlign w:val="center"/>
          </w:tcPr>
          <w:p>
            <w:pPr>
              <w:pStyle w:val="TableContents"/>
              <w:bidi w:val="0"/>
              <w:spacing w:before="0" w:after="0"/>
              <w:ind w:left="0" w:right="0" w:hanging="0"/>
              <w:jc w:val="right"/>
              <w:rPr/>
            </w:pPr>
            <w:r>
              <w:rPr/>
              <w:t>​</w:t>
            </w:r>
          </w:p>
        </w:tc>
        <w:tc>
          <w:tcPr>
            <w:tcW w:w="642"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righ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w:t>
            </w:r>
          </w:p>
        </w:tc>
      </w:tr>
      <w:tr>
        <w:trPr/>
        <w:tc>
          <w:tcPr>
            <w:tcW w:w="38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principally foreign currency translation</w:t>
            </w:r>
          </w:p>
        </w:tc>
        <w:tc>
          <w:tcPr>
            <w:tcW w:w="326" w:type="dxa"/>
            <w:tcBorders/>
            <w:vAlign w:val="center"/>
          </w:tcPr>
          <w:p>
            <w:pPr>
              <w:pStyle w:val="TableContents"/>
              <w:bidi w:val="0"/>
              <w:spacing w:before="0" w:after="0"/>
              <w:ind w:left="0" w:right="0" w:hanging="0"/>
              <w:jc w:val="left"/>
              <w:rPr/>
            </w:pPr>
            <w:r>
              <w:rPr/>
              <w:t>​</w:t>
            </w:r>
          </w:p>
        </w:tc>
        <w:tc>
          <w:tcPr>
            <w:tcW w:w="232" w:type="dxa"/>
            <w:tcBorders>
              <w:bottom w:val="single" w:sz="12" w:space="0" w:color="000000"/>
            </w:tcBorders>
            <w:tcMar>
              <w:bottom w:w="28" w:type="dxa"/>
            </w:tcMar>
            <w:vAlign w:val="center"/>
          </w:tcPr>
          <w:p>
            <w:pPr>
              <w:pStyle w:val="TableContents"/>
              <w:bidi w:val="0"/>
              <w:spacing w:before="0" w:after="0"/>
              <w:ind w:left="0" w:right="0" w:hanging="0"/>
              <w:jc w:val="right"/>
              <w:rPr/>
            </w:pPr>
            <w:r>
              <w:rPr/>
              <w:t> </w:t>
            </w:r>
          </w:p>
        </w:tc>
        <w:tc>
          <w:tcPr>
            <w:tcW w:w="744"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c>
          <w:tcPr>
            <w:tcW w:w="326" w:type="dxa"/>
            <w:tcBorders/>
            <w:vAlign w:val="center"/>
          </w:tcPr>
          <w:p>
            <w:pPr>
              <w:pStyle w:val="TableContents"/>
              <w:bidi w:val="0"/>
              <w:spacing w:before="0" w:after="0"/>
              <w:ind w:left="0" w:right="0" w:hanging="0"/>
              <w:jc w:val="left"/>
              <w:rPr/>
            </w:pPr>
            <w:r>
              <w:rPr/>
              <w:t>​</w:t>
            </w:r>
          </w:p>
        </w:tc>
        <w:tc>
          <w:tcPr>
            <w:tcW w:w="319"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642"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211" w:type="dxa"/>
            <w:tcBorders>
              <w:bottom w:val="single" w:sz="12" w:space="0" w:color="000000"/>
            </w:tcBorders>
            <w:tcMar>
              <w:bottom w:w="28" w:type="dxa"/>
            </w:tcMar>
            <w:vAlign w:val="center"/>
          </w:tcPr>
          <w:p>
            <w:pPr>
              <w:pStyle w:val="TableContents"/>
              <w:bidi w:val="0"/>
              <w:spacing w:before="0" w:after="0"/>
              <w:ind w:left="0" w:right="0" w:hanging="0"/>
              <w:jc w:val="right"/>
              <w:rPr/>
            </w:pPr>
            <w:r>
              <w:rPr/>
              <w:t>​</w:t>
            </w:r>
          </w:p>
        </w:tc>
        <w:tc>
          <w:tcPr>
            <w:tcW w:w="781" w:type="dxa"/>
            <w:tcBorders>
              <w:bottom w:val="single" w:sz="1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w:t>
            </w:r>
          </w:p>
        </w:tc>
      </w:tr>
      <w:tr>
        <w:trPr/>
        <w:tc>
          <w:tcPr>
            <w:tcW w:w="385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September 30, 2023</w:t>
            </w:r>
          </w:p>
        </w:tc>
        <w:tc>
          <w:tcPr>
            <w:tcW w:w="326" w:type="dxa"/>
            <w:tcBorders/>
            <w:shd w:fill="CCEEFF" w:val="clear"/>
            <w:vAlign w:val="center"/>
          </w:tcPr>
          <w:p>
            <w:pPr>
              <w:pStyle w:val="TableContents"/>
              <w:bidi w:val="0"/>
              <w:spacing w:before="0" w:after="0"/>
              <w:ind w:left="0" w:right="0" w:hanging="0"/>
              <w:jc w:val="left"/>
              <w:rPr/>
            </w:pPr>
            <w:r>
              <w:rPr/>
              <w:t>​</w:t>
            </w:r>
          </w:p>
        </w:tc>
        <w:tc>
          <w:tcPr>
            <w:tcW w:w="2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17,768</w:t>
            </w:r>
          </w:p>
        </w:tc>
        <w:tc>
          <w:tcPr>
            <w:tcW w:w="326" w:type="dxa"/>
            <w:tcBorders/>
            <w:shd w:fill="CCEEFF" w:val="clear"/>
            <w:vAlign w:val="center"/>
          </w:tcPr>
          <w:p>
            <w:pPr>
              <w:pStyle w:val="TableContents"/>
              <w:bidi w:val="0"/>
              <w:spacing w:before="0" w:after="0"/>
              <w:ind w:left="0" w:right="0" w:hanging="0"/>
              <w:jc w:val="left"/>
              <w:rPr/>
            </w:pPr>
            <w:r>
              <w:rPr/>
              <w:t>​</w:t>
            </w:r>
          </w:p>
        </w:tc>
        <w:tc>
          <w:tcPr>
            <w:tcW w:w="31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504</w:t>
            </w:r>
          </w:p>
        </w:tc>
        <w:tc>
          <w:tcPr>
            <w:tcW w:w="326"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18,272</w:t>
            </w:r>
          </w:p>
        </w:tc>
      </w:tr>
    </w:tbl>
    <w:p>
      <w:pPr>
        <w:pStyle w:val="TextBody"/>
        <w:bidi w:val="0"/>
        <w:spacing w:before="0" w:after="0"/>
        <w:ind w:left="0" w:right="0" w:firstLine="480"/>
        <w:jc w:val="left"/>
        <w:rPr/>
      </w:pPr>
      <w:r>
        <w:rPr/>
        <w:t>​</w:t>
      </w:r>
    </w:p>
    <w:p>
      <w:pPr>
        <w:pStyle w:val="TextBody"/>
        <w:bidi w:val="0"/>
        <w:spacing w:before="0" w:after="0"/>
        <w:ind w:left="0" w:right="0" w:firstLine="475"/>
        <w:jc w:val="left"/>
        <w:rPr/>
      </w:pPr>
      <w:r>
        <w:rPr/>
        <w:t>​</w:t>
      </w:r>
    </w:p>
    <w:p>
      <w:pPr>
        <w:pStyle w:val="TextBody"/>
        <w:bidi w:val="0"/>
        <w:spacing w:before="0" w:after="0"/>
        <w:ind w:left="0" w:right="0" w:firstLine="475"/>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lineRule="auto" w:line="343"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240" w:after="0"/>
        <w:ind w:left="0" w:right="0" w:firstLine="450"/>
        <w:jc w:val="left"/>
        <w:rPr>
          <w:rFonts w:ascii="Times New Roman;Times;serif" w:hAnsi="Times New Roman;Times;serif"/>
          <w:sz w:val="20"/>
        </w:rPr>
      </w:pPr>
      <w:bookmarkStart w:id="863" w:name="_7dc5ffc4_f547_48fb_9092_8362e60d1f07"/>
      <w:bookmarkEnd w:id="863"/>
      <w:r>
        <w:rPr>
          <w:rFonts w:ascii="Times New Roman;Times;serif" w:hAnsi="Times New Roman;Times;serif"/>
          <w:sz w:val="20"/>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July 1, 2023,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including supply shortages; relationships with key suppliers and allocations of products by suppliers, including increased non-cancellable/non-returnable orders; accounts receivable defaults; risks relating to the Company’s international sales and operations, including risks relating to repatriating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pStyle w:val="TextBody"/>
        <w:bidi w:val="0"/>
        <w:spacing w:before="0" w:after="0"/>
        <w:ind w:left="0" w:right="0" w:firstLine="450"/>
        <w:jc w:val="left"/>
        <w:rPr/>
      </w:pPr>
      <w:r>
        <w:rPr/>
        <w:t>​</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pStyle w:val="TextBody"/>
        <w:bidi w:val="0"/>
        <w:spacing w:before="0" w:after="0"/>
        <w:ind w:left="0" w:right="0" w:firstLine="450"/>
        <w:jc w:val="both"/>
        <w:rPr/>
      </w:pPr>
      <w:r>
        <w:rPr/>
        <w:t>​</w:t>
      </w:r>
    </w:p>
    <w:p>
      <w:pPr>
        <w:pStyle w:val="Normal"/>
        <w:bidi w:val="0"/>
        <w:spacing w:before="0" w:after="0"/>
        <w:jc w:val="left"/>
        <w:rPr>
          <w:sz w:val="4"/>
          <w:szCs w:val="4"/>
        </w:rPr>
      </w:pPr>
      <w:r>
        <w:rPr>
          <w:sz w:val="4"/>
          <w:szCs w:val="4"/>
        </w:rPr>
      </w:r>
      <w:bookmarkStart w:id="864" w:name="Item_2"/>
      <w:bookmarkStart w:id="865" w:name="Item_2_Managements_Discussion_and_Analy"/>
      <w:bookmarkStart w:id="866" w:name="Item_2"/>
      <w:bookmarkStart w:id="867" w:name="Item_2_Managements_Discussion_and_Analy"/>
      <w:bookmarkEnd w:id="866"/>
      <w:bookmarkEnd w:id="867"/>
    </w:p>
    <w:tbl>
      <w:tblPr>
        <w:tblW w:w="8267" w:type="dxa"/>
        <w:jc w:val="left"/>
        <w:tblInd w:w="0" w:type="dxa"/>
        <w:tblLayout w:type="fixed"/>
        <w:tblCellMar>
          <w:top w:w="0" w:type="dxa"/>
          <w:left w:w="0" w:type="dxa"/>
          <w:bottom w:w="0" w:type="dxa"/>
          <w:right w:w="0" w:type="dxa"/>
        </w:tblCellMar>
      </w:tblPr>
      <w:tblGrid>
        <w:gridCol w:w="706"/>
        <w:gridCol w:w="756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w:t>
            </w:r>
          </w:p>
        </w:tc>
        <w:tc>
          <w:tcPr>
            <w:tcW w:w="756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Management’s Discussion and Analysis of Financial Condition and Results of Operations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description of the Company’s critical accounting policies and an understanding of Avnet and the significant factors that influenced the Company’s performance during the quarter ended September 30, 2023, this </w:t>
      </w:r>
      <w:r>
        <w:rPr>
          <w:rFonts w:ascii="Times New Roman;Times;serif" w:hAnsi="Times New Roman;Times;serif"/>
          <w:i/>
          <w:sz w:val="20"/>
        </w:rPr>
        <w:t>Management’s Discussion and Analysis of Financial Condition and Results of Operations</w:t>
      </w:r>
      <w:r>
        <w:rPr>
          <w:rFonts w:ascii="Times New Roman;Times;serif" w:hAnsi="Times New Roman;Times;serif"/>
          <w:sz w:val="20"/>
        </w:rPr>
        <w:t xml:space="preserve"> (“MD&amp;A”) should be read in conjunction with the consolidated financial statements, including the related notes, appearing in Item 1 of this Quarterly Report on Form 10-Q, as well as the Company’s Annual Report on Form 10-K for the fiscal year ended July 1, 2023.</w:t>
      </w:r>
    </w:p>
    <w:p>
      <w:pPr>
        <w:pStyle w:val="TextBody"/>
        <w:bidi w:val="0"/>
        <w:spacing w:before="240" w:after="0"/>
        <w:ind w:left="0" w:right="0" w:firstLine="480"/>
        <w:jc w:val="left"/>
        <w:rPr>
          <w:rFonts w:ascii="Times New Roman;Times;serif" w:hAnsi="Times New Roman;Times;serif"/>
          <w:sz w:val="20"/>
        </w:rPr>
      </w:pPr>
      <w:bookmarkStart w:id="868" w:name="_Hlk85693413"/>
      <w:bookmarkEnd w:id="868"/>
      <w:r>
        <w:rPr>
          <w:rFonts w:ascii="Times New Roman;Times;serif" w:hAnsi="Times New Roman;Times;serif"/>
          <w:sz w:val="20"/>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In addition to disclosing financial results that are determined in accordance with generally accepted accounting principles in the U.S. (“GAAP”), the Company also discloses certain non-GAAP financial information, including:</w:t>
      </w:r>
    </w:p>
    <w:p>
      <w:pPr>
        <w:pStyle w:val="TextBody"/>
        <w:bidi w:val="0"/>
        <w:spacing w:before="0" w:after="0"/>
        <w:ind w:left="0" w:right="0" w:firstLine="480"/>
        <w:jc w:val="both"/>
        <w:rPr/>
      </w:pPr>
      <w:r>
        <w:rPr/>
        <w: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income excluding (i) restructuring, integration and other expenses, and (ii) amortization of acquired intangible assets is referred to as “adjusted operating income.”</w:t>
            </w:r>
          </w:p>
        </w:tc>
      </w:tr>
    </w:tbl>
    <w:p>
      <w:pPr>
        <w:pStyle w:val="TextBody"/>
        <w:bidi w:val="0"/>
        <w:spacing w:before="0" w:after="0"/>
        <w:ind w:left="72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reconciliation of operating income to adjusted operating income is presented in the following table:</w:t>
      </w:r>
    </w:p>
    <w:p>
      <w:pPr>
        <w:pStyle w:val="TextBody"/>
        <w:bidi w:val="0"/>
        <w:spacing w:before="0" w:after="0"/>
        <w:ind w:left="0" w:right="0" w:firstLine="480"/>
        <w:jc w:val="both"/>
        <w:rPr/>
      </w:pPr>
      <w:r>
        <w:rPr/>
        <w:t>​</w:t>
      </w:r>
    </w:p>
    <w:p>
      <w:pPr>
        <w:pStyle w:val="TextBody"/>
        <w:bidi w:val="0"/>
        <w:spacing w:before="0" w:after="0"/>
        <w:ind w:left="0" w:right="0" w:hanging="0"/>
        <w:jc w:val="left"/>
        <w:rPr/>
      </w:pPr>
      <w:r>
        <w:rPr/>
        <w:t>​</w:t>
      </w:r>
    </w:p>
    <w:tbl>
      <w:tblPr>
        <w:tblW w:w="7420" w:type="dxa"/>
        <w:jc w:val="left"/>
        <w:tblInd w:w="0" w:type="dxa"/>
        <w:tblLayout w:type="fixed"/>
        <w:tblCellMar>
          <w:top w:w="0" w:type="dxa"/>
          <w:left w:w="0" w:type="dxa"/>
          <w:bottom w:w="0" w:type="dxa"/>
          <w:right w:w="0" w:type="dxa"/>
        </w:tblCellMar>
      </w:tblPr>
      <w:tblGrid>
        <w:gridCol w:w="4366"/>
        <w:gridCol w:w="326"/>
        <w:gridCol w:w="277"/>
        <w:gridCol w:w="1028"/>
        <w:gridCol w:w="326"/>
        <w:gridCol w:w="211"/>
        <w:gridCol w:w="886"/>
      </w:tblGrid>
      <w:tr>
        <w:trPr/>
        <w:tc>
          <w:tcPr>
            <w:tcW w:w="4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772410" cy="175260"/>
                      <wp:effectExtent l="0" t="0" r="0" b="0"/>
                      <wp:wrapNone/>
                      <wp:docPr id="202" name="Frame202"/>
                      <a:graphic xmlns:a="http://schemas.openxmlformats.org/drawingml/2006/main">
                        <a:graphicData uri="http://schemas.microsoft.com/office/word/2010/wordprocessingShape">
                          <wps:wsp>
                            <wps:cNvSpPr txBox="1"/>
                            <wps:spPr>
                              <a:xfrm>
                                <a:off x="0" y="0"/>
                                <a:ext cx="27724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207010" cy="175260"/>
                      <wp:effectExtent l="0" t="0" r="0" b="0"/>
                      <wp:wrapNone/>
                      <wp:docPr id="203" name="Frame2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175895" cy="175260"/>
                      <wp:effectExtent l="0" t="0" r="0" b="0"/>
                      <wp:wrapNone/>
                      <wp:docPr id="204" name="Frame204"/>
                      <a:graphic xmlns:a="http://schemas.openxmlformats.org/drawingml/2006/main">
                        <a:graphicData uri="http://schemas.microsoft.com/office/word/2010/wordprocessingShape">
                          <wps:wsp>
                            <wps:cNvSpPr txBox="1"/>
                            <wps:spPr>
                              <a:xfrm>
                                <a:off x="0" y="0"/>
                                <a:ext cx="17589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102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52780" cy="175260"/>
                      <wp:effectExtent l="0" t="0" r="0" b="0"/>
                      <wp:wrapNone/>
                      <wp:docPr id="205" name="Frame205"/>
                      <a:graphic xmlns:a="http://schemas.openxmlformats.org/drawingml/2006/main">
                        <a:graphicData uri="http://schemas.microsoft.com/office/word/2010/wordprocessingShape">
                          <wps:wsp>
                            <wps:cNvSpPr txBox="1"/>
                            <wps:spPr>
                              <a:xfrm>
                                <a:off x="0" y="0"/>
                                <a:ext cx="65278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6" name="Frame2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133985" cy="175260"/>
                      <wp:effectExtent l="0" t="0" r="0" b="0"/>
                      <wp:wrapNone/>
                      <wp:docPr id="207" name="Frame207"/>
                      <a:graphic xmlns:a="http://schemas.openxmlformats.org/drawingml/2006/main">
                        <a:graphicData uri="http://schemas.microsoft.com/office/word/2010/wordprocessingShape">
                          <wps:wsp>
                            <wps:cNvSpPr txBox="1"/>
                            <wps:spPr>
                              <a:xfrm>
                                <a:off x="0" y="0"/>
                                <a:ext cx="133985"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562610" cy="175260"/>
                      <wp:effectExtent l="0" t="0" r="0" b="0"/>
                      <wp:wrapNone/>
                      <wp:docPr id="208" name="Frame2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lineRule="atLeast" w:line="240"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tLeast" w:line="240" w:before="0" w:after="0"/>
                              <w:ind w:left="0" w:right="0" w:hanging="0"/>
                              <w:jc w:val="left"/>
                              <w:rPr/>
                            </w:pPr>
                            <w:r>
                              <w:rPr/>
                              <w:t>​</w:t>
                            </w:r>
                          </w:p>
                        </w:txbxContent>
                      </v:textbox>
                      <w10:wrap type="none"/>
                    </v:rect>
                  </w:pict>
                </mc:Fallback>
              </mc:AlternateContent>
            </w:r>
          </w:p>
        </w:tc>
      </w:tr>
      <w:tr>
        <w:trPr/>
        <w:tc>
          <w:tcPr>
            <w:tcW w:w="436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728" w:type="dxa"/>
            <w:gridSpan w:val="5"/>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First Quarters Ended</w:t>
            </w:r>
          </w:p>
        </w:tc>
      </w:tr>
      <w:tr>
        <w:trPr/>
        <w:tc>
          <w:tcPr>
            <w:tcW w:w="436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    </w:t>
            </w:r>
          </w:p>
        </w:tc>
        <w:tc>
          <w:tcPr>
            <w:tcW w:w="1305"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September 30,</w:t>
            </w:r>
          </w:p>
        </w:tc>
        <w:tc>
          <w:tcPr>
            <w:tcW w:w="326" w:type="dxa"/>
            <w:tcBorders/>
            <w:vAlign w:val="center"/>
          </w:tcPr>
          <w:p>
            <w:pPr>
              <w:pStyle w:val="TableContents"/>
              <w:bidi w:val="0"/>
              <w:spacing w:lineRule="atLeast" w:line="240" w:before="0" w:after="0"/>
              <w:ind w:left="0" w:right="0" w:hanging="0"/>
              <w:jc w:val="center"/>
              <w:rPr/>
            </w:pPr>
            <w:r>
              <w:rPr/>
              <w:t>    </w:t>
            </w:r>
          </w:p>
        </w:tc>
        <w:tc>
          <w:tcPr>
            <w:tcW w:w="1097" w:type="dxa"/>
            <w:gridSpan w:val="2"/>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October 1,</w:t>
            </w:r>
          </w:p>
        </w:tc>
      </w:tr>
      <w:tr>
        <w:trPr/>
        <w:tc>
          <w:tcPr>
            <w:tcW w:w="436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1305"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vAlign w:val="center"/>
          </w:tcPr>
          <w:p>
            <w:pPr>
              <w:pStyle w:val="TableContents"/>
              <w:bidi w:val="0"/>
              <w:spacing w:lineRule="atLeast" w:line="240" w:before="0" w:after="0"/>
              <w:ind w:left="0" w:right="0" w:hanging="0"/>
              <w:jc w:val="center"/>
              <w:rPr/>
            </w:pPr>
            <w:r>
              <w:rPr/>
              <w:t>    </w:t>
            </w:r>
          </w:p>
        </w:tc>
        <w:tc>
          <w:tcPr>
            <w:tcW w:w="1097" w:type="dxa"/>
            <w:gridSpan w:val="2"/>
            <w:tcBorders>
              <w:bottom w:val="single" w:sz="12" w:space="0" w:color="000000"/>
            </w:tcBorders>
            <w:tcMar>
              <w:bottom w:w="28" w:type="dxa"/>
            </w:tcMar>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7420" w:type="dxa"/>
            <w:gridSpan w:val="7"/>
            <w:tcBorders/>
            <w:vAlign w:val="center"/>
          </w:tcPr>
          <w:p>
            <w:pPr>
              <w:pStyle w:val="TableContents"/>
              <w:bidi w:val="0"/>
              <w:spacing w:before="0" w:after="283"/>
              <w:ind w:left="0" w:right="0" w:hanging="0"/>
              <w:jc w:val="left"/>
              <w:rPr>
                <w:sz w:val="4"/>
                <w:szCs w:val="4"/>
              </w:rPr>
            </w:pPr>
            <w:r>
              <w:rPr>
                <w:sz w:val="4"/>
                <w:szCs w:val="4"/>
              </w:rPr>
            </w:r>
          </w:p>
        </w:tc>
      </w:tr>
      <w:tr>
        <w:trPr/>
        <w:tc>
          <w:tcPr>
            <w:tcW w:w="4366" w:type="dxa"/>
            <w:tcBorders/>
            <w:vAlign w:val="center"/>
          </w:tcPr>
          <w:p>
            <w:pPr>
              <w:pStyle w:val="TableContents"/>
              <w:bidi w:val="0"/>
              <w:spacing w:lineRule="atLeast" w:line="240" w:before="0" w:after="0"/>
              <w:ind w:left="0" w:right="0" w:hanging="0"/>
              <w:jc w:val="left"/>
              <w:rPr/>
            </w:pPr>
            <w:r>
              <w:rPr/>
              <w:t>​</w:t>
            </w:r>
          </w:p>
        </w:tc>
        <w:tc>
          <w:tcPr>
            <w:tcW w:w="326" w:type="dxa"/>
            <w:tcBorders/>
            <w:vAlign w:val="center"/>
          </w:tcPr>
          <w:p>
            <w:pPr>
              <w:pStyle w:val="TableContents"/>
              <w:bidi w:val="0"/>
              <w:spacing w:lineRule="atLeast" w:line="240" w:before="0" w:after="0"/>
              <w:ind w:left="0" w:right="0" w:hanging="0"/>
              <w:jc w:val="center"/>
              <w:rPr/>
            </w:pPr>
            <w:r>
              <w:rPr/>
              <w:t>​</w:t>
            </w:r>
          </w:p>
        </w:tc>
        <w:tc>
          <w:tcPr>
            <w:tcW w:w="2728" w:type="dxa"/>
            <w:gridSpan w:val="5"/>
            <w:tcBorders/>
            <w:vAlign w:val="center"/>
          </w:tcPr>
          <w:p>
            <w:pPr>
              <w:pStyle w:val="TableContents"/>
              <w:bidi w:val="0"/>
              <w:spacing w:lineRule="atLeast" w:line="240" w:before="0" w:after="0"/>
              <w:ind w:left="0" w:right="0" w:hanging="0"/>
              <w:jc w:val="center"/>
              <w:rPr>
                <w:rFonts w:ascii="Times New Roman;Times;serif" w:hAnsi="Times New Roman;Times;serif"/>
                <w:b/>
                <w:sz w:val="20"/>
              </w:rPr>
            </w:pPr>
            <w:r>
              <w:rPr>
                <w:rFonts w:ascii="Times New Roman;Times;serif" w:hAnsi="Times New Roman;Times;serif"/>
                <w:b/>
                <w:sz w:val="20"/>
              </w:rPr>
              <w:t>(Thousands)</w:t>
            </w:r>
          </w:p>
        </w:tc>
      </w:tr>
      <w:tr>
        <w:trPr/>
        <w:tc>
          <w:tcPr>
            <w:tcW w:w="436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Operating income</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77"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253,769</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shd w:fill="CCEEFF" w:val="cle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290,537</w:t>
            </w:r>
          </w:p>
        </w:tc>
      </w:tr>
      <w:tr>
        <w:trPr/>
        <w:tc>
          <w:tcPr>
            <w:tcW w:w="436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Restructuring, integration and other expenses</w:t>
            </w:r>
          </w:p>
        </w:tc>
        <w:tc>
          <w:tcPr>
            <w:tcW w:w="326" w:type="dxa"/>
            <w:tcBorders/>
            <w:vAlign w:val="center"/>
          </w:tcPr>
          <w:p>
            <w:pPr>
              <w:pStyle w:val="TableContents"/>
              <w:bidi w:val="0"/>
              <w:spacing w:lineRule="atLeast" w:line="240" w:before="0" w:after="0"/>
              <w:ind w:left="0" w:right="0" w:hanging="0"/>
              <w:jc w:val="left"/>
              <w:rPr/>
            </w:pPr>
            <w:r>
              <w:rPr/>
              <w:t>​</w:t>
            </w:r>
          </w:p>
        </w:tc>
        <w:tc>
          <w:tcPr>
            <w:tcW w:w="277" w:type="dxa"/>
            <w:tcBorders/>
            <w:vAlign w:val="center"/>
          </w:tcPr>
          <w:p>
            <w:pPr>
              <w:pStyle w:val="TableContents"/>
              <w:bidi w:val="0"/>
              <w:spacing w:lineRule="atLeast" w:line="240" w:before="0" w:after="0"/>
              <w:ind w:left="0" w:right="0" w:hanging="0"/>
              <w:jc w:val="right"/>
              <w:rPr/>
            </w:pPr>
            <w:r>
              <w:rPr/>
              <w:t> </w:t>
            </w:r>
          </w:p>
        </w:tc>
        <w:tc>
          <w:tcPr>
            <w:tcW w:w="1028" w:type="dxa"/>
            <w:tcBorders/>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7,051</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vAlign w:val="center"/>
          </w:tcPr>
          <w:p>
            <w:pPr>
              <w:pStyle w:val="TableContents"/>
              <w:bidi w:val="0"/>
              <w:spacing w:lineRule="atLeast" w:line="240" w:before="0" w:after="0"/>
              <w:ind w:left="0" w:right="0" w:hanging="0"/>
              <w:jc w:val="right"/>
              <w:rPr/>
            </w:pPr>
            <w:r>
              <w:rPr/>
              <w:t> </w:t>
            </w:r>
          </w:p>
        </w:tc>
        <w:tc>
          <w:tcPr>
            <w:tcW w:w="886" w:type="dxa"/>
            <w:tcBorders/>
            <w:vAlign w:val="center"/>
          </w:tcPr>
          <w:p>
            <w:pPr>
              <w:pStyle w:val="TableContents"/>
              <w:bidi w:val="0"/>
              <w:spacing w:lineRule="atLeast" w:line="240" w:before="0" w:after="0"/>
              <w:ind w:left="0" w:right="0" w:hanging="0"/>
              <w:jc w:val="right"/>
              <w:rPr/>
            </w:pPr>
            <w:r>
              <w:rPr/>
              <w:t>—</w:t>
            </w:r>
          </w:p>
        </w:tc>
      </w:tr>
      <w:tr>
        <w:trPr/>
        <w:tc>
          <w:tcPr>
            <w:tcW w:w="4366" w:type="dxa"/>
            <w:tcBorders/>
            <w:shd w:fill="CCEEFF" w:val="cle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Amortization of acquired intangible assets and other</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77"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1028"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878</w:t>
            </w:r>
          </w:p>
        </w:tc>
        <w:tc>
          <w:tcPr>
            <w:tcW w:w="326" w:type="dxa"/>
            <w:tcBorders/>
            <w:shd w:fill="CCEEFF" w:val="clear"/>
            <w:vAlign w:val="center"/>
          </w:tcPr>
          <w:p>
            <w:pPr>
              <w:pStyle w:val="TableContents"/>
              <w:bidi w:val="0"/>
              <w:spacing w:lineRule="atLeast" w:line="240" w:before="0" w:after="0"/>
              <w:ind w:left="0" w:right="0" w:hanging="0"/>
              <w:jc w:val="left"/>
              <w:rPr/>
            </w:pPr>
            <w:r>
              <w:rPr/>
              <w:t>​</w:t>
            </w:r>
          </w:p>
        </w:tc>
        <w:tc>
          <w:tcPr>
            <w:tcW w:w="211"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pPr>
            <w:r>
              <w:rPr/>
              <w:t> </w:t>
            </w:r>
          </w:p>
        </w:tc>
        <w:tc>
          <w:tcPr>
            <w:tcW w:w="886" w:type="dxa"/>
            <w:tcBorders>
              <w:bottom w:val="single" w:sz="12" w:space="0" w:color="000000"/>
            </w:tcBorders>
            <w:shd w:fill="CCEEFF" w:val="clear"/>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2,759</w:t>
            </w:r>
          </w:p>
        </w:tc>
      </w:tr>
      <w:tr>
        <w:trPr/>
        <w:tc>
          <w:tcPr>
            <w:tcW w:w="4366" w:type="dxa"/>
            <w:tcBorders/>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 xml:space="preserve">Adjusted operating income </w:t>
            </w:r>
          </w:p>
        </w:tc>
        <w:tc>
          <w:tcPr>
            <w:tcW w:w="326" w:type="dxa"/>
            <w:tcBorders/>
            <w:vAlign w:val="center"/>
          </w:tcPr>
          <w:p>
            <w:pPr>
              <w:pStyle w:val="TableContents"/>
              <w:bidi w:val="0"/>
              <w:spacing w:lineRule="atLeast" w:line="240" w:before="0" w:after="0"/>
              <w:ind w:left="0" w:right="0" w:hanging="0"/>
              <w:jc w:val="left"/>
              <w:rPr/>
            </w:pPr>
            <w:r>
              <w:rPr/>
              <w:t>​</w:t>
            </w:r>
          </w:p>
        </w:tc>
        <w:tc>
          <w:tcPr>
            <w:tcW w:w="277"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tcMar>
              <w:bottom w:w="28" w:type="dxa"/>
            </w:tcMar>
            <w:vAlign w:val="center"/>
          </w:tcPr>
          <w:p>
            <w:pPr>
              <w:pStyle w:val="TableContents"/>
              <w:bidi w:val="0"/>
              <w:spacing w:lineRule="atLeast" w:line="240" w:before="0" w:after="0"/>
              <w:ind w:left="0" w:right="0" w:hanging="0"/>
              <w:jc w:val="right"/>
              <w:rPr>
                <w:rFonts w:ascii="Times New Roman;Times;serif" w:hAnsi="Times New Roman;Times;serif"/>
                <w:sz w:val="20"/>
              </w:rPr>
            </w:pPr>
            <w:r>
              <w:rPr>
                <w:rFonts w:ascii="Times New Roman;Times;serif" w:hAnsi="Times New Roman;Times;serif"/>
                <w:sz w:val="20"/>
              </w:rPr>
              <w:t>261,698</w:t>
            </w:r>
          </w:p>
        </w:tc>
        <w:tc>
          <w:tcPr>
            <w:tcW w:w="326" w:type="dxa"/>
            <w:tcBorders/>
            <w:vAlign w:val="center"/>
          </w:tcPr>
          <w:p>
            <w:pPr>
              <w:pStyle w:val="TableContents"/>
              <w:bidi w:val="0"/>
              <w:spacing w:lineRule="atLeast" w:line="240" w:before="0" w:after="0"/>
              <w:ind w:left="0" w:right="0" w:hanging="0"/>
              <w:jc w:val="left"/>
              <w:rPr/>
            </w:pPr>
            <w:r>
              <w:rPr/>
              <w:t>​</w:t>
            </w:r>
          </w:p>
        </w:tc>
        <w:tc>
          <w:tcPr>
            <w:tcW w:w="211" w:type="dxa"/>
            <w:tcBorders>
              <w:bottom w:val="double" w:sz="6" w:space="0" w:color="000000"/>
            </w:tcBorders>
            <w:tcMar>
              <w:bottom w:w="28" w:type="dxa"/>
            </w:tcMar>
            <w:vAlign w:val="center"/>
          </w:tcPr>
          <w:p>
            <w:pPr>
              <w:pStyle w:val="TableContents"/>
              <w:bidi w:val="0"/>
              <w:spacing w:lineRule="atLeast" w:line="240"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86" w:type="dxa"/>
            <w:tcBorders>
              <w:bottom w:val="double" w:sz="6" w:space="0" w:color="000000"/>
            </w:tcBorders>
            <w:tcMar>
              <w:bottom w:w="28" w:type="dxa"/>
            </w:tcMar>
            <w:vAlign w:val="center"/>
          </w:tcPr>
          <w:p>
            <w:pPr>
              <w:pStyle w:val="TableContents"/>
              <w:bidi w:val="0"/>
              <w:spacing w:lineRule="atLeast" w:line="240" w:before="0" w:after="0"/>
              <w:ind w:left="0" w:right="60" w:hanging="0"/>
              <w:jc w:val="right"/>
              <w:rPr>
                <w:rFonts w:ascii="Times New Roman;Times;serif" w:hAnsi="Times New Roman;Times;serif"/>
                <w:sz w:val="20"/>
              </w:rPr>
            </w:pPr>
            <w:r>
              <w:rPr>
                <w:rFonts w:ascii="Times New Roman;Times;serif" w:hAnsi="Times New Roman;Times;serif"/>
                <w:sz w:val="20"/>
              </w:rPr>
              <w:t>293,296</w:t>
            </w:r>
          </w:p>
        </w:tc>
      </w:tr>
    </w:tbl>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center"/>
        <w:rPr/>
      </w:pPr>
      <w:r>
        <w:rPr/>
        <w:t>​</w:t>
      </w:r>
    </w:p>
    <w:p>
      <w:pPr>
        <w:pStyle w:val="TextBody"/>
        <w:bidi w:val="0"/>
        <w:spacing w:before="0" w:after="0"/>
        <w:ind w:left="0" w:right="0" w:firstLine="480"/>
        <w:jc w:val="both"/>
        <w:rPr>
          <w:rFonts w:ascii="Times New Roman;Times;serif" w:hAnsi="Times New Roman;Times;serif"/>
          <w:b/>
          <w:i/>
          <w:sz w:val="20"/>
        </w:rPr>
      </w:pPr>
      <w:r>
        <w:rPr>
          <w:rFonts w:ascii="Times New Roman;Times;serif" w:hAnsi="Times New Roman;Times;serif"/>
          <w:b/>
          <w:i/>
          <w:sz w:val="20"/>
        </w:rPr>
        <w:t>Organization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Avnet, Inc., including its consolidated subsidiaries (collectively, the “Company” or “Avnet”), is a leading global electronic component technology distributor and solutions provider that has served customers’ evolving needs for more than a century. Founded in 1921, the Company works with suppliers in every major technology segment to serve customers in more than 140 countries.</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Avnet has two primary operating groups — Electronic Components (“EC”) and Farnell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b/>
          <w:sz w:val="20"/>
        </w:rPr>
      </w:pPr>
      <w:bookmarkStart w:id="869" w:name="Results_of_operations"/>
      <w:bookmarkEnd w:id="869"/>
      <w:r>
        <w:rPr>
          <w:rFonts w:ascii="Times New Roman;Times;serif" w:hAnsi="Times New Roman;Times;serif"/>
          <w:b/>
          <w:sz w:val="20"/>
        </w:rPr>
        <w:t>Results of Operations</w:t>
      </w:r>
    </w:p>
    <w:p>
      <w:pPr>
        <w:pStyle w:val="TextBody"/>
        <w:bidi w:val="0"/>
        <w:spacing w:before="0" w:after="0"/>
        <w:ind w:left="0" w:right="0" w:firstLine="480"/>
        <w:jc w:val="left"/>
        <w:rPr/>
      </w:pPr>
      <w:r>
        <w:rPr/>
        <w:t>​</w:t>
      </w:r>
    </w:p>
    <w:p>
      <w:pPr>
        <w:pStyle w:val="TextBody"/>
        <w:bidi w:val="0"/>
        <w:spacing w:before="0" w:after="0"/>
        <w:ind w:left="0" w:right="0" w:firstLine="480"/>
        <w:jc w:val="both"/>
        <w:rPr>
          <w:rFonts w:ascii="Times New Roman;Times;serif" w:hAnsi="Times New Roman;Times;serif"/>
          <w:b/>
          <w:i/>
          <w:sz w:val="20"/>
        </w:rPr>
      </w:pPr>
      <w:r>
        <w:rPr>
          <w:rFonts w:ascii="Times New Roman;Times;serif" w:hAnsi="Times New Roman;Times;serif"/>
          <w:b/>
          <w:i/>
          <w:sz w:val="20"/>
        </w:rPr>
        <w:t>Executive Summary</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Consolidated sales for the first quarter of fiscal 2024 were $6.34 billion, a decrease of $414.5 million or 6.1% compared to sales of $6.75 billion in the prior year first quarter.</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of $748.1 million and gross profit margin of 11.8% in the first quarter of fiscal 2024 compared to gross profit of $768.2 million and gross profit margin of 11.4% in the first quarter of fiscal 2023.</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Operating income of $253.8 million was $36.8 million or 12.7% lower than the prior year first quarter operating income of $290.5 million. Operating income margin was 4.0% in the first quarter of fiscal 2024, as compared to 4.3% in the first quarter of fiscal 2023, a decrease of 29 basis points. </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Sales</w:t>
      </w:r>
    </w:p>
    <w:p>
      <w:pPr>
        <w:pStyle w:val="TextBody"/>
        <w:bidi w:val="0"/>
        <w:spacing w:before="0" w:after="0"/>
        <w:ind w:left="0" w:right="0" w:hanging="0"/>
        <w:jc w:val="both"/>
        <w:rPr/>
      </w:pPr>
      <w:r>
        <w:rPr/>
        <w:t>​</w:t>
      </w:r>
    </w:p>
    <w:p>
      <w:pPr>
        <w:pStyle w:val="TextBody"/>
        <w:bidi w:val="0"/>
        <w:spacing w:lineRule="atLeast" w:line="220" w:before="0" w:after="0"/>
        <w:ind w:left="0" w:right="0" w:firstLine="475"/>
        <w:jc w:val="left"/>
        <w:rPr>
          <w:rFonts w:ascii="Times New Roman;Times;serif" w:hAnsi="Times New Roman;Times;serif"/>
          <w:sz w:val="20"/>
        </w:rPr>
      </w:pPr>
      <w:r>
        <w:rPr>
          <w:rFonts w:ascii="Times New Roman;Times;serif" w:hAnsi="Times New Roman;Times;serif"/>
          <w:sz w:val="20"/>
        </w:rPr>
        <w:t>The following table presents sales growth rates for the first quarter of fiscal 2024 as compared to fiscal 2023 by geographic region and operating group.</w:t>
      </w:r>
    </w:p>
    <w:p>
      <w:pPr>
        <w:pStyle w:val="TextBody"/>
        <w:bidi w:val="0"/>
        <w:spacing w:before="0" w:after="0"/>
        <w:ind w:left="0" w:right="0" w:firstLine="475"/>
        <w:jc w:val="left"/>
        <w:rPr/>
      </w:pPr>
      <w:r>
        <w:rPr/>
        <w:t>​</w:t>
      </w:r>
    </w:p>
    <w:tbl>
      <w:tblPr>
        <w:tblW w:w="4625" w:type="dxa"/>
        <w:jc w:val="left"/>
        <w:tblInd w:w="0" w:type="dxa"/>
        <w:tblLayout w:type="fixed"/>
        <w:tblCellMar>
          <w:top w:w="0" w:type="dxa"/>
          <w:left w:w="0" w:type="dxa"/>
          <w:bottom w:w="0" w:type="dxa"/>
          <w:right w:w="0" w:type="dxa"/>
        </w:tblCellMar>
      </w:tblPr>
      <w:tblGrid>
        <w:gridCol w:w="2064"/>
        <w:gridCol w:w="156"/>
        <w:gridCol w:w="663"/>
        <w:gridCol w:w="343"/>
        <w:gridCol w:w="109"/>
        <w:gridCol w:w="805"/>
        <w:gridCol w:w="485"/>
      </w:tblGrid>
      <w:tr>
        <w:trPr/>
        <w:tc>
          <w:tcPr>
            <w:tcW w:w="206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1310640" cy="175260"/>
                      <wp:effectExtent l="0" t="0" r="0" b="0"/>
                      <wp:wrapNone/>
                      <wp:docPr id="209" name="Frame209"/>
                      <a:graphic xmlns:a="http://schemas.openxmlformats.org/drawingml/2006/main">
                        <a:graphicData uri="http://schemas.microsoft.com/office/word/2010/wordprocessingShape">
                          <wps:wsp>
                            <wps:cNvSpPr txBox="1"/>
                            <wps:spPr>
                              <a:xfrm>
                                <a:off x="0" y="0"/>
                                <a:ext cx="13106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99060" cy="175260"/>
                      <wp:effectExtent l="0" t="0" r="0" b="0"/>
                      <wp:wrapNone/>
                      <wp:docPr id="210" name="Frame210"/>
                      <a:graphic xmlns:a="http://schemas.openxmlformats.org/drawingml/2006/main">
                        <a:graphicData uri="http://schemas.microsoft.com/office/word/2010/wordprocessingShape">
                          <wps:wsp>
                            <wps:cNvSpPr txBox="1"/>
                            <wps:spPr>
                              <a:xfrm>
                                <a:off x="0" y="0"/>
                                <a:ext cx="99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421005" cy="175260"/>
                      <wp:effectExtent l="0" t="0" r="0" b="0"/>
                      <wp:wrapNone/>
                      <wp:docPr id="211" name="Frame211"/>
                      <a:graphic xmlns:a="http://schemas.openxmlformats.org/drawingml/2006/main">
                        <a:graphicData uri="http://schemas.microsoft.com/office/word/2010/wordprocessingShape">
                          <wps:wsp>
                            <wps:cNvSpPr txBox="1"/>
                            <wps:spPr>
                              <a:xfrm>
                                <a:off x="0" y="0"/>
                                <a:ext cx="4210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217805" cy="175260"/>
                      <wp:effectExtent l="0" t="0" r="0" b="0"/>
                      <wp:wrapNone/>
                      <wp:docPr id="212" name="Frame212"/>
                      <a:graphic xmlns:a="http://schemas.openxmlformats.org/drawingml/2006/main">
                        <a:graphicData uri="http://schemas.microsoft.com/office/word/2010/wordprocessingShape">
                          <wps:wsp>
                            <wps:cNvSpPr txBox="1"/>
                            <wps:spPr>
                              <a:xfrm>
                                <a:off x="0" y="0"/>
                                <a:ext cx="2178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9215" cy="175260"/>
                      <wp:effectExtent l="0" t="0" r="0" b="0"/>
                      <wp:wrapNone/>
                      <wp:docPr id="213" name="Frame213"/>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0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11175" cy="175260"/>
                      <wp:effectExtent l="0" t="0" r="0" b="0"/>
                      <wp:wrapNone/>
                      <wp:docPr id="214" name="Frame214"/>
                      <a:graphic xmlns:a="http://schemas.openxmlformats.org/drawingml/2006/main">
                        <a:graphicData uri="http://schemas.microsoft.com/office/word/2010/wordprocessingShape">
                          <wps:wsp>
                            <wps:cNvSpPr txBox="1"/>
                            <wps:spPr>
                              <a:xfrm>
                                <a:off x="0" y="0"/>
                                <a:ext cx="5111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307975" cy="175260"/>
                      <wp:effectExtent l="0" t="0" r="0" b="0"/>
                      <wp:wrapNone/>
                      <wp:docPr id="215" name="Frame215"/>
                      <a:graphic xmlns:a="http://schemas.openxmlformats.org/drawingml/2006/main">
                        <a:graphicData uri="http://schemas.microsoft.com/office/word/2010/wordprocessingShape">
                          <wps:wsp>
                            <wps:cNvSpPr txBox="1"/>
                            <wps:spPr>
                              <a:xfrm>
                                <a:off x="0" y="0"/>
                                <a:ext cx="3079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2405" w:type="dxa"/>
            <w:gridSpan w:val="5"/>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Quarter Ended</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2405" w:type="dxa"/>
            <w:gridSpan w:val="5"/>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September 30, 2023</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color w:val="575757"/>
              </w:rPr>
            </w:pPr>
            <w:r>
              <w:rPr>
                <w:color w:val="575757"/>
              </w:rPr>
              <w:t>​</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pPr>
            <w:r>
              <w:rPr/>
              <w:t>​</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Year-Year %</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Sales</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Change in</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100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Year-Year</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Constant</w:t>
            </w:r>
          </w:p>
        </w:tc>
      </w:tr>
      <w:tr>
        <w:trPr/>
        <w:tc>
          <w:tcPr>
            <w:tcW w:w="2064" w:type="dxa"/>
            <w:tcBorders/>
            <w:vAlign w:val="center"/>
          </w:tcPr>
          <w:p>
            <w:pPr>
              <w:pStyle w:val="TableContents"/>
              <w:bidi w:val="0"/>
              <w:spacing w:before="0" w:after="0"/>
              <w:ind w:left="0" w:right="0" w:hanging="0"/>
              <w:jc w:val="left"/>
              <w:rPr/>
            </w:pPr>
            <w:r>
              <w:rPr/>
              <w:t>​</w:t>
            </w:r>
          </w:p>
        </w:tc>
        <w:tc>
          <w:tcPr>
            <w:tcW w:w="156" w:type="dxa"/>
            <w:tcBorders/>
            <w:vAlign w:val="center"/>
          </w:tcPr>
          <w:p>
            <w:pPr>
              <w:pStyle w:val="TableContents"/>
              <w:bidi w:val="0"/>
              <w:spacing w:before="0" w:after="0"/>
              <w:ind w:left="0" w:right="0" w:hanging="0"/>
              <w:jc w:val="center"/>
              <w:rPr/>
            </w:pPr>
            <w:r>
              <w:rPr/>
              <w:t>​</w:t>
            </w:r>
          </w:p>
        </w:tc>
        <w:tc>
          <w:tcPr>
            <w:tcW w:w="100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Change</w:t>
            </w:r>
          </w:p>
        </w:tc>
        <w:tc>
          <w:tcPr>
            <w:tcW w:w="109" w:type="dxa"/>
            <w:tcBorders/>
            <w:vAlign w:val="center"/>
          </w:tcPr>
          <w:p>
            <w:pPr>
              <w:pStyle w:val="TableContents"/>
              <w:bidi w:val="0"/>
              <w:spacing w:before="0" w:after="0"/>
              <w:ind w:left="0" w:right="0" w:hanging="0"/>
              <w:jc w:val="left"/>
              <w:rPr/>
            </w:pPr>
            <w:r>
              <w:rPr/>
              <w:t>​</w:t>
            </w:r>
          </w:p>
        </w:tc>
        <w:tc>
          <w:tcPr>
            <w:tcW w:w="1290"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Currency</w:t>
            </w:r>
          </w:p>
        </w:tc>
      </w:tr>
      <w:tr>
        <w:trPr/>
        <w:tc>
          <w:tcPr>
            <w:tcW w:w="2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w:t>
            </w:r>
          </w:p>
        </w:tc>
        <w:tc>
          <w:tcPr>
            <w:tcW w:w="15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by region</w:t>
            </w:r>
          </w:p>
        </w:tc>
        <w:tc>
          <w:tcPr>
            <w:tcW w:w="15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pPr>
            <w:r>
              <w:rPr/>
              <w:t>​</w:t>
            </w:r>
          </w:p>
        </w:tc>
        <w:tc>
          <w:tcPr>
            <w:tcW w:w="3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485" w:type="dxa"/>
            <w:tcBorders/>
            <w:vAlign w:val="center"/>
          </w:tcPr>
          <w:p>
            <w:pPr>
              <w:pStyle w:val="TableContents"/>
              <w:bidi w:val="0"/>
              <w:spacing w:before="0" w:after="0"/>
              <w:ind w:left="0" w:right="0" w:hanging="0"/>
              <w:jc w:val="left"/>
              <w:rPr/>
            </w:pPr>
            <w:r>
              <w:rPr/>
              <w:t>​</w:t>
            </w:r>
          </w:p>
        </w:tc>
      </w:tr>
      <w:tr>
        <w:trPr/>
        <w:tc>
          <w:tcPr>
            <w:tcW w:w="2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Americas</w:t>
            </w:r>
          </w:p>
        </w:tc>
        <w:tc>
          <w:tcPr>
            <w:tcW w:w="15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EMEA</w:t>
            </w:r>
          </w:p>
        </w:tc>
        <w:tc>
          <w:tcPr>
            <w:tcW w:w="15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w:t>
            </w:r>
          </w:p>
        </w:tc>
        <w:tc>
          <w:tcPr>
            <w:tcW w:w="3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c>
          <w:tcPr>
            <w:tcW w:w="485" w:type="dxa"/>
            <w:tcBorders/>
            <w:vAlign w:val="center"/>
          </w:tcPr>
          <w:p>
            <w:pPr>
              <w:pStyle w:val="TableContents"/>
              <w:bidi w:val="0"/>
              <w:spacing w:before="0" w:after="0"/>
              <w:ind w:left="0" w:right="0" w:hanging="0"/>
              <w:jc w:val="left"/>
              <w:rPr/>
            </w:pPr>
            <w:r>
              <w:rPr/>
              <w:t>​</w:t>
            </w:r>
          </w:p>
        </w:tc>
      </w:tr>
      <w:tr>
        <w:trPr/>
        <w:tc>
          <w:tcPr>
            <w:tcW w:w="2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Asia</w:t>
            </w:r>
          </w:p>
        </w:tc>
        <w:tc>
          <w:tcPr>
            <w:tcW w:w="15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w:t>
            </w:r>
          </w:p>
        </w:tc>
        <w:tc>
          <w:tcPr>
            <w:tcW w:w="343" w:type="dxa"/>
            <w:tcBorders/>
            <w:shd w:fill="CCEEFF" w:val="clear"/>
            <w:vAlign w:val="center"/>
          </w:tcPr>
          <w:p>
            <w:pPr>
              <w:pStyle w:val="TableContents"/>
              <w:bidi w:val="0"/>
              <w:spacing w:before="0" w:after="0"/>
              <w:ind w:left="0" w:right="0" w:hanging="0"/>
              <w:jc w:val="left"/>
              <w:rPr/>
            </w:pPr>
            <w:r>
              <w:rPr/>
              <w:t>​</w:t>
            </w:r>
          </w:p>
        </w:tc>
        <w:tc>
          <w:tcPr>
            <w:tcW w:w="109" w:type="dxa"/>
            <w:tcBorders/>
            <w:shd w:fill="CCEEFF" w:val="clear"/>
            <w:vAlign w:val="center"/>
          </w:tcPr>
          <w:p>
            <w:pPr>
              <w:pStyle w:val="TableContents"/>
              <w:bidi w:val="0"/>
              <w:spacing w:before="0" w:after="0"/>
              <w:ind w:left="0" w:right="0" w:hanging="0"/>
              <w:jc w:val="righ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w:t>
            </w:r>
          </w:p>
        </w:tc>
        <w:tc>
          <w:tcPr>
            <w:tcW w:w="485" w:type="dxa"/>
            <w:tcBorders/>
            <w:shd w:fill="CCEEFF" w:val="clear"/>
            <w:vAlign w:val="center"/>
          </w:tcPr>
          <w:p>
            <w:pPr>
              <w:pStyle w:val="TableContents"/>
              <w:bidi w:val="0"/>
              <w:spacing w:before="0" w:after="0"/>
              <w:ind w:left="0" w:right="0" w:hanging="0"/>
              <w:jc w:val="left"/>
              <w:rPr/>
            </w:pPr>
            <w:r>
              <w:rPr/>
              <w:t>​</w:t>
            </w:r>
          </w:p>
        </w:tc>
      </w:tr>
      <w:tr>
        <w:trPr/>
        <w:tc>
          <w:tcPr>
            <w:tcW w:w="222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by operating group</w:t>
            </w:r>
          </w:p>
        </w:tc>
        <w:tc>
          <w:tcPr>
            <w:tcW w:w="663" w:type="dxa"/>
            <w:tcBorders/>
            <w:vAlign w:val="center"/>
          </w:tcPr>
          <w:p>
            <w:pPr>
              <w:pStyle w:val="TableContents"/>
              <w:bidi w:val="0"/>
              <w:spacing w:before="0" w:after="0"/>
              <w:ind w:left="0" w:right="0" w:hanging="0"/>
              <w:jc w:val="left"/>
              <w:rPr/>
            </w:pPr>
            <w:r>
              <w:rPr/>
              <w:t>​</w:t>
            </w:r>
          </w:p>
        </w:tc>
        <w:tc>
          <w:tcPr>
            <w:tcW w:w="343"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pPr>
            <w:r>
              <w:rPr/>
              <w:t>​</w:t>
            </w:r>
          </w:p>
        </w:tc>
        <w:tc>
          <w:tcPr>
            <w:tcW w:w="485" w:type="dxa"/>
            <w:tcBorders/>
            <w:vAlign w:val="center"/>
          </w:tcPr>
          <w:p>
            <w:pPr>
              <w:pStyle w:val="TableContents"/>
              <w:bidi w:val="0"/>
              <w:spacing w:before="0" w:after="0"/>
              <w:ind w:left="0" w:right="0" w:hanging="0"/>
              <w:jc w:val="left"/>
              <w:rPr/>
            </w:pPr>
            <w:r>
              <w:rPr/>
              <w:t>​</w:t>
            </w:r>
          </w:p>
        </w:tc>
      </w:tr>
      <w:tr>
        <w:trPr/>
        <w:tc>
          <w:tcPr>
            <w:tcW w:w="206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w:t>
            </w:r>
          </w:p>
        </w:tc>
        <w:tc>
          <w:tcPr>
            <w:tcW w:w="156" w:type="dxa"/>
            <w:tcBorders/>
            <w:shd w:fill="CCEEFF" w:val="clear"/>
            <w:vAlign w:val="center"/>
          </w:tcPr>
          <w:p>
            <w:pPr>
              <w:pStyle w:val="TableContents"/>
              <w:bidi w:val="0"/>
              <w:spacing w:before="0" w:after="0"/>
              <w:ind w:left="0" w:right="0" w:hanging="0"/>
              <w:jc w:val="left"/>
              <w:rPr/>
            </w:pPr>
            <w:r>
              <w:rPr/>
              <w:t>​</w:t>
            </w:r>
          </w:p>
        </w:tc>
        <w:tc>
          <w:tcPr>
            <w:tcW w:w="663"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w:t>
            </w:r>
          </w:p>
        </w:tc>
        <w:tc>
          <w:tcPr>
            <w:tcW w:w="34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0"/>
              <w:ind w:left="0" w:right="0" w:hanging="0"/>
              <w:jc w:val="left"/>
              <w:rPr/>
            </w:pPr>
            <w:r>
              <w:rPr/>
              <w:t>​</w:t>
            </w:r>
          </w:p>
        </w:tc>
        <w:tc>
          <w:tcPr>
            <w:tcW w:w="80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w:t>
            </w:r>
          </w:p>
        </w:tc>
        <w:tc>
          <w:tcPr>
            <w:tcW w:w="4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Farnell</w:t>
            </w:r>
          </w:p>
        </w:tc>
        <w:tc>
          <w:tcPr>
            <w:tcW w:w="156" w:type="dxa"/>
            <w:tcBorders/>
            <w:vAlign w:val="center"/>
          </w:tcPr>
          <w:p>
            <w:pPr>
              <w:pStyle w:val="TableContents"/>
              <w:bidi w:val="0"/>
              <w:spacing w:before="0" w:after="0"/>
              <w:ind w:left="0" w:right="0" w:hanging="0"/>
              <w:jc w:val="left"/>
              <w:rPr/>
            </w:pPr>
            <w:r>
              <w:rPr/>
              <w:t>​</w:t>
            </w:r>
          </w:p>
        </w:tc>
        <w:tc>
          <w:tcPr>
            <w:tcW w:w="66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343" w:type="dxa"/>
            <w:tcBorders/>
            <w:vAlign w:val="center"/>
          </w:tcPr>
          <w:p>
            <w:pPr>
              <w:pStyle w:val="TableContents"/>
              <w:bidi w:val="0"/>
              <w:spacing w:before="0" w:after="0"/>
              <w:ind w:left="0" w:right="0" w:hanging="0"/>
              <w:jc w:val="right"/>
              <w:rPr/>
            </w:pPr>
            <w:r>
              <w:rPr/>
              <w:t>​</w:t>
            </w:r>
          </w:p>
        </w:tc>
        <w:tc>
          <w:tcPr>
            <w:tcW w:w="109" w:type="dxa"/>
            <w:tcBorders/>
            <w:vAlign w:val="center"/>
          </w:tcPr>
          <w:p>
            <w:pPr>
              <w:pStyle w:val="TableContents"/>
              <w:bidi w:val="0"/>
              <w:spacing w:before="0" w:after="0"/>
              <w:ind w:left="0" w:right="0" w:hanging="0"/>
              <w:jc w:val="right"/>
              <w:rPr/>
            </w:pPr>
            <w:r>
              <w:rPr/>
              <w:t>​</w:t>
            </w:r>
          </w:p>
        </w:tc>
        <w:tc>
          <w:tcPr>
            <w:tcW w:w="80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w:t>
            </w:r>
          </w:p>
        </w:tc>
        <w:tc>
          <w:tcPr>
            <w:tcW w:w="485" w:type="dxa"/>
            <w:tcBorders/>
            <w:vAlign w:val="center"/>
          </w:tcPr>
          <w:p>
            <w:pPr>
              <w:pStyle w:val="TableContents"/>
              <w:bidi w:val="0"/>
              <w:spacing w:before="0" w:after="0"/>
              <w:ind w:left="0" w:right="0" w:hanging="0"/>
              <w:jc w:val="right"/>
              <w:rPr/>
            </w:pPr>
            <w:r>
              <w:rPr/>
              <w:t>​</w:t>
            </w:r>
          </w:p>
        </w:tc>
      </w:tr>
    </w:tbl>
    <w:p>
      <w:pPr>
        <w:pStyle w:val="TextBody"/>
        <w:bidi w:val="0"/>
        <w:spacing w:before="0" w:after="0"/>
        <w:ind w:left="360" w:right="0" w:hanging="0"/>
        <w:jc w:val="both"/>
        <w:rPr/>
      </w:pPr>
      <w:r>
        <w:rPr/>
        <w:t>​</w:t>
      </w:r>
    </w:p>
    <w:p>
      <w:pPr>
        <w:pStyle w:val="TextBody"/>
        <w:bidi w:val="0"/>
        <w:spacing w:before="0" w:after="0"/>
        <w:ind w:left="0" w:right="0" w:firstLine="475"/>
        <w:jc w:val="left"/>
        <w:rPr>
          <w:rFonts w:ascii="Times New Roman;Times;serif" w:hAnsi="Times New Roman;Times;serif"/>
          <w:sz w:val="20"/>
        </w:rPr>
      </w:pPr>
      <w:bookmarkStart w:id="870" w:name="_Hlk21930440"/>
      <w:bookmarkStart w:id="871" w:name="_Hlk69537729"/>
      <w:bookmarkEnd w:id="870"/>
      <w:bookmarkEnd w:id="871"/>
      <w:r>
        <w:rPr>
          <w:rFonts w:ascii="Times New Roman;Times;serif" w:hAnsi="Times New Roman;Times;serif"/>
          <w:sz w:val="20"/>
        </w:rPr>
        <w:t xml:space="preserve">Sales were $6.34 billion, down $414.5 million or 6.1% from the prior year first quarter sales of $6.75 billion. Sales decreased by 7.8% in constant currency in the first quarter of fiscal 2024 year over year with both operating groups contributing to this decrease.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EC sales of $5.91 billion in the first quarter of fiscal 2024 decreased $409.8 million or 6.5% from the prior year first quarter sales of $6.32 billion. EC sales decreased 8.1% year over year in constant currency. The decrease in sales in the Company's EC operating group is primarily due to lower demand as a result of the normalization of supply of electronic components when compared to the prior year.</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Farnell sales for the first quarter of fiscal 2024 were $421.2 million, a decrease of $4.7 million or 1.1% from the prior year first quarter sales of $425.9 million. Farnell sales in constant currency in the first quarter of fiscal 2024 decreased by 3.8% year over year due primarily to a decline in demand for electronic components from high service distributors and as a result of competitive pricing pressures. </w:t>
      </w:r>
    </w:p>
    <w:p>
      <w:pPr>
        <w:pStyle w:val="TextBody"/>
        <w:bidi w:val="0"/>
        <w:spacing w:before="0" w:after="0"/>
        <w:ind w:left="0" w:right="0" w:firstLine="475"/>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Gross Profit</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Gross profit for the first quarter of fiscal 2024 was $748.1 million, a decrease of $20.1 million or 2.6% from the first quarter of fiscal 2023 gross profit of $768.2 million. Gross profit margin of 11.8% increased 43 basis points compared to the first quarter of fiscal 2023 gross profit margin of 11.4%. EC gross profit margin increased year over year primarily due to a larger proportion of sales coming from the higher-margin western regions. Sales in western regions represented approximately 60% of sales in the first quarter of fiscal 2024 as compared to 55% during the first quarter of fiscal 2023. Farnell gross profit margin decreased year over year largely due to the unwinding of component shortage pricing premiums, a lower sales mix of on the board electronic components and from competitive pricing pressures.</w:t>
      </w:r>
    </w:p>
    <w:p>
      <w:pPr>
        <w:pStyle w:val="TextBody"/>
        <w:bidi w:val="0"/>
        <w:spacing w:before="0" w:after="0"/>
        <w:ind w:left="0" w:right="0" w:firstLine="480"/>
        <w:jc w:val="left"/>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Selling, General and Administrative Expenses</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Selling, general and administrative expenses (“SG&amp;A expenses”) were $487.3 million in the first quarter of fiscal 2024, an increase of $9.6 million or 2.0% from the first quarter of fiscal 2023. The year-over-year increase in SG&amp;A expenses was primarily a result of foreign currency translation.</w:t>
      </w:r>
    </w:p>
    <w:p>
      <w:pPr>
        <w:pStyle w:val="TextBody"/>
        <w:bidi w:val="0"/>
        <w:spacing w:before="0" w:after="0"/>
        <w:ind w:left="0" w:right="0" w:firstLine="480"/>
        <w:jc w:val="both"/>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Metrics that management monitors with respect to its operating expenses are SG&amp;A expenses as a percentage of sales and as a percentage of gross profit. In the first quarter of fiscal 2024, SG&amp;A expenses were 7.7% of sales and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65.1% of gross profit, as compared with 7.1% and 62.2%, respectively, in the first quarter of fiscal 2023. The year-over-year increase in SG&amp;A expense as a percentage of both sales and gross profit is primarily due the decrease in sales and gross profit.</w:t>
      </w:r>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Integration and Other Expenses</w:t>
      </w:r>
    </w:p>
    <w:p>
      <w:pPr>
        <w:pStyle w:val="TextBody"/>
        <w:bidi w:val="0"/>
        <w:spacing w:before="0" w:after="0"/>
        <w:ind w:left="0" w:right="0" w:firstLine="288"/>
        <w:jc w:val="left"/>
        <w:rPr/>
      </w:pPr>
      <w:r>
        <w:rPr/>
        <w:t>​</w:t>
      </w:r>
    </w:p>
    <w:p>
      <w:pPr>
        <w:pStyle w:val="TextBody"/>
        <w:bidi w:val="0"/>
        <w:spacing w:before="0" w:after="0"/>
        <w:ind w:left="0" w:right="0" w:firstLine="288"/>
        <w:jc w:val="left"/>
        <w:rPr>
          <w:rFonts w:ascii="Times New Roman;Times;serif" w:hAnsi="Times New Roman;Times;serif"/>
          <w:sz w:val="20"/>
        </w:rPr>
      </w:pPr>
      <w:r>
        <w:rPr>
          <w:rFonts w:ascii="Times New Roman;Times;serif" w:hAnsi="Times New Roman;Times;serif"/>
          <w:sz w:val="20"/>
        </w:rPr>
        <w:t>The Company recorded restructuring, integration and other expenses of $7.1 million during the first quarter of fiscal 2024. Restructuring expenses consisted of severance costs of $2.7 million related to the reduction, or planned reduction of over 50 employees in the Company’s Farnell operating group. Additionally, during the first quarter of fiscal 2024 the Company recorded $4.4 million in other expenses. The after-tax impact of restructuring, integration, and other expenses were $5.3 million and $0.06 per share on a diluted basis. As of September 30, 2023 the Company does not anticipate any material adjustments relating to the aforementioned restructuring and integration plans.</w:t>
      </w:r>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Income</w:t>
      </w:r>
    </w:p>
    <w:p>
      <w:pPr>
        <w:pStyle w:val="TextBody"/>
        <w:bidi w:val="0"/>
        <w:spacing w:before="0" w:after="0"/>
        <w:ind w:left="0" w:right="0" w:hanging="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Operating income for the first quarter of fiscal 2024 was $253.8 million, a decrease of $36.8 million or 12.7%, from the first quarter of fiscal 2023 operating income of $290.5 million. The year-over-year decrease in operating income was primarily driven by the decrease in sales, higher SG&amp;A expenses, and restructuring, integration and other expenses, partially offset by the favorable impact from foreign currency exchange rates. Adjusted operating income for the first quarter of fiscal 2024 was $261.7 million, a decrease of $31.6 million or 10.8% from the first quarter of fiscal 2023. Operating income margin was 4.0% in the first quarter of fiscal 2024, a decrease of 29 basis points compared to 4.3% in the prior year first quarter.</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EC operating income margin increased 38 basis points year over year to 4.6% and Farnell operating income margin decreased 792 basis points year over year to 4.2%. EC’s improvement in operating income margin is a result of higher gross profit margins and lower overall SG&amp;A expenses year over year primarily in the western regions. The decrease in operating income margin at Farnell is primarily driven by lower sales and declines in gross profit margin as discussed further above.</w:t>
      </w:r>
    </w:p>
    <w:p>
      <w:pPr>
        <w:pStyle w:val="TextBody"/>
        <w:bidi w:val="0"/>
        <w:spacing w:before="0" w:after="0"/>
        <w:ind w:left="0" w:right="0" w:firstLine="475"/>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Interest and Other Financing Expenses, Net </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bookmarkStart w:id="872" w:name="keyword"/>
      <w:bookmarkEnd w:id="872"/>
      <w:r>
        <w:rPr>
          <w:rFonts w:ascii="Times New Roman;Times;serif" w:hAnsi="Times New Roman;Times;serif"/>
          <w:sz w:val="20"/>
        </w:rPr>
        <w:t xml:space="preserve">Interest and other financing expenses in the first quarter of fiscal 2024 was $70.8 million, an increase of $25.7 million, as compared with interest and other financing expenses of $45.1 million in the first quarter of fiscal 2023. </w:t>
      </w:r>
      <w:r>
        <w:rPr>
          <w:rFonts w:ascii="Times New Roman;Times;serif" w:hAnsi="Times New Roman;Times;serif"/>
          <w:color w:val="252525"/>
          <w:sz w:val="20"/>
        </w:rPr>
        <w:t>The increases in interest and other financing expenses in the first quarter of fiscal 2024 compared to the first quarter of fiscal 2023 is primarily a result of higher outstanding borrowings and increases in average borrowing rates during the first quarter of fiscal 2024 as compared to the first quarter of fiscal 2023.</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hanging="0"/>
        <w:jc w:val="left"/>
        <w:rPr>
          <w:rFonts w:ascii="Times New Roman;Times;serif" w:hAnsi="Times New Roman;Times;serif"/>
          <w:b/>
          <w:color w:val="252525"/>
          <w:sz w:val="20"/>
        </w:rPr>
      </w:pPr>
      <w:bookmarkStart w:id="873" w:name="_Hlk124836414"/>
      <w:bookmarkEnd w:id="873"/>
      <w:r>
        <w:rPr>
          <w:rFonts w:ascii="Times New Roman;Times;serif" w:hAnsi="Times New Roman;Times;serif"/>
          <w:b/>
          <w:color w:val="252525"/>
          <w:sz w:val="20"/>
        </w:rPr>
        <w:t>Gain on Legal Settlements and other</w:t>
      </w:r>
    </w:p>
    <w:p>
      <w:pPr>
        <w:pStyle w:val="TextBody"/>
        <w:bidi w:val="0"/>
        <w:spacing w:before="0" w:after="0"/>
        <w:ind w:left="0" w:right="0" w:firstLine="480"/>
        <w:jc w:val="left"/>
        <w:rPr>
          <w:color w:val="252525"/>
        </w:rPr>
      </w:pPr>
      <w:r>
        <w:rPr>
          <w:color w:val="252525"/>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2024, the Company recorded a gain on legal settlements and other of $86.5 million before tax, $66.1 million after tax, and $0.71 per share on a diluted basis, in connection with the settlement of claims filed against certain manufacturers of capacitors.</w:t>
      </w:r>
    </w:p>
    <w:p>
      <w:pPr>
        <w:pStyle w:val="TextBody"/>
        <w:bidi w:val="0"/>
        <w:spacing w:before="0" w:after="0"/>
        <w:ind w:left="0" w:right="0" w:firstLine="48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Income Tax </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below discussion of the effective tax rate for the periods presented in the statements of operations is in comparison to the 21% U.S. statutory federal income tax rate.</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bookmarkStart w:id="874" w:name="_Hlk93498460"/>
      <w:bookmarkEnd w:id="874"/>
      <w:r>
        <w:rPr>
          <w:rFonts w:ascii="Times New Roman;Times;serif" w:hAnsi="Times New Roman;Times;serif"/>
          <w:sz w:val="20"/>
        </w:rPr>
        <w:t>The Company’s effective tax rate on its income before taxes was 24.0% in the first quarter of fiscal 2024. During the first quarter of fiscal 2024, the Company’s effective tax rate was unfavorably impacted primarily by (i) increases to unrecognized tax benefit reserves net of settlements, (ii) U.S. state taxes, and (iii) the mix of income in higher tax jurisdictions.</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During the first quarter of fiscal 2023, the Company’s effective tax rate on its income before taxes was 25.0%. During the first quarter of fiscal 2023, the Company’s effective tax rate was unfavorably impacted primarily by (i) increases to unrecognized tax benefit reserves and (ii) the mix of income in higher tax jurisdictions.</w:t>
      </w:r>
    </w:p>
    <w:p>
      <w:pPr>
        <w:pStyle w:val="TextBody"/>
        <w:bidi w:val="0"/>
        <w:spacing w:before="0" w:after="0"/>
        <w:ind w:left="0" w:right="0" w:firstLine="45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w:t>
      </w:r>
    </w:p>
    <w:p>
      <w:pPr>
        <w:pStyle w:val="TextBody"/>
        <w:bidi w:val="0"/>
        <w:spacing w:before="0" w:after="0"/>
        <w:ind w:left="0" w:right="0" w:hanging="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 result of the factors described in the preceding sections of this MD&amp;A, the Company’s net income for the first quarter of fiscal 2024 was $209.3 million, or $2.25 per share on a diluted basis, as compared with $184.3 million, or $1.93 per share on a diluted basis, in the first quarter of fiscal 2023.</w:t>
      </w:r>
    </w:p>
    <w:p>
      <w:pPr>
        <w:pStyle w:val="TextBody"/>
        <w:bidi w:val="0"/>
        <w:spacing w:before="0" w:after="0"/>
        <w:ind w:left="0" w:right="0" w:hanging="0"/>
        <w:jc w:val="left"/>
        <w:rPr/>
      </w:pPr>
      <w:r>
        <w:rPr/>
        <w:t>​</w:t>
      </w:r>
    </w:p>
    <w:p>
      <w:pPr>
        <w:pStyle w:val="TextBody"/>
        <w:bidi w:val="0"/>
        <w:spacing w:before="120" w:after="0"/>
        <w:ind w:left="0" w:right="0" w:hanging="0"/>
        <w:jc w:val="center"/>
        <w:rPr>
          <w:rFonts w:ascii="Times New Roman;Times;serif" w:hAnsi="Times New Roman;Times;serif"/>
          <w:b/>
          <w:sz w:val="20"/>
        </w:rPr>
      </w:pPr>
      <w:bookmarkStart w:id="875" w:name="Liquidity_and_Capital_Resources"/>
      <w:bookmarkEnd w:id="875"/>
      <w:r>
        <w:rPr>
          <w:rFonts w:ascii="Times New Roman;Times;serif" w:hAnsi="Times New Roman;Times;serif"/>
          <w:b/>
          <w:sz w:val="20"/>
        </w:rPr>
        <w:t>LIQUIDITY AND CAPITAL RESOURCES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Operating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bookmarkStart w:id="876" w:name="_Hlk124836429"/>
      <w:bookmarkEnd w:id="876"/>
      <w:r>
        <w:rPr>
          <w:rFonts w:ascii="Times New Roman;Times;serif" w:hAnsi="Times New Roman;Times;serif"/>
          <w:sz w:val="20"/>
        </w:rPr>
        <w:t>During the first quarter of fiscal 2024, the Company used $41.3 million of cash flow for operations compared to $645.1 million of cash used for operations in the first quarter of fiscal 2023. These operating cash flows were comprised of: (i) cash flow generated from net income, adjusted for the impact of non-cash and other items, which includes depreciation and amortization expenses, deferred income taxes, stock-based compensation expense, amortization of operating lease assets, and other non-cash items, and (ii) cash flows used for working capital and other, excluding cash and cash equivalents. Cash used for working capital and other was $280.1 million during the first quarter of fiscal 2024, including an increase in inventories of $371.6 million, and a decrease in accrued expenses and other of $50.2 million, offset by an increase in accounts payable of $111.5 million, and a decrease in accounts receivable of $30.2 million. Comparatively, cash used for working capital and other was $874.8 million during the first quarter of fiscal 2023, including increases in accounts receivable of $419.9 million, and in inventories of $559.0 million, and a decrease in accrued expenses and other of $16.8 million, partially offset by an increase in accounts payable of $120.9 million.</w:t>
      </w:r>
    </w:p>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Financing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During the first quarter of fiscal 2024, the Company received net proceeds of $243.6 million under the Credit Facility, and repaid $92.1 million under the Securitization Program, and $0.1 million under other short-term debt. During the first quarter of fiscal 2024, the Company paid dividends on common stock of $28.3 million and repurchased $24.3 million of common stock. </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2023, the Company received net proceeds of $702.0 million and $152.2 million under the Credit Facility and the Securitization Program, respectively, and a repayment of $85.4 million under the other short-term debt. During the first quarter of fiscal 2023, the Company paid dividends on common stock of $27.0 million and repurchased $152.4 million of common stock.</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i/>
          <w:sz w:val="20"/>
        </w:rPr>
      </w:pPr>
      <w:r>
        <w:rPr>
          <w:rFonts w:ascii="Times New Roman;Times;serif" w:hAnsi="Times New Roman;Times;serif"/>
          <w:i/>
          <w:sz w:val="20"/>
        </w:rPr>
        <w:t>Cash Flow from Investing Activities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2024, the Company used $76.1 million for capital expenditures as compared to $28.2 million for capital expenditures in the first quarter of fiscal 2023. The increase in capital expenditures is primarily due to distribution and warehouse expansions in EMEA.</w:t>
      </w:r>
    </w:p>
    <w:p>
      <w:pPr>
        <w:pStyle w:val="TextBody"/>
        <w:bidi w:val="0"/>
        <w:spacing w:before="0" w:after="0"/>
        <w:ind w:left="0" w:right="0" w:firstLine="48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Contractual Obligations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 xml:space="preserve">For a detailed description of the Company’s long-term debt and lease commitments for the next five years and thereafter, see </w:t>
      </w:r>
      <w:r>
        <w:rPr>
          <w:rFonts w:ascii="Times New Roman;Times;serif" w:hAnsi="Times New Roman;Times;serif"/>
          <w:i/>
          <w:sz w:val="20"/>
        </w:rPr>
        <w:t>Long-Term Contractual Obligations</w:t>
      </w:r>
      <w:r>
        <w:rPr>
          <w:rFonts w:ascii="Times New Roman;Times;serif" w:hAnsi="Times New Roman;Times;serif"/>
          <w:sz w:val="20"/>
        </w:rPr>
        <w:t xml:space="preserve"> appearing in Item 7 of the Company’s Annual Report on Form 10-K for the fiscal year ended July 1, 2023.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pStyle w:val="TextBody"/>
        <w:bidi w:val="0"/>
        <w:spacing w:before="0" w:after="0"/>
        <w:ind w:left="0" w:right="0" w:firstLine="48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Financing Transactions</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See Note 4, “Debt” to the Company’s consolidated financial statements included in this Quarterly Report on Form 10-Q for additional information on financing transactions including the Credit Facility, the Securitization Program, and other outstanding debt as of September 30, 2023. The Company was in compliance with all covenants under the Credit Facility and the Securitization Program as of September 30, 2023, and July 1, 2023.</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first quarter of fiscal 2024 was $68.6 million.</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an alternative form of liquidity outside of the United States, the Company sells certain of its trade accounts receivable on a non-recourse basis to financial institutions pursuant to factoring agreements. The Company accounts for 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w:t>
      </w:r>
    </w:p>
    <w:p>
      <w:pPr>
        <w:pStyle w:val="TextBody"/>
        <w:bidi w:val="0"/>
        <w:spacing w:before="0" w:after="0"/>
        <w:ind w:left="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held cash and cash equivalents of $278.7 million as of September 30, 2023, of which $183.2 million was held outside the United States. As of July 1, 2023, the Company held cash and cash equivalents of $288.2 million, of which $194.5 million was held outside of the United States.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periods of weakening demand in the electronic components industry, the Company typically generates cash from operating activities. Conversely, the Company will use cash for working capital requirements during periods of higher growth. The Company used $109.8 million in cash flows for operating activities over the trailing four fiscal quarters ended September 30, 2023.</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Liquidity is subject to many factors, such as normal business operations and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the end of the first quarter of fiscal 2024, the Company had a combined total borrowing capacity of $2.20 billion under the Credit Facility and the Securitization Program. There were $1.00 billion of borrowings outstanding and $0.9 million in letters of credit issued under the Credit Facility, and $463.7 million outstanding under the Securitization Program, resulting in approximately $733.3 million of total committed availability as of September 30, 2023. Availability under the Securitization Program is subject to the Company having sufficient eligible trade accounts receivable in the United States to support desired borrowings.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2024, the Company had an average daily balance outstanding of approximately $1.15 billion under the Credit Facility and approximately $624.9 million under the Securitization Program.</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As of September 30, 2023, the Company may repurchase up to an aggregate of $291.5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first quarter of fiscal 2024, the Company repurchased $27.0 million of common stock.</w:t>
      </w:r>
    </w:p>
    <w:p>
      <w:pPr>
        <w:pStyle w:val="TextBody"/>
        <w:bidi w:val="0"/>
        <w:spacing w:before="0" w:after="0"/>
        <w:ind w:left="0" w:right="0" w:firstLine="475"/>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The Company has historically paid quarterly cash dividends on shares of its common stock, and future dividends are subject to approval by the Board of Directors. During the first quarter of fiscal 2024, the Board of Directors approved a dividend of $0.31 per share, which resulted in $28.3 million of dividend payments during the quarter.</w:t>
      </w:r>
    </w:p>
    <w:p>
      <w:pPr>
        <w:pStyle w:val="TextBody"/>
        <w:bidi w:val="0"/>
        <w:spacing w:before="0" w:after="0"/>
        <w:ind w:left="0" w:right="0" w:firstLine="475"/>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 </w:t>
      </w:r>
    </w:p>
    <w:p>
      <w:pPr>
        <w:pStyle w:val="TextBody"/>
        <w:bidi w:val="0"/>
        <w:spacing w:before="0" w:after="0"/>
        <w:ind w:left="0" w:right="0" w:firstLine="475"/>
        <w:jc w:val="left"/>
        <w:rPr/>
      </w:pPr>
      <w:r>
        <w:rPr/>
        <w:t>​</w:t>
      </w:r>
    </w:p>
    <w:p>
      <w:pPr>
        <w:pStyle w:val="TextBody"/>
        <w:bidi w:val="0"/>
        <w:spacing w:before="0" w:after="0"/>
        <w:ind w:left="0" w:right="0" w:firstLine="480"/>
        <w:jc w:val="left"/>
        <w:rPr>
          <w:rFonts w:ascii="Times New Roman;Times;serif" w:hAnsi="Times New Roman;Times;serif"/>
          <w:b/>
          <w:i/>
          <w:sz w:val="20"/>
        </w:rPr>
      </w:pPr>
      <w:r>
        <w:rPr>
          <w:rFonts w:ascii="Times New Roman;Times;serif" w:hAnsi="Times New Roman;Times;serif"/>
          <w:b/>
          <w:i/>
          <w:sz w:val="20"/>
        </w:rPr>
        <w:t>Recently Issued Accounting Pronouncements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See Note 1, “Basis of presentation and new accounting pronouncements” to the Company’s consolidated financial statements included in this Quarterly Report on Form 10-Q for a description of recently issued accounting pronouncements.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77" w:name="Item_3_Quantitative_and_Qualitative_Disc"/>
      <w:bookmarkStart w:id="878" w:name="_07b26732_54ac_4327_baad_fcab7c134cac"/>
      <w:bookmarkStart w:id="879" w:name="Item_3_Quantitative_and_Qualitative_Disc"/>
      <w:bookmarkStart w:id="880" w:name="_07b26732_54ac_4327_baad_fcab7c134cac"/>
      <w:bookmarkEnd w:id="879"/>
      <w:bookmarkEnd w:id="880"/>
    </w:p>
    <w:tbl>
      <w:tblPr>
        <w:tblW w:w="5852" w:type="dxa"/>
        <w:jc w:val="left"/>
        <w:tblInd w:w="0" w:type="dxa"/>
        <w:tblLayout w:type="fixed"/>
        <w:tblCellMar>
          <w:top w:w="0" w:type="dxa"/>
          <w:left w:w="0" w:type="dxa"/>
          <w:bottom w:w="0" w:type="dxa"/>
          <w:right w:w="0" w:type="dxa"/>
        </w:tblCellMar>
      </w:tblPr>
      <w:tblGrid>
        <w:gridCol w:w="706"/>
        <w:gridCol w:w="514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3.</w:t>
            </w:r>
          </w:p>
        </w:tc>
        <w:tc>
          <w:tcPr>
            <w:tcW w:w="514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Quantitative and Qualitative Disclosures About Market Risk</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seeks to reduce earnings and cash flow volatility associated with changes in interest rates and foreign currency exchange rates by entering into financial arrangements, from time to time, that are intended to provide an economic hedge against some or all, of the risks associated with such volatility. The Company continues to have exposure to such risks to the extent they are not economically hedged.</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Item 7A, </w:t>
      </w:r>
      <w:r>
        <w:rPr>
          <w:rFonts w:ascii="Times New Roman;Times;serif" w:hAnsi="Times New Roman;Times;serif"/>
          <w:i/>
          <w:sz w:val="20"/>
        </w:rPr>
        <w:t>Quantitative and Qualitative Disclosures About Market Risk</w:t>
      </w:r>
      <w:r>
        <w:rPr>
          <w:rFonts w:ascii="Times New Roman;Times;serif" w:hAnsi="Times New Roman;Times;serif"/>
          <w:sz w:val="20"/>
        </w:rPr>
        <w:t>, in the Company’s Annual Report on Form 10-K for the fiscal year ended July 1, 2023, for further discussion of market risks associated with foreign currency exchange rates and interest rates. Avnet’s exposure to such risks has not changed materially since July 1, 2023, as the Company continues to economically hedge the majority of its foreign currency exchange exposures. Thus, any increase or decrease in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pStyle w:val="TextBody"/>
        <w:bidi w:val="0"/>
        <w:spacing w:before="0" w:after="0"/>
        <w:ind w:left="0" w:right="0" w:firstLine="480"/>
        <w:jc w:val="left"/>
        <w:rPr/>
      </w:pPr>
      <w:r>
        <w:rPr/>
        <w:t>​</w:t>
      </w:r>
    </w:p>
    <w:p>
      <w:pPr>
        <w:pStyle w:val="TextBody"/>
        <w:bidi w:val="0"/>
        <w:spacing w:before="0" w:after="0"/>
        <w:ind w:left="0" w:right="0" w:firstLine="475"/>
        <w:jc w:val="left"/>
        <w:rPr>
          <w:rFonts w:ascii="Times New Roman;Times;serif" w:hAnsi="Times New Roman;Times;serif"/>
          <w:sz w:val="20"/>
        </w:rPr>
      </w:pPr>
      <w:r>
        <w:rPr>
          <w:rFonts w:ascii="Times New Roman;Times;serif" w:hAnsi="Times New Roman;Times;serif"/>
          <w:sz w:val="20"/>
        </w:rPr>
        <w:t xml:space="preserve">See </w:t>
      </w:r>
      <w:r>
        <w:rPr>
          <w:rFonts w:ascii="Times New Roman;Times;serif" w:hAnsi="Times New Roman;Times;serif"/>
          <w:i/>
          <w:sz w:val="20"/>
        </w:rPr>
        <w:t>Liquidity and Capital Resources — Financing Transactions</w:t>
      </w:r>
      <w:r>
        <w:rPr>
          <w:rFonts w:ascii="Times New Roman;Times;serif" w:hAnsi="Times New Roman;Times;serif"/>
          <w:sz w:val="20"/>
        </w:rPr>
        <w:t xml:space="preserve"> appearing in Item 2 of this Quarterly Report on Form 10-Q for further discussion of the Company’s financing transactions and capital structure. As of September 30, 2023, approximately 52% of the Company’s debt bears interest at a fixed rate and 48% of the Company’s debt bears interest at variable rates. Therefore, a hypothetical 1.0% (100 basis points) increase in interest rates would result in a $3.8 million decrease in income before income taxes in the Company’s consolidated statement of operations for the first quarter of fiscal 2024.</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81" w:name="Item_4_Controls_and_Procedures"/>
      <w:bookmarkStart w:id="882" w:name="_31a26910_cca8_4f05_9c5a_f38f923a4bf0"/>
      <w:bookmarkStart w:id="883" w:name="Item_4_Controls_and_Procedures"/>
      <w:bookmarkStart w:id="884" w:name="_31a26910_cca8_4f05_9c5a_f38f923a4bf0"/>
      <w:bookmarkEnd w:id="883"/>
      <w:bookmarkEnd w:id="884"/>
    </w:p>
    <w:tbl>
      <w:tblPr>
        <w:tblW w:w="2912" w:type="dxa"/>
        <w:jc w:val="left"/>
        <w:tblInd w:w="0" w:type="dxa"/>
        <w:tblLayout w:type="fixed"/>
        <w:tblCellMar>
          <w:top w:w="0" w:type="dxa"/>
          <w:left w:w="0" w:type="dxa"/>
          <w:bottom w:w="0" w:type="dxa"/>
          <w:right w:w="0" w:type="dxa"/>
        </w:tblCellMar>
      </w:tblPr>
      <w:tblGrid>
        <w:gridCol w:w="706"/>
        <w:gridCol w:w="220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4.</w:t>
            </w:r>
          </w:p>
        </w:tc>
        <w:tc>
          <w:tcPr>
            <w:tcW w:w="220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Controls and Procedures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During the first quarter of fiscal 2024,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885" w:name="PART_II_OTHER_INFORMATION"/>
      <w:bookmarkStart w:id="886" w:name="_6f8aaa58_1470_4916_950d_51470da12301"/>
      <w:bookmarkEnd w:id="885"/>
      <w:bookmarkEnd w:id="886"/>
      <w:r>
        <w:rPr>
          <w:rFonts w:ascii="Times New Roman;Times;serif" w:hAnsi="Times New Roman;Times;serif"/>
          <w:b/>
          <w:sz w:val="20"/>
        </w:rPr>
        <w:t>PART II</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OTHER INFORMATION</w:t>
      </w:r>
    </w:p>
    <w:p>
      <w:pPr>
        <w:pStyle w:val="TextBody"/>
        <w:bidi w:val="0"/>
        <w:spacing w:before="0" w:after="0"/>
        <w:ind w:left="0" w:right="0" w:hanging="0"/>
        <w:jc w:val="center"/>
        <w:rPr/>
      </w:pPr>
      <w:r>
        <w:rPr/>
        <w:t>​</w:t>
      </w:r>
    </w:p>
    <w:p>
      <w:pPr>
        <w:pStyle w:val="Normal"/>
        <w:bidi w:val="0"/>
        <w:spacing w:before="0" w:after="0"/>
        <w:jc w:val="left"/>
        <w:rPr>
          <w:sz w:val="4"/>
          <w:szCs w:val="4"/>
        </w:rPr>
      </w:pPr>
      <w:r>
        <w:rPr>
          <w:sz w:val="4"/>
          <w:szCs w:val="4"/>
        </w:rPr>
      </w:r>
      <w:bookmarkStart w:id="887" w:name="Item_1_Legal_Proceedings"/>
      <w:bookmarkStart w:id="888" w:name="Item_1_Legal_Proceedings"/>
      <w:bookmarkEnd w:id="888"/>
    </w:p>
    <w:tbl>
      <w:tblPr>
        <w:tblW w:w="2402" w:type="dxa"/>
        <w:jc w:val="left"/>
        <w:tblInd w:w="0" w:type="dxa"/>
        <w:tblLayout w:type="fixed"/>
        <w:tblCellMar>
          <w:top w:w="0" w:type="dxa"/>
          <w:left w:w="0" w:type="dxa"/>
          <w:bottom w:w="0" w:type="dxa"/>
          <w:right w:w="0" w:type="dxa"/>
        </w:tblCellMar>
      </w:tblPr>
      <w:tblGrid>
        <w:gridCol w:w="706"/>
        <w:gridCol w:w="169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w:t>
            </w:r>
          </w:p>
        </w:tc>
        <w:tc>
          <w:tcPr>
            <w:tcW w:w="169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Legal Proceedings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pStyle w:val="TextBody"/>
        <w:bidi w:val="0"/>
        <w:spacing w:before="0" w:after="0"/>
        <w:ind w:left="0" w:right="0" w:firstLine="48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889" w:name="Item_1A_Risk_Factors"/>
      <w:bookmarkStart w:id="890" w:name="Item_1A_Risk_Factors"/>
      <w:bookmarkEnd w:id="890"/>
    </w:p>
    <w:tbl>
      <w:tblPr>
        <w:tblW w:w="2057" w:type="dxa"/>
        <w:jc w:val="left"/>
        <w:tblInd w:w="0" w:type="dxa"/>
        <w:tblLayout w:type="fixed"/>
        <w:tblCellMar>
          <w:top w:w="0" w:type="dxa"/>
          <w:left w:w="0" w:type="dxa"/>
          <w:bottom w:w="0" w:type="dxa"/>
          <w:right w:w="0" w:type="dxa"/>
        </w:tblCellMar>
      </w:tblPr>
      <w:tblGrid>
        <w:gridCol w:w="841"/>
        <w:gridCol w:w="1216"/>
      </w:tblGrid>
      <w:tr>
        <w:trPr/>
        <w:tc>
          <w:tcPr>
            <w:tcW w:w="841"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1A.</w:t>
            </w:r>
          </w:p>
        </w:tc>
        <w:tc>
          <w:tcPr>
            <w:tcW w:w="121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Risk Factors</w:t>
            </w:r>
          </w:p>
        </w:tc>
      </w:tr>
    </w:tbl>
    <w:p>
      <w:pPr>
        <w:pStyle w:val="TextBody"/>
        <w:bidi w:val="0"/>
        <w:spacing w:before="0" w:after="0"/>
        <w:ind w:left="0" w:right="0" w:firstLine="480"/>
        <w:jc w:val="both"/>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discussion of the Company’s business and operations should be read together with the risk factors contained in Item 1A of its Annual Report on Form 10-K for the fiscal year ended July 1, 2023,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September 30, 2023, there have been no material changes to the risk factors set forth in the Company’s Annual Report on Form 10-K for the fiscal year ended July 1, 2023.</w:t>
      </w:r>
    </w:p>
    <w:p>
      <w:pPr>
        <w:pStyle w:val="TextBody"/>
        <w:bidi w:val="0"/>
        <w:spacing w:before="0" w:after="0"/>
        <w:ind w:left="0" w:right="0" w:firstLine="480"/>
        <w:jc w:val="both"/>
        <w:rPr/>
      </w:pPr>
      <w:r>
        <w:rPr/>
        <w:t>​</w:t>
      </w:r>
    </w:p>
    <w:p>
      <w:pPr>
        <w:pStyle w:val="Normal"/>
        <w:bidi w:val="0"/>
        <w:spacing w:before="0" w:after="0"/>
        <w:jc w:val="left"/>
        <w:rPr>
          <w:sz w:val="4"/>
          <w:szCs w:val="4"/>
        </w:rPr>
      </w:pPr>
      <w:r>
        <w:rPr>
          <w:sz w:val="4"/>
          <w:szCs w:val="4"/>
        </w:rPr>
      </w:r>
      <w:bookmarkStart w:id="891" w:name="Item_2_Unregistered_Sales_of_Equity_Secu"/>
      <w:bookmarkStart w:id="892" w:name="Item_2_Unregistered_Sales_of_Equity_Secu"/>
      <w:bookmarkEnd w:id="892"/>
    </w:p>
    <w:tbl>
      <w:tblPr>
        <w:tblW w:w="5777" w:type="dxa"/>
        <w:jc w:val="left"/>
        <w:tblInd w:w="0" w:type="dxa"/>
        <w:tblLayout w:type="fixed"/>
        <w:tblCellMar>
          <w:top w:w="0" w:type="dxa"/>
          <w:left w:w="0" w:type="dxa"/>
          <w:bottom w:w="0" w:type="dxa"/>
          <w:right w:w="0" w:type="dxa"/>
        </w:tblCellMar>
      </w:tblPr>
      <w:tblGrid>
        <w:gridCol w:w="706"/>
        <w:gridCol w:w="5071"/>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2.</w:t>
            </w:r>
          </w:p>
        </w:tc>
        <w:tc>
          <w:tcPr>
            <w:tcW w:w="5071"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Unregistered Sales of Equity Securities and Use of Proceeds</w:t>
            </w:r>
          </w:p>
        </w:tc>
      </w:tr>
    </w:tbl>
    <w:p>
      <w:pPr>
        <w:pStyle w:val="TextBody"/>
        <w:bidi w:val="0"/>
        <w:spacing w:before="0" w:after="0"/>
        <w:ind w:left="1080" w:right="0" w:hanging="0"/>
        <w:jc w:val="left"/>
        <w:rPr/>
      </w:pPr>
      <w:r>
        <w:rPr/>
        <w:t>​</w:t>
      </w:r>
    </w:p>
    <w:p>
      <w:pPr>
        <w:pStyle w:val="TextBody"/>
        <w:bidi w:val="0"/>
        <w:spacing w:before="0" w:after="0"/>
        <w:ind w:left="0" w:right="0" w:firstLine="480"/>
        <w:jc w:val="left"/>
        <w:rPr>
          <w:rFonts w:ascii="Times New Roman;Times;serif" w:hAnsi="Times New Roman;Times;serif"/>
          <w:sz w:val="20"/>
        </w:rPr>
      </w:pPr>
      <w:r>
        <w:rPr>
          <w:rFonts w:ascii="Times New Roman;Times;serif" w:hAnsi="Times New Roman;Times;serif"/>
          <w:sz w:val="20"/>
        </w:rPr>
        <w:t>The Company’s Board of Directors has approved the repurchase plan of up to an aggregate of $600 million of common stock. The following table includes the Company’s monthly purchases of the Company’s common stock during the first quarter of fiscal 2024, under the share repurchase program, which is part of a publicly announced plan.</w:t>
      </w:r>
    </w:p>
    <w:p>
      <w:pPr>
        <w:pStyle w:val="TextBody"/>
        <w:bidi w:val="0"/>
        <w:spacing w:before="0" w:after="0"/>
        <w:ind w:left="0" w:right="0" w:firstLine="480"/>
        <w:jc w:val="left"/>
        <w:rPr/>
      </w:pPr>
      <w:r>
        <w:rPr/>
        <w:t>​</w:t>
      </w:r>
    </w:p>
    <w:tbl>
      <w:tblPr>
        <w:tblW w:w="9330" w:type="dxa"/>
        <w:jc w:val="left"/>
        <w:tblInd w:w="0" w:type="dxa"/>
        <w:tblLayout w:type="fixed"/>
        <w:tblCellMar>
          <w:top w:w="0" w:type="dxa"/>
          <w:left w:w="0" w:type="dxa"/>
          <w:bottom w:w="0" w:type="dxa"/>
          <w:right w:w="0" w:type="dxa"/>
        </w:tblCellMar>
      </w:tblPr>
      <w:tblGrid>
        <w:gridCol w:w="2266"/>
        <w:gridCol w:w="326"/>
        <w:gridCol w:w="991"/>
        <w:gridCol w:w="326"/>
        <w:gridCol w:w="222"/>
        <w:gridCol w:w="604"/>
        <w:gridCol w:w="326"/>
        <w:gridCol w:w="1771"/>
        <w:gridCol w:w="326"/>
        <w:gridCol w:w="309"/>
        <w:gridCol w:w="1672"/>
        <w:gridCol w:w="191"/>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1438910" cy="175260"/>
                      <wp:effectExtent l="0" t="0" r="0" b="0"/>
                      <wp:wrapNone/>
                      <wp:docPr id="216" name="Frame216"/>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7" name="Frame2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29285" cy="175260"/>
                      <wp:effectExtent l="0" t="0" r="0" b="0"/>
                      <wp:wrapNone/>
                      <wp:docPr id="218" name="Frame218"/>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9" name="Frame2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2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140970" cy="175260"/>
                      <wp:effectExtent l="0" t="0" r="0" b="0"/>
                      <wp:wrapNone/>
                      <wp:docPr id="220" name="Frame220"/>
                      <a:graphic xmlns:a="http://schemas.openxmlformats.org/drawingml/2006/main">
                        <a:graphicData uri="http://schemas.microsoft.com/office/word/2010/wordprocessingShape">
                          <wps:wsp>
                            <wps:cNvSpPr txBox="1"/>
                            <wps:spPr>
                              <a:xfrm>
                                <a:off x="0" y="0"/>
                                <a:ext cx="14097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383540" cy="175260"/>
                      <wp:effectExtent l="0" t="0" r="0" b="0"/>
                      <wp:wrapNone/>
                      <wp:docPr id="221" name="Frame221"/>
                      <a:graphic xmlns:a="http://schemas.openxmlformats.org/drawingml/2006/main">
                        <a:graphicData uri="http://schemas.microsoft.com/office/word/2010/wordprocessingShape">
                          <wps:wsp>
                            <wps:cNvSpPr txBox="1"/>
                            <wps:spPr>
                              <a:xfrm>
                                <a:off x="0" y="0"/>
                                <a:ext cx="3835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22" name="Frame2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1124585" cy="175260"/>
                      <wp:effectExtent l="0" t="0" r="0" b="0"/>
                      <wp:wrapNone/>
                      <wp:docPr id="223" name="Frame223"/>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4" name="Frame2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96215" cy="175260"/>
                      <wp:effectExtent l="0" t="0" r="0" b="0"/>
                      <wp:wrapNone/>
                      <wp:docPr id="225" name="Frame225"/>
                      <a:graphic xmlns:a="http://schemas.openxmlformats.org/drawingml/2006/main">
                        <a:graphicData uri="http://schemas.microsoft.com/office/word/2010/wordprocessingShape">
                          <wps:wsp>
                            <wps:cNvSpPr txBox="1"/>
                            <wps:spPr>
                              <a:xfrm>
                                <a:off x="0" y="0"/>
                                <a:ext cx="196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7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1061720" cy="175260"/>
                      <wp:effectExtent l="0" t="0" r="0" b="0"/>
                      <wp:wrapNone/>
                      <wp:docPr id="226" name="Frame226"/>
                      <a:graphic xmlns:a="http://schemas.openxmlformats.org/drawingml/2006/main">
                        <a:graphicData uri="http://schemas.microsoft.com/office/word/2010/wordprocessingShape">
                          <wps:wsp>
                            <wps:cNvSpPr txBox="1"/>
                            <wps:spPr>
                              <a:xfrm>
                                <a:off x="0" y="0"/>
                                <a:ext cx="10617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21285" cy="175260"/>
                      <wp:effectExtent l="0" t="0" r="0" b="0"/>
                      <wp:wrapNone/>
                      <wp:docPr id="227" name="Frame227"/>
                      <a:graphic xmlns:a="http://schemas.openxmlformats.org/drawingml/2006/main">
                        <a:graphicData uri="http://schemas.microsoft.com/office/word/2010/wordprocessingShape">
                          <wps:wsp>
                            <wps:cNvSpPr txBox="1"/>
                            <wps:spPr>
                              <a:xfrm>
                                <a:off x="0" y="0"/>
                                <a:ext cx="121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222" w:type="dxa"/>
            <w:tcBorders/>
            <w:vAlign w:val="center"/>
          </w:tcPr>
          <w:p>
            <w:pPr>
              <w:pStyle w:val="TableContents"/>
              <w:bidi w:val="0"/>
              <w:spacing w:before="0" w:after="0"/>
              <w:ind w:left="0" w:right="0" w:hanging="0"/>
              <w:jc w:val="center"/>
              <w:rPr/>
            </w:pPr>
            <w:r>
              <w:rPr/>
              <w:t>​</w:t>
            </w:r>
          </w:p>
        </w:tc>
        <w:tc>
          <w:tcPr>
            <w:tcW w:w="60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Total Number of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Approximate Dollar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Shares Purchased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Value of Shares That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as Part of Publicly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May Yet Be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9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vAlign w:val="center"/>
          </w:tcPr>
          <w:p>
            <w:pPr>
              <w:pStyle w:val="TableContents"/>
              <w:bidi w:val="0"/>
              <w:spacing w:before="0" w:after="0"/>
              <w:ind w:left="0" w:right="0" w:hanging="0"/>
              <w:jc w:val="center"/>
              <w:rPr/>
            </w:pPr>
            <w:r>
              <w:rPr/>
              <w:t>​</w:t>
            </w:r>
          </w:p>
        </w:tc>
        <w:tc>
          <w:tcPr>
            <w:tcW w:w="826" w:type="dxa"/>
            <w:gridSpan w:val="2"/>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Announced Plans </w:t>
            </w:r>
          </w:p>
        </w:tc>
        <w:tc>
          <w:tcPr>
            <w:tcW w:w="326" w:type="dxa"/>
            <w:tcBorders/>
            <w:vAlign w:val="center"/>
          </w:tcPr>
          <w:p>
            <w:pPr>
              <w:pStyle w:val="TableContents"/>
              <w:bidi w:val="0"/>
              <w:spacing w:before="0" w:after="0"/>
              <w:ind w:left="0" w:right="0" w:hanging="0"/>
              <w:jc w:val="center"/>
              <w:rPr/>
            </w:pPr>
            <w:r>
              <w:rPr/>
              <w:t>​</w:t>
            </w:r>
          </w:p>
        </w:tc>
        <w:tc>
          <w:tcPr>
            <w:tcW w:w="1981" w:type="dxa"/>
            <w:gridSpan w:val="2"/>
            <w:tcBorders/>
            <w:vAlign w:val="center"/>
          </w:tcPr>
          <w:p>
            <w:pPr>
              <w:pStyle w:val="TableContents"/>
              <w:bidi w:val="0"/>
              <w:spacing w:before="0" w:after="0"/>
              <w:ind w:left="0" w:right="0" w:hanging="0"/>
              <w:jc w:val="center"/>
              <w:rPr/>
            </w:pPr>
            <w:r>
              <w:rPr/>
              <w:t> </w:t>
            </w:r>
            <w:r>
              <w:rPr>
                <w:rFonts w:ascii="Times New Roman;Times;serif" w:hAnsi="Times New Roman;Times;serif"/>
                <w:b/>
                <w:sz w:val="20"/>
              </w:rPr>
              <w:t>Purchased under the</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326" w:type="dxa"/>
            <w:tcBorders/>
            <w:vAlign w:val="center"/>
          </w:tcPr>
          <w:p>
            <w:pPr>
              <w:pStyle w:val="TableContents"/>
              <w:bidi w:val="0"/>
              <w:spacing w:before="0" w:after="0"/>
              <w:ind w:left="0" w:right="0" w:hanging="0"/>
              <w:jc w:val="center"/>
              <w:rPr/>
            </w:pPr>
            <w:r>
              <w:rPr/>
              <w:t>​</w:t>
            </w:r>
          </w:p>
        </w:tc>
        <w:tc>
          <w:tcPr>
            <w:tcW w:w="991" w:type="dxa"/>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vAlign w:val="center"/>
          </w:tcPr>
          <w:p>
            <w:pPr>
              <w:pStyle w:val="TableContents"/>
              <w:bidi w:val="0"/>
              <w:spacing w:before="0" w:after="0"/>
              <w:ind w:left="0" w:right="0" w:hanging="0"/>
              <w:jc w:val="center"/>
              <w:rPr/>
            </w:pPr>
            <w:r>
              <w:rPr/>
              <w:t>    </w:t>
            </w:r>
          </w:p>
        </w:tc>
        <w:tc>
          <w:tcPr>
            <w:tcW w:w="826"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vAlign w:val="center"/>
          </w:tcPr>
          <w:p>
            <w:pPr>
              <w:pStyle w:val="TableContents"/>
              <w:bidi w:val="0"/>
              <w:spacing w:before="0" w:after="0"/>
              <w:ind w:left="0" w:right="0" w:hanging="0"/>
              <w:jc w:val="center"/>
              <w:rPr/>
            </w:pPr>
            <w:r>
              <w:rPr/>
              <w:t>    </w:t>
            </w:r>
          </w:p>
        </w:tc>
        <w:tc>
          <w:tcPr>
            <w:tcW w:w="1771" w:type="dxa"/>
            <w:tcBorders>
              <w:bottom w:val="single" w:sz="1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20"/>
              </w:rPr>
              <w:t>or Programs </w:t>
            </w:r>
          </w:p>
        </w:tc>
        <w:tc>
          <w:tcPr>
            <w:tcW w:w="326" w:type="dxa"/>
            <w:tcBorders/>
            <w:vAlign w:val="center"/>
          </w:tcPr>
          <w:p>
            <w:pPr>
              <w:pStyle w:val="TableContents"/>
              <w:bidi w:val="0"/>
              <w:spacing w:before="0" w:after="0"/>
              <w:ind w:left="0" w:right="0" w:hanging="0"/>
              <w:jc w:val="center"/>
              <w:rPr/>
            </w:pPr>
            <w:r>
              <w:rPr/>
              <w:t>    </w:t>
            </w:r>
          </w:p>
        </w:tc>
        <w:tc>
          <w:tcPr>
            <w:tcW w:w="1981" w:type="dxa"/>
            <w:gridSpan w:val="2"/>
            <w:tcBorders>
              <w:bottom w:val="single" w:sz="1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Plans or Programs </w:t>
            </w:r>
          </w:p>
        </w:tc>
        <w:tc>
          <w:tcPr>
            <w:tcW w:w="191" w:type="dxa"/>
            <w:tcBorders/>
            <w:vAlign w:val="center"/>
          </w:tcPr>
          <w:p>
            <w:pPr>
              <w:pStyle w:val="TableContents"/>
              <w:bidi w:val="0"/>
              <w:spacing w:before="0" w:after="0"/>
              <w:ind w:left="0" w:right="0" w:hanging="0"/>
              <w:jc w:val="center"/>
              <w:rPr/>
            </w:pPr>
            <w:r>
              <w:rPr/>
              <w:t> </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2 – July 29</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222" w:type="dxa"/>
            <w:tcBorders/>
            <w:shd w:fill="CCEEFF" w:val="clear"/>
            <w:vAlign w:val="center"/>
          </w:tcPr>
          <w:p>
            <w:pPr>
              <w:pStyle w:val="TableContents"/>
              <w:bidi w:val="0"/>
              <w:spacing w:before="0" w:after="0"/>
              <w:ind w:left="0" w:right="0" w:hanging="0"/>
              <w:jc w:val="left"/>
              <w:rPr/>
            </w:pPr>
            <w:r>
              <w:rPr/>
              <w:t>​</w:t>
            </w:r>
          </w:p>
        </w:tc>
        <w:tc>
          <w:tcPr>
            <w:tcW w:w="60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17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318,511,000</w:t>
            </w:r>
          </w:p>
        </w:tc>
        <w:tc>
          <w:tcPr>
            <w:tcW w:w="191" w:type="dxa"/>
            <w:tcBorders/>
            <w:shd w:fill="CCEEFF" w:val="clear"/>
            <w:vAlign w:val="center"/>
          </w:tcPr>
          <w:p>
            <w:pPr>
              <w:pStyle w:val="TableContents"/>
              <w:bidi w:val="0"/>
              <w:spacing w:before="0" w:after="0"/>
              <w:ind w:left="0" w:right="0" w:hanging="0"/>
              <w:jc w:val="center"/>
              <w:rPr/>
            </w:pPr>
            <w:r>
              <w:rPr/>
              <w:t>​</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30 – August 26</w:t>
            </w:r>
          </w:p>
        </w:tc>
        <w:tc>
          <w:tcPr>
            <w:tcW w:w="326" w:type="dxa"/>
            <w:tcBorders/>
            <w:vAlign w:val="center"/>
          </w:tcPr>
          <w:p>
            <w:pPr>
              <w:pStyle w:val="TableContents"/>
              <w:bidi w:val="0"/>
              <w:spacing w:before="0" w:after="0"/>
              <w:ind w:left="0" w:right="0" w:hanging="0"/>
              <w:jc w:val="left"/>
              <w:rPr>
                <w:color w:val="575757"/>
              </w:rPr>
            </w:pPr>
            <w:r>
              <w:rPr>
                <w:color w:val="575757"/>
              </w:rPr>
              <w:t> </w:t>
            </w:r>
          </w:p>
        </w:tc>
        <w:tc>
          <w:tcPr>
            <w:tcW w:w="9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222" w:type="dxa"/>
            <w:tcBorders/>
            <w:vAlign w:val="center"/>
          </w:tcPr>
          <w:p>
            <w:pPr>
              <w:pStyle w:val="TableContents"/>
              <w:bidi w:val="0"/>
              <w:spacing w:before="0" w:after="0"/>
              <w:ind w:left="0" w:right="0" w:hanging="0"/>
              <w:jc w:val="left"/>
              <w:rPr/>
            </w:pPr>
            <w:r>
              <w:rPr/>
              <w:t>​</w:t>
            </w:r>
          </w:p>
        </w:tc>
        <w:tc>
          <w:tcPr>
            <w:tcW w:w="60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color w:val="575757"/>
              </w:rPr>
            </w:pPr>
            <w:r>
              <w:rPr>
                <w:color w:val="575757"/>
              </w:rPr>
              <w:t> </w:t>
            </w:r>
          </w:p>
        </w:tc>
        <w:tc>
          <w:tcPr>
            <w:tcW w:w="17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color w:val="575757"/>
              </w:rPr>
            </w:pPr>
            <w:r>
              <w:rPr>
                <w:color w:val="575757"/>
              </w:rPr>
              <w:t>​</w:t>
            </w:r>
          </w:p>
        </w:tc>
        <w:tc>
          <w:tcPr>
            <w:tcW w:w="3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318,511,000</w:t>
            </w:r>
          </w:p>
        </w:tc>
        <w:tc>
          <w:tcPr>
            <w:tcW w:w="191" w:type="dxa"/>
            <w:tcBorders/>
            <w:vAlign w:val="center"/>
          </w:tcPr>
          <w:p>
            <w:pPr>
              <w:pStyle w:val="TableContents"/>
              <w:bidi w:val="0"/>
              <w:spacing w:before="0" w:after="0"/>
              <w:ind w:left="0" w:right="0" w:hanging="0"/>
              <w:jc w:val="center"/>
              <w:rPr/>
            </w:pPr>
            <w:r>
              <w:rPr/>
              <w:t>​</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27 – September 30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9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558,695</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222"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48.40</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 </w:t>
            </w:r>
          </w:p>
        </w:tc>
        <w:tc>
          <w:tcPr>
            <w:tcW w:w="17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558,695</w:t>
            </w:r>
          </w:p>
        </w:tc>
        <w:tc>
          <w:tcPr>
            <w:tcW w:w="326" w:type="dxa"/>
            <w:tcBorders/>
            <w:shd w:fill="CCEEFF" w:val="clear"/>
            <w:vAlign w:val="center"/>
          </w:tcPr>
          <w:p>
            <w:pPr>
              <w:pStyle w:val="TableContents"/>
              <w:bidi w:val="0"/>
              <w:spacing w:before="0" w:after="0"/>
              <w:ind w:left="0" w:right="0" w:hanging="0"/>
              <w:jc w:val="left"/>
              <w:rPr>
                <w:color w:val="575757"/>
              </w:rPr>
            </w:pPr>
            <w:r>
              <w:rPr>
                <w:color w:val="575757"/>
              </w:rPr>
              <w:t>​</w:t>
            </w:r>
          </w:p>
        </w:tc>
        <w:tc>
          <w:tcPr>
            <w:tcW w:w="30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72"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291,469,000</w:t>
            </w:r>
          </w:p>
        </w:tc>
        <w:tc>
          <w:tcPr>
            <w:tcW w:w="191" w:type="dxa"/>
            <w:tcBorders/>
            <w:shd w:fill="CCEEFF" w:val="clear"/>
            <w:vAlign w:val="center"/>
          </w:tcPr>
          <w:p>
            <w:pPr>
              <w:pStyle w:val="TableContents"/>
              <w:bidi w:val="0"/>
              <w:spacing w:before="0" w:after="0"/>
              <w:ind w:left="0" w:right="0" w:hanging="0"/>
              <w:jc w:val="center"/>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80"/>
        <w:jc w:val="left"/>
        <w:rPr/>
      </w:pPr>
      <w:r>
        <w:rPr/>
        <w:t>​</w:t>
      </w:r>
    </w:p>
    <w:p>
      <w:pPr>
        <w:pStyle w:val="TextBody"/>
        <w:bidi w:val="0"/>
        <w:spacing w:before="0" w:after="0"/>
        <w:ind w:left="0" w:right="0" w:firstLine="48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Normal"/>
        <w:bidi w:val="0"/>
        <w:spacing w:before="0" w:after="0"/>
        <w:jc w:val="left"/>
        <w:rPr>
          <w:sz w:val="4"/>
          <w:szCs w:val="4"/>
        </w:rPr>
      </w:pPr>
      <w:r>
        <w:rPr>
          <w:sz w:val="4"/>
          <w:szCs w:val="4"/>
        </w:rPr>
      </w:r>
      <w:bookmarkStart w:id="893" w:name="Item_6_Exhibits"/>
      <w:bookmarkStart w:id="894" w:name="_19e08b08_5a2c_4e85_b7bc_060720495fcc"/>
      <w:bookmarkStart w:id="895" w:name="Item_6_Exhibits"/>
      <w:bookmarkStart w:id="896" w:name="_19e08b08_5a2c_4e85_b7bc_060720495fcc"/>
      <w:bookmarkEnd w:id="895"/>
      <w:bookmarkEnd w:id="896"/>
    </w:p>
    <w:tbl>
      <w:tblPr>
        <w:tblW w:w="1562" w:type="dxa"/>
        <w:jc w:val="left"/>
        <w:tblInd w:w="0" w:type="dxa"/>
        <w:tblLayout w:type="fixed"/>
        <w:tblCellMar>
          <w:top w:w="0" w:type="dxa"/>
          <w:left w:w="0" w:type="dxa"/>
          <w:bottom w:w="0" w:type="dxa"/>
          <w:right w:w="0" w:type="dxa"/>
        </w:tblCellMar>
      </w:tblPr>
      <w:tblGrid>
        <w:gridCol w:w="706"/>
        <w:gridCol w:w="856"/>
      </w:tblGrid>
      <w:tr>
        <w:trPr/>
        <w:tc>
          <w:tcPr>
            <w:tcW w:w="706" w:type="dxa"/>
            <w:tcBorders/>
            <w:vAlign w:val="center"/>
          </w:tcPr>
          <w:p>
            <w:pPr>
              <w:pStyle w:val="TableContents"/>
              <w:bidi w:val="0"/>
              <w:spacing w:before="0" w:after="0"/>
              <w:jc w:val="left"/>
              <w:rPr>
                <w:rFonts w:ascii="Times New Roman;Times;serif" w:hAnsi="Times New Roman;Times;serif"/>
                <w:b/>
                <w:sz w:val="20"/>
              </w:rPr>
            </w:pPr>
            <w:r>
              <w:rPr>
                <w:rFonts w:ascii="Times New Roman;Times;serif" w:hAnsi="Times New Roman;Times;serif"/>
                <w:b/>
                <w:sz w:val="20"/>
              </w:rPr>
              <w:t>Item 6.</w:t>
            </w:r>
          </w:p>
        </w:tc>
        <w:tc>
          <w:tcPr>
            <w:tcW w:w="856" w:type="dxa"/>
            <w:tcBorders/>
            <w:vAlign w:val="center"/>
          </w:tcPr>
          <w:p>
            <w:pPr>
              <w:pStyle w:val="TableContents"/>
              <w:bidi w:val="0"/>
              <w:spacing w:before="0" w:after="0"/>
              <w:jc w:val="left"/>
              <w:rPr>
                <w:rFonts w:ascii="Times New Roman;Times;serif" w:hAnsi="Times New Roman;Times;serif"/>
                <w:b/>
                <w:i/>
                <w:sz w:val="20"/>
              </w:rPr>
            </w:pPr>
            <w:r>
              <w:rPr>
                <w:rFonts w:ascii="Times New Roman;Times;serif" w:hAnsi="Times New Roman;Times;serif"/>
                <w:b/>
                <w:i/>
                <w:sz w:val="20"/>
              </w:rPr>
              <w:t>Exhibits</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27"/>
        <w:gridCol w:w="326"/>
        <w:gridCol w:w="8952"/>
      </w:tblGrid>
      <w:tr>
        <w:trPr/>
        <w:tc>
          <w:tcPr>
            <w:tcW w:w="927" w:type="dxa"/>
            <w:tcBorders/>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bottom w:val="single" w:sz="8" w:space="0" w:color="000000"/>
            </w:tcBorders>
            <w:tcMar>
              <w:bottom w:w="40" w:type="dxa"/>
            </w:tcMar>
            <w:vAlign w:val="center"/>
          </w:tcPr>
          <w:p>
            <w:pPr>
              <w:pStyle w:val="TableContents"/>
              <w:pBdr/>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bottom w:val="single" w:sz="8" w:space="0" w:color="000000"/>
            </w:tcBorders>
            <w:tcMar>
              <w:bottom w:w="40" w:type="dxa"/>
            </w:tcMar>
            <w:vAlign w:val="center"/>
          </w:tcPr>
          <w:p>
            <w:pPr>
              <w:pStyle w:val="TableContents"/>
              <w:bidi w:val="0"/>
              <w:spacing w:before="0" w:after="0"/>
              <w:ind w:left="0" w:right="0" w:hanging="0"/>
              <w:jc w:val="left"/>
              <w:rPr/>
            </w:pPr>
            <w:r>
              <w:rPr/>
              <w:t>    </w:t>
            </w:r>
          </w:p>
        </w:tc>
        <w:tc>
          <w:tcPr>
            <w:tcW w:w="8952"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tc>
      </w:tr>
      <w:tr>
        <w:trPr/>
        <w:tc>
          <w:tcPr>
            <w:tcW w:w="927"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both"/>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0930xex10d1.htm">
              <w:r>
                <w:rPr>
                  <w:rStyle w:val="InternetLink"/>
                  <w:rFonts w:ascii="Times New Roman;Times;serif" w:hAnsi="Times New Roman;Times;serif"/>
                  <w:b w:val="false"/>
                  <w:i w:val="false"/>
                  <w:caps w:val="false"/>
                  <w:smallCaps w:val="false"/>
                  <w:sz w:val="20"/>
                </w:rPr>
                <w:t>Form of Indemnification Agreement. The Company enters into this form of agreement with each of its directors and officers.</w:t>
              </w:r>
            </w:hyperlink>
          </w:p>
        </w:tc>
      </w:tr>
      <w:tr>
        <w:trPr/>
        <w:tc>
          <w:tcPr>
            <w:tcW w:w="927" w:type="dxa"/>
            <w:tcBorders/>
            <w:vAlign w:val="center"/>
          </w:tcPr>
          <w:p>
            <w:pPr>
              <w:pStyle w:val="TableContents"/>
              <w:pBdr/>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both"/>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0930xex31d1.htm">
              <w:r>
                <w:rPr>
                  <w:rStyle w:val="InternetLink"/>
                  <w:rFonts w:ascii="Times New Roman;Times;serif" w:hAnsi="Times New Roman;Times;serif"/>
                  <w:b w:val="false"/>
                  <w:i w:val="false"/>
                  <w:caps w:val="false"/>
                  <w:smallCaps w:val="false"/>
                  <w:sz w:val="20"/>
                </w:rPr>
                <w:t>Certification of Chief Executive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0930xex31d2.htm">
              <w:r>
                <w:rPr>
                  <w:rStyle w:val="InternetLink"/>
                  <w:rFonts w:ascii="Times New Roman;Times;serif" w:hAnsi="Times New Roman;Times;serif"/>
                  <w:b w:val="false"/>
                  <w:i w:val="false"/>
                  <w:caps w:val="false"/>
                  <w:smallCaps w:val="false"/>
                  <w:sz w:val="20"/>
                </w:rPr>
                <w:t>Certification of Chief Financial Officer pursuant to Section 302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32.1**</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0930xex32d1.htm">
              <w:r>
                <w:rPr>
                  <w:rStyle w:val="InternetLink"/>
                  <w:rFonts w:ascii="Times New Roman;Times;serif" w:hAnsi="Times New Roman;Times;serif"/>
                  <w:b w:val="false"/>
                  <w:i w:val="false"/>
                  <w:caps w:val="false"/>
                  <w:smallCaps w:val="false"/>
                  <w:sz w:val="20"/>
                </w:rPr>
                <w:t>Certification of Chief Executive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hyperlink w:anchor="avt-20230930xex32d2.htm">
              <w:r>
                <w:rPr>
                  <w:rStyle w:val="InternetLink"/>
                  <w:rFonts w:ascii="Times New Roman;Times;serif" w:hAnsi="Times New Roman;Times;serif"/>
                  <w:b w:val="false"/>
                  <w:i w:val="false"/>
                  <w:caps w:val="false"/>
                  <w:smallCaps w:val="false"/>
                  <w:sz w:val="20"/>
                </w:rPr>
                <w:t>Certification of Chief Financial Officer pursuant to Section 906 of the Sarbanes-Oxley Act of 2002.</w:t>
              </w:r>
            </w:hyperlink>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101.INS*</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 the instance document does not appear in the Interactive Data File because its XBRL tags are embedded within the Inline XBRL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101.SCH*</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Schema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101.DEF*</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Definition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101.CAL*</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Calculation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101.LAB*</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Label Linkbase Document.</w:t>
            </w:r>
          </w:p>
        </w:tc>
      </w:tr>
      <w:tr>
        <w:trPr/>
        <w:tc>
          <w:tcPr>
            <w:tcW w:w="927"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pPr>
            <w:r>
              <w:rPr/>
              <w:t>​</w:t>
            </w:r>
          </w:p>
        </w:tc>
      </w:tr>
      <w:tr>
        <w:trPr/>
        <w:tc>
          <w:tcPr>
            <w:tcW w:w="927" w:type="dxa"/>
            <w:tcBorders/>
            <w:vAlign w:val="center"/>
          </w:tcPr>
          <w:p>
            <w:pPr>
              <w:pStyle w:val="TableContents"/>
              <w:pBdr/>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101.PRE*</w:t>
            </w:r>
          </w:p>
        </w:tc>
        <w:tc>
          <w:tcPr>
            <w:tcW w:w="326" w:type="dxa"/>
            <w:tcBorders/>
            <w:vAlign w:val="center"/>
          </w:tcPr>
          <w:p>
            <w:pPr>
              <w:pStyle w:val="TableContents"/>
              <w:bidi w:val="0"/>
              <w:spacing w:before="0" w:after="0"/>
              <w:ind w:left="0" w:right="0" w:hanging="0"/>
              <w:jc w:val="left"/>
              <w:rPr/>
            </w:pPr>
            <w:r>
              <w:rPr/>
              <w:t>​</w:t>
            </w:r>
          </w:p>
        </w:tc>
        <w:tc>
          <w:tcPr>
            <w:tcW w:w="895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XBRL Taxonomy Extension Presentation Linkbase Document.</w:t>
            </w:r>
          </w:p>
        </w:tc>
      </w:tr>
    </w:tbl>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Filed herewith.</w:t>
            </w:r>
          </w:p>
        </w:tc>
      </w:tr>
      <w:tr>
        <w:trPr/>
        <w:tc>
          <w:tcPr>
            <w:tcW w:w="257"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lineRule="auto" w:line="343"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897" w:name="Signature_Page"/>
      <w:bookmarkStart w:id="898" w:name="_2ce2ab79_6a5a_4402_b308_0edbf6957fe8"/>
      <w:bookmarkEnd w:id="897"/>
      <w:bookmarkEnd w:id="898"/>
      <w:r>
        <w:rPr>
          <w:rFonts w:ascii="Times New Roman;Times;serif" w:hAnsi="Times New Roman;Times;serif"/>
          <w:b/>
          <w:sz w:val="20"/>
        </w:rPr>
        <w:t>SIGNATURE</w:t>
      </w:r>
    </w:p>
    <w:p>
      <w:pPr>
        <w:pStyle w:val="TextBody"/>
        <w:bidi w:val="0"/>
        <w:spacing w:before="200" w:after="0"/>
        <w:ind w:left="0" w:right="0" w:firstLine="48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November 3, 2023</w:t>
      </w:r>
    </w:p>
    <w:tbl>
      <w:tblPr>
        <w:tblW w:w="3081" w:type="dxa"/>
        <w:jc w:val="left"/>
        <w:tblInd w:w="0" w:type="dxa"/>
        <w:tblLayout w:type="fixed"/>
        <w:tblCellMar>
          <w:top w:w="0" w:type="dxa"/>
          <w:left w:w="0" w:type="dxa"/>
          <w:bottom w:w="0" w:type="dxa"/>
          <w:right w:w="0" w:type="dxa"/>
        </w:tblCellMar>
      </w:tblPr>
      <w:tblGrid>
        <w:gridCol w:w="124"/>
        <w:gridCol w:w="406"/>
        <w:gridCol w:w="2551"/>
      </w:tblGrid>
      <w:tr>
        <w:trPr/>
        <w:tc>
          <w:tcPr>
            <w:tcW w:w="124" w:type="dxa"/>
            <w:tcBorders/>
            <w:vAlign w:val="center"/>
          </w:tcPr>
          <w:p>
            <w:pPr>
              <w:pStyle w:val="TableContents"/>
              <w:bidi w:val="0"/>
              <w:spacing w:before="0" w:after="0"/>
              <w:ind w:left="0" w:right="0" w:hanging="0"/>
              <w:jc w:val="left"/>
              <w:rPr/>
            </w:pPr>
            <w:r>
              <w:rPr/>
              <w:t>​</w:t>
            </w:r>
          </w:p>
        </w:tc>
        <w:tc>
          <w:tcPr>
            <w:tcW w:w="29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AVNET, INC.</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551" w:type="dxa"/>
            <w:tcBorders>
              <w:bottom w:val="single" w:sz="8" w:space="0" w:color="000000"/>
            </w:tcBorders>
            <w:tcMar>
              <w:bottom w:w="4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255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Chief Financial Officer</w:t>
            </w:r>
          </w:p>
        </w:tc>
      </w:tr>
    </w:tbl>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0"/>
        <w:ind w:left="0" w:right="0" w:hanging="0"/>
        <w:jc w:val="right"/>
        <w:rPr>
          <w:rFonts w:ascii="Times New Roman;Times;serif" w:hAnsi="Times New Roman;Times;serif"/>
          <w:b/>
          <w:sz w:val="24"/>
        </w:rPr>
      </w:pPr>
      <w:bookmarkStart w:id="899" w:name="avt-20230930xex10d1.htm"/>
      <w:bookmarkStart w:id="900" w:name="ksavt20230930xex10d1"/>
      <w:bookmarkEnd w:id="899"/>
      <w:bookmarkEnd w:id="900"/>
      <w:r>
        <w:rPr>
          <w:rFonts w:ascii="Times New Roman;Times;serif" w:hAnsi="Times New Roman;Times;serif"/>
          <w:b/>
          <w:sz w:val="24"/>
        </w:rPr>
        <w:t>Exhibit 10.1</w:t>
      </w:r>
      <w:r>
        <w:br w:type="page"/>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Indemnification Agreement</w:t>
      </w:r>
    </w:p>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This Indemnification Agreement (“Agreement”), dated __________, is made by and between Avnet, Inc., a New York corporation (the “</w:t>
      </w:r>
      <w:r>
        <w:rPr>
          <w:rFonts w:ascii="Times New Roman;Times;serif" w:hAnsi="Times New Roman;Times;serif"/>
          <w:b/>
          <w:sz w:val="24"/>
        </w:rPr>
        <w:t>Company</w:t>
      </w:r>
      <w:r>
        <w:rPr>
          <w:rFonts w:ascii="Times New Roman;Times;serif" w:hAnsi="Times New Roman;Times;serif"/>
          <w:sz w:val="24"/>
        </w:rPr>
        <w:t>” or “</w:t>
      </w:r>
      <w:r>
        <w:rPr>
          <w:rFonts w:ascii="Times New Roman;Times;serif" w:hAnsi="Times New Roman;Times;serif"/>
          <w:b/>
          <w:sz w:val="24"/>
        </w:rPr>
        <w:t>Avnet</w:t>
      </w:r>
      <w:r>
        <w:rPr>
          <w:rFonts w:ascii="Times New Roman;Times;serif" w:hAnsi="Times New Roman;Times;serif"/>
          <w:sz w:val="24"/>
        </w:rPr>
        <w:t>”) and __________ (the “</w:t>
      </w:r>
      <w:r>
        <w:rPr>
          <w:rFonts w:ascii="Times New Roman;Times;serif" w:hAnsi="Times New Roman;Times;serif"/>
          <w:b/>
          <w:sz w:val="24"/>
        </w:rPr>
        <w:t>Indemnitee</w:t>
      </w:r>
      <w:r>
        <w:rPr>
          <w:rFonts w:ascii="Times New Roman;Times;serif" w:hAnsi="Times New Roman;Times;serif"/>
          <w:sz w:val="24"/>
        </w:rPr>
        <w:t>”).</w:t>
      </w:r>
    </w:p>
    <w:p>
      <w:pPr>
        <w:pStyle w:val="TextBody"/>
        <w:bidi w:val="0"/>
        <w:spacing w:before="240" w:after="0"/>
        <w:ind w:left="0" w:right="0" w:hanging="0"/>
        <w:jc w:val="center"/>
        <w:rPr>
          <w:rFonts w:ascii="Times New Roman;Times;serif" w:hAnsi="Times New Roman;Times;serif"/>
          <w:b/>
          <w:sz w:val="24"/>
        </w:rPr>
      </w:pPr>
      <w:r>
        <w:rPr>
          <w:rFonts w:ascii="Times New Roman;Times;serif" w:hAnsi="Times New Roman;Times;serif"/>
          <w:b/>
          <w:sz w:val="24"/>
        </w:rPr>
        <w:t>Recitals</w:t>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 xml:space="preserve">A.As permitted by Section 721 of the Business Corporation Law of the State of New York, Section 6.6 of Avnet’s By-Laws require Avnet to indemnify its directors and officers to the fullest extent permitted by law. </w:t>
      </w:r>
    </w:p>
    <w:p>
      <w:pPr>
        <w:pStyle w:val="TextBody"/>
        <w:bidi w:val="0"/>
        <w:spacing w:before="240" w:after="240"/>
        <w:ind w:left="0" w:right="0" w:hanging="0"/>
        <w:jc w:val="left"/>
        <w:rPr>
          <w:rFonts w:ascii="Times New Roman;Times;serif" w:hAnsi="Times New Roman;Times;serif"/>
          <w:sz w:val="24"/>
        </w:rPr>
      </w:pPr>
      <w:r>
        <w:rPr>
          <w:rFonts w:ascii="Times New Roman;Times;serif" w:hAnsi="Times New Roman;Times;serif"/>
          <w:sz w:val="24"/>
        </w:rPr>
        <w:t>B.Indemnitee has provided, or will provide, valuable service to Avnet and, consequently, may be subject to claims, actions, lawsuits, or other proceedings.</w:t>
      </w:r>
    </w:p>
    <w:p>
      <w:pPr>
        <w:pStyle w:val="TextBody"/>
        <w:bidi w:val="0"/>
        <w:spacing w:before="240" w:after="283"/>
        <w:ind w:left="0" w:right="0" w:hanging="0"/>
        <w:jc w:val="left"/>
        <w:rPr>
          <w:rFonts w:ascii="Times New Roman;Times;serif" w:hAnsi="Times New Roman;Times;serif"/>
          <w:sz w:val="24"/>
        </w:rPr>
      </w:pPr>
      <w:r>
        <w:rPr>
          <w:rFonts w:ascii="Times New Roman;Times;serif" w:hAnsi="Times New Roman;Times;serif"/>
          <w:sz w:val="24"/>
        </w:rPr>
        <w:t xml:space="preserve">C.Avnet has determined that it is in its best interest to enter into this Agreement, to induce Indemnitee to serve or continue to serve as a director or officer of Avnet or an Avnet subsidiary, or to serve another enterprise at Avnet’s request. </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 xml:space="preserve">The parties hereto agree as follows: </w:t>
      </w:r>
    </w:p>
    <w:tbl>
      <w:tblPr>
        <w:tblW w:w="1818" w:type="dxa"/>
        <w:jc w:val="left"/>
        <w:tblInd w:w="0" w:type="dxa"/>
        <w:tblLayout w:type="fixed"/>
        <w:tblCellMar>
          <w:top w:w="0" w:type="dxa"/>
          <w:left w:w="0" w:type="dxa"/>
          <w:bottom w:w="0" w:type="dxa"/>
          <w:right w:w="0" w:type="dxa"/>
        </w:tblCellMar>
      </w:tblPr>
      <w:tblGrid>
        <w:gridCol w:w="170"/>
        <w:gridCol w:w="23"/>
        <w:gridCol w:w="1625"/>
      </w:tblGrid>
      <w:tr>
        <w:trPr/>
        <w:tc>
          <w:tcPr>
            <w:tcW w:w="17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162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Indemnification</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Scope</w:t>
      </w:r>
      <w:r>
        <w:rPr>
          <w:rFonts w:ascii="Times New Roman;Times;serif" w:hAnsi="Times New Roman;Times;serif"/>
          <w:sz w:val="24"/>
        </w:rPr>
        <w:t>. Avnet shall, to the fullest extent permitted by law, indemnify Indemnitee from and against Expenses in a Proceeding (both terms defined below). This indemnification obligation includes, without limitation, claims for monetary damages against Indemnitee in respect of an alleged breach of fiduciary duties, to the fullest extent permitted by law.</w:t>
      </w:r>
    </w:p>
    <w:p>
      <w:pPr>
        <w:pStyle w:val="TextBody"/>
        <w:bidi w:val="0"/>
        <w:spacing w:before="0" w:after="0"/>
        <w:ind w:left="0" w:right="720" w:hanging="0"/>
        <w:jc w:val="left"/>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b/>
          <w:sz w:val="24"/>
        </w:rPr>
        <w:t>Expenses</w:t>
      </w:r>
      <w:r>
        <w:rPr>
          <w:rFonts w:ascii="Times New Roman;Times;serif" w:hAnsi="Times New Roman;Times;serif"/>
          <w:sz w:val="24"/>
        </w:rPr>
        <w:t xml:space="preserve">” means all expenses, judgements, fines, and settlement payments that are actually and necessarily incurred by Indemnitee or on Indemnitee’s behalf, and includes, without limitation, (a) attorneys’ fees, costs, disbursements, and retainers, (b) experts’ or advisors’ fees, costs, disbursements, and retainers, (c) court, arbitrator, and mediator costs, disbursements, transcript costs, duplication, printing and binding costs, and postage and delivery costs, and (d) excise taxes assessed with respect to an employee benefit plan. Expenses also includes any additional income tax liability that Indemnitee incurs because of receiving indemnification hereunder. </w:t>
      </w:r>
    </w:p>
    <w:p>
      <w:pPr>
        <w:pStyle w:val="TextBody"/>
        <w:bidi w:val="0"/>
        <w:spacing w:before="240" w:after="0"/>
        <w:ind w:left="0" w:right="720" w:hanging="0"/>
        <w:jc w:val="left"/>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b/>
          <w:sz w:val="24"/>
        </w:rPr>
        <w:t>Proceeding</w:t>
      </w:r>
      <w:r>
        <w:rPr>
          <w:rFonts w:ascii="Times New Roman;Times;serif" w:hAnsi="Times New Roman;Times;serif"/>
          <w:sz w:val="24"/>
        </w:rPr>
        <w:t>” means any threatened, pending, or completed suit, action, proceeding, arbitration, mediation, or alternative dispute resolution process, whether civil, criminal, administrative, arbitrative or investigative, whether formal or informal, and any appeal therefrom, or any claim, issue, or matter therein, that Indemnitee is or was made, or is threatened to be made, a party to by reason of Indemnitee’s Service (as defined below) to Avnet.</w:t>
      </w:r>
    </w:p>
    <w:p>
      <w:pPr>
        <w:pStyle w:val="TextBody"/>
        <w:bidi w:val="0"/>
        <w:spacing w:before="240" w:after="0"/>
        <w:ind w:left="0" w:right="720" w:hanging="0"/>
        <w:jc w:val="left"/>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b/>
          <w:sz w:val="24"/>
        </w:rPr>
        <w:t>Service</w:t>
      </w:r>
      <w:r>
        <w:rPr>
          <w:rFonts w:ascii="Times New Roman;Times;serif" w:hAnsi="Times New Roman;Times;serif"/>
          <w:sz w:val="24"/>
        </w:rPr>
        <w:t xml:space="preserve">” means past or present service (a) as a director or officer of Avnet or an Avnet Subsidiary (as defined below), or (b) at Avnet’s request, as a director, officer, employee, </w:t>
      </w:r>
    </w:p>
    <w:p>
      <w:pPr>
        <w:pStyle w:val="HorizontalLine"/>
        <w:pBdr>
          <w:bottom w:val="double" w:sz="2" w:space="0" w:color="808080"/>
        </w:pBdr>
        <w:bidi w:val="0"/>
        <w:spacing w:before="0" w:after="283"/>
        <w:jc w:val="left"/>
        <w:rPr/>
      </w:pPr>
      <w:r>
        <w:rPr/>
      </w:r>
    </w:p>
    <w:p>
      <w:pPr>
        <w:pStyle w:val="TextBody"/>
        <w:bidi w:val="0"/>
        <w:spacing w:before="240" w:after="0"/>
        <w:ind w:left="0" w:right="0" w:firstLine="1440"/>
        <w:jc w:val="left"/>
        <w:rPr>
          <w:rFonts w:ascii="Times New Roman;Times;serif" w:hAnsi="Times New Roman;Times;serif"/>
          <w:sz w:val="24"/>
        </w:rPr>
      </w:pPr>
      <w:r>
        <w:rPr>
          <w:rFonts w:ascii="Times New Roman;Times;serif" w:hAnsi="Times New Roman;Times;serif"/>
          <w:sz w:val="24"/>
        </w:rPr>
        <w:t xml:space="preserve">or agent (which includes a trustee, partner or manager, or similar capacity) of any other corporation, partnership, joint venture, trust, employee benefit plan, or other enterprise. </w:t>
      </w:r>
    </w:p>
    <w:p>
      <w:pPr>
        <w:pStyle w:val="TextBody"/>
        <w:bidi w:val="0"/>
        <w:spacing w:before="240" w:after="0"/>
        <w:ind w:left="0" w:right="720" w:hanging="0"/>
        <w:jc w:val="left"/>
        <w:rPr>
          <w:rFonts w:ascii="Times New Roman;Times;serif" w:hAnsi="Times New Roman;Times;serif"/>
          <w:sz w:val="24"/>
        </w:rPr>
      </w:pPr>
      <w:r>
        <w:rPr>
          <w:rFonts w:ascii="Times New Roman;Times;serif" w:hAnsi="Times New Roman;Times;serif"/>
          <w:sz w:val="24"/>
        </w:rPr>
        <w:t>iv.“</w:t>
      </w:r>
      <w:r>
        <w:rPr>
          <w:rFonts w:ascii="Times New Roman;Times;serif" w:hAnsi="Times New Roman;Times;serif"/>
          <w:b/>
          <w:sz w:val="24"/>
        </w:rPr>
        <w:t>Avnet</w:t>
      </w:r>
      <w:r>
        <w:rPr>
          <w:rFonts w:ascii="Times New Roman;Times;serif" w:hAnsi="Times New Roman;Times;serif"/>
          <w:sz w:val="24"/>
        </w:rPr>
        <w:t xml:space="preserve"> </w:t>
      </w:r>
      <w:r>
        <w:rPr>
          <w:rFonts w:ascii="Times New Roman;Times;serif" w:hAnsi="Times New Roman;Times;serif"/>
          <w:b/>
          <w:sz w:val="24"/>
        </w:rPr>
        <w:t>Subsidiary</w:t>
      </w:r>
      <w:r>
        <w:rPr>
          <w:rFonts w:ascii="Times New Roman;Times;serif" w:hAnsi="Times New Roman;Times;serif"/>
          <w:sz w:val="24"/>
        </w:rPr>
        <w:t>” means any entity of any type in which Avnet is the beneficial owner (as defined in Rule 13d-3 promulgated under the Securities and Exchange Act of 1934, as amended) of at least 50% or more of the voting power of the capital stock, partnership interest, membership interest, or other equity securities.</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Good Faith</w:t>
      </w:r>
      <w:r>
        <w:rPr>
          <w:rFonts w:ascii="Times New Roman;Times;serif" w:hAnsi="Times New Roman;Times;serif"/>
          <w:sz w:val="24"/>
        </w:rPr>
        <w:t>. The indemnification provided by Section I.a shall be provided if (i) Indemnitee acted in good faith for a purpose that Indemnitee reasonably believed to be in, or not opposed to, Avnet’s best interests, and (ii) with respect to any criminal Proceeding, Indemnitee had no reasonable cause to believe Indemnitee’s conduct was unlawful (“</w:t>
      </w:r>
      <w:r>
        <w:rPr>
          <w:rFonts w:ascii="Times New Roman;Times;serif" w:hAnsi="Times New Roman;Times;serif"/>
          <w:b/>
          <w:sz w:val="24"/>
        </w:rPr>
        <w:t>Good Faith</w:t>
      </w:r>
      <w:r>
        <w:rPr>
          <w:rFonts w:ascii="Times New Roman;Times;serif" w:hAnsi="Times New Roman;Times;serif"/>
          <w:sz w:val="24"/>
        </w:rPr>
        <w:t>”). Indemnitee shall, to the fullest extent permitted by law, be presumed to have acted in Good Faith, which presumption may be overcome only by clear and convincing evidence. The termination of any Proceeding by judgment, order, settlement, conviction, or plea of nolo contendere or its equivalent, shall not create a presumption that Indemnitee (i) failed to act in Good Faith or (ii) with respect to any criminal Proceeding, had reasonable cause to believe that Indemnitee’s conduct was unlawful.</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Participation in a Proceeding as a Non-Party</w:t>
      </w:r>
      <w:r>
        <w:rPr>
          <w:rFonts w:ascii="Times New Roman;Times;serif" w:hAnsi="Times New Roman;Times;serif"/>
          <w:sz w:val="24"/>
        </w:rPr>
        <w:t>. If Indemnitee is required to participate as a non-party (as a deponent, witness, or otherwise) in any Proceeding due to Indemnitee’s Service, then Indemnitee shall be entitled to indemnification against all Expenses actually and necessarily incurred to the fullest extent permitted by law.</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Limitation Regarding Recoupment of Compensation</w:t>
      </w:r>
      <w:r>
        <w:rPr>
          <w:rFonts w:ascii="Times New Roman;Times;serif" w:hAnsi="Times New Roman;Times;serif"/>
          <w:sz w:val="24"/>
        </w:rPr>
        <w:t xml:space="preserve">. Notwithstanding any other provision herein, Indemnitee shall not be entitled to indemnification under Section I.a for recoupment of incentive-based compensation pursuant to either Avnet’s incentive-based compensation recoupment policy (as Avnet may amend from time to time) or applicable law. </w:t>
      </w:r>
    </w:p>
    <w:tbl>
      <w:tblPr>
        <w:tblW w:w="2973" w:type="dxa"/>
        <w:jc w:val="left"/>
        <w:tblInd w:w="0" w:type="dxa"/>
        <w:tblLayout w:type="fixed"/>
        <w:tblCellMar>
          <w:top w:w="0" w:type="dxa"/>
          <w:left w:w="0" w:type="dxa"/>
          <w:bottom w:w="0" w:type="dxa"/>
          <w:right w:w="0" w:type="dxa"/>
        </w:tblCellMar>
      </w:tblPr>
      <w:tblGrid>
        <w:gridCol w:w="260"/>
        <w:gridCol w:w="23"/>
        <w:gridCol w:w="2690"/>
      </w:tblGrid>
      <w:tr>
        <w:trPr/>
        <w:tc>
          <w:tcPr>
            <w:tcW w:w="26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II.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269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Advancement of Expenses</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 xml:space="preserve">Avnet shall, to the fullest extent permitted by law, advance Expenses actually and necessarily incurred by Indemnitee in connection with any Proceeding, including, without limitation, a Proceeding to enforce Indemnitee’s rights, or Avnet’s obligations, under this Agreement. Advancement of Expenses shall not be conditioned on the posting of a bond or surety and shall be unsecured and interest-free. Indemnitee shall repay any such amounts if, and only to the extent that, it is ultimately determined that Indemnitee is not entitled to indemnification under this Agreement or otherwise. Indemnitee shall not be required to demonstrate financial ability to make any such repayment. As required under New York law, Avnet shall provide advancement of expenses upon receipt of an undertaking by or on behalf of Indemnitee to repay such amounts to the extent required by law. </w:t>
      </w:r>
    </w:p>
    <w:tbl>
      <w:tblPr>
        <w:tblW w:w="7353" w:type="dxa"/>
        <w:jc w:val="left"/>
        <w:tblInd w:w="0" w:type="dxa"/>
        <w:tblLayout w:type="fixed"/>
        <w:tblCellMar>
          <w:top w:w="0" w:type="dxa"/>
          <w:left w:w="0" w:type="dxa"/>
          <w:bottom w:w="0" w:type="dxa"/>
          <w:right w:w="0" w:type="dxa"/>
        </w:tblCellMar>
      </w:tblPr>
      <w:tblGrid>
        <w:gridCol w:w="350"/>
        <w:gridCol w:w="23"/>
        <w:gridCol w:w="6980"/>
      </w:tblGrid>
      <w:tr>
        <w:trPr/>
        <w:tc>
          <w:tcPr>
            <w:tcW w:w="35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III.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698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Process for Granting Advancement of Expenses and Indemnification</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Notification</w:t>
      </w:r>
      <w:r>
        <w:rPr>
          <w:rFonts w:ascii="Times New Roman;Times;serif" w:hAnsi="Times New Roman;Times;serif"/>
          <w:sz w:val="24"/>
        </w:rPr>
        <w:t xml:space="preserve">: Indemnitee shall promptly notify Avnet of any Proceeding for which Indemnitee intends to seek indemnification under Section I.a or advancement of Expenses under Section II. Indemnitee’s failure to promptly notify Avnet will not relieve Avnet from any liability that it may have to Indemnitee, except to the extent that such failure materially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w:t>
      </w:r>
    </w:p>
    <w:p>
      <w:pPr>
        <w:pStyle w:val="HorizontalLine"/>
        <w:pBdr>
          <w:bottom w:val="double" w:sz="2" w:space="0" w:color="808080"/>
        </w:pBdr>
        <w:bidi w:val="0"/>
        <w:spacing w:before="0" w:after="283"/>
        <w:jc w:val="left"/>
        <w:rPr/>
      </w:pPr>
      <w:r>
        <w:rPr/>
      </w:r>
    </w:p>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prejudices Avnet’s defense of such Proceeding. Notification to Avnet shall be in writing and delivered to the following address (or at such other addresses as Avnet may specify):</w:t>
      </w:r>
    </w:p>
    <w:p>
      <w:pPr>
        <w:pStyle w:val="TextBody"/>
        <w:bidi w:val="0"/>
        <w:spacing w:before="240" w:after="0"/>
        <w:ind w:left="1440" w:right="90" w:hanging="0"/>
        <w:jc w:val="left"/>
        <w:rPr>
          <w:rFonts w:ascii="Times New Roman;Times;serif" w:hAnsi="Times New Roman;Times;serif"/>
          <w:sz w:val="24"/>
        </w:rPr>
      </w:pPr>
      <w:r>
        <w:rPr>
          <w:rFonts w:ascii="Times New Roman;Times;serif" w:hAnsi="Times New Roman;Times;serif"/>
          <w:sz w:val="24"/>
        </w:rPr>
        <w:t>Avnet, Inc.</w:t>
      </w:r>
    </w:p>
    <w:p>
      <w:pPr>
        <w:pStyle w:val="TextBody"/>
        <w:bidi w:val="0"/>
        <w:spacing w:before="0" w:after="0"/>
        <w:ind w:left="1440" w:right="90" w:hanging="0"/>
        <w:jc w:val="left"/>
        <w:rPr>
          <w:rFonts w:ascii="Times New Roman;Times;serif" w:hAnsi="Times New Roman;Times;serif"/>
          <w:sz w:val="24"/>
        </w:rPr>
      </w:pPr>
      <w:r>
        <w:rPr>
          <w:rFonts w:ascii="Times New Roman;Times;serif" w:hAnsi="Times New Roman;Times;serif"/>
          <w:sz w:val="24"/>
        </w:rPr>
        <w:t>2211 South 47</w:t>
      </w:r>
      <w:r>
        <w:rPr>
          <w:rFonts w:ascii="Times New Roman;Times;serif" w:hAnsi="Times New Roman;Times;serif"/>
          <w:sz w:val="18"/>
        </w:rPr>
        <w:t>th</w:t>
      </w:r>
      <w:r>
        <w:rPr>
          <w:rFonts w:ascii="Times New Roman;Times;serif" w:hAnsi="Times New Roman;Times;serif"/>
          <w:sz w:val="24"/>
        </w:rPr>
        <w:t xml:space="preserve"> Street</w:t>
      </w:r>
    </w:p>
    <w:p>
      <w:pPr>
        <w:pStyle w:val="TextBody"/>
        <w:bidi w:val="0"/>
        <w:spacing w:before="0" w:after="0"/>
        <w:ind w:left="1440" w:right="90" w:hanging="0"/>
        <w:jc w:val="left"/>
        <w:rPr>
          <w:rFonts w:ascii="Times New Roman;Times;serif" w:hAnsi="Times New Roman;Times;serif"/>
          <w:sz w:val="24"/>
        </w:rPr>
      </w:pPr>
      <w:r>
        <w:rPr>
          <w:rFonts w:ascii="Times New Roman;Times;serif" w:hAnsi="Times New Roman;Times;serif"/>
          <w:sz w:val="24"/>
        </w:rPr>
        <w:t>Phoenix, AZ 85034</w:t>
      </w:r>
    </w:p>
    <w:p>
      <w:pPr>
        <w:pStyle w:val="TextBody"/>
        <w:bidi w:val="0"/>
        <w:spacing w:before="0" w:after="0"/>
        <w:ind w:left="1440" w:right="90" w:hanging="0"/>
        <w:jc w:val="left"/>
        <w:rPr>
          <w:rFonts w:ascii="Times New Roman;Times;serif" w:hAnsi="Times New Roman;Times;serif"/>
          <w:sz w:val="24"/>
        </w:rPr>
      </w:pPr>
      <w:r>
        <w:rPr>
          <w:rFonts w:ascii="Times New Roman;Times;serif" w:hAnsi="Times New Roman;Times;serif"/>
          <w:sz w:val="24"/>
        </w:rPr>
        <w:t>Attn: General Counsel</w:t>
      </w:r>
    </w:p>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Decision Maker</w:t>
      </w:r>
      <w:r>
        <w:rPr>
          <w:rFonts w:ascii="Times New Roman;Times;serif" w:hAnsi="Times New Roman;Times;serif"/>
          <w:sz w:val="24"/>
        </w:rPr>
        <w:t>. The Avnet Board of Directors (the “</w:t>
      </w:r>
      <w:r>
        <w:rPr>
          <w:rFonts w:ascii="Times New Roman;Times;serif" w:hAnsi="Times New Roman;Times;serif"/>
          <w:b/>
          <w:sz w:val="24"/>
        </w:rPr>
        <w:t>Board</w:t>
      </w:r>
      <w:r>
        <w:rPr>
          <w:rFonts w:ascii="Times New Roman;Times;serif" w:hAnsi="Times New Roman;Times;serif"/>
          <w:sz w:val="24"/>
        </w:rPr>
        <w:t>”), acting by a quorum of directors who are disinterested in the relevant Proceeding, shall determine whether Indemnitee is entitled to advancement of Expenses and indemnification. If such a quorum is not obtainable, then the Board shall make the determination upon the written opinion of independent legal counsel, who shall be appointed by the Board and approved by Indemnitee (which approval shall not be unreasonably denied or delayed).</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Determination Regarding Advancement of Expenses</w:t>
      </w:r>
      <w:r>
        <w:rPr>
          <w:rFonts w:ascii="Times New Roman;Times;serif" w:hAnsi="Times New Roman;Times;serif"/>
          <w:sz w:val="24"/>
        </w:rPr>
        <w:t xml:space="preserve">. Advancement of expenses shall be deemed appropriate if the Board or independent legal counsel determines that a Proceeding exists. The Board or independent legal counsel shall make such determination within 30 calendar days after Indemnitee requests advancement of Expenses. If a determination is not made within that time frame, then Indemnitee shall be entitled to advancement of Expenses. </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Determination Regarding Indemnification</w:t>
      </w:r>
      <w:r>
        <w:rPr>
          <w:rFonts w:ascii="Times New Roman;Times;serif" w:hAnsi="Times New Roman;Times;serif"/>
          <w:sz w:val="24"/>
        </w:rPr>
        <w:t>.</w:t>
      </w:r>
    </w:p>
    <w:p>
      <w:pPr>
        <w:pStyle w:val="TextBody"/>
        <w:bidi w:val="0"/>
        <w:spacing w:before="0" w:after="0"/>
        <w:ind w:left="0" w:right="720" w:hanging="0"/>
        <w:jc w:val="left"/>
        <w:rPr>
          <w:rFonts w:ascii="Times New Roman;Times;serif" w:hAnsi="Times New Roman;Times;serif"/>
          <w:sz w:val="24"/>
        </w:rPr>
      </w:pPr>
      <w:r>
        <w:rPr>
          <w:rFonts w:ascii="Times New Roman;Times;serif" w:hAnsi="Times New Roman;Times;serif"/>
          <w:sz w:val="24"/>
        </w:rPr>
        <w:t>i.</w:t>
      </w:r>
      <w:r>
        <w:rPr>
          <w:rFonts w:ascii="Times New Roman;Times;serif" w:hAnsi="Times New Roman;Times;serif"/>
          <w:sz w:val="24"/>
          <w:u w:val="single"/>
        </w:rPr>
        <w:t>Full Indemnification for Good Faith</w:t>
      </w:r>
      <w:r>
        <w:rPr>
          <w:rFonts w:ascii="Times New Roman;Times;serif" w:hAnsi="Times New Roman;Times;serif"/>
          <w:sz w:val="24"/>
        </w:rPr>
        <w:t>. Avnet shall indemnify Indemnitee against all Expenses in connection with a Proceeding if the Board or independent legal counsel determines that Indemnitee acted in Good Faith, regardless of the outcome of the Proceeding. The Board or independent legal counsel shall make such determination within 120 calendar days after the relevant Proceeding is fully resolved. If a determination is not made within that time frame, then Indemnitee shall be entitled to indemnification.</w:t>
      </w:r>
    </w:p>
    <w:p>
      <w:pPr>
        <w:pStyle w:val="TextBody"/>
        <w:bidi w:val="0"/>
        <w:spacing w:before="240" w:after="0"/>
        <w:ind w:left="0" w:right="720" w:hanging="0"/>
        <w:jc w:val="left"/>
        <w:rPr>
          <w:rFonts w:ascii="Times New Roman;Times;serif" w:hAnsi="Times New Roman;Times;serif"/>
          <w:sz w:val="24"/>
        </w:rPr>
      </w:pPr>
      <w:r>
        <w:rPr>
          <w:rFonts w:ascii="Times New Roman;Times;serif" w:hAnsi="Times New Roman;Times;serif"/>
          <w:sz w:val="24"/>
        </w:rPr>
        <w:t>ii.</w:t>
      </w:r>
      <w:r>
        <w:rPr>
          <w:rFonts w:ascii="Times New Roman;Times;serif" w:hAnsi="Times New Roman;Times;serif"/>
          <w:sz w:val="24"/>
          <w:u w:val="single"/>
        </w:rPr>
        <w:t>Full Indemnification if Wholly Successful</w:t>
      </w:r>
      <w:r>
        <w:rPr>
          <w:rFonts w:ascii="Times New Roman;Times;serif" w:hAnsi="Times New Roman;Times;serif"/>
          <w:sz w:val="24"/>
        </w:rPr>
        <w:t>. Avnet shall indemnify Indemnitee against all Expenses in connection with a fully resolved Proceeding if Indemnitee is wholly successful in a Proceeding. In such case, it shall not be necessary for the Board or independent legal counsel to make a Good Faith determination under III.d.i. Indemnitee shall be considered wholly successful in a Proceeding if it is fully resolved with (i) no finding adverse to Indemnitee, (ii) no plea of guilty or nolo contendere by Indemnitee, and (iii) no finding that Indemnitee failed to act in Good Faith.</w:t>
      </w:r>
    </w:p>
    <w:p>
      <w:pPr>
        <w:pStyle w:val="TextBody"/>
        <w:bidi w:val="0"/>
        <w:spacing w:before="240" w:after="0"/>
        <w:ind w:left="0" w:right="720" w:hanging="0"/>
        <w:jc w:val="left"/>
        <w:rPr>
          <w:rFonts w:ascii="Times New Roman;Times;serif" w:hAnsi="Times New Roman;Times;serif"/>
          <w:sz w:val="24"/>
        </w:rPr>
      </w:pPr>
      <w:r>
        <w:rPr>
          <w:rFonts w:ascii="Times New Roman;Times;serif" w:hAnsi="Times New Roman;Times;serif"/>
          <w:sz w:val="24"/>
        </w:rPr>
        <w:t>iii.</w:t>
      </w:r>
      <w:r>
        <w:rPr>
          <w:rFonts w:ascii="Times New Roman;Times;serif" w:hAnsi="Times New Roman;Times;serif"/>
          <w:sz w:val="24"/>
          <w:u w:val="single"/>
        </w:rPr>
        <w:t>Partial Indemnification</w:t>
      </w:r>
      <w:r>
        <w:rPr>
          <w:rFonts w:ascii="Times New Roman;Times;serif" w:hAnsi="Times New Roman;Times;serif"/>
          <w:sz w:val="24"/>
        </w:rPr>
        <w:t>. If the Board or independent legal counsel determines under Section II.d.i that Indemnitee failed to act in Good Faith, but Indemnitee is partially successful in defense of any fully resolved Proceeding (</w:t>
      </w:r>
      <w:r>
        <w:rPr>
          <w:rFonts w:ascii="Times New Roman;Times;serif" w:hAnsi="Times New Roman;Times;serif"/>
          <w:i/>
          <w:sz w:val="24"/>
        </w:rPr>
        <w:t>i.e.</w:t>
      </w:r>
      <w:r>
        <w:rPr>
          <w:rFonts w:ascii="Times New Roman;Times;serif" w:hAnsi="Times New Roman;Times;serif"/>
          <w:sz w:val="24"/>
        </w:rPr>
        <w:t xml:space="preserve">, successful in defense of one or more (but not all) </w:t>
      </w:r>
      <w:bookmarkStart w:id="901" w:name="_Hlk141864198"/>
      <w:bookmarkEnd w:id="901"/>
      <w:r>
        <w:rPr>
          <w:rFonts w:ascii="Times New Roman;Times;serif" w:hAnsi="Times New Roman;Times;serif"/>
          <w:sz w:val="24"/>
        </w:rPr>
        <w:t>discrete claims, issues, or matters therein), then Avnet shall indemnify Indemnitee against Expenses related to Indemnitee’s partial success in the Proceeding.</w:t>
      </w:r>
    </w:p>
    <w:p>
      <w:pPr>
        <w:pStyle w:val="TextBody"/>
        <w:bidi w:val="0"/>
        <w:spacing w:before="240" w:after="283"/>
        <w:ind w:left="0" w:right="0" w:hanging="0"/>
        <w:jc w:val="left"/>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Information Supporting Determinations</w:t>
      </w:r>
      <w:r>
        <w:rPr>
          <w:rFonts w:ascii="Times New Roman;Times;serif" w:hAnsi="Times New Roman;Times;serif"/>
          <w:sz w:val="24"/>
        </w:rPr>
        <w:t xml:space="preserve">. Indemnitee shall timely submit to the Board or independent legal counsel, as applicable, any requested documents and information that are reasonably available and necessary to determine whether Indemnitee is entitled to advancement of Expenses or indemnification. Notwithstanding the foregoing, Indemnitee shall </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w:t>
      </w:r>
    </w:p>
    <w:p>
      <w:pPr>
        <w:pStyle w:val="HorizontalLine"/>
        <w:pBdr>
          <w:bottom w:val="double" w:sz="2" w:space="0" w:color="808080"/>
        </w:pBdr>
        <w:bidi w:val="0"/>
        <w:spacing w:before="0" w:after="283"/>
        <w:jc w:val="left"/>
        <w:rPr/>
      </w:pPr>
      <w:r>
        <w:rPr/>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not be required to submit documentation and information to the extent that it would (i) result in the loss of attorney-client or work product privilege, (ii) be prohibited by applicable law, or (iii) be prohibited by any agreement to which Indemnitee is a party.</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Reimbursement of Expenses Related to Determinations</w:t>
      </w:r>
      <w:r>
        <w:rPr>
          <w:rFonts w:ascii="Times New Roman;Times;serif" w:hAnsi="Times New Roman;Times;serif"/>
          <w:sz w:val="24"/>
        </w:rPr>
        <w:t xml:space="preserve">. Avnet shall reimburse Indemnitee for Expenses reasonably and necessarily incurred in connection with Indemnitee’s request for advancement of expenses or indemnification under this Agreement, under any provision of Avnet’s Certificate of Incorporation or By-laws, or any directors’ and officers’ liability insurance provided by Avnet. Avnet shall provide such reimbursement regardless of whether Indemnitee is determined to be entitled to advancement of Expenses or indemnification hereunder. </w:t>
      </w:r>
    </w:p>
    <w:tbl>
      <w:tblPr>
        <w:tblW w:w="2118" w:type="dxa"/>
        <w:jc w:val="left"/>
        <w:tblInd w:w="0" w:type="dxa"/>
        <w:tblLayout w:type="fixed"/>
        <w:tblCellMar>
          <w:top w:w="0" w:type="dxa"/>
          <w:left w:w="0" w:type="dxa"/>
          <w:bottom w:w="0" w:type="dxa"/>
          <w:right w:w="0" w:type="dxa"/>
        </w:tblCellMar>
      </w:tblPr>
      <w:tblGrid>
        <w:gridCol w:w="350"/>
        <w:gridCol w:w="23"/>
        <w:gridCol w:w="1745"/>
      </w:tblGrid>
      <w:tr>
        <w:trPr/>
        <w:tc>
          <w:tcPr>
            <w:tcW w:w="35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IV.</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174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Defense of Claim</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 xml:space="preserve">If Avnet becomes obligated to provide advancement of Expenses with respect to a Proceeding as provided in this Agreement, then Avnet shall be entitled (but not obligated) to assume the defense of such Proceeding, with counsel reasonably satisfactory to Indemnitee. Indemnitee shall have the right to employ Indemnitee’s own counsel in such Proceeding at Indemnitee’s expense. Once Avnet assumes the defense of such Proceeding, then Avnet will not be liable to Indemnitee under this Agreement for any fees of counsel subsequently incurred by Indemnitee with respect to the same Proceeding, unless (i) Avnet has expressly authorized Indemnitee to employ counsel at Avnet’s expense, or (ii) Indemnitee reasonably concludes that there is a conflict of interest between Avnet and Indemnitee with respect to the Proceeding. </w:t>
      </w:r>
    </w:p>
    <w:tbl>
      <w:tblPr>
        <w:tblW w:w="2433" w:type="dxa"/>
        <w:jc w:val="left"/>
        <w:tblInd w:w="0" w:type="dxa"/>
        <w:tblLayout w:type="fixed"/>
        <w:tblCellMar>
          <w:top w:w="0" w:type="dxa"/>
          <w:left w:w="0" w:type="dxa"/>
          <w:bottom w:w="0" w:type="dxa"/>
          <w:right w:w="0" w:type="dxa"/>
        </w:tblCellMar>
      </w:tblPr>
      <w:tblGrid>
        <w:gridCol w:w="260"/>
        <w:gridCol w:w="23"/>
        <w:gridCol w:w="2150"/>
      </w:tblGrid>
      <w:tr>
        <w:trPr/>
        <w:tc>
          <w:tcPr>
            <w:tcW w:w="26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V.</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215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Submitting Expenses</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If Indemnitee is deemed to be entitled to advancement of Expenses under Section III.c, then Indemnitee shall timely submit to Avnet a written request that includes such documentation and information as is reasonably available and necessary to verify Expenses that are eligible for advancement. Avnet shall respond within 30 days by (i) providing payment, (ii) seeking additional information, or (iii) explaining why the request (or any portion thereof) is denied.</w:t>
      </w:r>
    </w:p>
    <w:tbl>
      <w:tblPr>
        <w:tblW w:w="3183" w:type="dxa"/>
        <w:jc w:val="left"/>
        <w:tblInd w:w="0" w:type="dxa"/>
        <w:tblLayout w:type="fixed"/>
        <w:tblCellMar>
          <w:top w:w="0" w:type="dxa"/>
          <w:left w:w="0" w:type="dxa"/>
          <w:bottom w:w="0" w:type="dxa"/>
          <w:right w:w="0" w:type="dxa"/>
        </w:tblCellMar>
      </w:tblPr>
      <w:tblGrid>
        <w:gridCol w:w="350"/>
        <w:gridCol w:w="23"/>
        <w:gridCol w:w="2810"/>
      </w:tblGrid>
      <w:tr>
        <w:trPr/>
        <w:tc>
          <w:tcPr>
            <w:tcW w:w="35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VI.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281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Insurance and Subrogation</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Avnet may purchase and maintain insurance on behalf of Indemnitee with respect to Indemnitee’s Service. Avnet shall be subrogated to all rights of recovery of Indemnitee with respect to any insurance policy, and Indemnitee shall execute all papers required and take all action necessary to secure such rights, including execution of such documents as are necessary to enable Avnet to bring suit to enforce such rights. Avnet shall pay or reimburse all Expenses actually and reasonably incurred by Indemnitee in connection with such subrogation.</w:t>
      </w:r>
    </w:p>
    <w:tbl>
      <w:tblPr>
        <w:tblW w:w="2658" w:type="dxa"/>
        <w:jc w:val="left"/>
        <w:tblInd w:w="0" w:type="dxa"/>
        <w:tblLayout w:type="fixed"/>
        <w:tblCellMar>
          <w:top w:w="0" w:type="dxa"/>
          <w:left w:w="0" w:type="dxa"/>
          <w:bottom w:w="0" w:type="dxa"/>
          <w:right w:w="0" w:type="dxa"/>
        </w:tblCellMar>
      </w:tblPr>
      <w:tblGrid>
        <w:gridCol w:w="440"/>
        <w:gridCol w:w="23"/>
        <w:gridCol w:w="2195"/>
      </w:tblGrid>
      <w:tr>
        <w:trPr/>
        <w:tc>
          <w:tcPr>
            <w:tcW w:w="44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VII.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2195"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Settlement Provisions</w:t>
            </w:r>
          </w:p>
        </w:tc>
      </w:tr>
    </w:tbl>
    <w:p>
      <w:pPr>
        <w:pStyle w:val="TextBody"/>
        <w:bidi w:val="0"/>
        <w:ind w:left="0" w:right="0" w:hanging="0"/>
        <w:jc w:val="left"/>
        <w:rPr>
          <w:rFonts w:ascii="Times New Roman;Times;serif" w:hAnsi="Times New Roman;Times;serif"/>
          <w:sz w:val="24"/>
        </w:rPr>
      </w:pPr>
      <w:r>
        <w:rPr>
          <w:rFonts w:ascii="Times New Roman;Times;serif" w:hAnsi="Times New Roman;Times;serif"/>
          <w:sz w:val="24"/>
        </w:rPr>
        <w:t>a.Indemnitee shall not be entitled to indemnification under Section I.a with respect to a Proceeding that has been settled to the extent that such indemnification would be inconsistent with any settlement condition imposed by the court in approving settlement.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w:t>
      </w:r>
    </w:p>
    <w:p>
      <w:pPr>
        <w:pStyle w:val="HorizontalLine"/>
        <w:pBdr>
          <w:bottom w:val="double" w:sz="2" w:space="0" w:color="808080"/>
        </w:pBdr>
        <w:bidi w:val="0"/>
        <w:spacing w:before="0" w:after="283"/>
        <w:jc w:val="left"/>
        <w:rPr/>
      </w:pPr>
      <w:r>
        <w:rPr/>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b.Avnet shall have no obligation to indemnify Indemnitee under this Agreement for amounts paid in settlement of any Proceeding settled by Indemnitee without Avnet’s prior written consent, which shall not be unreasonably withheld or delayed. Avnet shall not settle any Proceeding in any manner that would impose any fine or other obligation on Indemnitee, or includes an admission of fault by Indemnitee, without Indemnitee’s prior written consent, which shall not be unreasonably withheld or delayed.</w:t>
      </w:r>
    </w:p>
    <w:tbl>
      <w:tblPr>
        <w:tblW w:w="2193" w:type="dxa"/>
        <w:jc w:val="left"/>
        <w:tblInd w:w="0" w:type="dxa"/>
        <w:tblLayout w:type="fixed"/>
        <w:tblCellMar>
          <w:top w:w="0" w:type="dxa"/>
          <w:left w:w="0" w:type="dxa"/>
          <w:bottom w:w="0" w:type="dxa"/>
          <w:right w:w="0" w:type="dxa"/>
        </w:tblCellMar>
      </w:tblPr>
      <w:tblGrid>
        <w:gridCol w:w="530"/>
        <w:gridCol w:w="23"/>
        <w:gridCol w:w="1640"/>
      </w:tblGrid>
      <w:tr>
        <w:trPr/>
        <w:tc>
          <w:tcPr>
            <w:tcW w:w="53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VIII.</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164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Non-Exclusivity</w:t>
            </w:r>
          </w:p>
        </w:tc>
      </w:tr>
    </w:tbl>
    <w:p>
      <w:pPr>
        <w:pStyle w:val="TextBody"/>
        <w:bidi w:val="0"/>
        <w:spacing w:before="240" w:after="0"/>
        <w:ind w:left="0" w:right="0" w:firstLine="720"/>
        <w:jc w:val="left"/>
        <w:rPr>
          <w:rFonts w:ascii="Times New Roman;Times;serif" w:hAnsi="Times New Roman;Times;serif"/>
          <w:sz w:val="24"/>
        </w:rPr>
      </w:pPr>
      <w:r>
        <w:rPr>
          <w:rFonts w:ascii="Times New Roman;Times;serif" w:hAnsi="Times New Roman;Times;serif"/>
          <w:sz w:val="24"/>
        </w:rPr>
        <w:t>The rights to advancement of Expenses and indemnification granted to Indemnitee under this Agreement are not exclusive of, or in limitation of, any other rights to which Indemnitee is entitled, including any rights under applicable law, Avnet’s Restated Certificate of Incorporation, Avnet’s By-Laws, any agreement, any resolution of shareholders or directors, or otherwise. However, Avnet shall not be liable to provide advancement of Expenses or indemnification under this Agreement to the extent that Indemnitee has otherwise actually received indemnification, reimbursement, or coverage for Expenses under any insurance policy, contract, agreement, or otherwise.</w:t>
      </w:r>
    </w:p>
    <w:tbl>
      <w:tblPr>
        <w:tblW w:w="1473" w:type="dxa"/>
        <w:jc w:val="left"/>
        <w:tblInd w:w="0" w:type="dxa"/>
        <w:tblLayout w:type="fixed"/>
        <w:tblCellMar>
          <w:top w:w="0" w:type="dxa"/>
          <w:left w:w="0" w:type="dxa"/>
          <w:bottom w:w="0" w:type="dxa"/>
          <w:right w:w="0" w:type="dxa"/>
        </w:tblCellMar>
      </w:tblPr>
      <w:tblGrid>
        <w:gridCol w:w="350"/>
        <w:gridCol w:w="23"/>
        <w:gridCol w:w="1100"/>
      </w:tblGrid>
      <w:tr>
        <w:trPr/>
        <w:tc>
          <w:tcPr>
            <w:tcW w:w="350" w:type="dxa"/>
            <w:tcBorders/>
            <w:vAlign w:val="center"/>
          </w:tcPr>
          <w:p>
            <w:pPr>
              <w:pStyle w:val="TableContents"/>
              <w:bidi w:val="0"/>
              <w:spacing w:before="0" w:after="283"/>
              <w:jc w:val="right"/>
              <w:rPr>
                <w:rFonts w:ascii="Times New Roman;Times;serif" w:hAnsi="Times New Roman;Times;serif"/>
                <w:b/>
                <w:sz w:val="24"/>
              </w:rPr>
            </w:pPr>
            <w:r>
              <w:rPr>
                <w:rFonts w:ascii="Times New Roman;Times;serif" w:hAnsi="Times New Roman;Times;serif"/>
                <w:b/>
                <w:sz w:val="24"/>
              </w:rPr>
              <w:t>IX.</w:t>
            </w:r>
          </w:p>
        </w:tc>
        <w:tc>
          <w:tcPr>
            <w:tcW w:w="23" w:type="dxa"/>
            <w:tcBorders/>
            <w:vAlign w:val="center"/>
          </w:tcPr>
          <w:p>
            <w:pPr>
              <w:pStyle w:val="TableContents"/>
              <w:bidi w:val="0"/>
              <w:spacing w:before="0" w:after="283"/>
              <w:ind w:left="0" w:right="0" w:hanging="720"/>
              <w:jc w:val="left"/>
              <w:rPr>
                <w:sz w:val="4"/>
                <w:szCs w:val="4"/>
              </w:rPr>
            </w:pPr>
            <w:r>
              <w:rPr>
                <w:sz w:val="4"/>
                <w:szCs w:val="4"/>
              </w:rPr>
            </w:r>
          </w:p>
        </w:tc>
        <w:tc>
          <w:tcPr>
            <w:tcW w:w="1100" w:type="dxa"/>
            <w:tcBorders/>
            <w:vAlign w:val="center"/>
          </w:tcPr>
          <w:p>
            <w:pPr>
              <w:pStyle w:val="TableContents"/>
              <w:bidi w:val="0"/>
              <w:spacing w:before="0" w:after="283"/>
              <w:jc w:val="left"/>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Miscellany</w:t>
            </w:r>
          </w:p>
        </w:tc>
      </w:tr>
    </w:tbl>
    <w:p>
      <w:pPr>
        <w:pStyle w:val="TextBody"/>
        <w:bidi w:val="0"/>
        <w:spacing w:before="0" w:after="0"/>
        <w:ind w:left="0" w:right="0" w:hanging="0"/>
        <w:jc w:val="left"/>
        <w:rPr>
          <w:rFonts w:ascii="Times New Roman;Times;serif" w:hAnsi="Times New Roman;Times;serif"/>
          <w:sz w:val="24"/>
        </w:rPr>
      </w:pPr>
      <w:r>
        <w:rPr>
          <w:rFonts w:ascii="Times New Roman;Times;serif" w:hAnsi="Times New Roman;Times;serif"/>
          <w:sz w:val="24"/>
        </w:rPr>
        <w:t>a.</w:t>
      </w:r>
      <w:r>
        <w:rPr>
          <w:rFonts w:ascii="Times New Roman;Times;serif" w:hAnsi="Times New Roman;Times;serif"/>
          <w:sz w:val="24"/>
          <w:u w:val="single"/>
        </w:rPr>
        <w:t>Savings Clause</w:t>
      </w:r>
      <w:r>
        <w:rPr>
          <w:rFonts w:ascii="Times New Roman;Times;serif" w:hAnsi="Times New Roman;Times;serif"/>
          <w:sz w:val="24"/>
        </w:rPr>
        <w:t>. If a court of competent jurisdiction finds that any portion of this Agreement is invalid, then Avnet shall advance Expenses and indemnify Indemnitee under any applicable portions of this Agreement that have not been invalidated, to the fullest extent permitted by law.</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b.</w:t>
      </w:r>
      <w:r>
        <w:rPr>
          <w:rFonts w:ascii="Times New Roman;Times;serif" w:hAnsi="Times New Roman;Times;serif"/>
          <w:sz w:val="24"/>
          <w:u w:val="single"/>
        </w:rPr>
        <w:t>Amendment, Integration</w:t>
      </w:r>
      <w:r>
        <w:rPr>
          <w:rFonts w:ascii="Times New Roman;Times;serif" w:hAnsi="Times New Roman;Times;serif"/>
          <w:sz w:val="24"/>
        </w:rPr>
        <w:t>. This Agreement constitutes the entire understanding between the parties with respect to the subject matter hereof and no waiver or modification its terms shall be valid unless in writing signed by both Avnet and Indemnitee. This Agreement supersedes and replaces any prior indemnification agreements entered into by and between Avnet and Indemnitee and any such prior agreements shall be terminated upon execution of this Agreement.</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c.</w:t>
      </w:r>
      <w:r>
        <w:rPr>
          <w:rFonts w:ascii="Times New Roman;Times;serif" w:hAnsi="Times New Roman;Times;serif"/>
          <w:sz w:val="24"/>
          <w:u w:val="single"/>
        </w:rPr>
        <w:t>Successors and Assigns</w:t>
      </w:r>
      <w:r>
        <w:rPr>
          <w:rFonts w:ascii="Times New Roman;Times;serif" w:hAnsi="Times New Roman;Times;serif"/>
          <w:sz w:val="24"/>
        </w:rPr>
        <w:t>. This Agreement shall be binding upon Indemnitee and Avnet and shall inure to the benefit of Indemnitee, his or her heirs, personal representatives, and assigns, and to the benefit of Avnet and its successors and assigns.</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d.</w:t>
      </w:r>
      <w:r>
        <w:rPr>
          <w:rFonts w:ascii="Times New Roman;Times;serif" w:hAnsi="Times New Roman;Times;serif"/>
          <w:sz w:val="24"/>
          <w:u w:val="single"/>
        </w:rPr>
        <w:t>Governing Law</w:t>
      </w:r>
      <w:r>
        <w:rPr>
          <w:rFonts w:ascii="Times New Roman;Times;serif" w:hAnsi="Times New Roman;Times;serif"/>
          <w:sz w:val="24"/>
        </w:rPr>
        <w:t>. This Agreement shall be governed by, and construed in accordance with, the laws of the State of New York applicable to contracts made and to be performed wholly within New York, without giving effect to conflict of laws principles thereof.</w:t>
      </w:r>
    </w:p>
    <w:p>
      <w:pPr>
        <w:pStyle w:val="TextBody"/>
        <w:bidi w:val="0"/>
        <w:spacing w:before="240" w:after="0"/>
        <w:ind w:left="0" w:right="0" w:hanging="0"/>
        <w:jc w:val="left"/>
        <w:rPr>
          <w:rFonts w:ascii="Times New Roman;Times;serif" w:hAnsi="Times New Roman;Times;serif"/>
          <w:sz w:val="24"/>
        </w:rPr>
      </w:pPr>
      <w:r>
        <w:rPr>
          <w:rFonts w:ascii="Times New Roman;Times;serif" w:hAnsi="Times New Roman;Times;serif"/>
          <w:sz w:val="24"/>
        </w:rPr>
        <w:t>e.</w:t>
      </w:r>
      <w:r>
        <w:rPr>
          <w:rFonts w:ascii="Times New Roman;Times;serif" w:hAnsi="Times New Roman;Times;serif"/>
          <w:sz w:val="24"/>
          <w:u w:val="single"/>
        </w:rPr>
        <w:t>Counterparts</w:t>
      </w:r>
      <w:r>
        <w:rPr>
          <w:rFonts w:ascii="Times New Roman;Times;serif" w:hAnsi="Times New Roman;Times;serif"/>
          <w:sz w:val="24"/>
        </w:rPr>
        <w:t>. This Agreement may be executed in two counterparts, each of which shall be deemed to be an original and which together shall be one instrument.</w:t>
      </w:r>
    </w:p>
    <w:p>
      <w:pPr>
        <w:pStyle w:val="TextBody"/>
        <w:bidi w:val="0"/>
        <w:spacing w:before="240" w:after="283"/>
        <w:ind w:left="0" w:right="0" w:hanging="0"/>
        <w:jc w:val="left"/>
        <w:rPr>
          <w:rFonts w:ascii="Times New Roman;Times;serif" w:hAnsi="Times New Roman;Times;serif"/>
          <w:sz w:val="24"/>
        </w:rPr>
      </w:pPr>
      <w:r>
        <w:rPr>
          <w:rFonts w:ascii="Times New Roman;Times;serif" w:hAnsi="Times New Roman;Times;serif"/>
          <w:sz w:val="24"/>
        </w:rPr>
        <w:t>f.</w:t>
      </w:r>
      <w:r>
        <w:rPr>
          <w:rFonts w:ascii="Times New Roman;Times;serif" w:hAnsi="Times New Roman;Times;serif"/>
          <w:sz w:val="24"/>
          <w:u w:val="single"/>
        </w:rPr>
        <w:t>Headings</w:t>
      </w:r>
      <w:r>
        <w:rPr>
          <w:rFonts w:ascii="Times New Roman;Times;serif" w:hAnsi="Times New Roman;Times;serif"/>
          <w:sz w:val="24"/>
        </w:rPr>
        <w:t>. The section and subsection headings contained in this Agreement are for reference purposes only and shall not affect in any way the meaning or interpretation of this Agreement.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w:t>
      </w:r>
    </w:p>
    <w:p>
      <w:pPr>
        <w:pStyle w:val="HorizontalLine"/>
        <w:pBdr>
          <w:bottom w:val="double" w:sz="2" w:space="0" w:color="808080"/>
        </w:pBdr>
        <w:bidi w:val="0"/>
        <w:spacing w:before="0" w:after="283"/>
        <w:jc w:val="left"/>
        <w:rPr/>
      </w:pPr>
      <w:r>
        <w:rPr/>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Each of the parties hereto has executed this Agreement to be effective as of the day and year first above written.</w:t>
      </w:r>
    </w:p>
    <w:p>
      <w:pPr>
        <w:pStyle w:val="TextBody"/>
        <w:bidi w:val="0"/>
        <w:spacing w:before="0" w:after="0"/>
        <w:ind w:left="360" w:right="0" w:hanging="0"/>
        <w:jc w:val="both"/>
        <w:rPr/>
      </w:pPr>
      <w:r>
        <w:rPr/>
        <w:t>​</w:t>
      </w:r>
    </w:p>
    <w:tbl>
      <w:tblPr>
        <w:tblW w:w="3865" w:type="dxa"/>
        <w:jc w:val="left"/>
        <w:tblInd w:w="0" w:type="dxa"/>
        <w:tblLayout w:type="fixed"/>
        <w:tblCellMar>
          <w:top w:w="0" w:type="dxa"/>
          <w:left w:w="0" w:type="dxa"/>
          <w:bottom w:w="0" w:type="dxa"/>
          <w:right w:w="0" w:type="dxa"/>
        </w:tblCellMar>
      </w:tblPr>
      <w:tblGrid>
        <w:gridCol w:w="466"/>
        <w:gridCol w:w="1966"/>
        <w:gridCol w:w="109"/>
        <w:gridCol w:w="412"/>
        <w:gridCol w:w="413"/>
        <w:gridCol w:w="499"/>
      </w:tblGrid>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12" w:type="dxa"/>
            <w:tcBorders/>
            <w:vAlign w:val="center"/>
          </w:tcPr>
          <w:p>
            <w:pPr>
              <w:pStyle w:val="TableContents"/>
              <w:bidi w:val="0"/>
              <w:spacing w:before="0" w:after="0"/>
              <w:ind w:left="0" w:right="0" w:hanging="0"/>
              <w:jc w:val="left"/>
              <w:rPr/>
            </w:pPr>
            <w:r>
              <w:rPr/>
              <w:t>​</w:t>
            </w:r>
          </w:p>
        </w:tc>
        <w:tc>
          <w:tcPr>
            <w:tcW w:w="413" w:type="dxa"/>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43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Avnet, Inc.</w:t>
            </w:r>
          </w:p>
        </w:tc>
        <w:tc>
          <w:tcPr>
            <w:tcW w:w="109" w:type="dxa"/>
            <w:tcBorders/>
            <w:vAlign w:val="center"/>
          </w:tcPr>
          <w:p>
            <w:pPr>
              <w:pStyle w:val="TableContents"/>
              <w:bidi w:val="0"/>
              <w:spacing w:before="0" w:after="0"/>
              <w:ind w:left="0" w:right="0" w:hanging="0"/>
              <w:jc w:val="left"/>
              <w:rPr/>
            </w:pPr>
            <w:r>
              <w:rPr/>
              <w:t>​</w:t>
            </w:r>
          </w:p>
        </w:tc>
        <w:tc>
          <w:tcPr>
            <w:tcW w:w="1324"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Indemnitee</w:t>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Michael R. McCoy</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Sr. Vice President</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66" w:type="dxa"/>
            <w:tcBorders/>
            <w:vAlign w:val="center"/>
          </w:tcPr>
          <w:p>
            <w:pPr>
              <w:pStyle w:val="TableContents"/>
              <w:bidi w:val="0"/>
              <w:spacing w:before="0" w:after="0"/>
              <w:ind w:left="0" w:right="0" w:hanging="0"/>
              <w:jc w:val="left"/>
              <w:rPr/>
            </w:pPr>
            <w:r>
              <w:rPr/>
              <w:t>​</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Chief Legal Officer</w:t>
            </w:r>
          </w:p>
        </w:tc>
        <w:tc>
          <w:tcPr>
            <w:tcW w:w="109" w:type="dxa"/>
            <w:tcBorders/>
            <w:vAlign w:val="center"/>
          </w:tcPr>
          <w:p>
            <w:pPr>
              <w:pStyle w:val="TableContents"/>
              <w:bidi w:val="0"/>
              <w:spacing w:before="0" w:after="0"/>
              <w:ind w:left="0" w:right="0" w:hanging="0"/>
              <w:jc w:val="left"/>
              <w:rPr/>
            </w:pPr>
            <w:r>
              <w:rPr/>
              <w:t>​</w:t>
            </w:r>
          </w:p>
        </w:tc>
        <w:tc>
          <w:tcPr>
            <w:tcW w:w="825" w:type="dxa"/>
            <w:gridSpan w:val="2"/>
            <w:tcBorders/>
            <w:vAlign w:val="center"/>
          </w:tcPr>
          <w:p>
            <w:pPr>
              <w:pStyle w:val="TableContents"/>
              <w:bidi w:val="0"/>
              <w:spacing w:before="0" w:after="0"/>
              <w:ind w:left="0" w:right="0" w:hanging="0"/>
              <w:jc w:val="left"/>
              <w:rPr/>
            </w:pPr>
            <w:r>
              <w:rPr/>
              <w:t>​</w:t>
            </w:r>
          </w:p>
        </w:tc>
        <w:tc>
          <w:tcPr>
            <w:tcW w:w="499"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02" w:name="avt-20230930xex31d1.htm"/>
      <w:bookmarkStart w:id="903" w:name="ksavt20230930xex31d1"/>
      <w:bookmarkEnd w:id="902"/>
      <w:bookmarkEnd w:id="903"/>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31.1</w:t>
      </w:r>
      <w:bookmarkStart w:id="904" w:name="Ex_311"/>
      <w:bookmarkEnd w:id="904"/>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Philip R. Gallagher,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720" w:right="0" w:hanging="0"/>
        <w:jc w:val="left"/>
        <w:rPr>
          <w:rFonts w:ascii="Times New Roman;Times;serif" w:hAnsi="Times New Roman;Times;serif"/>
          <w:sz w:val="20"/>
        </w:rPr>
      </w:pPr>
      <w:r>
        <w:rPr>
          <w:rFonts w:ascii="Times New Roman;Times;serif" w:hAnsi="Times New Roman;Times;serif"/>
          <w:sz w:val="20"/>
        </w:rPr>
        <w:t>Date: November 3, 2023</w:t>
      </w:r>
    </w:p>
    <w:p>
      <w:pPr>
        <w:pStyle w:val="TextBody"/>
        <w:bidi w:val="0"/>
        <w:spacing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1315085" cy="175260"/>
                      <wp:effectExtent l="0" t="0" r="0" b="0"/>
                      <wp:wrapNone/>
                      <wp:docPr id="228" name="Frame228"/>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1315085" cy="332740"/>
                      <wp:effectExtent l="0" t="0" r="0" b="0"/>
                      <wp:wrapNone/>
                      <wp:docPr id="229" name="Frame229"/>
                      <a:graphic xmlns:a="http://schemas.openxmlformats.org/drawingml/2006/main">
                        <a:graphicData uri="http://schemas.microsoft.com/office/word/2010/wordprocessingShape">
                          <wps:wsp>
                            <wps:cNvSpPr txBox="1"/>
                            <wps:spPr>
                              <a:xfrm>
                                <a:off x="0" y="0"/>
                                <a:ext cx="1315085" cy="332740"/>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6.2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78740" cy="175260"/>
                      <wp:effectExtent l="0" t="0" r="0" b="0"/>
                      <wp:wrapNone/>
                      <wp:docPr id="230" name="Frame230"/>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lineRule="auto" w:line="304"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pPr>
                            <w:r>
                              <w:rPr/>
                              <w:t>​</w:t>
                            </w:r>
                          </w:p>
                        </w:txbxContent>
                      </v:textbox>
                      <w10:wrap type="none"/>
                    </v:rect>
                  </w:pict>
                </mc:Fallback>
              </mc:AlternateContent>
            </w:r>
          </w:p>
        </w:tc>
        <w:tc>
          <w:tcPr>
            <w:tcW w:w="207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315085" cy="146685"/>
                      <wp:effectExtent l="0" t="0" r="0" b="0"/>
                      <wp:wrapNone/>
                      <wp:docPr id="231" name="Frame231"/>
                      <a:graphic xmlns:a="http://schemas.openxmlformats.org/drawingml/2006/main">
                        <a:graphicData uri="http://schemas.microsoft.com/office/word/2010/wordprocessingShape">
                          <wps:wsp>
                            <wps:cNvSpPr txBox="1"/>
                            <wps:spPr>
                              <a:xfrm>
                                <a:off x="0" y="0"/>
                                <a:ext cx="1315085" cy="146685"/>
                              </a:xfrm>
                              <a:prstGeom prst="rect"/>
                              <a:solidFill>
                                <a:srgbClr val="FFFFFF"/>
                              </a:solidFill>
                            </wps:spPr>
                            <wps:txb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xbxContent>
                      </v:textbox>
                      <w10:wrap type="none"/>
                    </v:rect>
                  </w:pict>
                </mc:Fallback>
              </mc:AlternateContent>
            </w:r>
          </w:p>
        </w:tc>
      </w:tr>
      <w:tr>
        <w:trPr/>
        <w:tc>
          <w:tcPr>
            <w:tcW w:w="124" w:type="dxa"/>
            <w:tcBorders/>
            <w:vAlign w:val="center"/>
          </w:tcPr>
          <w:p>
            <w:pPr>
              <w:pStyle w:val="TableContents"/>
              <w:bidi w:val="0"/>
              <w:spacing w:lineRule="auto" w:line="304" w:before="0" w:after="0"/>
              <w:ind w:left="0" w:right="0" w:hanging="0"/>
              <w:jc w:val="left"/>
              <w:rPr/>
            </w:pPr>
            <w:r>
              <w:rPr/>
              <w:t>​</w:t>
            </w:r>
          </w:p>
        </w:tc>
        <w:tc>
          <w:tcPr>
            <w:tcW w:w="2071" w:type="dxa"/>
            <w:tcBorders/>
            <w:vAlign w:val="center"/>
          </w:tcPr>
          <w:p>
            <w:pPr>
              <w:pStyle w:val="TableContents"/>
              <w:bidi w:val="0"/>
              <w:spacing w:lineRule="auto" w:line="304"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05" w:name="avt-20230930xex31d2.htm"/>
      <w:bookmarkStart w:id="906" w:name="ksavt20230930xex31d2"/>
      <w:bookmarkEnd w:id="905"/>
      <w:bookmarkEnd w:id="906"/>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31.2</w:t>
      </w:r>
      <w:bookmarkStart w:id="907" w:name="Ex_312"/>
      <w:bookmarkEnd w:id="907"/>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I, Kenneth A. Jacobson, certify that:</w:t>
      </w:r>
    </w:p>
    <w:tbl>
      <w:tblPr>
        <w:tblW w:w="5508" w:type="dxa"/>
        <w:jc w:val="left"/>
        <w:tblInd w:w="0" w:type="dxa"/>
        <w:tblLayout w:type="fixed"/>
        <w:tblCellMar>
          <w:top w:w="0" w:type="dxa"/>
          <w:left w:w="0" w:type="dxa"/>
          <w:bottom w:w="0" w:type="dxa"/>
          <w:right w:w="0" w:type="dxa"/>
        </w:tblCellMar>
      </w:tblPr>
      <w:tblGrid>
        <w:gridCol w:w="23"/>
        <w:gridCol w:w="170"/>
        <w:gridCol w:w="5315"/>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quarterly report on Form 10-Q of Avnet, Inc.;</w:t>
            </w:r>
          </w:p>
        </w:tc>
      </w:tr>
    </w:tbl>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100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1003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tc>
      </w:tr>
    </w:tbl>
    <w:tbl>
      <w:tblPr>
        <w:tblW w:w="10205" w:type="dxa"/>
        <w:jc w:val="left"/>
        <w:tblInd w:w="0" w:type="dxa"/>
        <w:tblLayout w:type="fixed"/>
        <w:tblCellMar>
          <w:top w:w="0" w:type="dxa"/>
          <w:left w:w="0" w:type="dxa"/>
          <w:bottom w:w="0" w:type="dxa"/>
          <w:right w:w="0" w:type="dxa"/>
        </w:tblCellMar>
      </w:tblPr>
      <w:tblGrid>
        <w:gridCol w:w="23"/>
        <w:gridCol w:w="155"/>
        <w:gridCol w:w="10027"/>
      </w:tblGrid>
      <w:tr>
        <w:trPr/>
        <w:tc>
          <w:tcPr>
            <w:tcW w:w="2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1002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Layout w:type="fixed"/>
        <w:tblCellMar>
          <w:top w:w="0" w:type="dxa"/>
          <w:left w:w="0" w:type="dxa"/>
          <w:bottom w:w="0" w:type="dxa"/>
          <w:right w:w="0" w:type="dxa"/>
        </w:tblCellMar>
      </w:tblPr>
      <w:tblGrid>
        <w:gridCol w:w="23"/>
        <w:gridCol w:w="170"/>
        <w:gridCol w:w="10012"/>
      </w:tblGrid>
      <w:tr>
        <w:trPr/>
        <w:tc>
          <w:tcPr>
            <w:tcW w:w="2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100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 xml:space="preserve">Date: November 3, 2023 </w:t>
      </w:r>
    </w:p>
    <w:p>
      <w:pPr>
        <w:pStyle w:val="TextBody"/>
        <w:bidi w:val="0"/>
        <w:spacing w:lineRule="atLeast" w:line="200" w:before="0" w:after="0"/>
        <w:ind w:left="0" w:right="0" w:hanging="0"/>
        <w:jc w:val="left"/>
        <w:rPr/>
      </w:pPr>
      <w:r>
        <w:rPr/>
        <w:t>​</w:t>
      </w:r>
    </w:p>
    <w:tbl>
      <w:tblPr>
        <w:tblW w:w="2135" w:type="dxa"/>
        <w:jc w:val="right"/>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1276985" cy="175260"/>
                      <wp:effectExtent l="0" t="0" r="0" b="0"/>
                      <wp:wrapNone/>
                      <wp:docPr id="232" name="Frame232"/>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276985" cy="293370"/>
                      <wp:effectExtent l="0" t="0" r="0" b="0"/>
                      <wp:wrapNone/>
                      <wp:docPr id="233" name="Frame233"/>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78740" cy="175260"/>
                      <wp:effectExtent l="0" t="0" r="0" b="0"/>
                      <wp:wrapNone/>
                      <wp:docPr id="234" name="Frame234"/>
                      <a:graphic xmlns:a="http://schemas.openxmlformats.org/drawingml/2006/main">
                        <a:graphicData uri="http://schemas.microsoft.com/office/word/2010/wordprocessingShape">
                          <wps:wsp>
                            <wps:cNvSpPr txBox="1"/>
                            <wps:spPr>
                              <a:xfrm>
                                <a:off x="0" y="0"/>
                                <a:ext cx="78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11" w:type="dxa"/>
            <w:tcBorders>
              <w:top w:val="single" w:sz="2" w:space="0" w:color="000000"/>
            </w:tcBorders>
            <w:tcMar>
              <w:top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276985" cy="146685"/>
                      <wp:effectExtent l="0" t="0" r="0" b="0"/>
                      <wp:wrapNone/>
                      <wp:docPr id="235" name="Frame235"/>
                      <a:graphic xmlns:a="http://schemas.openxmlformats.org/drawingml/2006/main">
                        <a:graphicData uri="http://schemas.microsoft.com/office/word/2010/wordprocessingShape">
                          <wps:wsp>
                            <wps:cNvSpPr txBox="1"/>
                            <wps:spPr>
                              <a:xfrm>
                                <a:off x="0" y="0"/>
                                <a:ext cx="1276985" cy="14668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08" w:name="avt-20230930xex32d1.htm"/>
      <w:bookmarkStart w:id="909" w:name="ksavt20230930xex32d1"/>
      <w:bookmarkEnd w:id="908"/>
      <w:bookmarkEnd w:id="909"/>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32.1</w:t>
      </w:r>
      <w:bookmarkStart w:id="910" w:name="Ex_321"/>
      <w:bookmarkEnd w:id="910"/>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September 30, 2023 (the “Report”), I, Philip R. Gallagher, Chief Executive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November 3, 2023</w:t>
      </w:r>
    </w:p>
    <w:p>
      <w:pPr>
        <w:pStyle w:val="TextBody"/>
        <w:bidi w:val="0"/>
        <w:spacing w:lineRule="atLeast" w:line="200" w:before="0" w:after="0"/>
        <w:ind w:left="0" w:right="0" w:hanging="0"/>
        <w:jc w:val="left"/>
        <w:rPr/>
      </w:pPr>
      <w:r>
        <w:rPr/>
        <w:t>​</w:t>
      </w:r>
    </w:p>
    <w:tbl>
      <w:tblPr>
        <w:tblW w:w="2195" w:type="dxa"/>
        <w:jc w:val="right"/>
        <w:tblInd w:w="0" w:type="dxa"/>
        <w:tblLayout w:type="fixed"/>
        <w:tblCellMar>
          <w:top w:w="0" w:type="dxa"/>
          <w:left w:w="0" w:type="dxa"/>
          <w:bottom w:w="0" w:type="dxa"/>
          <w:right w:w="0" w:type="dxa"/>
        </w:tblCellMar>
      </w:tblPr>
      <w:tblGrid>
        <w:gridCol w:w="124"/>
        <w:gridCol w:w="2071"/>
      </w:tblGrid>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315085" cy="175260"/>
                      <wp:effectExtent l="0" t="0" r="0" b="0"/>
                      <wp:wrapNone/>
                      <wp:docPr id="236" name="Frame236"/>
                      <a:graphic xmlns:a="http://schemas.openxmlformats.org/drawingml/2006/main">
                        <a:graphicData uri="http://schemas.microsoft.com/office/word/2010/wordprocessingShape">
                          <wps:wsp>
                            <wps:cNvSpPr txBox="1"/>
                            <wps:spPr>
                              <a:xfrm>
                                <a:off x="0" y="0"/>
                                <a:ext cx="1315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1315085" cy="293370"/>
                      <wp:effectExtent l="0" t="0" r="0" b="0"/>
                      <wp:wrapNone/>
                      <wp:docPr id="237" name="Frame237"/>
                      <a:graphic xmlns:a="http://schemas.openxmlformats.org/drawingml/2006/main">
                        <a:graphicData uri="http://schemas.microsoft.com/office/word/2010/wordprocessingShape">
                          <wps:wsp>
                            <wps:cNvSpPr txBox="1"/>
                            <wps:spPr>
                              <a:xfrm>
                                <a:off x="0" y="0"/>
                                <a:ext cx="13150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3.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PHILIP R. GALLAGHER</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Philip R. Gallagher</w:t>
            </w:r>
          </w:p>
        </w:tc>
      </w:tr>
      <w:tr>
        <w:trPr/>
        <w:tc>
          <w:tcPr>
            <w:tcW w:w="124" w:type="dxa"/>
            <w:tcBorders/>
            <w:vAlign w:val="center"/>
          </w:tcPr>
          <w:p>
            <w:pPr>
              <w:pStyle w:val="TableContents"/>
              <w:bidi w:val="0"/>
              <w:spacing w:before="0" w:after="0"/>
              <w:ind w:left="0" w:right="0" w:hanging="0"/>
              <w:jc w:val="left"/>
              <w:rPr/>
            </w:pPr>
            <w:r>
              <w:rPr/>
              <w:t>​</w:t>
            </w:r>
          </w:p>
        </w:tc>
        <w:tc>
          <w:tcPr>
            <w:tcW w:w="20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lineRule="auto" w:line="343" w:before="0" w:after="0"/>
        <w:ind w:left="0" w:right="0" w:hanging="0"/>
        <w:jc w:val="left"/>
        <w:rPr/>
      </w:pPr>
      <w:bookmarkStart w:id="911" w:name="avt-20230930xex32d2.htm"/>
      <w:bookmarkStart w:id="912" w:name="ksavt20230930xex32d2"/>
      <w:bookmarkEnd w:id="911"/>
      <w:bookmarkEnd w:id="912"/>
      <w:r>
        <w:rPr/>
        <w:t>​</w:t>
      </w:r>
      <w:r>
        <w:br w:type="page"/>
      </w:r>
    </w:p>
    <w:p>
      <w:pPr>
        <w:pStyle w:val="TextBody"/>
        <w:bidi w:val="0"/>
        <w:spacing w:lineRule="auto" w:line="343" w:before="0" w:after="0"/>
        <w:ind w:left="0" w:right="0" w:hanging="0"/>
        <w:jc w:val="right"/>
        <w:rPr>
          <w:rFonts w:ascii="Times New Roman;Times;serif" w:hAnsi="Times New Roman;Times;serif"/>
          <w:b/>
          <w:sz w:val="20"/>
        </w:rPr>
      </w:pPr>
      <w:r>
        <w:rPr>
          <w:rFonts w:ascii="Times New Roman;Times;serif" w:hAnsi="Times New Roman;Times;serif"/>
          <w:b/>
          <w:sz w:val="20"/>
        </w:rPr>
        <w:t>Exhibit 32.2</w:t>
      </w:r>
      <w:bookmarkStart w:id="913" w:name="Ex_322"/>
      <w:bookmarkEnd w:id="913"/>
    </w:p>
    <w:p>
      <w:pPr>
        <w:pStyle w:val="TextBody"/>
        <w:bidi w:val="0"/>
        <w:spacing w:lineRule="auto" w:line="343" w:before="12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18 U.S.C. Section 1350</w:t>
      </w:r>
    </w:p>
    <w:p>
      <w:pPr>
        <w:pStyle w:val="TextBody"/>
        <w:bidi w:val="0"/>
        <w:spacing w:lineRule="auto" w:line="343" w:before="0" w:after="0"/>
        <w:ind w:left="0" w:right="0" w:hanging="0"/>
        <w:jc w:val="center"/>
        <w:rPr>
          <w:rFonts w:ascii="Times New Roman;Times;serif" w:hAnsi="Times New Roman;Times;serif"/>
          <w:b/>
          <w:sz w:val="20"/>
        </w:rPr>
      </w:pPr>
      <w:r>
        <w:rPr>
          <w:rFonts w:ascii="Times New Roman;Times;serif" w:hAnsi="Times New Roman;Times;serif"/>
          <w:b/>
          <w:sz w:val="20"/>
        </w:rPr>
        <w:t>(as adopted pursuant to Section 906 of the Sarbanes-Oxley Act of 2002)</w:t>
      </w:r>
    </w:p>
    <w:p>
      <w:pPr>
        <w:pStyle w:val="TextBody"/>
        <w:bidi w:val="0"/>
        <w:spacing w:lineRule="auto" w:line="343" w:before="120" w:after="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 Quarterly Report on Form 10-Q for the period ended September 30, 2023 (the “Report”), I, Kenneth A. Jacobson, Chief Financial Officer of Avnet, Inc. (the “Company”) hereby certify that: </w:t>
      </w:r>
    </w:p>
    <w:tbl>
      <w:tblPr>
        <w:tblW w:w="10205" w:type="dxa"/>
        <w:jc w:val="left"/>
        <w:tblInd w:w="0" w:type="dxa"/>
        <w:tblLayout w:type="fixed"/>
        <w:tblCellMar>
          <w:top w:w="0" w:type="dxa"/>
          <w:left w:w="0" w:type="dxa"/>
          <w:bottom w:w="0" w:type="dxa"/>
          <w:right w:w="0" w:type="dxa"/>
        </w:tblCellMar>
      </w:tblPr>
      <w:tblGrid>
        <w:gridCol w:w="23"/>
        <w:gridCol w:w="166"/>
        <w:gridCol w:w="10016"/>
      </w:tblGrid>
      <w:tr>
        <w:trPr/>
        <w:tc>
          <w:tcPr>
            <w:tcW w:w="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Report fully complies with the requirements of Section 13(a) or 15(d), as applicable,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100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contained in the Report fairly presents, in all material respects, the financial condition and results of operations of the Company.</w:t>
            </w:r>
          </w:p>
        </w:tc>
      </w:tr>
    </w:tbl>
    <w:p>
      <w:pPr>
        <w:pStyle w:val="TextBody"/>
        <w:bidi w:val="0"/>
        <w:spacing w:lineRule="auto" w:line="343" w:before="0" w:after="0"/>
        <w:ind w:left="0" w:right="0" w:hanging="0"/>
        <w:jc w:val="center"/>
        <w:rPr/>
      </w:pPr>
      <w:r>
        <w:rPr/>
        <w:t>​</w:t>
      </w:r>
    </w:p>
    <w:p>
      <w:pPr>
        <w:pStyle w:val="TextBody"/>
        <w:bidi w:val="0"/>
        <w:spacing w:lineRule="auto" w:line="343" w:before="0" w:after="0"/>
        <w:ind w:left="0" w:right="0" w:hanging="0"/>
        <w:jc w:val="left"/>
        <w:rPr>
          <w:rFonts w:ascii="Times New Roman;Times;serif" w:hAnsi="Times New Roman;Times;serif"/>
          <w:sz w:val="20"/>
        </w:rPr>
      </w:pPr>
      <w:r>
        <w:rPr>
          <w:rFonts w:ascii="Times New Roman;Times;serif" w:hAnsi="Times New Roman;Times;serif"/>
          <w:sz w:val="20"/>
        </w:rPr>
        <w:t>Date: November 3, 2023</w:t>
      </w:r>
    </w:p>
    <w:p>
      <w:pPr>
        <w:pStyle w:val="TextBody"/>
        <w:bidi w:val="0"/>
        <w:spacing w:lineRule="atLeast" w:line="200" w:before="0" w:after="0"/>
        <w:ind w:left="0" w:right="0" w:hanging="0"/>
        <w:jc w:val="left"/>
        <w:rPr/>
      </w:pPr>
      <w:r>
        <w:rPr/>
        <w:t>​</w:t>
      </w:r>
    </w:p>
    <w:tbl>
      <w:tblPr>
        <w:tblW w:w="2135" w:type="dxa"/>
        <w:jc w:val="center"/>
        <w:tblInd w:w="0" w:type="dxa"/>
        <w:tblLayout w:type="fixed"/>
        <w:tblCellMar>
          <w:top w:w="0" w:type="dxa"/>
          <w:left w:w="0" w:type="dxa"/>
          <w:bottom w:w="0" w:type="dxa"/>
          <w:right w:w="0" w:type="dxa"/>
        </w:tblCellMar>
      </w:tblPr>
      <w:tblGrid>
        <w:gridCol w:w="124"/>
        <w:gridCol w:w="2011"/>
      </w:tblGrid>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1276985" cy="175260"/>
                      <wp:effectExtent l="0" t="0" r="0" b="0"/>
                      <wp:wrapNone/>
                      <wp:docPr id="238" name="Frame238"/>
                      <a:graphic xmlns:a="http://schemas.openxmlformats.org/drawingml/2006/main">
                        <a:graphicData uri="http://schemas.microsoft.com/office/word/2010/wordprocessingShape">
                          <wps:wsp>
                            <wps:cNvSpPr txBox="1"/>
                            <wps:spPr>
                              <a:xfrm>
                                <a:off x="0" y="0"/>
                                <a:ext cx="1276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bottom w:val="single" w:sz="2" w:space="0" w:color="000000"/>
            </w:tcBorders>
            <w:tcMar>
              <w:bottom w:w="28" w:type="dxa"/>
            </w:tcMar>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1276985" cy="293370"/>
                      <wp:effectExtent l="0" t="0" r="0" b="0"/>
                      <wp:wrapNone/>
                      <wp:docPr id="239" name="Frame239"/>
                      <a:graphic xmlns:a="http://schemas.openxmlformats.org/drawingml/2006/main">
                        <a:graphicData uri="http://schemas.microsoft.com/office/word/2010/wordprocessingShape">
                          <wps:wsp>
                            <wps:cNvSpPr txBox="1"/>
                            <wps:spPr>
                              <a:xfrm>
                                <a:off x="0" y="0"/>
                                <a:ext cx="1276985" cy="293370"/>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0.55pt;height:23.1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KENNETH A. JACOBSON</w:t>
                            </w:r>
                          </w:p>
                        </w:txbxContent>
                      </v:textbox>
                      <w10:wrap type="none"/>
                    </v:rect>
                  </w:pict>
                </mc:Fallback>
              </mc:AlternateConten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Kenneth A. Jacobson</w:t>
            </w:r>
          </w:p>
        </w:tc>
      </w:tr>
      <w:tr>
        <w:trPr/>
        <w:tc>
          <w:tcPr>
            <w:tcW w:w="124" w:type="dxa"/>
            <w:tcBorders/>
            <w:vAlign w:val="center"/>
          </w:tcPr>
          <w:p>
            <w:pPr>
              <w:pStyle w:val="TableContents"/>
              <w:bidi w:val="0"/>
              <w:spacing w:before="0" w:after="0"/>
              <w:ind w:left="0" w:right="0" w:hanging="0"/>
              <w:jc w:val="left"/>
              <w:rPr/>
            </w:pPr>
            <w:r>
              <w:rPr/>
              <w:t>​</w:t>
            </w:r>
          </w:p>
        </w:tc>
        <w:tc>
          <w:tcPr>
            <w:tcW w:w="20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w:t>
      </w:r>
    </w:p>
    <w:p>
      <w:pPr>
        <w:pStyle w:val="TextBody"/>
        <w:bidi w:val="0"/>
        <w:spacing w:lineRule="auto" w:line="343" w:before="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12624</Words>
  <Characters>71734</Characters>
  <CharactersWithSpaces>85205</CharactersWithSpaces>
  <Paragraphs>3593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