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27, 2014</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5"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IRS Employer Identification No. 11-1890605</w:t>
      </w:r>
    </w:p>
    <w:p>
      <w:pPr>
        <w:spacing w:after="0" w:line="12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2211 South 47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Phoenix, Arizona 85034</w:t>
      </w:r>
    </w:p>
    <w:p>
      <w:pPr>
        <w:jc w:val="center"/>
        <w:spacing w:after="0"/>
        <w:rPr>
          <w:sz w:val="20"/>
          <w:szCs w:val="20"/>
          <w:color w:val="auto"/>
        </w:rPr>
      </w:pPr>
      <w:r>
        <w:rPr>
          <w:rFonts w:ascii="Arial" w:cs="Arial" w:eastAsia="Arial" w:hAnsi="Arial"/>
          <w:sz w:val="18"/>
          <w:szCs w:val="18"/>
          <w:color w:val="auto"/>
        </w:rPr>
        <w:t>(480) 643-2000</w:t>
      </w:r>
    </w:p>
    <w:p>
      <w:pPr>
        <w:spacing w:after="0" w:line="169"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7" w:lineRule="exact"/>
        <w:rPr>
          <w:sz w:val="24"/>
          <w:szCs w:val="24"/>
          <w:color w:val="auto"/>
        </w:rPr>
      </w:pPr>
    </w:p>
    <w:p>
      <w:pPr>
        <w:ind w:left="2960" w:right="380" w:hanging="4620"/>
        <w:spacing w:after="0" w:line="251" w:lineRule="exact"/>
        <w:tabs>
          <w:tab w:leader="none" w:pos="29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189"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1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As of January 15, 2015, the total number of shares outstanding of the registrant’s Common Stock was 136,374,984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21"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140" w:type="dxa"/>
            <w:vAlign w:val="bottom"/>
            <w:gridSpan w:val="9"/>
            <w:vMerge w:val="restart"/>
          </w:tcPr>
          <w:p>
            <w:pPr>
              <w:jc w:val="center"/>
              <w:ind w:right="30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140" w:type="dxa"/>
            <w:vAlign w:val="bottom"/>
            <w:gridSpan w:val="9"/>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206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1980" w:type="dxa"/>
            <w:vAlign w:val="bottom"/>
            <w:gridSpan w:val="3"/>
          </w:tcPr>
          <w:p>
            <w:pPr>
              <w:spacing w:after="0"/>
              <w:rPr>
                <w:sz w:val="24"/>
                <w:szCs w:val="24"/>
                <w:color w:val="auto"/>
              </w:rPr>
            </w:pPr>
          </w:p>
        </w:tc>
        <w:tc>
          <w:tcPr>
            <w:tcW w:w="3060" w:type="dxa"/>
            <w:vAlign w:val="bottom"/>
            <w:tcBorders>
              <w:top w:val="single" w:sz="8" w:color="0000FF"/>
            </w:tcBorders>
            <w:gridSpan w:val="5"/>
          </w:tcPr>
          <w:p>
            <w:pPr>
              <w:spacing w:after="0"/>
              <w:rPr>
                <w:sz w:val="24"/>
                <w:szCs w:val="24"/>
                <w:color w:val="auto"/>
              </w:rPr>
            </w:pPr>
          </w:p>
        </w:tc>
        <w:tc>
          <w:tcPr>
            <w:tcW w:w="308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6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Consolidated Balance Sheets at </w:t>
              </w:r>
            </w:hyperlink>
            <w:r>
              <w:rPr>
                <w:rFonts w:ascii="Arial" w:cs="Arial" w:eastAsia="Arial" w:hAnsi="Arial"/>
                <w:sz w:val="18"/>
                <w:szCs w:val="18"/>
                <w:color w:val="0000FF"/>
              </w:rPr>
              <w:t>December 27, 2014 and June 28, 2014</w:t>
            </w:r>
          </w:p>
        </w:tc>
        <w:tc>
          <w:tcPr>
            <w:tcW w:w="10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6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 xml:space="preserve">Consolidated Statements of Operations for the </w:t>
              </w:r>
            </w:hyperlink>
            <w:r>
              <w:rPr>
                <w:rFonts w:ascii="Arial" w:cs="Arial" w:eastAsia="Arial" w:hAnsi="Arial"/>
                <w:sz w:val="18"/>
                <w:szCs w:val="18"/>
                <w:color w:val="0000FF"/>
                <w:w w:val="93"/>
              </w:rPr>
              <w:t>second quarters and six months ended December 27, 2014 and December 28, 2013</w:t>
            </w:r>
          </w:p>
        </w:tc>
        <w:tc>
          <w:tcPr>
            <w:tcW w:w="10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0" w:type="dxa"/>
            <w:vAlign w:val="bottom"/>
          </w:tcPr>
          <w:p>
            <w:pPr>
              <w:spacing w:after="0"/>
              <w:rPr>
                <w:sz w:val="24"/>
                <w:szCs w:val="24"/>
                <w:color w:val="auto"/>
              </w:rPr>
            </w:pPr>
          </w:p>
        </w:tc>
        <w:tc>
          <w:tcPr>
            <w:tcW w:w="958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Consolidated Statements of Comprehensive Income for the </w:t>
              </w:r>
            </w:hyperlink>
            <w:r>
              <w:rPr>
                <w:rFonts w:ascii="Arial" w:cs="Arial" w:eastAsia="Arial" w:hAnsi="Arial"/>
                <w:sz w:val="18"/>
                <w:szCs w:val="18"/>
                <w:color w:val="0000FF"/>
                <w:w w:val="89"/>
              </w:rPr>
              <w:t>second quarters and six months ended December 27, 2014 and December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5"/>
              </w:rPr>
              <w:t>28, 2013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6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Consolidated Statements of Cash Flows for the </w:t>
              </w:r>
            </w:hyperlink>
            <w:r>
              <w:rPr>
                <w:rFonts w:ascii="Arial" w:cs="Arial" w:eastAsia="Arial" w:hAnsi="Arial"/>
                <w:sz w:val="18"/>
                <w:szCs w:val="18"/>
                <w:color w:val="0000FF"/>
              </w:rPr>
              <w:t>six months ended December 27, 2014 and December 28, 2013</w:t>
            </w:r>
          </w:p>
        </w:tc>
        <w:tc>
          <w:tcPr>
            <w:tcW w:w="10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520"/>
        </w:trPr>
        <w:tc>
          <w:tcPr>
            <w:tcW w:w="360" w:type="dxa"/>
            <w:vAlign w:val="bottom"/>
          </w:tcPr>
          <w:p>
            <w:pPr>
              <w:spacing w:after="0"/>
              <w:rPr>
                <w:sz w:val="24"/>
                <w:szCs w:val="24"/>
                <w:color w:val="auto"/>
              </w:rPr>
            </w:pPr>
          </w:p>
        </w:tc>
        <w:tc>
          <w:tcPr>
            <w:tcW w:w="7900" w:type="dxa"/>
            <w:vAlign w:val="bottom"/>
            <w:tcBorders>
              <w:top w:val="single" w:sz="8" w:color="0000FF"/>
            </w:tcBorders>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1920" w:type="dxa"/>
            <w:vAlign w:val="bottom"/>
            <w:gridSpan w:val="3"/>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0" w:type="dxa"/>
            <w:vAlign w:val="bottom"/>
            <w:gridSpan w:val="15"/>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Item 2. Management's Discussion and Analysis of Financial Condition and Results of Operations</w:t>
              </w:r>
            </w:hyperlink>
          </w:p>
        </w:tc>
        <w:tc>
          <w:tcPr>
            <w:tcW w:w="3180" w:type="dxa"/>
            <w:vAlign w:val="bottom"/>
            <w:gridSpan w:val="5"/>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3"/>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Item 3. Quantitative and Qualitative Disclosures About Market Risk</w:t>
              </w:r>
            </w:hyperlink>
          </w:p>
        </w:tc>
        <w:tc>
          <w:tcPr>
            <w:tcW w:w="2100" w:type="dxa"/>
            <w:vAlign w:val="bottom"/>
            <w:gridSpan w:val="2"/>
          </w:tcPr>
          <w:p>
            <w:pPr>
              <w:spacing w:after="0"/>
              <w:rPr>
                <w:sz w:val="24"/>
                <w:szCs w:val="24"/>
                <w:color w:val="auto"/>
              </w:rPr>
            </w:pPr>
          </w:p>
        </w:tc>
        <w:tc>
          <w:tcPr>
            <w:tcW w:w="3180" w:type="dxa"/>
            <w:vAlign w:val="bottom"/>
            <w:gridSpan w:val="5"/>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Item 4.</w:t>
              </w:r>
            </w:hyperlink>
          </w:p>
        </w:tc>
        <w:tc>
          <w:tcPr>
            <w:tcW w:w="4380" w:type="dxa"/>
            <w:vAlign w:val="bottom"/>
            <w:gridSpan w:val="11"/>
          </w:tcPr>
          <w:p>
            <w:pPr>
              <w:ind w:left="40"/>
              <w:spacing w:after="0"/>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0000FF"/>
            </w:tcBorders>
            <w:gridSpan w:val="3"/>
          </w:tcPr>
          <w:p>
            <w:pPr>
              <w:jc w:val="center"/>
              <w:ind w:right="40"/>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PART II. OTHER INFORMATION</w:t>
              </w:r>
            </w:hyperlink>
          </w:p>
        </w:tc>
        <w:tc>
          <w:tcPr>
            <w:tcW w:w="318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Item 1.</w:t>
              </w:r>
            </w:hyperlink>
          </w:p>
        </w:tc>
        <w:tc>
          <w:tcPr>
            <w:tcW w:w="9660" w:type="dxa"/>
            <w:vAlign w:val="bottom"/>
            <w:gridSpan w:val="18"/>
          </w:tcPr>
          <w:p>
            <w:pPr>
              <w:ind w:left="40"/>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9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80" w:type="dxa"/>
            <w:vAlign w:val="bottom"/>
            <w:gridSpan w:val="7"/>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1A. Risk Factors</w:t>
              </w:r>
            </w:hyperlink>
          </w:p>
        </w:tc>
        <w:tc>
          <w:tcPr>
            <w:tcW w:w="8300" w:type="dxa"/>
            <w:vAlign w:val="bottom"/>
            <w:gridSpan w:val="13"/>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2.</w:t>
              </w:r>
            </w:hyperlink>
          </w:p>
        </w:tc>
        <w:tc>
          <w:tcPr>
            <w:tcW w:w="4380" w:type="dxa"/>
            <w:vAlign w:val="bottom"/>
            <w:gridSpan w:val="11"/>
          </w:tcPr>
          <w:p>
            <w:pPr>
              <w:ind w:left="40"/>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Unregistered Sales of Equity Securities and Use of Proceeds</w:t>
              </w:r>
            </w:hyperlink>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6.</w:t>
              </w:r>
            </w:hyperlink>
          </w:p>
        </w:tc>
        <w:tc>
          <w:tcPr>
            <w:tcW w:w="640" w:type="dxa"/>
            <w:vAlign w:val="bottom"/>
            <w:gridSpan w:val="3"/>
          </w:tcPr>
          <w:p>
            <w:pPr>
              <w:ind w:left="40"/>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Exhibits</w:t>
              </w:r>
            </w:hyperlink>
          </w:p>
        </w:tc>
        <w:tc>
          <w:tcPr>
            <w:tcW w:w="3740" w:type="dxa"/>
            <w:vAlign w:val="bottom"/>
            <w:gridSpan w:val="8"/>
          </w:tcPr>
          <w:p>
            <w:pPr>
              <w:spacing w:after="0"/>
              <w:rPr>
                <w:sz w:val="24"/>
                <w:szCs w:val="24"/>
                <w:color w:val="auto"/>
              </w:rPr>
            </w:pPr>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5"/>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Signature Page</w:t>
              </w:r>
            </w:hyperlink>
          </w:p>
        </w:tc>
        <w:tc>
          <w:tcPr>
            <w:tcW w:w="9020" w:type="dxa"/>
            <w:vAlign w:val="bottom"/>
            <w:gridSpan w:val="15"/>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gridSpan w:val="2"/>
          </w:tcPr>
          <w:p>
            <w:pPr>
              <w:spacing w:after="0"/>
              <w:rPr>
                <w:sz w:val="24"/>
                <w:szCs w:val="24"/>
                <w:color w:val="auto"/>
              </w:rPr>
            </w:pPr>
          </w:p>
        </w:tc>
        <w:tc>
          <w:tcPr>
            <w:tcW w:w="5920" w:type="dxa"/>
            <w:vAlign w:val="bottom"/>
            <w:gridSpan w:val="11"/>
          </w:tcPr>
          <w:p>
            <w:pPr>
              <w:jc w:val="center"/>
              <w:ind w:left="297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80" w:top="54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8"/>
              </w:rPr>
              <w:t>PART I</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8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9"/>
              </w:rPr>
              <w:t>AVNET, INC. AND SUBSIDIARIES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3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June 28,</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(Thousands, except share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928,971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Receivables, less allowances of $94,327 and $96,382, respectively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5,696,642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5,220,528</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Inventories</w:t>
            </w:r>
          </w:p>
        </w:tc>
        <w:tc>
          <w:tcPr>
            <w:tcW w:w="7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2,613,363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196,111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191,337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8,954,199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541,904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534,999</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7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1,348,468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152,265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184,308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208,460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233,543</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11,491,094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11,255,517</w:t>
            </w:r>
          </w:p>
        </w:tc>
        <w:tc>
          <w:tcPr>
            <w:tcW w:w="0" w:type="dxa"/>
            <w:vAlign w:val="bottom"/>
          </w:tcPr>
          <w:p>
            <w:pPr>
              <w:spacing w:after="0"/>
              <w:rPr>
                <w:sz w:val="1"/>
                <w:szCs w:val="1"/>
                <w:color w:val="auto"/>
              </w:rPr>
            </w:pPr>
          </w:p>
        </w:tc>
      </w:tr>
      <w:tr>
        <w:trPr>
          <w:trHeight w:val="237"/>
        </w:trPr>
        <w:tc>
          <w:tcPr>
            <w:tcW w:w="980" w:type="dxa"/>
            <w:vAlign w:val="bottom"/>
            <w:tcBorders>
              <w:bottom w:val="single" w:sz="8" w:color="CCEEFF"/>
            </w:tcBorders>
            <w:shd w:val="clear" w:color="auto" w:fill="CCEEFF"/>
          </w:tcPr>
          <w:p>
            <w:pPr>
              <w:spacing w:after="0"/>
              <w:rPr>
                <w:sz w:val="20"/>
                <w:szCs w:val="20"/>
                <w:color w:val="auto"/>
              </w:rPr>
            </w:pPr>
          </w:p>
        </w:tc>
        <w:tc>
          <w:tcPr>
            <w:tcW w:w="7360" w:type="dxa"/>
            <w:vAlign w:val="bottom"/>
            <w:tcBorders>
              <w:bottom w:val="single" w:sz="8" w:color="CCEEFF"/>
            </w:tcBorders>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865,088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3,850,295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3,402,369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711,369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4,932,055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4,978,826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1,213,814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161,802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172,684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6,786,164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6,365,324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Common stock $1.00 par; authorized 300,000,000 shares; issued 135,888,295 shares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420"/>
              <w:spacing w:after="0"/>
              <w:rPr>
                <w:sz w:val="20"/>
                <w:szCs w:val="20"/>
                <w:color w:val="auto"/>
              </w:rPr>
            </w:pPr>
            <w:r>
              <w:rPr>
                <w:rFonts w:ascii="Arial" w:cs="Arial" w:eastAsia="Arial" w:hAnsi="Arial"/>
                <w:sz w:val="18"/>
                <w:szCs w:val="18"/>
                <w:color w:val="auto"/>
              </w:rPr>
              <w:t>and 138,285,825 shares, respectively</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135,888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138,286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1,355,663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3,399,098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3,257,407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139,512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Treasury stock at cost, 34,288 shares and 36,836 shares,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4,704,930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4,890,193</w:t>
            </w:r>
          </w:p>
        </w:tc>
        <w:tc>
          <w:tcPr>
            <w:tcW w:w="0" w:type="dxa"/>
            <w:vAlign w:val="bottom"/>
          </w:tcPr>
          <w:p>
            <w:pPr>
              <w:spacing w:after="0"/>
              <w:rPr>
                <w:sz w:val="1"/>
                <w:szCs w:val="1"/>
                <w:color w:val="auto"/>
              </w:rPr>
            </w:pPr>
          </w:p>
        </w:tc>
      </w:tr>
      <w:tr>
        <w:trPr>
          <w:trHeight w:val="25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11,491,094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11,255,517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28,</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(Thousands, except per share data)</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7,551,880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7,421,854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14,391,466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13,767,329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6,714,374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6,573,221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12,758,497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12,183,526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837,506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1,632,969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1,583,803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573,962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598,619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1,157,908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1,142,703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integration and other expenses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250,287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221,572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443,484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400,559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(48,066)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(55,203)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legal settlement (Note 6)</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220,097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188,552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388,401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360,494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115,006</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163,706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124,864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291,652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245,488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Shares used to compute earnings per share:</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136,541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137,702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137,425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137,558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138,972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140,144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139,911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139,934</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28,</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ind w:left="88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291,652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245,488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107,997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Pension adjustments, net</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3,295</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144,142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356,780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27,</w:t>
            </w:r>
          </w:p>
        </w:tc>
        <w:tc>
          <w:tcPr>
            <w:tcW w:w="18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28,</w:t>
            </w:r>
          </w:p>
        </w:tc>
      </w:tr>
      <w:tr>
        <w:trPr>
          <w:trHeight w:val="234"/>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291,652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245,488</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and other reconciling items: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46,972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44,731</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20,903</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11,925</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28,940</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51,616</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(net of effects from businesses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(711,060)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(771,728)</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(158,470)</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583,337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348,521</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net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23,875</w:t>
            </w:r>
          </w:p>
        </w:tc>
      </w:tr>
      <w:tr>
        <w:trPr>
          <w:trHeight w:val="237"/>
        </w:trPr>
        <w:tc>
          <w:tcPr>
            <w:tcW w:w="8100" w:type="dxa"/>
            <w:vAlign w:val="bottom"/>
          </w:tcPr>
          <w:p>
            <w:pPr>
              <w:ind w:left="600"/>
              <w:spacing w:after="0"/>
              <w:rPr>
                <w:sz w:val="20"/>
                <w:szCs w:val="20"/>
                <w:color w:val="auto"/>
              </w:rPr>
            </w:pPr>
            <w:r>
              <w:rPr>
                <w:rFonts w:ascii="Arial" w:cs="Arial" w:eastAsia="Arial" w:hAnsi="Arial"/>
                <w:sz w:val="18"/>
                <w:szCs w:val="18"/>
                <w:color w:val="auto"/>
              </w:rPr>
              <w:t>Net cash flows provided (used) for operating activities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224,424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(154,199)</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accounts receivable securitization program,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60,000</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(Repayments) borrowings of bank and other debt, net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55,436</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 (Note 9)</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Dividends paid on common stock</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(41,263)</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4,293</w:t>
            </w:r>
          </w:p>
        </w:tc>
      </w:tr>
      <w:tr>
        <w:trPr>
          <w:trHeight w:val="237"/>
        </w:trPr>
        <w:tc>
          <w:tcPr>
            <w:tcW w:w="8100" w:type="dxa"/>
            <w:vAlign w:val="bottom"/>
          </w:tcPr>
          <w:p>
            <w:pPr>
              <w:ind w:left="600"/>
              <w:spacing w:after="0"/>
              <w:rPr>
                <w:sz w:val="20"/>
                <w:szCs w:val="20"/>
                <w:color w:val="auto"/>
              </w:rPr>
            </w:pPr>
            <w:r>
              <w:rPr>
                <w:rFonts w:ascii="Arial" w:cs="Arial" w:eastAsia="Arial" w:hAnsi="Arial"/>
                <w:sz w:val="18"/>
                <w:szCs w:val="18"/>
                <w:color w:val="auto"/>
              </w:rPr>
              <w:t>Net cash flows (used) provided by financing activities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78,466</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(47,024)</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(116,882)</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w:t>
            </w:r>
          </w:p>
        </w:tc>
      </w:tr>
      <w:tr>
        <w:trPr>
          <w:trHeight w:val="237"/>
        </w:trPr>
        <w:tc>
          <w:tcPr>
            <w:tcW w:w="8100" w:type="dxa"/>
            <w:vAlign w:val="bottom"/>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(162,106)</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7,827</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(decrease)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(230,012)</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 at beginning of period</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928,971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1,009,343</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903,331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779,331</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cash flow information (Note 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opinion of management, the accompanying unaudited interim consolidated financial statements contain all adjustments necessary to present fairly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Avnet, Inc.'s and its consolidated subsidiaries' (the “Company” or “Avnet”) financial position, results of operations, comprehensive income and cash flows.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such adjustments are of a normal recurring nature.</w:t>
      </w:r>
    </w:p>
    <w:p>
      <w:pPr>
        <w:spacing w:after="0" w:line="170"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("GAAP") requires management to make estimates and assumptions that affect the amounts reported in the consolidated financial statements. Actual results may differ from these estimates.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28, 2014.</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(“ASU 2014-09”), to supersede nearly all existing revenue recognition guidance under GAAP. The core principles of ASU 2014-09 are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revenues when promised goods or services are transferred to customers in an amount that reflects the consideration that is expected to be received for those goods or services. Application of the requirements of ASU 2014-09 may require more judgment and estimates within the revenue recognition process compared to existing GAAP. ASU 2014-09 is effective for the Company in the first quarter of fiscal 2018 using either of two acceptable adoption methods: (i) retrospective adoption to each prior reporting period presented with the option to elect certain practical expedients as defined within ASU 2014-09; or (ii) adoption with the cumulative effect of initially applying ASU 2014-09 recognized at the date of initial application and providing certain additional disclosures as defined within ASU 2014-09. The Company is currently evaluating the potential impact of the future adoption of ASU 2014-09 on its consolidated financial statements, including the method of adoption to be used.</w:t>
      </w:r>
    </w:p>
    <w:p>
      <w:pPr>
        <w:spacing w:after="0" w:line="18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During the six months ended December 27, 2014 there have been no new accounting pronouncements that are expected to significantly impact the Company's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fiscal 2014, the Company completed three acquisitions with historical annualized revenue of approximately $492.0 million. Cash paid for acquisitions during the first six months of fiscal 2014 was $116.9 million, net of cash acquired. The Company has not disclosed the pro-forma impact of the fiscal 2014 acquisitions as such impact was not material to the Company's consolidated financial position or results of operations.</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aggregate consideration, excluding cash acquired, for the fiscal 2014 acquisitions was $219.7 million, which consisted of the following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181,645</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38,081</w:t>
            </w:r>
          </w:p>
        </w:tc>
      </w:tr>
      <w:tr>
        <w:trPr>
          <w:trHeight w:val="27"/>
        </w:trPr>
        <w:tc>
          <w:tcPr>
            <w:tcW w:w="10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219,726</w:t>
            </w:r>
          </w:p>
        </w:tc>
      </w:tr>
      <w:tr>
        <w:trPr>
          <w:trHeight w:val="20"/>
        </w:trPr>
        <w:tc>
          <w:tcPr>
            <w:tcW w:w="10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contingent consideration arrangements stipulate that the Company pay up to a maximum of approximately $50.0 million of additional consideration to the former shareholders of the acquired businesses based upon the achievement of certain future operating results. The Company estimated the fair value of the contingent consideration of $38.1 million using an income approach, which is based on significant inputs, primarily forecasted future operating results of the acquired businesses, not observable in the market and thus represents a Level 3 measurement as defined in ASC 820. The Company adjusts the fair value of contingent consideration through operating expenses if there are changes to the inputs used in the income approach and as a result of the passage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During the first six months of fiscal 2015 there were no material measurement period adjustments for the fiscal 2014 acquisitions. The Company recognized restructuring, integration, and other expenses associated with the fiscal 2014 acquisitions, which are described further in Note 13.</w:t>
      </w:r>
    </w:p>
    <w:p>
      <w:pPr>
        <w:spacing w:after="0" w:line="102" w:lineRule="exact"/>
        <w:rPr>
          <w:sz w:val="20"/>
          <w:szCs w:val="20"/>
          <w:color w:val="auto"/>
        </w:rPr>
      </w:pPr>
    </w:p>
    <w:p>
      <w:pPr>
        <w:ind w:left="440" w:right="8900" w:hanging="432"/>
        <w:spacing w:after="0" w:line="479" w:lineRule="auto"/>
        <w:tabs>
          <w:tab w:leader="none" w:pos="18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the change in goodwill by reportable segment for the six months ended December 27, 2014. All of the accumulated impairment was recognized in fiscal 2009.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Electronics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Technology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Marketing</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Solutions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1,713,567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2,728,202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June 28, 2014</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668,457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680,011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1,348,468</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(50,209)</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December 27, 2014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644,984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653,821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1,298,805</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2,678,539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December 27, 2014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644,984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653,821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1,298,805</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goodwill additions are a result of businesses acquired (see Note 2) and goodwill adjustments represent the net measurement period adjustments for acquisitions during the related measurement periods.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presents the Company’s acquired intangible assets at December 27, 2014 and June 28, 2014, respectively. These intangible assets have a weighted average remaining useful life of approximately 6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27, 2014</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2014</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Net Book</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Net Book</w:t>
            </w:r>
          </w:p>
        </w:tc>
      </w:t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ind w:left="54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302,591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163,892</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4,438</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15,978</w:t>
            </w:r>
          </w:p>
        </w:tc>
      </w:tr>
      <w:tr>
        <w:trPr>
          <w:trHeight w:val="237"/>
        </w:trPr>
        <w:tc>
          <w:tcPr>
            <w:tcW w:w="30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325,303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152,265</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344,322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184,308</w:t>
            </w: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0"/>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Intangible asset amortization expense was $10.4 million and $12.5 million for the second quarters of fiscal 2015 and 2014, respectively, and $22.0 million and $20.9 million for the first six months of fiscal 2015 and 2014, respectively. The following table presents the estimated future amortization expense for the remainder of fiscal 2015, the next five fiscal years and thereafter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4"/>
          </w:tcPr>
          <w:p>
            <w:pPr>
              <w:ind w:left="40"/>
              <w:spacing w:after="0"/>
              <w:rPr>
                <w:sz w:val="20"/>
                <w:szCs w:val="20"/>
                <w:color w:val="auto"/>
              </w:rPr>
            </w:pPr>
            <w:r>
              <w:rPr>
                <w:rFonts w:ascii="Arial" w:cs="Arial" w:eastAsia="Arial" w:hAnsi="Arial"/>
                <w:sz w:val="18"/>
                <w:szCs w:val="18"/>
                <w:b w:val="1"/>
                <w:bCs w:val="1"/>
                <w:color w:val="auto"/>
              </w:rPr>
              <w:t>Fiscal Year</w:t>
            </w:r>
          </w:p>
        </w:tc>
        <w:tc>
          <w:tcPr>
            <w:tcW w:w="2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Remainder of fiscal 2015</w:t>
            </w:r>
          </w:p>
        </w:tc>
        <w:tc>
          <w:tcPr>
            <w:tcW w:w="2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21,392</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3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32,780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30,855</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3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3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4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152,265</w:t>
            </w: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4. Debt</w:t>
            </w:r>
          </w:p>
        </w:tc>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680" w:type="dxa"/>
            <w:vAlign w:val="bottom"/>
            <w:gridSpan w:val="4"/>
            <w:vMerge w:val="continue"/>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4640" w:type="dxa"/>
            <w:vAlign w:val="bottom"/>
            <w:gridSpan w:val="3"/>
          </w:tcPr>
          <w:p>
            <w:pPr>
              <w:ind w:left="400"/>
              <w:spacing w:after="0"/>
              <w:rPr>
                <w:sz w:val="20"/>
                <w:szCs w:val="20"/>
                <w:color w:val="auto"/>
              </w:rPr>
            </w:pPr>
            <w:r>
              <w:rPr>
                <w:rFonts w:ascii="Arial" w:cs="Arial" w:eastAsia="Arial" w:hAnsi="Arial"/>
                <w:sz w:val="18"/>
                <w:szCs w:val="18"/>
                <w:color w:val="auto"/>
                <w:w w:val="94"/>
              </w:rPr>
              <w:t>Short-term debt consists of the following (in thousands):</w:t>
            </w: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ind w:left="160"/>
              <w:spacing w:after="0"/>
              <w:rPr>
                <w:sz w:val="20"/>
                <w:szCs w:val="20"/>
                <w:color w:val="auto"/>
              </w:rPr>
            </w:pPr>
            <w:r>
              <w:rPr>
                <w:rFonts w:ascii="Arial" w:cs="Arial" w:eastAsia="Arial" w:hAnsi="Arial"/>
                <w:sz w:val="18"/>
                <w:szCs w:val="18"/>
                <w:b w:val="1"/>
                <w:bCs w:val="1"/>
                <w:color w:val="auto"/>
              </w:rPr>
              <w:t>December 27,</w:t>
            </w: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340" w:type="dxa"/>
            <w:vAlign w:val="bottom"/>
          </w:tcPr>
          <w:p>
            <w:pPr>
              <w:spacing w:after="0"/>
              <w:rPr>
                <w:sz w:val="24"/>
                <w:szCs w:val="24"/>
                <w:color w:val="auto"/>
              </w:rPr>
            </w:pPr>
          </w:p>
        </w:tc>
        <w:tc>
          <w:tcPr>
            <w:tcW w:w="11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4"/>
              </w:rPr>
              <w:t>June 28,</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jc w:val="center"/>
              <w:ind w:right="650"/>
              <w:spacing w:after="0"/>
              <w:rPr>
                <w:sz w:val="20"/>
                <w:szCs w:val="20"/>
                <w:color w:val="auto"/>
              </w:rPr>
            </w:pPr>
            <w:r>
              <w:rPr>
                <w:rFonts w:ascii="Arial" w:cs="Arial" w:eastAsia="Arial" w:hAnsi="Arial"/>
                <w:sz w:val="18"/>
                <w:szCs w:val="18"/>
                <w:b w:val="1"/>
                <w:bCs w:val="1"/>
                <w:color w:val="auto"/>
                <w:w w:val="89"/>
              </w:rPr>
              <w:t>2014</w:t>
            </w:r>
          </w:p>
        </w:tc>
        <w:tc>
          <w:tcPr>
            <w:tcW w:w="12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ind w:left="1060"/>
              <w:spacing w:after="0"/>
              <w:rPr>
                <w:sz w:val="20"/>
                <w:szCs w:val="20"/>
                <w:color w:val="auto"/>
              </w:rPr>
            </w:pPr>
            <w:r>
              <w:rPr>
                <w:rFonts w:ascii="Arial" w:cs="Arial" w:eastAsia="Arial" w:hAnsi="Arial"/>
                <w:sz w:val="18"/>
                <w:szCs w:val="18"/>
                <w:b w:val="1"/>
                <w:bCs w:val="1"/>
                <w:color w:val="auto"/>
                <w:w w:val="97"/>
              </w:rPr>
              <w:t>Interest Rate</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Carrying Balance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Bank credit facilities and other</w:t>
            </w:r>
          </w:p>
        </w:tc>
        <w:tc>
          <w:tcPr>
            <w:tcW w:w="2140" w:type="dxa"/>
            <w:vAlign w:val="bottom"/>
            <w:tcBorders>
              <w:bottom w:val="single" w:sz="8" w:color="CCEEFF"/>
            </w:tcBorders>
            <w:shd w:val="clear" w:color="auto" w:fill="CCEEFF"/>
          </w:tcPr>
          <w:p>
            <w:pPr>
              <w:jc w:val="center"/>
              <w:ind w:right="630"/>
              <w:spacing w:after="0"/>
              <w:rPr>
                <w:sz w:val="20"/>
                <w:szCs w:val="20"/>
                <w:color w:val="auto"/>
              </w:rPr>
            </w:pPr>
            <w:r>
              <w:rPr>
                <w:rFonts w:ascii="Arial" w:cs="Arial" w:eastAsia="Arial" w:hAnsi="Arial"/>
                <w:sz w:val="18"/>
                <w:szCs w:val="18"/>
                <w:color w:val="auto"/>
                <w:w w:val="90"/>
              </w:rPr>
              <w:t>4.42%</w:t>
            </w:r>
          </w:p>
        </w:tc>
        <w:tc>
          <w:tcPr>
            <w:tcW w:w="1220" w:type="dxa"/>
            <w:vAlign w:val="bottom"/>
            <w:tcBorders>
              <w:bottom w:val="single" w:sz="8" w:color="CCEEFF"/>
            </w:tcBorders>
            <w:shd w:val="clear" w:color="auto" w:fill="CCEEFF"/>
          </w:tcPr>
          <w:p>
            <w:pPr>
              <w:jc w:val="center"/>
              <w:ind w:right="310"/>
              <w:spacing w:after="0"/>
              <w:rPr>
                <w:sz w:val="20"/>
                <w:szCs w:val="20"/>
                <w:color w:val="auto"/>
              </w:rPr>
            </w:pPr>
            <w:r>
              <w:rPr>
                <w:rFonts w:ascii="Arial" w:cs="Arial" w:eastAsia="Arial" w:hAnsi="Arial"/>
                <w:sz w:val="18"/>
                <w:szCs w:val="18"/>
                <w:color w:val="auto"/>
                <w:w w:val="90"/>
              </w:rPr>
              <w:t>3.20%</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250,088</w:t>
            </w:r>
          </w:p>
        </w:tc>
        <w:tc>
          <w:tcPr>
            <w:tcW w:w="0" w:type="dxa"/>
            <w:vAlign w:val="bottom"/>
          </w:tcPr>
          <w:p>
            <w:pPr>
              <w:spacing w:after="0"/>
              <w:rPr>
                <w:sz w:val="1"/>
                <w:szCs w:val="1"/>
                <w:color w:val="auto"/>
              </w:rPr>
            </w:pPr>
          </w:p>
        </w:tc>
      </w:tr>
      <w:tr>
        <w:trPr>
          <w:trHeight w:val="243"/>
        </w:trPr>
        <w:tc>
          <w:tcPr>
            <w:tcW w:w="4680" w:type="dxa"/>
            <w:vAlign w:val="bottom"/>
            <w:gridSpan w:val="4"/>
          </w:tcPr>
          <w:p>
            <w:pPr>
              <w:ind w:left="40"/>
              <w:spacing w:after="0"/>
              <w:rPr>
                <w:sz w:val="20"/>
                <w:szCs w:val="20"/>
                <w:color w:val="auto"/>
              </w:rPr>
            </w:pPr>
            <w:r>
              <w:rPr>
                <w:rFonts w:ascii="Arial" w:cs="Arial" w:eastAsia="Arial" w:hAnsi="Arial"/>
                <w:sz w:val="18"/>
                <w:szCs w:val="18"/>
                <w:color w:val="auto"/>
              </w:rPr>
              <w:t>Accounts receivable securitization program</w:t>
            </w:r>
          </w:p>
        </w:tc>
        <w:tc>
          <w:tcPr>
            <w:tcW w:w="214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right="310"/>
              <w:spacing w:after="0"/>
              <w:rPr>
                <w:sz w:val="20"/>
                <w:szCs w:val="20"/>
                <w:color w:val="auto"/>
              </w:rPr>
            </w:pPr>
            <w:r>
              <w:rPr>
                <w:rFonts w:ascii="Arial" w:cs="Arial" w:eastAsia="Arial" w:hAnsi="Arial"/>
                <w:sz w:val="18"/>
                <w:szCs w:val="18"/>
                <w:color w:val="auto"/>
                <w:w w:val="90"/>
              </w:rPr>
              <w:t>0.60%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615,000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Notes due September 1, 2015</w:t>
            </w:r>
          </w:p>
        </w:tc>
        <w:tc>
          <w:tcPr>
            <w:tcW w:w="2140" w:type="dxa"/>
            <w:vAlign w:val="bottom"/>
            <w:tcBorders>
              <w:bottom w:val="single" w:sz="8" w:color="CCEEFF"/>
            </w:tcBorders>
            <w:shd w:val="clear" w:color="auto" w:fill="CCEEFF"/>
          </w:tcPr>
          <w:p>
            <w:pPr>
              <w:jc w:val="center"/>
              <w:ind w:right="630"/>
              <w:spacing w:after="0"/>
              <w:rPr>
                <w:sz w:val="20"/>
                <w:szCs w:val="20"/>
                <w:color w:val="auto"/>
              </w:rPr>
            </w:pPr>
            <w:r>
              <w:rPr>
                <w:rFonts w:ascii="Arial" w:cs="Arial" w:eastAsia="Arial" w:hAnsi="Arial"/>
                <w:sz w:val="18"/>
                <w:szCs w:val="18"/>
                <w:color w:val="auto"/>
                <w:w w:val="90"/>
              </w:rPr>
              <w:t>6.00%</w:t>
            </w:r>
          </w:p>
        </w:tc>
        <w:tc>
          <w:tcPr>
            <w:tcW w:w="1540" w:type="dxa"/>
            <w:vAlign w:val="bottom"/>
            <w:tcBorders>
              <w:bottom w:val="single" w:sz="8" w:color="CCEEFF"/>
            </w:tcBorders>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40" w:type="dxa"/>
            <w:vAlign w:val="bottom"/>
            <w:gridSpan w:val="3"/>
          </w:tcPr>
          <w:p>
            <w:pPr>
              <w:ind w:left="140"/>
              <w:spacing w:after="0"/>
              <w:rPr>
                <w:sz w:val="20"/>
                <w:szCs w:val="20"/>
                <w:color w:val="auto"/>
              </w:rPr>
            </w:pPr>
            <w:r>
              <w:rPr>
                <w:rFonts w:ascii="Arial" w:cs="Arial" w:eastAsia="Arial" w:hAnsi="Arial"/>
                <w:sz w:val="18"/>
                <w:szCs w:val="18"/>
                <w:color w:val="auto"/>
              </w:rPr>
              <w:t>Short-term debt</w:t>
            </w:r>
          </w:p>
        </w:tc>
        <w:tc>
          <w:tcPr>
            <w:tcW w:w="2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409,184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865,088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Bank credit facilities and other consists of various committed and uncommitted lines of credit and other forms of bank debt with financial institutions utilized primarily to support the working capital requirements of foreign operations.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620" w:type="dxa"/>
            <w:vAlign w:val="bottom"/>
          </w:tcPr>
          <w:p>
            <w:pPr>
              <w:ind w:left="180"/>
              <w:spacing w:after="0"/>
              <w:rPr>
                <w:sz w:val="20"/>
                <w:szCs w:val="20"/>
                <w:color w:val="auto"/>
              </w:rPr>
            </w:pPr>
            <w:r>
              <w:rPr>
                <w:rFonts w:ascii="Arial" w:cs="Arial" w:eastAsia="Arial" w:hAnsi="Arial"/>
                <w:sz w:val="18"/>
                <w:szCs w:val="18"/>
                <w:b w:val="1"/>
                <w:bCs w:val="1"/>
                <w:color w:val="auto"/>
              </w:rPr>
              <w:t>December 27,</w:t>
            </w: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June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28,</w:t>
            </w:r>
          </w:p>
        </w:tc>
      </w:tr>
      <w:tr>
        <w:trPr>
          <w:trHeight w:val="234"/>
        </w:trPr>
        <w:tc>
          <w:tcPr>
            <w:tcW w:w="5040" w:type="dxa"/>
            <w:vAlign w:val="bottom"/>
          </w:tcPr>
          <w:p>
            <w:pPr>
              <w:spacing w:after="0"/>
              <w:rPr>
                <w:sz w:val="20"/>
                <w:szCs w:val="20"/>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040" w:type="dxa"/>
            <w:vAlign w:val="bottom"/>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320" w:type="dxa"/>
            <w:vAlign w:val="bottom"/>
            <w:gridSpan w:val="3"/>
          </w:tcPr>
          <w:p>
            <w:pPr>
              <w:ind w:left="1040"/>
              <w:spacing w:after="0"/>
              <w:rPr>
                <w:sz w:val="20"/>
                <w:szCs w:val="20"/>
                <w:color w:val="auto"/>
              </w:rPr>
            </w:pPr>
            <w:r>
              <w:rPr>
                <w:rFonts w:ascii="Arial" w:cs="Arial" w:eastAsia="Arial" w:hAnsi="Arial"/>
                <w:sz w:val="18"/>
                <w:szCs w:val="18"/>
                <w:b w:val="1"/>
                <w:bCs w:val="1"/>
                <w:color w:val="auto"/>
              </w:rPr>
              <w:t>Interest Rate</w:t>
            </w:r>
          </w:p>
        </w:tc>
        <w:tc>
          <w:tcPr>
            <w:tcW w:w="160" w:type="dxa"/>
            <w:vAlign w:val="bottom"/>
          </w:tcPr>
          <w:p>
            <w:pPr>
              <w:spacing w:after="0"/>
              <w:rPr>
                <w:sz w:val="20"/>
                <w:szCs w:val="20"/>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Carrying Balance</w:t>
            </w:r>
          </w:p>
        </w:tc>
      </w:tr>
      <w:tr>
        <w:trPr>
          <w:trHeight w:val="27"/>
        </w:trPr>
        <w:tc>
          <w:tcPr>
            <w:tcW w:w="5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facilities:</w:t>
            </w:r>
          </w:p>
        </w:tc>
        <w:tc>
          <w:tcPr>
            <w:tcW w:w="16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Accounts receivable securitization program</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0"/>
              </w:rPr>
              <w:t>0.56%</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692,000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 Credit Facility</w:t>
            </w:r>
          </w:p>
        </w:tc>
        <w:tc>
          <w:tcPr>
            <w:tcW w:w="1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3.55%</w:t>
            </w:r>
          </w:p>
        </w:tc>
        <w:tc>
          <w:tcPr>
            <w:tcW w:w="17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2012 Credit Facility</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3.55%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12,000</w:t>
            </w:r>
          </w:p>
        </w:tc>
      </w:tr>
      <w:tr>
        <w:trPr>
          <w:trHeight w:val="27"/>
        </w:trPr>
        <w:tc>
          <w:tcPr>
            <w:tcW w:w="5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w:t>
            </w:r>
          </w:p>
        </w:tc>
        <w:tc>
          <w:tcPr>
            <w:tcW w:w="16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September 1, 2015</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6.00%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5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September 15, 2016</w:t>
            </w:r>
          </w:p>
        </w:tc>
        <w:tc>
          <w:tcPr>
            <w:tcW w:w="1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6.63%</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6.63%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June 15, 2020</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0"/>
              </w:rPr>
              <w:t>5.88%</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5.88%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50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1, 2022</w:t>
            </w:r>
          </w:p>
        </w:tc>
        <w:tc>
          <w:tcPr>
            <w:tcW w:w="1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4.88%</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4.88%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0"/>
              </w:rPr>
              <w:t>1.44%</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1.40%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3,867</w:t>
            </w:r>
          </w:p>
        </w:tc>
      </w:tr>
      <w:tr>
        <w:trPr>
          <w:trHeight w:val="27"/>
        </w:trPr>
        <w:tc>
          <w:tcPr>
            <w:tcW w:w="50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before discount</w:t>
            </w:r>
          </w:p>
        </w:tc>
        <w:tc>
          <w:tcPr>
            <w:tcW w:w="16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1,215,867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Discount on Notes</w:t>
            </w:r>
          </w:p>
        </w:tc>
        <w:tc>
          <w:tcPr>
            <w:tcW w:w="16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7"/>
        </w:trPr>
        <w:tc>
          <w:tcPr>
            <w:tcW w:w="50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16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1,692,307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1,213,814</w:t>
            </w:r>
          </w:p>
        </w:tc>
      </w:tr>
      <w:tr>
        <w:trPr>
          <w:trHeight w:val="20"/>
        </w:trPr>
        <w:tc>
          <w:tcPr>
            <w:tcW w:w="5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37"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August 2014, the Company amended and extended its accounts receivable securitization program (the “Program”) with a group of financial institutions to allow the Company to transfer, on an ongoing revolving basis, an undivided interest in a designated pool of accounts receivable, to provide security or collateral for borrowings up to a maximum of $900.0 million. The Program does not qualify for sale accounting treatment and, as a result, any borrowings under the Program are recorded as debt on the consolidated balance sheets. Under the Program, the Company legally isolates certain U.S. trade receivables into a wholly-owned bankruptcy remote special purpose entity. Such isolated receivables, which are recorded within “Receivables” in the consolidated balance sheets, totaled $1.65 billion at December 27, 2014 and June 28, 2014. The Program contains certain covenants relating to the quality of the receivables sold. The Program also requires the Company to maintain certain minimum interest coverage and leverage ratios, which the Company was in compliance with as of December 27, 2014. The Program has a two-year term that expires in August 2016. As a result of the two-year term, outstanding borrowings under the Program are classified as long-term debt at December 27, 2014. Interest on borrowings is calculated using a base rate or a commercial paper rate plus a spread of 0.38%. The facility fee is 0.38%.</w:t>
      </w:r>
    </w:p>
    <w:p>
      <w:pPr>
        <w:spacing w:after="0" w:line="17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July 2014, the Company terminated its existing Credit Facility (the "2012 Credit Facility") and entered into a five-year $1.25 billion senior unsecured revolving credit facility (the “2014 Credit Facility”) with a syndicate of banks, consisting of revolving credit facilities and the issuance of up to $150.0 million of letters of credit, which expires in July 2019. Under the 2014 Credit Facility, the Company may select from various interest rate options, currencies and maturities. The 2014 Credit Facility contains certain covenants including various limitations on debt incurrence, share repurchases, dividends, investments and capital expenditures. The 2014 Credit Facility also includes financial covenants requiring the Company to maintain minimum interest coverage and leverage ratios, which the Company was in compliance with as of December 27, 2014. At December 27, 2014, there were $2.0 million in letters of credit issued under the 2014 Credit Facility. At June 28, 2014, there were $2.0 million in letters of credit issued under the 2012 Credit Facility.</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December 27, 2014, the carrying value and fair value of the Company’s total debt was $2.10 billion and $2.19 billion, respectively. At June 28, 2014, the carrying value and fair value of the Company's total debt was $2.08 billion and $2.19 billion, respectively. Fair value was estimated primarily based upon quoted market prices.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exchange contracts typically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income (expense), net.” Therefore, the changes in valuation of the underlying items being economically hedged are offset by the changes in fair value of the forward foreign exchange contracts. The fair value of forward foreign exchange contracts, which are based upon Level 2 criteria under the ASC 820 fair value hierarchy, are classified in the captions “other current assets” or “accrued expenses and other,” as applicable, in the accompanying consolidated balance sheets and were not material as of December 27, 2014 and June 28, 2014. The Company did not have material gains or losses related to the forward foreign exchange contracts during the second quarters and first six months of fiscal 2015 and fiscal 2014.</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26" w:lineRule="exact"/>
        <w:rPr>
          <w:sz w:val="20"/>
          <w:szCs w:val="20"/>
          <w:color w:val="auto"/>
        </w:rPr>
      </w:pPr>
    </w:p>
    <w:p>
      <w:pPr>
        <w:ind w:left="260" w:right="8740" w:hanging="252"/>
        <w:spacing w:after="0" w:line="456" w:lineRule="auto"/>
        <w:tabs>
          <w:tab w:leader="none" w:pos="19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Bell</w:t>
      </w:r>
    </w:p>
    <w:p>
      <w:pPr>
        <w:spacing w:after="0" w:line="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fiscal 2011, the Company recognized a contingent liability for potential unpaid import duties associated with the acquisition of Bell Microproducts Inc. (“Bell”). Prior to the acquisition of Bell by Avnet, Customs and Border Protection (“CBP”) initiated a review of the importing process at one of Bell’s subsidiaries and identified compliance deficiencies. Subsequent to the acquisition of Bell by Avnet, CBP began a compliance audit. The Company evaluated projected duties, interest and penalties that potentially may be imposed as a result of the audit and recognized a contingent liability of $10.0 million which was recorded to goodwill in fiscal 2011. Depending on the ultimate resolution of the matter with CBP, the Company estimates that the range of the potential exposure associated with the liability may be up to $73.0 million; however, the Company believes the contingent liability recorded is a reasonable estimate of the liability based upon the facts available at this time.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LCD Class Action Settlement</w:t>
      </w:r>
    </w:p>
    <w:p>
      <w:pPr>
        <w:spacing w:after="0" w:line="18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filed a proof of claim in the settlement of a class action proceeding that sought damages from certain manufacturers of LCD flat panel displays. A settlement was reached in the proceedings and in the first quarter of fiscal 2014 the federal district judge overseeing the proceeding issued an order approving the distribution of settlement funds to the class claimants and the Company received an award payment of $19.1 million. In the third quarter of fiscal 2014, the federal district judge overseeing the proceedings issued an order approving a final distribution of funds and the Company received a final award payment of $3.0 million. The award is classified within “gain on legal settlement” in the consolidated statements of operations.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ongoing matters will have a material adverse effect on the Company’s financial condition, liquidity or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effective tax rate on its income before income taxes was 25.6% in the second quarter of fiscal 2015 as compared with 33.8% in the second quarter of fiscal 2014. During the second quarter of fiscal 2015, the Company's effective tax rate was favorably impacted primarily by the mix of income in lower tax rate jurisdictions and the release of reserves related to the settlement of an audit in a foreign jurisdiction. During the second quarter of fiscal 2014, the Company's effective tax rate was unfavorably impacted primarily by increases to valuation allowances and reserves, as well as an investment in a foreign subsidiary.</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first six months of fiscal 2015 and 2014, the Company's effective tax rate was 24.9% and 31.9%, respectively. The effective tax rate for the first six months of fiscal 2015 was favorably impacted by the mix of income in lower tax rate jurisdictions and the release of reserves, primarily related to the formal deregistration of a foreign branch and the settlement of an audit in a foreign jurisdiction. The effective tax rate for the first six months of fiscal 2014 was unfavorably impacted primarily by increases to valuation allowances and reserves.</w:t>
      </w:r>
    </w:p>
    <w:p>
      <w:pPr>
        <w:spacing w:after="0" w:line="1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applies the guidance in ASC 740, which requires management to use its judgment to the appropriate weighting of all available evidence when assessing the need for the establishment or the release of valuation 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semiconductor and related industries; and (iii) prudent and feasible tax planning strategies.</w:t>
      </w:r>
    </w:p>
    <w:p>
      <w:pPr>
        <w:spacing w:after="0" w:line="13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the end of fiscal 2014, the Company had a partial valuation allowance against significant net operating loss carry-forward deferred tax assets related to a legal entity in Europe due to, among several other factors, a history of losses in that entity. In recent fiscal years, such entity has been experiencing improved earnings, which required the partial release of the valuation allowance to the extent such entity has projected future taxable income. ASC 740 requires a preponderance of positive evidence in order to reach a conclusion to release all or a portion of a valuation allowance when negative evidence exists. The Company continues to evaluate the need for a valuation allowance against these deferred tax assets and will adjust the valuation allowance as appropriate, which, if reduced, could result in a significant decrease to the effective tax rate in the period of the adjustment.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1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has a noncontributory defined benefit pension plan (the “Plan”) for which the components of net periodic pension costs during the second quarters and six months ended December 27, 2014 and December 28, 2013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ind w:left="54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0"/>
                <w:szCs w:val="20"/>
                <w:color w:val="auto"/>
              </w:rPr>
            </w:pPr>
          </w:p>
        </w:tc>
        <w:tc>
          <w:tcPr>
            <w:tcW w:w="30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27,</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28,</w:t>
            </w:r>
          </w:p>
        </w:tc>
      </w:t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5"/>
          </w:tcPr>
          <w:p>
            <w:pPr>
              <w:ind w:left="980"/>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8,578</w:t>
            </w: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6,342</w:t>
            </w: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57"/>
        </w:trPr>
        <w:tc>
          <w:tcPr>
            <w:tcW w:w="4920" w:type="dxa"/>
            <w:vAlign w:val="bottom"/>
          </w:tcPr>
          <w:p>
            <w:pPr>
              <w:ind w:left="180"/>
              <w:spacing w:after="0"/>
              <w:rPr>
                <w:sz w:val="20"/>
                <w:szCs w:val="20"/>
                <w:color w:val="auto"/>
              </w:rPr>
            </w:pPr>
            <w:r>
              <w:rPr>
                <w:rFonts w:ascii="Arial" w:cs="Arial" w:eastAsia="Arial" w:hAnsi="Arial"/>
                <w:sz w:val="18"/>
                <w:szCs w:val="18"/>
                <w:color w:val="auto"/>
              </w:rPr>
              <w:t>Net periodic pension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17,046</w:t>
            </w: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made contributions to the Plan of $20.0 million during the first six months of fiscal 2015. The Company expects to make an additional contribution to the Plan of $10.0 million in each of the remaining quarters of the fiscal year.</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Plan meets the definition of a defined benefit plan and as a result, the Company must apply ASC 715 pension accounting to the Plan. The Plan itself, however, is a cash balance plan that is similar in nature to a defined contribution plan in that a participant's benefit is defined in terms of a stated account balance. A cash balance plan provides the Company with the benefit of applying any excess earnings on the Plan’s investments toward the Company’s future cash funding obligations.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Amounts reclassified out of accumulated other comprehensive income (loss), net of tax, to operating expenses during the first six months of fiscal 2015 and fiscal 2014 were not material and substantially all related to net periodic pension costs including recognition of actuarial losses and amortization of prior service credits.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November 2014, the Company’s Board of Directors authorized a $250.0 million increase in the Company's existing share repurchase program. With this increase, the Company may repurchase up to $1.0 billion of common stock in the open market or through privately negotiated transactions. The timing and actual number of shares purchased will depend on a variety of factors such as share price, corporate and regulatory requirements, and prevailing market conditions. During the second quarter of fiscal 2015, the Company repurchased 2.3 million shares under this program at an average market price of $39.86 per share for a total cost of $91.0 million. Since the beginning of the repurchase program through the end of the second quarter of fiscal 2015, the Company has repurchased 20.8 million shares at an aggregate cost of $642.9 million, and $357.1 million remained available for future repurchases under the share repurchase program.</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 dividend</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November 2014, the Company's Board of Directors approved a dividend of $0.16 per common share and dividend payments of $21.8 million were made in December 2014. During the six months ended December 27, 2014, the Company has paid dividends of $0.32 per common share and $43.9 million in total.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10. Earnings per share</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4"/>
                <w:szCs w:val="24"/>
                <w:color w:val="auto"/>
              </w:rPr>
            </w:pPr>
          </w:p>
        </w:tc>
        <w:tc>
          <w:tcPr>
            <w:tcW w:w="28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28,</w:t>
            </w:r>
          </w:p>
        </w:tc>
        <w:tc>
          <w:tcPr>
            <w:tcW w:w="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27,</w:t>
            </w: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28,</w:t>
            </w:r>
          </w:p>
        </w:tc>
      </w:t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ind w:left="20"/>
              <w:spacing w:after="0"/>
              <w:rPr>
                <w:sz w:val="20"/>
                <w:szCs w:val="20"/>
                <w:color w:val="auto"/>
              </w:rPr>
            </w:pPr>
            <w:r>
              <w:rPr>
                <w:rFonts w:ascii="Arial" w:cs="Arial" w:eastAsia="Arial" w:hAnsi="Arial"/>
                <w:sz w:val="18"/>
                <w:szCs w:val="18"/>
                <w:b w:val="1"/>
                <w:bCs w:val="1"/>
                <w:color w:val="auto"/>
                <w:w w:val="96"/>
              </w:rPr>
              <w:t>(Thousands, except per share data)</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304"/>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163,706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124,864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291,652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245,488</w:t>
            </w: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w w:val="96"/>
              </w:rPr>
              <w:t>Weighted average common shares for basic earnings per share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137,702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137,558</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Net effect of dilutive stock option, restricted stock and performance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awards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w:t>
            </w:r>
          </w:p>
        </w:tc>
      </w:tr>
      <w:tr>
        <w:trPr>
          <w:trHeight w:val="297"/>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4"/>
              </w:rPr>
              <w:t>Weighted average common shares for diluted earnings per share</w:t>
            </w:r>
          </w:p>
        </w:tc>
        <w:tc>
          <w:tcPr>
            <w:tcW w:w="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138,972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140,144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139,911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139,934</w:t>
            </w:r>
          </w:p>
        </w:tc>
      </w:tr>
      <w:tr>
        <w:trPr>
          <w:trHeight w:val="203"/>
        </w:trPr>
        <w:tc>
          <w:tcPr>
            <w:tcW w:w="5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30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r>
      <w:tr>
        <w:trPr>
          <w:trHeight w:val="251"/>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6"/>
        </w:trPr>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Stock options excluded from earnings per share calculation due to</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effect</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income taxes paid in the six months ended December 27, 2014 and December 28,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8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27,</w:t>
            </w:r>
          </w:p>
        </w:tc>
        <w:tc>
          <w:tcPr>
            <w:tcW w:w="2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28,</w:t>
            </w:r>
          </w:p>
        </w:tc>
      </w:tr>
      <w:tr>
        <w:trPr>
          <w:trHeight w:val="234"/>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54,783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86,486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99,357</w:t>
            </w:r>
          </w:p>
        </w:tc>
      </w:tr>
    </w:tbl>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six months ended December 28, 2013, the Company had non-cash financing activities of $38.1 million related to contingent consideration in connection with acquisition activity in fiscal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Electronics Marketing (“EM”) and Technology Solutions (“TS”) are the Company's reportable segments (“operating groups”). EM markets and sells semiconductors and interconnect, passive and electromechanical devices and embedded products to a diverse customer base serving many end-markets. TS focuses on the value-added distribution of enterprise computing servers and systems, software, storage, services and complex solutions from the world’s foremost technology manufacturers. TS also provides the latest hard disk drives, microprocessor, motherboard and DRAM module technologies to manufacturers of general-purpose computers and system builders.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560"/>
              <w:spacing w:after="0"/>
              <w:rPr>
                <w:sz w:val="20"/>
                <w:szCs w:val="20"/>
                <w:color w:val="auto"/>
              </w:rPr>
            </w:pPr>
            <w:r>
              <w:rPr>
                <w:rFonts w:ascii="Arial" w:cs="Arial" w:eastAsia="Arial" w:hAnsi="Arial"/>
                <w:sz w:val="18"/>
                <w:szCs w:val="18"/>
                <w:b w:val="1"/>
                <w:bCs w:val="1"/>
                <w:color w:val="auto"/>
              </w:rPr>
              <w:t>Second Quarters Ended</w:t>
            </w:r>
          </w:p>
        </w:tc>
        <w:tc>
          <w:tcPr>
            <w:tcW w:w="180" w:type="dxa"/>
            <w:vAlign w:val="bottom"/>
          </w:tcPr>
          <w:p>
            <w:pPr>
              <w:spacing w:after="0"/>
              <w:rPr>
                <w:sz w:val="20"/>
                <w:szCs w:val="20"/>
                <w:color w:val="auto"/>
              </w:rPr>
            </w:pPr>
          </w:p>
        </w:tc>
        <w:tc>
          <w:tcPr>
            <w:tcW w:w="31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27,</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28,</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27,</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28,</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1000"/>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4,435,190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4,154,783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8,809,285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8,092,907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3,116,690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3,267,071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5,582,181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5,674,422</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7,551,880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7,421,854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14,391,466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13,767,329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(expense):</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191,449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171,685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394,160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347,468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182,816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(75,813)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(67,596)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274,596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462,688</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Restructuring, integration and other expenses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(Note 13)</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(28,442)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(31,577)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(40,541)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250,287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221,572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443,484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400,559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by geographic area:</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3,051,888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3,063,643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5,699,008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5,552,311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2,062,052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2,152,921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4,037,431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3,945,010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Asia/Pacific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2,437,940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2,205,290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4,655,027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4,270,008</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7,551,880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7,421,854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14,391,466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13,767,329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652"/>
        <w:spacing w:after="0" w:line="227"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Includes sales from the United States of $2.70 billion and $2.69 billion for the quarters ended December 27, 2014, and December 28, 2013, respectively. Includes sales in the United States of $5.06 billion and $4.93 billion for the first six months of fiscal 2015 and 2014, respectively.</w:t>
      </w:r>
    </w:p>
    <w:p>
      <w:pPr>
        <w:spacing w:after="0" w:line="67" w:lineRule="exact"/>
        <w:rPr>
          <w:rFonts w:ascii="Arial" w:cs="Arial" w:eastAsia="Arial" w:hAnsi="Arial"/>
          <w:sz w:val="24"/>
          <w:szCs w:val="24"/>
          <w:color w:val="auto"/>
          <w:vertAlign w:val="superscript"/>
        </w:rPr>
      </w:pPr>
    </w:p>
    <w:p>
      <w:pPr>
        <w:jc w:val="both"/>
        <w:ind w:left="660" w:hanging="652"/>
        <w:spacing w:after="0" w:line="232"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from Germany and the United Kingdom of $787.8 million and $384.8 million, respectively, for the quarter ended December 27, 2014 and $1.53 billion and $745.2 million, respectively, for the first six months of fiscal 2015. Includes sales from Germany and the United Kingdom of $921.7 million and $355.8 million, respectively, for the quarter ended December 28, 2013, and $1.64 billion and $640.8 million, respectively, for the first six months of fiscal 2014.</w:t>
      </w:r>
    </w:p>
    <w:p>
      <w:pPr>
        <w:spacing w:after="0" w:line="67" w:lineRule="exact"/>
        <w:rPr>
          <w:rFonts w:ascii="Arial" w:cs="Arial" w:eastAsia="Arial" w:hAnsi="Arial"/>
          <w:sz w:val="25"/>
          <w:szCs w:val="25"/>
          <w:color w:val="auto"/>
          <w:vertAlign w:val="superscript"/>
        </w:rPr>
      </w:pPr>
    </w:p>
    <w:p>
      <w:pPr>
        <w:jc w:val="both"/>
        <w:ind w:left="660" w:hanging="652"/>
        <w:spacing w:after="0" w:line="232"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from China (including Hong Kong) and Taiwan of $727.1 million and $1.01 billion, respectively, for the quarter ended December 27, 2014, and $1.47 billion and $1.82 billion, respectively, for the first six months of fiscal 2015. Includes sales from China (including Hong Kong) and Taiwan of $728.2 million and $767.3 million, respectively, for the quarter ended December 28, 2013, and $1.46 billion and $1.40 billion, respectively, for the first six months of fiscal 2014.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28,</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6,558,336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6,840,166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4,421,508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4,140,230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511,250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275,121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2"/>
                <w:szCs w:val="22"/>
                <w:color w:val="auto"/>
              </w:rPr>
            </w:pPr>
          </w:p>
        </w:tc>
        <w:tc>
          <w:tcPr>
            <w:tcW w:w="8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11,491,094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11,255,517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 by geographic area: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3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338,476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306,167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3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174,859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199,374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541,904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534,999</w:t>
            </w:r>
          </w:p>
        </w:tc>
        <w:tc>
          <w:tcPr>
            <w:tcW w:w="0" w:type="dxa"/>
            <w:vAlign w:val="bottom"/>
          </w:tcPr>
          <w:p>
            <w:pPr>
              <w:spacing w:after="0"/>
              <w:rPr>
                <w:sz w:val="1"/>
                <w:szCs w:val="1"/>
                <w:color w:val="auto"/>
              </w:rPr>
            </w:pPr>
          </w:p>
        </w:tc>
      </w:tr>
      <w:tr>
        <w:trPr>
          <w:trHeight w:val="27"/>
        </w:trPr>
        <w:tc>
          <w:tcPr>
            <w:tcW w:w="8360" w:type="dxa"/>
            <w:vAlign w:val="bottom"/>
            <w:gridSpan w:val="2"/>
            <w:vMerge w:val="restart"/>
          </w:tcPr>
          <w:p>
            <w:pPr>
              <w:jc w:val="right"/>
              <w:ind w:right="6370"/>
              <w:spacing w:after="0"/>
              <w:rPr>
                <w:sz w:val="20"/>
                <w:szCs w:val="20"/>
                <w:color w:val="auto"/>
              </w:rPr>
            </w:pPr>
            <w:r>
              <w:rPr>
                <w:rFonts w:ascii="Arial" w:cs="Arial" w:eastAsia="Arial" w:hAnsi="Arial"/>
                <w:sz w:val="18"/>
                <w:szCs w:val="18"/>
                <w:color w:val="auto"/>
                <w:w w:val="89"/>
              </w:rPr>
              <w:t>_____________________</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$330.9 million and $298.1 million as of December 27, 2014 and June 28, 2014, respectively, in the United States.</w:t>
      </w:r>
    </w:p>
    <w:p>
      <w:pPr>
        <w:spacing w:after="0" w:line="68"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$84.4 million and $54.9 million in Germany and Belgium, respectively, as of December 27, 2014 and $95.5 million and $61.0 million in Germany and Belgium, respectively, as of June 28, 2014.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integration and other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second quarter and first six months of fiscal 2015, the Company took certain actions in an effort to reduce future operating expenses. In addition, the Company incurred integration and other costs primarily associated with the integration of acquisitions and certain global and regional businesses. The following table presents the restructuring, integration and other expenses recorded during the second quarter and first six months of fiscal 2015: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Second Quarter Ended</w:t>
            </w:r>
          </w:p>
        </w:tc>
        <w:tc>
          <w:tcPr>
            <w:tcW w:w="28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27, 2014</w:t>
            </w:r>
          </w:p>
        </w:tc>
        <w:tc>
          <w:tcPr>
            <w:tcW w:w="28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December 27, 2014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(Thousands, except per share data)</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Integration costs</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4,024</w:t>
            </w:r>
          </w:p>
        </w:tc>
        <w:tc>
          <w:tcPr>
            <w:tcW w:w="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costs including acquisition costs</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Changes in estimates for prior restructuring liabilities</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integration and other expenses before tax</w:t>
            </w:r>
          </w:p>
        </w:tc>
        <w:tc>
          <w:tcPr>
            <w:tcW w:w="1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31,577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Restructuring, integration and other expenses after tax</w:t>
            </w:r>
          </w:p>
        </w:tc>
        <w:tc>
          <w:tcPr>
            <w:tcW w:w="15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10,188</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23,348</w:t>
            </w:r>
          </w:p>
        </w:tc>
        <w:tc>
          <w:tcPr>
            <w:tcW w:w="0" w:type="dxa"/>
            <w:vAlign w:val="bottom"/>
          </w:tcPr>
          <w:p>
            <w:pPr>
              <w:spacing w:after="0"/>
              <w:rPr>
                <w:sz w:val="1"/>
                <w:szCs w:val="1"/>
                <w:color w:val="auto"/>
              </w:rPr>
            </w:pPr>
          </w:p>
        </w:tc>
      </w:tr>
      <w:tr>
        <w:trPr>
          <w:trHeight w:val="251"/>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Restructuring, integration and other expenses per share on a diluted basis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activity related to the restructuring liabilities established and other associated expenses incurred during fiscal 2015 is presented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Exit Costs and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Severance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Impairments</w:t>
            </w:r>
          </w:p>
        </w:tc>
        <w:tc>
          <w:tcPr>
            <w:tcW w:w="4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2015 restructuring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(6,762)</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amounts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27, 2014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7,123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Severance expense recorded in the first six months of fiscal 2015 related to the reduction of over 150 employees, primarily in business support functions, in connection with cost reduction actions taken in both operating groups. Facility exit costs primarily consist of liabilities for remaining lease obligations and the impairment of long-lived assets for locations and information technology hardware and software the Company has divested or has ceased using. Other restructuring costs related primarily to other miscellaneous restructuring and exit costs. Of the $17.4 million in restructuring expenses recorded during the first six months of fiscal 2015, $9.6 million related to EM and $7.8 million related to TS. As of December 27, 2014, the Company expects the majority of the remaining severance and facility exit costs to be paid by the end of fiscal 2015.</w:t>
      </w:r>
    </w:p>
    <w:p>
      <w:pPr>
        <w:spacing w:after="0" w:line="17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Integration costs are primarily related to the integration of acquired businesses, integration of global or regional businesses and specific and incremental costs incurred as part of the consolidation, relocation and closure of warehouse and office facilities. Integration costs also include consulting costs for information technology system and business operation integration assistance, legal fees, travel, meeting, marketing and communication costs that are incrementally incurred as a result of such integration activities. Also included in integration costs are incremental salary costs specific to integration, consolidation and closure activities. Other costs consist primarily of professional fees incurred for acquisitions, additional costs incurred for businesses divested or exited in current or prior periods, any ongoing facilities operating costs associated with the consolidation, relocation and closure of facilities once such facilities have been vacated or substantially vacated, and other miscellaneous costs that relate to restructuring, integration and other expenses. Integration and other costs in the first six months of fiscal 2015 were comprised of many different costs, none of which were individually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w:t>
      </w:r>
    </w:p>
    <w:p>
      <w:pPr>
        <w:spacing w:after="0" w:line="18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fiscal 2014, the Company incurred restructuring expenses related to various restructuring actions intended to achieve planned synergies from acquired businesses and to reduce future operating expenses. The following table presents the activity during the first six months of fiscal 2015 related to the remaining restructuring liabilities established during fiscal 2014:</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Facility</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Exit Costs and</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Asset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Severance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Impairments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(Thousands)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28,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27,785</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(15,918)</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estimates,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Non-cash amounts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Balance at December 27, 2014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8,164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10,395</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27, 2014, the Company expects the majority of the remaining severance, facility exit costs and other liabilities to be paid by the end of fiscal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 and prior</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28, 2014, there were $13.1 million of restructuring liabilities remaining related to restructuring actions taken in fiscal years 2013 and prior, the majority of which relates to facility exit costs. The remaining balance for such historical restructuring actions as of December 27, 2014 was $7.7 million, which is expected to be paid by the end of fiscal 2016.</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December 27, 2014,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(“MD&amp;A”) should be read in conjunction with the consolidated financial statements, including the related notes, appearing in Item 1 of this Report, as well as the Company’s Annual Report on Form 10-K for the fiscal year ended June 28, 2014.</w:t>
      </w:r>
    </w:p>
    <w:p>
      <w:pPr>
        <w:spacing w:after="0" w:line="14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Europe, the Middle East and Africa ("EMEA"), are referred to as “excluding the translation impact of changes in foreign currency exchange rates” or “constant currency.”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disclosing financial results that are determined in accordance with U.S. generally accepted accounting principles (“GAAP”),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also discloses certain non-GAAP financial information, including:</w:t>
      </w:r>
    </w:p>
    <w:p>
      <w:pPr>
        <w:spacing w:after="0" w:line="76" w:lineRule="exact"/>
        <w:rPr>
          <w:sz w:val="20"/>
          <w:szCs w:val="20"/>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income or expense items excluding the translation impact of changes in foreign currency exchange rates by adjusting the exchange rates used in current periods to be consistent with the exchange rates in effect during prior periods, as discussed above.</w:t>
      </w:r>
    </w:p>
    <w:p>
      <w:pPr>
        <w:spacing w:after="0" w:line="3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46"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 Other Expenses</w:t>
      </w:r>
      <w:r>
        <w:rPr>
          <w:rFonts w:ascii="Arial" w:cs="Arial" w:eastAsia="Arial" w:hAnsi="Arial"/>
          <w:sz w:val="18"/>
          <w:szCs w:val="18"/>
          <w:color w:val="auto"/>
        </w:rPr>
        <w:t xml:space="preserve"> in this MD&amp;A) and (ii) amortization of acquired intangible assets and other. Operating income excluding such amounts is referred to as adjusted operating income.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Second Quarters Ended</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27,</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28,</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ind w:left="88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400,559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integration and other 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13,257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40,541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21,588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274,596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263,208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498,321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462,688</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believes that providing this additional information is useful to the financial statement reader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Avnet, Inc., incorporated in New York in 1955, together with its consolidated subsidiaries (the “Company” or “Avnet”), is a global value-added distributor of electronic components, enterprise computer and storage products, IT solutions and services and embedded subsystems. Avnet creates a vital link in the technology supply chain that connects the world’s leading electronic component and computer product manufacturers and software developers with a global customer base of original equipment manufacturers (“OEMs”), electronic manufacturing services (“EMS”) providers, original design manufacturers (“ODMs”), systems integrators (“SIs”), independent software vendors (“ISVs”) and value-added resellers (“VARs”). Avnet distributes electronic components, computer products and software, as received from its suppliers or through a customized solution, and offers assembly and other value-added services. In addition, Avnet provides engineering design, materials management and logistics services, system integration and configuration and supply chain services customized to meet specific requirements of both customers and suppliers.</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Avnet has two primary operating groups — EM and TS. Both operating groups have operations in each of the three major economic regions of the world: the Americas; EMEA; and Asia/Pacific, consisting of Asia, Australia and New Zealand (“Asia” or “Asia/Pac”). A summary of each operating group is provided in Note 12, “Segment information” to the Company's consolidated financial statements included in this Quarterly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for the second quarter of fiscal 2015 were $7.55 billion, as compared to the second quarter of fiscal 2014 sales of $7.42 billion. The increase in year-over-year sales of $130.0 million was primarily the result of a $280.4 million increase at EM, primarily due to the Asia region, partially offset by a $150.4 million decrease at TS driven by the EMEA and Asia regions.</w:t>
      </w:r>
    </w:p>
    <w:p>
      <w:pPr>
        <w:spacing w:after="0" w:line="14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Gross profit margin of 11.1% decreased 34 basis points compared to the second quarter of fiscal 2014 as a result of gross profit margin declines in both operating groups.</w:t>
      </w:r>
    </w:p>
    <w:p>
      <w:pPr>
        <w:spacing w:after="0" w:line="1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operating income margin was 3.3% in the second quarter of fiscal 2015 as compared with 3.0% in the second quarter of fiscal 2014. Excluding restructuring, integration and other expenses, as well as amortization expense from acquired intangibles from both periods, adjusted operating income margin was 3.6% in the second quarter of fiscal 2015 as compared to 3.6% in the second quarter of fiscal 2014. EM operating income margin increased 19 basis points year over year to 4.3%. The increase in EM operating income margin was primarily due to sales growth and reductions in operating expenses from the impact of restructuring actions. TS operating income margin increased by 9 basis points year over year to 3.8% primarily due to reductions in operating expenses from the impact of restructuring actions.</w:t>
      </w:r>
    </w:p>
    <w:p>
      <w:pPr>
        <w:spacing w:after="0" w:line="1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of fiscal 2015, the Company generated $265.1 million of cash from operating activities compared to a use of cash from operating activities of $28.0 million in the second quarter of 2014. The increase in cash flows from operating activities was primarily the result of improved working capital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8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table below provides the year-over-year comparison of reported second quarter sales for Avnet and the EM and TS operating groups to organic sales to allow readers to better understand and assess the Company's sales performance by operating group and region.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5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As Reported</w:t>
            </w:r>
          </w:p>
        </w:tc>
        <w:tc>
          <w:tcPr>
            <w:tcW w:w="240" w:type="dxa"/>
            <w:vAlign w:val="bottom"/>
          </w:tcPr>
          <w:p>
            <w:pPr>
              <w:spacing w:after="0"/>
              <w:rPr>
                <w:sz w:val="18"/>
                <w:szCs w:val="18"/>
                <w:color w:val="auto"/>
              </w:rPr>
            </w:pPr>
          </w:p>
        </w:tc>
        <w:tc>
          <w:tcPr>
            <w:tcW w:w="192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As Reported</w:t>
            </w:r>
          </w:p>
        </w:tc>
        <w:tc>
          <w:tcPr>
            <w:tcW w:w="17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As Reported</w:t>
            </w: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and Organic</w:t>
            </w:r>
          </w:p>
        </w:tc>
        <w:tc>
          <w:tcPr>
            <w:tcW w:w="240" w:type="dxa"/>
            <w:vAlign w:val="bottom"/>
          </w:tcPr>
          <w:p>
            <w:pPr>
              <w:spacing w:after="0"/>
              <w:rPr>
                <w:sz w:val="18"/>
                <w:szCs w:val="18"/>
                <w:color w:val="auto"/>
              </w:rPr>
            </w:pPr>
          </w:p>
        </w:tc>
        <w:tc>
          <w:tcPr>
            <w:tcW w:w="192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and Organic</w:t>
            </w:r>
          </w:p>
        </w:tc>
        <w:tc>
          <w:tcPr>
            <w:tcW w:w="17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and Organic</w:t>
            </w: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Q2-Fiscal</w:t>
            </w:r>
          </w:p>
        </w:tc>
        <w:tc>
          <w:tcPr>
            <w:tcW w:w="240" w:type="dxa"/>
            <w:vAlign w:val="bottom"/>
          </w:tcPr>
          <w:p>
            <w:pPr>
              <w:spacing w:after="0"/>
              <w:rPr>
                <w:sz w:val="18"/>
                <w:szCs w:val="18"/>
                <w:color w:val="auto"/>
              </w:rPr>
            </w:pPr>
          </w:p>
        </w:tc>
        <w:tc>
          <w:tcPr>
            <w:tcW w:w="192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Q2-Fiscal</w:t>
            </w:r>
          </w:p>
        </w:tc>
        <w:tc>
          <w:tcPr>
            <w:tcW w:w="172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Year-Year</w:t>
            </w:r>
          </w:p>
        </w:tc>
      </w:tr>
      <w:tr>
        <w:trPr>
          <w:trHeight w:val="234"/>
        </w:trPr>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0"/>
                <w:szCs w:val="20"/>
                <w:color w:val="auto"/>
              </w:rPr>
            </w:pPr>
          </w:p>
        </w:tc>
        <w:tc>
          <w:tcPr>
            <w:tcW w:w="192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2014</w:t>
            </w:r>
          </w:p>
        </w:tc>
        <w:tc>
          <w:tcPr>
            <w:tcW w:w="17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 Change</w:t>
            </w:r>
          </w:p>
        </w:tc>
      </w:tr>
      <w:tr>
        <w:trPr>
          <w:trHeight w:val="27"/>
        </w:trPr>
        <w:tc>
          <w:tcPr>
            <w:tcW w:w="5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89"/>
              </w:rPr>
              <w:t>(Dollars in thousands)</w:t>
            </w: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Avnet, Inc.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7,551,880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7,421,854</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1.8 %</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4,435,190</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4,154,783</w:t>
            </w:r>
          </w:p>
        </w:tc>
        <w:tc>
          <w:tcPr>
            <w:tcW w:w="1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6.8</w:t>
            </w: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TS</w:t>
            </w: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3,116,690</w:t>
            </w:r>
          </w:p>
        </w:tc>
        <w:tc>
          <w:tcPr>
            <w:tcW w:w="240" w:type="dxa"/>
            <w:vAlign w:val="bottom"/>
          </w:tcPr>
          <w:p>
            <w:pPr>
              <w:spacing w:after="0"/>
              <w:rPr>
                <w:sz w:val="21"/>
                <w:szCs w:val="21"/>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3,267,071</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(4.6)</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1,200,871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1,204,442</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(0.3)%</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1,205,310</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1,216,986</w:t>
            </w: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2,029,009</w:t>
            </w:r>
          </w:p>
        </w:tc>
        <w:tc>
          <w:tcPr>
            <w:tcW w:w="240" w:type="dxa"/>
            <w:vAlign w:val="bottom"/>
          </w:tcPr>
          <w:p>
            <w:pPr>
              <w:spacing w:after="0"/>
              <w:rPr>
                <w:sz w:val="21"/>
                <w:szCs w:val="21"/>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1,733,355</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17.1</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1,851,017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1,859,201</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(0.4)%</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856,742</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935,935</w:t>
            </w: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(8.5)</w:t>
            </w: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408,931</w:t>
            </w:r>
          </w:p>
        </w:tc>
        <w:tc>
          <w:tcPr>
            <w:tcW w:w="240" w:type="dxa"/>
            <w:vAlign w:val="bottom"/>
          </w:tcPr>
          <w:p>
            <w:pPr>
              <w:spacing w:after="0"/>
              <w:rPr>
                <w:sz w:val="21"/>
                <w:szCs w:val="21"/>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471,935</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(13.4)</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 by Region</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3,051,888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3,063,643</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(0.4)%</w:t>
            </w:r>
          </w:p>
        </w:tc>
      </w:tr>
      <w:tr>
        <w:trPr>
          <w:trHeight w:val="27"/>
        </w:trPr>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2,062,052</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2,152,921</w:t>
            </w: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(4.2)</w:t>
            </w:r>
          </w:p>
        </w:tc>
      </w:tr>
      <w:tr>
        <w:trPr>
          <w:trHeight w:val="243"/>
        </w:trPr>
        <w:tc>
          <w:tcPr>
            <w:tcW w:w="57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2,437,940</w:t>
            </w:r>
          </w:p>
        </w:tc>
        <w:tc>
          <w:tcPr>
            <w:tcW w:w="240" w:type="dxa"/>
            <w:vAlign w:val="bottom"/>
          </w:tcPr>
          <w:p>
            <w:pPr>
              <w:spacing w:after="0"/>
              <w:rPr>
                <w:sz w:val="21"/>
                <w:szCs w:val="21"/>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2,205,290</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10.6</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reconciliation of reported sales to organic sales for the second quarter and first six months of fiscal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Second Quarter</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46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Six Months Ended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46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As Reported and</w:t>
            </w:r>
          </w:p>
        </w:tc>
        <w:tc>
          <w:tcPr>
            <w:tcW w:w="400" w:type="dxa"/>
            <w:vAlign w:val="bottom"/>
          </w:tcPr>
          <w:p>
            <w:pPr>
              <w:spacing w:after="0"/>
              <w:rPr>
                <w:sz w:val="18"/>
                <w:szCs w:val="18"/>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7"/>
              </w:rPr>
              <w:t>As</w:t>
            </w:r>
          </w:p>
        </w:tc>
        <w:tc>
          <w:tcPr>
            <w:tcW w:w="1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Acquisitions/</w:t>
            </w:r>
          </w:p>
        </w:tc>
        <w:tc>
          <w:tcPr>
            <w:tcW w:w="180" w:type="dxa"/>
            <w:vAlign w:val="bottom"/>
          </w:tcPr>
          <w:p>
            <w:pPr>
              <w:spacing w:after="0"/>
              <w:rPr>
                <w:sz w:val="18"/>
                <w:szCs w:val="18"/>
                <w:color w:val="auto"/>
              </w:rPr>
            </w:pPr>
          </w:p>
        </w:tc>
        <w:tc>
          <w:tcPr>
            <w:tcW w:w="1420" w:type="dxa"/>
            <w:vAlign w:val="bottom"/>
          </w:tcPr>
          <w:p>
            <w:pPr>
              <w:jc w:val="right"/>
              <w:ind w:right="214"/>
              <w:spacing w:after="0"/>
              <w:rPr>
                <w:sz w:val="20"/>
                <w:szCs w:val="20"/>
                <w:color w:val="auto"/>
              </w:rPr>
            </w:pPr>
            <w:r>
              <w:rPr>
                <w:rFonts w:ascii="Arial" w:cs="Arial" w:eastAsia="Arial" w:hAnsi="Arial"/>
                <w:sz w:val="16"/>
                <w:szCs w:val="16"/>
                <w:b w:val="1"/>
                <w:bCs w:val="1"/>
                <w:color w:val="auto"/>
                <w:w w:val="94"/>
              </w:rPr>
              <w:t>Organic Sales -</w:t>
            </w:r>
          </w:p>
        </w:tc>
      </w:tr>
      <w:tr>
        <w:trPr>
          <w:trHeight w:val="243"/>
        </w:trPr>
        <w:tc>
          <w:tcPr>
            <w:tcW w:w="466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Organic - Fiscal 2014</w:t>
            </w:r>
          </w:p>
        </w:tc>
        <w:tc>
          <w:tcPr>
            <w:tcW w:w="180" w:type="dxa"/>
            <w:vAlign w:val="bottom"/>
          </w:tcPr>
          <w:p>
            <w:pPr>
              <w:spacing w:after="0"/>
              <w:rPr>
                <w:sz w:val="21"/>
                <w:szCs w:val="21"/>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Reported Fiscal 2014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8"/>
              </w:rPr>
              <w:t xml:space="preserve">Divestitures </w:t>
            </w:r>
            <w:r>
              <w:rPr>
                <w:rFonts w:ascii="Arial" w:cs="Arial" w:eastAsia="Arial" w:hAnsi="Arial"/>
                <w:sz w:val="21"/>
                <w:szCs w:val="21"/>
                <w:b w:val="1"/>
                <w:bCs w:val="1"/>
                <w:color w:val="auto"/>
                <w:w w:val="88"/>
                <w:vertAlign w:val="superscript"/>
              </w:rPr>
              <w:t>(1)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Fiscal 2014</w:t>
            </w:r>
          </w:p>
        </w:tc>
      </w:tr>
      <w:tr>
        <w:trPr>
          <w:trHeight w:val="237"/>
        </w:trPr>
        <w:tc>
          <w:tcPr>
            <w:tcW w:w="4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Avnet, Inc.</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7,421,854</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13,767,329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13,887,279</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EM</w:t>
            </w: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4,154,783</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8,092,907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119,950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8,212,857</w:t>
            </w:r>
          </w:p>
        </w:tc>
      </w:tr>
      <w:tr>
        <w:trPr>
          <w:trHeight w:val="27"/>
        </w:trPr>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 EMEA</w:t>
            </w: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1,216,986</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2,314,828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119,950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2,434,778</w:t>
            </w:r>
          </w:p>
        </w:tc>
      </w:tr>
      <w:tr>
        <w:trPr>
          <w:trHeight w:val="27"/>
        </w:trPr>
        <w:tc>
          <w:tcPr>
            <w:tcW w:w="46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90" w:lineRule="exact"/>
        <w:rPr>
          <w:sz w:val="20"/>
          <w:szCs w:val="20"/>
          <w:color w:val="auto"/>
        </w:rPr>
      </w:pPr>
    </w:p>
    <w:p>
      <w:pPr>
        <w:ind w:left="500" w:right="48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acquisition of MSC Investoren GmbH (“MSC”), in October 2013 in the EM EMEA region, which impacted the year-over-year sales comparisons.</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Avnet sales for the second quarter of fiscal 2015 were $7.55 billion, an increase of 1.8%, or $130.0 million, from the second quarter of fiscal 2014 sales of $7.42 billion. Avnet sales increased 4.6% year over year in constant currency.</w:t>
      </w:r>
    </w:p>
    <w:p>
      <w:pPr>
        <w:spacing w:after="0" w:line="13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EM sales of $4.44 billion in the second quarter of fiscal 2015 increased 6.7% from the second quarter of fiscal 2014 sales of $4.15 billion. EM sales in constant currency increased 9.7% year over year, primarily due to sales growth in the EMEA and Asia regions. On a regional basis, EMEA sales in constant currency increased 7.1% year over year primarily due to increased sales volume compared to the second quarter of fiscal 2014. Asia sales increased 17.1% year over year, which was primarily due to increased supply chain fulfillment sales compared to the second quarter of fiscal 2014.</w:t>
      </w:r>
    </w:p>
    <w:p>
      <w:pPr>
        <w:spacing w:after="0" w:line="1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TS sales of $3.12 billion in the second quarter of fiscal 2015 decreased 4.6% from the second quarter of fiscal 2014 sales of $3.27 billion. TS sales in constant currency decreased 2.0% year over year. On a regional basis, sales in Asia declined 13.4% primarily due to weaker sales of computing components. EMEA sales in constant currency declined 3.0% primarily due to lower demand.</w:t>
      </w:r>
    </w:p>
    <w:p>
      <w:pPr>
        <w:spacing w:after="0" w:line="1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Avnet sales for the first six months of fiscal 2015 were $14.39 billion, an increase of 4.5% as compared with sales of $13.77 billion for the first six months of fiscal 2014. EM sales of $8.80 billion for the first six months of fiscal 2015 increased 8.9%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compared with the first six months of fiscal 2014 sales of $8.09 billion. TS sales of $5.58 billion for the first six months of fiscal 2015 decreased 1.6% as compared with the first six months of fiscal 2014 sales of $5.67 billion.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Avnet gross profit for the second quarter of fiscal 2015 was $837.5 million, a decrease of $11.1 million, or 1.3%, from the second quarter of fiscal 2014 gross profit of $848.6 million, primarily due to a decline in gross profit margin, partially offset by the increase in sales as described further above. Avnet gross profit margin of 11.1% decreased 34 basis points from the second quarter of fiscal 2014. EM gross profit margin decreased year over year primarily as a result of a decrease in the Asia region due to an increase in supply chain fulfillment sales, partially offset by an increase in the EMEA region. TS gross profit margin decreased year over year as improvements in Asia and EMEA were offset by a decline in the Americas region driven primarily by product mix.</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 gross profit and gross profit margins were $1.63 billion and 11.4%, respectively, for the first six months of fiscal 2015 as compared with $1.58 billion and 11.5%, respectively for the first six months of fiscal 2014. The increase in gross profit was driven by an increase in sales as discussed above, partially offset by a decline in gross profit margin. The year over year decrease in gross profit margin of 15 basis points was the result of declines in both operating groups.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Selling, general and administrative expenses (“SG&amp;A expenses”) were $574.0 million in the second quarter of fiscal 2015, a decrease of $24.7 million, or 4.1%, from the second quarter of fiscal 2014. Of this amount, $21.7 million related to the translation impact of changes in foreign currency exchange rates between the periods. The remaining decrease of $3.0 million was due to net decreases in SG&amp;A expenses due to the realization of cost savings from prior restructuring actions, partially offset by increases in SG&amp;A expenses to fund organic growth and other costs.</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second quarter of fiscal 2015, SG&amp;A expenses as a percentage of sales were 7.6% and as a percentage of gross profit were 68.5% as compared with 8.1% and 70.5%, respectively, in the second quarter of fiscal 2014. SG&amp;A expenses, excluding amortization of acquired intangibles, as a percentage of gross profit at EM decreased 302 basis points year over year reflecting sales growth and improved operating leverage from restructuring actions. SG&amp;A expenses at TS, excluding amortization of acquired intangibles, as a percentage of gross profit decreased 172 basis points year over year, primarily as a result of savings realized from restructuring actions.</w:t>
      </w:r>
    </w:p>
    <w:p>
      <w:pPr>
        <w:spacing w:after="0" w:line="15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SG&amp;A expenses for the first six months of fiscal 2015 were $1.16 billion, or 8.1% of Avnet sales, as compared with $1.14 billion, or 8.3% of Avnet sales, in the first six months of fiscal 2014. SG&amp;A expenses were 70.9% of gross profit in the first six months of 2015 as compared with 72.1% in the first six months of fiscal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18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During the second quarter of fiscal 2015, the Company incurred restructuring expenses related to certain actions intended to reduce future operating expenses. The Company also incurred integration and other costs primarily associated with the integration of acquisitions and certain global and regional businesses. As a result, the Company recorded restructuring, integration and other expenses of $13.3 million during the second quarter of fiscal 2015, including restructuring costs of $6.6 million, integration costs of $4.0 million, other costs of $2.1 million and a net expense for changes in estimates for costs associated with previous restructuring actions of $0.6 million. The after tax impact of restructuring, integration, and other expenses for the second quarter of fiscal 2015 was $10.2 million and $0.07 per share on a diluted basis. When all such restructuring actions are substantially complete the Company expects to realize approximately $6.0 million in incremental annualized operating cost savings. When realized, the incremental annualized cost savings are expected to benefit the EM operating group by approximately $2.0 million and the TS operating group by approximately $4.0 million.</w:t>
      </w:r>
    </w:p>
    <w:p>
      <w:pPr>
        <w:spacing w:after="0" w:line="12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six months of fiscal 2015, the Company incurred restructuring, integration and other expenses of $31.6 million, including restructuring costs of $17.4 million, integration costs of $10.3 million, other costs of $3.7 million and a net expense for changes in estimates for costs associated with previous restructuring actions of $0.2 million. The after tax impact of restructuring, integration and other expenses for the first six months of fiscal 2015 was $23.3 million and $0.16 per share on a diluted basis.</w:t>
      </w:r>
    </w:p>
    <w:p>
      <w:pPr>
        <w:spacing w:after="0" w:line="1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Comparatively, in the second quarter of fiscal 2014, restructuring, integration and other expenses were $28.4 million. The after tax impact of restructuring, integration, and other expenses was $21.7 million and $0.15 per share on a diluted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60" w:right="239" w:bottom="1440" w:gutter="0" w:footer="0" w:header="0"/>
        </w:sectPr>
      </w:pPr>
    </w:p>
    <w:bookmarkStart w:id="21" w:name="page22"/>
    <w:bookmarkEnd w:id="21"/>
    <w:p>
      <w:pPr>
        <w:jc w:val="both"/>
        <w:ind w:firstLine="432"/>
        <w:spacing w:after="0" w:line="277" w:lineRule="auto"/>
        <w:rPr>
          <w:sz w:val="20"/>
          <w:szCs w:val="20"/>
          <w:color w:val="auto"/>
        </w:rPr>
      </w:pPr>
      <w:r>
        <w:rPr>
          <w:rFonts w:ascii="Arial" w:cs="Arial" w:eastAsia="Arial" w:hAnsi="Arial"/>
          <w:sz w:val="18"/>
          <w:szCs w:val="18"/>
          <w:color w:val="auto"/>
        </w:rPr>
        <w:t>In the first six months of fiscal 2014, restructuring, integration and other expenses were $40.5 million. The after tax impact of restructuring, integration, and other expenses for the first six months of fiscal 2014 was $30.6 million and $0.22 per share on a diluted basis.</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13, “Restructuring, integration and other expenses” to the Company's consolidated financial statements included in this Quarterly Report on Form 10-Q for additional information related to restructuring, integration and other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During the second quarter of fiscal 2015, the Company generated operating income of $250.3 million, representing a 13.0% increase compared to the second quarter of fiscal 2014 operating income of $221.6 million. Both periods included restructuring, integration and other expenses as described further above. Both periods also included amortization expense and other associated with acquired intangible assets. Excluding these amounts from both periods, adjusted operating income was $274.6 million, or 3.6% of sales, in the second quarter of fiscal 2015 as compared with $263.2 million, or 3.6% of sales, in the second quarter of fiscal 2014. EM operating income of $191.4 million increased 11.5% year over year and operating income margin increased 19 basis points year over year to 4.3%. The increase in EM operating income margin was primarily due to the impact of sales growth and restructuring actions, partially offset by a decrease in gross profit margin primarily due to more sales in the lower margin Asia region as a result of an increase in supply chain fulfillment sales. TS operating income of $117.6 million decreased 2.2% year over year and operating income margin increased 9 basis points year over year to 3.8%. The increase in TS operating income margin was primarily due to the decrease in operating expenses, partially offset by a decrease in gross profit margin.</w:t>
      </w:r>
    </w:p>
    <w:p>
      <w:pPr>
        <w:spacing w:after="0" w:line="12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income for the first six months of 2015 was $443.5 million, or 3.1% of Avnet sales, as compared with $400.6 million, or 2.9% of Avnet sales for the first six months of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Interest expense in the second quarter of fiscal 2015 was $24.7 million, a decrease of $3.6 million or 12.6%, as compared with interest expense of $28.2 million in the second quarter of fiscal 2014. The decrease in interest expense for the second quarter of fiscal 2015 was primarily due to the repayment at maturity of the 5.875% Notes due March 2014 and a corresponding lower average borrowing rate in the second quarter of fiscal 2015.</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second quarter of fiscal 2015, the Company incurred $5.5 million of other expense as compared with $4.8 million of other expense in the second quarter of fiscal 2014. The increase in other expense was primarily due to an increase in foreign currency exchange losses in the second quarter of fiscal 2015. During the first six months of fiscal 2015, the Company recognized $7.0 million of other expenses as compared with $4.0 million of other expenses in the first six months of fiscal 2014.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Legal Settlement</w:t>
      </w:r>
    </w:p>
    <w:p>
      <w:pPr>
        <w:spacing w:after="0" w:line="1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first quarter of fiscal 2014, the Company received an award payment and recognized a gain on legal settlement of $19.1 million before tax, $11.7 million after tax and $0.08 per share on a diluted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effective tax rate on its income before income taxes was 25.6% in the second quarter of fiscal 2015 as compared with 33.8% in the second quarter of fiscal 2014. During the second quarter of fiscal 2015, the Company's effective tax rate was favorably impacted primarily by the mix of income in lower tax rate jurisdictions and the release of reserves related to the settlement of an audit in a foreign jurisdiction. During the second quarter of fiscal 2014, the Company's effective tax rate was unfavorably impacted primarily by increases to valuation allowances and reserves,as well as an investment in a foreign subsidiary.</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first six months of fiscal 2015 and 2014, the Company's effective tax rate was 24.9% and 31.9%, respectively. The effective tax rate for the first six months of fiscal 2015 was favorably impacted by the mix of income in lower tax rate jurisdictions and the release of reserves, primarily related to the formal deregistration of a foreign branch and the settlement of an audit in a foreign jurisdiction. The effective tax rate for the first six months of fiscal 2014 was unfavorably impacted primarily by increases to valuation allowances and reserves.</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7, “Income taxes” to the Company’s consolidated financial statements included in this Quarterly Report on Form 10-Q for additional information on the Company's effective tax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6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a result of the factors described in the preceding sections of this MD&amp;A, the Company’s net income for the second quarter of fiscal 2015 was $163.7 million, or $1.18 per share on a diluted basis, as compared with $124.9 million, or $0.89 per share on a diluted basis, in the second quarter of fiscal 2014.</w:t>
      </w:r>
    </w:p>
    <w:p>
      <w:pPr>
        <w:spacing w:after="0" w:line="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six months of fiscal 2015 was $291.7 million, or $2.08 per share on a diluted basis, as compared with $245.5 million, or $1.75 per share on a diluted basis, for the first six months of fiscal 2014.</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first six months of fiscal 2015, the Company generated $224.4 million of cash from its operating activities compared to a use of $154.2 million in the first six months of fiscal 2014. These operating cash flows are comprised of: (i) cash flow generated from net income, adjusted for the impact of non-cash and other items, which includes depreciation and amortization expenses, deferred income taxes, stock-based compensation expense and other non-cash items (primarily, provisions for doubtful accounts and periodic pension costs) and (ii) cash flows used for, or generated from, working capital and other, excluding cash and cash equivalents. Cash used for working capital and other was $222.1 million during the first six months of fiscal 2015, including increases in inventories of $6.0 million and accounts receivable of $711.1 million and a decrease in accrued expenses and other of $88.4 million, partially offset by an increase accounts payable of $583.3 million. Comparatively, cash used by working capital and other was $557.8 million during the first six months of fiscal 2014, including an increase in inventories of $158.5 million and accounts receivable of $771.7 million, partially offset by increases in accounts payable of $348.5 million and accrued expenses and other of $23.9 million.</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six months of fiscal 2015, the Company received net proceeds of $77.0 million under the Company's accounts receivable securitization program and made net repayments of $37.4 million for bank and other debt. During the first six months of fiscal 2015, the Company paid dividends on common stock of $43.9 million and repurchased $109.1 million of common stock.</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six months of fiscal 2014, the Company received net proceeds of $55.4 million from borrowings of bank and other debt and $60.0 million under the Company's accounts receivable securitization program. During the first six months of fiscal 2014, the Company paid dividends on common stock of $41.3 million.</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first six months of fiscal 2015, the Company used $83.6 million for capital expenditures primarily related to information system development costs and computer hardware and software purchases and $8.8 million for other investing activities.</w:t>
      </w:r>
    </w:p>
    <w:p>
      <w:pPr>
        <w:spacing w:after="0" w:line="1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six months of fiscal 2014, the Company used $116.9 million of cash for acquisitions, net of cash acquired. During the first six months of fiscal 2014, the Company also used $47.0 million for capital expenditures primarily related to information system development costs and computer hardware and software purchases.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For a detailed description of the Company’s long-term debt and lease commitments for the next five years and thereafter, see </w:t>
      </w:r>
      <w:r>
        <w:rPr>
          <w:rFonts w:ascii="Arial" w:cs="Arial" w:eastAsia="Arial" w:hAnsi="Arial"/>
          <w:sz w:val="17"/>
          <w:szCs w:val="17"/>
          <w:i w:val="1"/>
          <w:iCs w:val="1"/>
          <w:color w:val="auto"/>
        </w:rPr>
        <w:t>Long-Term Contractual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Obligations </w:t>
      </w:r>
      <w:r>
        <w:rPr>
          <w:rFonts w:ascii="Arial" w:cs="Arial" w:eastAsia="Arial" w:hAnsi="Arial"/>
          <w:sz w:val="17"/>
          <w:szCs w:val="17"/>
          <w:color w:val="auto"/>
        </w:rPr>
        <w:t>appearing in Item 7 of the Company’s Annual Report on Form 10-K for the fiscal year ended June 28, 2014. With the exception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debt transactions discussed herein, there are no material changes to this information outside of normal borrowings and repayments on long-term debt and lease payments. The Company does not currently have any material commitments for capital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See Note 4, “Debt financing” to the Company’s consolidated financial statements included in this Quarterly Report on Form 10-Q for additional information on financing transactions including the 2014 Credit Facility, the Program and the outstanding Notes as of December 27, 2014. The Company was in compliance with all covenants under the 2014 Credit Facility and the Program as of December 27,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56" w:right="239" w:bottom="1440" w:gutter="0" w:footer="0" w:header="0"/>
        </w:sectPr>
      </w:pPr>
    </w:p>
    <w:bookmarkStart w:id="23" w:name="page24"/>
    <w:bookmarkEnd w:id="23"/>
    <w:p>
      <w:pPr>
        <w:jc w:val="both"/>
        <w:ind w:firstLine="432"/>
        <w:spacing w:after="0" w:line="264" w:lineRule="auto"/>
        <w:rPr>
          <w:sz w:val="20"/>
          <w:szCs w:val="20"/>
          <w:color w:val="auto"/>
        </w:rPr>
      </w:pPr>
      <w:r>
        <w:rPr>
          <w:rFonts w:ascii="Arial" w:cs="Arial" w:eastAsia="Arial" w:hAnsi="Arial"/>
          <w:sz w:val="18"/>
          <w:szCs w:val="18"/>
          <w:color w:val="auto"/>
        </w:rPr>
        <w:t>The Company has several lines of credit and other forms of bank debt in various foreign locations to fund the short-term working capital, foreign exchange, overdraft and letter of credit needs of its wholly owned subsidiaries in EMEA, Asia and Latin America. Avnet generally guarantees its subsidiaries’ obligations under these facilities.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held cash and cash equivalents of $903.3 million as of December 27, 2014, of which $812.7 million was held outside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June 28, 2014, the Company held cash and cash equivalents of $929.0 million, of which $815.4 million was held outside of the United States.</w:t>
      </w:r>
    </w:p>
    <w:p>
      <w:pPr>
        <w:spacing w:after="0" w:line="18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of the end of the second quarter of fiscal 2015, the Company had a combined total borrowing capacity of $2.15 billion under the 2014 Credit Facility and the Program. There were $50.0 million in borrowings outstanding and $2.0 million in letters of credit issued under the 2014 Credit Facility and $692.0 million in borrowings outstanding under the Program, resulting in approximately $1.41 billion of availability as of December 27, 2014. Availability under the Program is subject to the Company having sufficient eligible receivables to support desired borrowings. During the second quarter and first six months of fiscal 2015, the Company had an average daily balance outstanding under the 2014 Credit Facility of approximately $54.0 million and $30.0 million, respectively, and approximately $823.0 million and $770.0 million, respectively, under the Program. During the second quarter and first six months of fiscal 2014, the Company had an average daily balance outstanding under the 2012 Credit Facility of approximately $5.0 million, and approximately $445.0 million and $430.0 million, respectively, under the Program.</w:t>
      </w:r>
    </w:p>
    <w:p>
      <w:pPr>
        <w:spacing w:after="0" w:line="1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periods of weakening demand in the electronic components and enterprise computer solutions industries, the Company typically generates cash from operating activities. Conversely, the Company is more likely to use operating cash flows for working capital requirements during periods of higher growth. During the second quarter of fiscal 2015, the Company generated $265.1 million from operating activities. The Company generated $616.0 million from operating activities over the trailing four fiscal quarters ended December 27, 2014.</w:t>
      </w:r>
    </w:p>
    <w:p>
      <w:pPr>
        <w:spacing w:after="0" w:line="14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United States. If these funds were needed for general corporate use in the United States, the Company would incur significant income taxes to repatriate cash held in foreign locations. In addition, local government regulations may restrict the Company’s ability to move funds among various locations under certain circumstances. Management believes that in the United States and globally, current cash on hand, available borrowing capacity and the Company’s expected ability to generate operating cash flows are sufficient for the Company to pursue its intended business strategy. The Company also may issue debt or equity securities in the future and management believes the Company will have adequate access to the capital markets, if needed.</w:t>
      </w:r>
    </w:p>
    <w:p>
      <w:pPr>
        <w:spacing w:after="0" w:line="13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has made, and expects to continue to make, strategic investments through acquisition activity to the extent the investments strengthen Avnet’s competitive position and meet management’s return on capital thresholds. In addition to continuing to make investments in acquisitions, as of December 27, 2014, the Company expects to repurchase up to an aggregate of $357.1 million of shares of the Company’s common stock through a $1.00 billion share repurchase program approved by the Board of Directors. The Company plans to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Since the beginning of the repurchase program through the end of the second quarter of fiscal 2015, the Company has repurchased 20.8 million shares of stock at an aggregate cost of $642.9 million. Shares repurchased were retired. Additionally, the Company currently expects to pay quarterly cash dividends on shares of its common stock, subject to approval of the Board of Directors. During the second quarter of fiscal 2015, the Board of Directors approved a dividend of $0.16 per share, which resulted in $21.8 million of dividend payments during the quarter.</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1, “Basis of presentation and new accounting pronouncements” to the Company's consolidated financial statements included in this Quarterly Report on Form 10-Q for a description of new accounting pronouncements.</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that are intended to provide an economic hedge against all or a portion of the risks associated with such volatility. The Company continues to have exposure to such risks to the extent they are not economically hedged.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0" w:right="239" w:bottom="1440" w:gutter="0" w:footer="0" w:header="0"/>
        </w:sectPr>
      </w:pPr>
    </w:p>
    <w:bookmarkStart w:id="24" w:name="page25"/>
    <w:bookmarkEnd w:id="24"/>
    <w:p>
      <w:pPr>
        <w:jc w:val="both"/>
        <w:ind w:firstLine="432"/>
        <w:spacing w:after="0" w:line="257" w:lineRule="auto"/>
        <w:rPr>
          <w:sz w:val="20"/>
          <w:szCs w:val="20"/>
          <w:color w:val="auto"/>
        </w:rPr>
      </w:pPr>
      <w:r>
        <w:rPr>
          <w:rFonts w:ascii="Arial" w:cs="Arial" w:eastAsia="Arial" w:hAnsi="Arial"/>
          <w:sz w:val="18"/>
          <w:szCs w:val="18"/>
          <w:color w:val="auto"/>
        </w:rPr>
        <w:t xml:space="preserve">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the Company’s Annual Report on Form 10-K for the year ended June 28, 2014 for further discussion of market risks associated with interest rates and foreign currency exchange rates. Avnet’s exposure to foreign currency exchange risks has not changed materially since June 28, 2014 as the Company continues to economically hedge the majority of its foreign exchange exposures. Thus, any increase or decrease in fair value of the Company’s foreign currency exchange contracts is generally offset by an opposite effect on the related hedged position.</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Financing Transactions</w:t>
      </w:r>
      <w:r>
        <w:rPr>
          <w:rFonts w:ascii="Arial" w:cs="Arial" w:eastAsia="Arial" w:hAnsi="Arial"/>
          <w:sz w:val="17"/>
          <w:szCs w:val="17"/>
          <w:color w:val="auto"/>
        </w:rPr>
        <w:t xml:space="preserve"> appearing in Item 2 of this Form 10-Q for further discussion of the Company’s financing transactions and capital structure. As of December 27, 2014, 58% of the Company’s debt bears interest at a fixed rate and 42% of the Company’s debt bears interest at variable rates. Therefore, a hypothetical 1.0% (100 basis points) increase in interest rates would result in a $2.2 million decrease in income before income taxes in the Company’s consolidated statement of operations for the second quarter of fiscal 2015.</w:t>
      </w:r>
    </w:p>
    <w:p>
      <w:pPr>
        <w:spacing w:after="0" w:line="1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second quarter of fiscal 2015,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6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of environmental matters.</w:t>
      </w:r>
    </w:p>
    <w:p>
      <w:pPr>
        <w:spacing w:after="0" w:line="14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Company is also party to various other lawsuits, claims, investigations and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liquidity or results of operations.</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This Quarterly Report on Form 10-Q (“Quarterly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28, 2014, could affect the Company’s future results of operations, and could cause those results or other outcomes to differ materially from those expressed or implied in the forward-looking statements:</w:t>
      </w:r>
    </w:p>
    <w:p>
      <w:pPr>
        <w:spacing w:after="0" w:line="5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cyclicality in the technology industry, particularly in the semiconductor sector;</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9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the Company's international sales and operations, including risks relating to the ability to repatriate funds, foreign currency fluctuations, duties and taxes, and compliance with international and U.S. laws;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acquisitions and investments;</w:t>
      </w:r>
    </w:p>
    <w:p>
      <w:pPr>
        <w:spacing w:after="0" w:line="9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Company's information systems, including risks relating to cybersecurity breaches;</w:t>
      </w:r>
    </w:p>
    <w:p>
      <w:pPr>
        <w:spacing w:after="0" w:line="9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18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ind w:firstLine="432"/>
        <w:spacing w:after="0" w:line="257"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Annual Report on Form 10-K for the fiscal year ended June 28, 2014,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December 27, 2014, there have been no material changes to the risk factors set forth in the Company’s report on Form 10-K for the fiscal year ended June 28, 2014.</w:t>
      </w:r>
    </w:p>
    <w:p>
      <w:pPr>
        <w:spacing w:after="0" w:line="1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August 2011, the Company’s Board of Directors approved the repurchase of up to $500.0 million of the Company’s common stock through a share repurchase program. During August 2012 and November 2014, the Board of Directors approved an additional $250.0 million for the share repurchase program. In total, the Company may repurchase up to $1.00 billion of the Company's common stock under the share repurchase program. The following table includes the Company’s monthly purchases of Avnet's common stock during the second quarter ended December 27, 2014, under the share repurchase program, which is part of a publicly announced plan.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Total Number</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Price</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4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360" w:type="dxa"/>
            <w:vAlign w:val="bottom"/>
            <w:gridSpan w:val="2"/>
            <w:vMerge w:val="continue"/>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Paid per Share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w:t>
            </w:r>
          </w:p>
        </w:tc>
        <w:tc>
          <w:tcPr>
            <w:tcW w:w="13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1,764,397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1,764,397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$129,151,000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November</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333,156</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$42.50</w:t>
            </w:r>
          </w:p>
        </w:tc>
        <w:tc>
          <w:tcPr>
            <w:tcW w:w="10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333,156</w:t>
            </w:r>
          </w:p>
        </w:tc>
        <w:tc>
          <w:tcPr>
            <w:tcW w:w="10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$364,991,000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w:t>
            </w:r>
          </w:p>
        </w:tc>
        <w:tc>
          <w:tcPr>
            <w:tcW w:w="13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186,404</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$42.51</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186,404</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$357,067,000</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60" w:right="23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9920" w:type="dxa"/>
            <w:vAlign w:val="bottom"/>
          </w:tcPr>
          <w:p>
            <w:pPr>
              <w:spacing w:after="0"/>
              <w:rPr>
                <w:sz w:val="20"/>
                <w:szCs w:val="20"/>
                <w:color w:val="auto"/>
              </w:rPr>
            </w:pPr>
          </w:p>
        </w:tc>
      </w:tr>
      <w:tr>
        <w:trPr>
          <w:trHeight w:val="270"/>
        </w:trPr>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3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38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38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380" w:type="dxa"/>
            <w:vAlign w:val="bottom"/>
          </w:tcPr>
          <w:p>
            <w:pPr>
              <w:jc w:val="right"/>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380" w:type="dxa"/>
            <w:vAlign w:val="bottom"/>
          </w:tcPr>
          <w:p>
            <w:pPr>
              <w:jc w:val="right"/>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80" w:type="dxa"/>
            <w:vAlign w:val="bottom"/>
          </w:tcPr>
          <w:p>
            <w:pPr>
              <w:jc w:val="right"/>
              <w:spacing w:after="0"/>
              <w:rPr>
                <w:sz w:val="20"/>
                <w:szCs w:val="20"/>
                <w:color w:val="auto"/>
              </w:rPr>
            </w:pPr>
            <w:r>
              <w:rPr>
                <w:rFonts w:ascii="Arial" w:cs="Arial" w:eastAsia="Arial" w:hAnsi="Arial"/>
                <w:sz w:val="18"/>
                <w:szCs w:val="18"/>
                <w:color w:val="auto"/>
              </w:rPr>
              <w:t>101.DEF*</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380" w:type="dxa"/>
            <w:vAlign w:val="bottom"/>
          </w:tcPr>
          <w:p>
            <w:pPr>
              <w:jc w:val="right"/>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380" w:type="dxa"/>
            <w:vAlign w:val="bottom"/>
          </w:tcPr>
          <w:p>
            <w:pPr>
              <w:jc w:val="right"/>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380" w:type="dxa"/>
            <w:vAlign w:val="bottom"/>
          </w:tcPr>
          <w:p>
            <w:pPr>
              <w:jc w:val="right"/>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1" w:lineRule="exact"/>
        <w:rPr>
          <w:sz w:val="20"/>
          <w:szCs w:val="20"/>
          <w:color w:val="auto"/>
        </w:rPr>
      </w:pPr>
    </w:p>
    <w:p>
      <w:pPr>
        <w:ind w:left="620" w:hanging="58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both"/>
        <w:ind w:left="620" w:right="40" w:hanging="585"/>
        <w:spacing w:after="0" w:line="264"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8"/>
          <w:szCs w:val="18"/>
          <w:color w:val="auto"/>
        </w:rPr>
        <w:t>By:</w:t>
        <w:tab/>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56"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2015</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2015</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6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December 27, 2014 (the “Report”), I, Richard Hamada, Chief Executive Officer of Avnet, Inc., (the “Company”) hereby certify that:</w:t>
      </w:r>
    </w:p>
    <w:p>
      <w:pPr>
        <w:spacing w:after="0" w:line="6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2015</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December 27, 2014 (the “Report”), I, Kevin Moriarty, Chief Financial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Avnet, Inc., (the “Company”) hereby certify that:</w:t>
      </w:r>
    </w:p>
    <w:p>
      <w:pPr>
        <w:spacing w:after="0" w:line="10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2015</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3"/>
    </w:lvl>
  </w:abstractNum>
  <w:abstractNum w:abstractNumId="1">
    <w:nsid w:val="79E2A9E3"/>
    <w:multiLevelType w:val="hybridMultilevel"/>
    <w:lvl w:ilvl="0">
      <w:lvlJc w:val="left"/>
      <w:lvlText w:val="%1."/>
      <w:numFmt w:val="decimal"/>
      <w:start w:val="6"/>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2019-12-29T19:12:44Z</dcterms:created>
  <dcterms:modified xsi:type="dcterms:W3CDTF">2019-12-29T19:12:44Z</dcterms:modified>
</cp:coreProperties>
</file>