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1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December 28, 2024</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5"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2"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560" w:firstLine="427"/>
        <w:spacing w:after="0" w:line="282" w:lineRule="auto"/>
        <w:rPr>
          <w:sz w:val="20"/>
          <w:szCs w:val="20"/>
          <w:color w:val="auto"/>
        </w:rPr>
      </w:pPr>
      <w:r>
        <w:rPr>
          <w:rFonts w:ascii="Times New Roman" w:cs="Times New Roman" w:eastAsia="Times New Roman" w:hAnsi="Times New Roman"/>
          <w:sz w:val="18"/>
          <w:szCs w:val="18"/>
          <w:color w:val="auto"/>
        </w:rPr>
        <w:t>As of January 24, 2025, the total number of shares outstanding of the registrant’s Common Stock was 86,504,562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4"/>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20" w:type="dxa"/>
            <w:vAlign w:val="bottom"/>
            <w:gridSpan w:val="11"/>
          </w:tcPr>
          <w:p>
            <w:pPr>
              <w:jc w:val="center"/>
              <w:ind w:right="286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7"/>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Balance Sheets at December 28, 2024, and June 29, 2024</w:t>
            </w:r>
          </w:p>
        </w:tc>
        <w:tc>
          <w:tcPr>
            <w:tcW w:w="24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second quarters and six months ended December 28,</w:t>
            </w:r>
          </w:p>
        </w:tc>
        <w:tc>
          <w:tcPr>
            <w:tcW w:w="4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December 30, 2023</w:t>
            </w:r>
          </w:p>
        </w:tc>
        <w:tc>
          <w:tcPr>
            <w:tcW w:w="5300" w:type="dxa"/>
            <w:vAlign w:val="bottom"/>
            <w:gridSpan w:val="1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second quarters and 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December 28, 2024, and December 30, 2023</w:t>
            </w:r>
          </w:p>
        </w:tc>
        <w:tc>
          <w:tcPr>
            <w:tcW w:w="58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second quarters and six months ended</w:t>
            </w:r>
          </w:p>
        </w:tc>
        <w:tc>
          <w:tcPr>
            <w:tcW w:w="7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December 28, 2024, and December 30,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December 28, 2024, and December</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gridSpan w:val="5"/>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30, 2023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98"/>
        </w:trPr>
        <w:tc>
          <w:tcPr>
            <w:tcW w:w="4980" w:type="dxa"/>
            <w:vAlign w:val="bottom"/>
            <w:gridSpan w:val="19"/>
          </w:tcPr>
          <w:p>
            <w:pPr>
              <w:jc w:val="center"/>
              <w:ind w:left="38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40" w:type="dxa"/>
            <w:vAlign w:val="bottom"/>
          </w:tcPr>
          <w:p>
            <w:pPr>
              <w:jc w:val="center"/>
              <w:ind w:right="3730"/>
              <w:spacing w:after="0"/>
              <w:rPr>
                <w:sz w:val="20"/>
                <w:szCs w:val="20"/>
                <w:color w:val="auto"/>
              </w:rPr>
            </w:pPr>
            <w:r>
              <w:rPr>
                <w:rFonts w:ascii="Times New Roman" w:cs="Times New Roman" w:eastAsia="Times New Roman" w:hAnsi="Times New Roman"/>
                <w:sz w:val="18"/>
                <w:szCs w:val="18"/>
                <w:b w:val="1"/>
                <w:bCs w:val="1"/>
                <w:i w:val="1"/>
                <w:iCs w:val="1"/>
                <w:color w:val="auto"/>
                <w:w w:val="99"/>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9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7"/>
              </w:rPr>
              <w:t>(Thousands,</w:t>
            </w:r>
          </w:p>
        </w:tc>
        <w:tc>
          <w:tcPr>
            <w:tcW w:w="200" w:type="dxa"/>
            <w:vAlign w:val="bottom"/>
          </w:tcPr>
          <w:p>
            <w:pPr>
              <w:spacing w:after="0"/>
              <w:rPr>
                <w:sz w:val="15"/>
                <w:szCs w:val="15"/>
                <w:color w:val="auto"/>
              </w:rPr>
            </w:pPr>
          </w:p>
        </w:tc>
        <w:tc>
          <w:tcPr>
            <w:tcW w:w="1000" w:type="dxa"/>
            <w:vAlign w:val="bottom"/>
            <w:gridSpan w:val="2"/>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85"/>
              </w:rPr>
              <w:t>except share</w:t>
            </w:r>
          </w:p>
        </w:tc>
        <w:tc>
          <w:tcPr>
            <w:tcW w:w="10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4,421,428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4,391,187</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5,252,466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5,468,730</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10,370,552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568,169</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329,954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11,942,931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12,209,147</w:t>
            </w:r>
          </w:p>
        </w:tc>
        <w:tc>
          <w:tcPr>
            <w:tcW w:w="10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40" w:type="dxa"/>
            <w:vAlign w:val="bottom"/>
            <w:shd w:val="clear" w:color="auto" w:fill="CCEEFF"/>
          </w:tcPr>
          <w:p>
            <w:pPr>
              <w:jc w:val="center"/>
              <w:ind w:right="8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3,345,510</w:t>
            </w: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573,055</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100" w:type="dxa"/>
            <w:vAlign w:val="bottom"/>
            <w:tcBorders>
              <w:bottom w:val="single" w:sz="8" w:color="CCEEFF"/>
            </w:tcBorders>
          </w:tcPr>
          <w:p>
            <w:pPr>
              <w:spacing w:after="0"/>
              <w:rPr>
                <w:sz w:val="19"/>
                <w:szCs w:val="19"/>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7,099,028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7,283,643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8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86,326,061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8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color w:val="auto"/>
                <w:w w:val="99"/>
              </w:rPr>
              <w:t>and 89,045,996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100" w:type="dxa"/>
            <w:vAlign w:val="bottom"/>
          </w:tcPr>
          <w:p>
            <w:pPr>
              <w:spacing w:after="0"/>
              <w:rPr>
                <w:sz w:val="20"/>
                <w:szCs w:val="20"/>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3,601,812</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(530,987)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4,843,903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4,925,504</w:t>
            </w:r>
          </w:p>
        </w:tc>
        <w:tc>
          <w:tcPr>
            <w:tcW w:w="100" w:type="dxa"/>
            <w:vAlign w:val="bottom"/>
            <w:tcBorders>
              <w:bottom w:val="single" w:sz="8" w:color="CCEEFF"/>
            </w:tcBorders>
          </w:tcPr>
          <w:p>
            <w:pPr>
              <w:spacing w:after="0"/>
              <w:rPr>
                <w:sz w:val="18"/>
                <w:szCs w:val="18"/>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11,942,931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8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00" w:type="dxa"/>
            <w:vAlign w:val="bottom"/>
          </w:tcPr>
          <w:p>
            <w:pPr>
              <w:spacing w:after="0"/>
              <w:rPr>
                <w:sz w:val="16"/>
                <w:szCs w:val="16"/>
                <w:color w:val="auto"/>
              </w:rPr>
            </w:pPr>
          </w:p>
        </w:tc>
        <w:tc>
          <w:tcPr>
            <w:tcW w:w="10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200" w:type="dxa"/>
            <w:vAlign w:val="bottom"/>
          </w:tcPr>
          <w:p>
            <w:pPr>
              <w:spacing w:after="0"/>
              <w:rPr>
                <w:sz w:val="16"/>
                <w:szCs w:val="16"/>
                <w:color w:val="auto"/>
              </w:rPr>
            </w:pPr>
          </w:p>
        </w:tc>
        <w:tc>
          <w:tcPr>
            <w:tcW w:w="10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gridSpan w:val="8"/>
          </w:tcPr>
          <w:p>
            <w:pPr>
              <w:ind w:left="780"/>
              <w:spacing w:after="0" w:line="202" w:lineRule="exact"/>
              <w:rPr>
                <w:sz w:val="20"/>
                <w:szCs w:val="20"/>
                <w:color w:val="auto"/>
              </w:rPr>
            </w:pPr>
            <w:r>
              <w:rPr>
                <w:rFonts w:ascii="Times New Roman" w:cs="Times New Roman" w:eastAsia="Times New Roman" w:hAnsi="Times New Roman"/>
                <w:sz w:val="18"/>
                <w:szCs w:val="18"/>
                <w:b w:val="1"/>
                <w:bCs w:val="1"/>
                <w:color w:val="auto"/>
                <w:w w:val="95"/>
              </w:rPr>
              <w:t>(Thousands, except per share amounts)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5,663,384</w:t>
            </w:r>
          </w:p>
        </w:tc>
        <w:tc>
          <w:tcPr>
            <w:tcW w:w="4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6,204,914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11,267,536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5,067,332</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5,498,730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10,064,118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155,327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236,257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297,551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90,283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153,558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428,990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87,253</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117,931</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146,209</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327,199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88,327</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91,792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88,859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92,485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40" w:type="dxa"/>
            <w:vAlign w:val="bottom"/>
          </w:tcPr>
          <w:p>
            <w:pPr>
              <w:spacing w:after="0"/>
              <w:rPr>
                <w:sz w:val="16"/>
                <w:szCs w:val="16"/>
                <w:color w:val="auto"/>
              </w:rPr>
            </w:pPr>
          </w:p>
        </w:tc>
        <w:tc>
          <w:tcPr>
            <w:tcW w:w="10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12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87,253</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117,931</w:t>
            </w:r>
          </w:p>
        </w:tc>
        <w:tc>
          <w:tcPr>
            <w:tcW w:w="4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146,209</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327,199</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62,127</w:t>
            </w: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171"/>
        </w:trPr>
        <w:tc>
          <w:tcPr>
            <w:tcW w:w="378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other comprehensive (loss) income, net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(211,587)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145,689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income, net of tax</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263,620</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29,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89,046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$ 89,046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$ 1,721,369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$ 3,601,812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(486,723)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4,925,504</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58,956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58,956</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(28,861)</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(98,053)</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(99,941)</w:t>
            </w: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14,658</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14,754</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28,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1,736,027</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3,533,854</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(319,400)</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5,037,735</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87,253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87,253</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(211,587)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(211,587)</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(28,559)</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(28,559)</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(50,758)</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(51,705)</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28,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$ 86,326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$ 1,746,774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$ 3,541,790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(530,987)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4,843,903</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57"/>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91,504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$ 91,504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$ 1,691,334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$ 3,378,212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(409,381)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4,751,669</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209,268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209,268</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(93,761)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(93,761)</w:t>
            </w:r>
          </w:p>
        </w:tc>
      </w:tr>
      <w:tr>
        <w:trPr>
          <w:trHeight w:val="202"/>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(28,320)</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(28,320)</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(26,484)</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(27,043)</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1,702,065</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3,532,676</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(503,142)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4,822,583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117,931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117,931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(27,817)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(27,817)</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(58,595)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(59,850)</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11,816</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11,847</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$ 89,760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$ 1,713,881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$ 3,564,195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5,010,383</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114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146,209</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444,152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 under accounts receivable securitization,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borrowings under senior unsecured credit facility,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(Repayments) borrowings under bank credit facilities and other debt,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for) provided by financing activities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(512,747)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decrease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at end of period</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172,136</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6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40" w:right="5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189"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2024 balances to correspond to the fiscal 2025 consolidated financial statement presentation.</w:t>
      </w:r>
    </w:p>
    <w:p>
      <w:pPr>
        <w:spacing w:after="0" w:line="183"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45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29, 2024.</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No. 2023-07”) requiring enhanced segment disclosures primarily through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ASU No. 2023-07 will be effective for the Company in fiscal year 2025, and interim periods beginning in fiscal year 2026 with early adoption permitted. The Company is currently evaluating the impact of adopting ASU No. 2023-07 on its disclosures.</w:t>
      </w:r>
    </w:p>
    <w:p>
      <w:pPr>
        <w:spacing w:after="0" w:line="143"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will be effective for the Company in fiscal year 2026 and early adoption is permitted. The Company is currently evaluating the impact of adopting ASU No. 2023-09 on its disclosures.</w:t>
      </w:r>
    </w:p>
    <w:p>
      <w:pPr>
        <w:spacing w:after="0" w:line="156" w:lineRule="exact"/>
        <w:rPr>
          <w:sz w:val="20"/>
          <w:szCs w:val="20"/>
          <w:color w:val="auto"/>
        </w:rPr>
      </w:pPr>
    </w:p>
    <w:p>
      <w:pPr>
        <w:ind w:left="60" w:right="9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is designed to improve financial reporting by requiring public business entities to disclose additional information about specific expense categories in the financial statement notes at interim and annual reporting periods. ASU No. 2024-03 will be effective for the Company in fiscal year 2028 and early adoption is permitted. The Company is currently evaluating the impact of adopting ASU No. 2024-03 on its disclosures.</w:t>
      </w:r>
    </w:p>
    <w:p>
      <w:pPr>
        <w:spacing w:after="0" w:line="180" w:lineRule="exact"/>
        <w:rPr>
          <w:sz w:val="20"/>
          <w:szCs w:val="20"/>
          <w:color w:val="auto"/>
        </w:rPr>
      </w:pPr>
    </w:p>
    <w:p>
      <w:pPr>
        <w:ind w:left="480" w:right="7539" w:hanging="430"/>
        <w:spacing w:after="0" w:line="483" w:lineRule="auto"/>
        <w:tabs>
          <w:tab w:leader="none" w:pos="233"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33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3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3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4,531,785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4,499,691</w:t>
            </w:r>
          </w:p>
        </w:tc>
        <w:tc>
          <w:tcPr>
            <w:tcW w:w="20" w:type="dxa"/>
            <w:vAlign w:val="bottom"/>
          </w:tcPr>
          <w:p>
            <w:pPr>
              <w:spacing w:after="0"/>
              <w:rPr>
                <w:sz w:val="18"/>
                <w:szCs w:val="18"/>
                <w:color w:val="auto"/>
              </w:rPr>
            </w:pPr>
          </w:p>
        </w:tc>
      </w:tr>
      <w:tr>
        <w:trPr>
          <w:trHeight w:val="234"/>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20"/>
                <w:szCs w:val="20"/>
                <w:color w:val="auto"/>
              </w:rPr>
            </w:pPr>
          </w:p>
        </w:tc>
      </w:tr>
      <w:tr>
        <w:trPr>
          <w:trHeight w:val="846"/>
        </w:trPr>
        <w:tc>
          <w:tcPr>
            <w:tcW w:w="3300" w:type="dxa"/>
            <w:vAlign w:val="bottom"/>
          </w:tcPr>
          <w:p>
            <w:pPr>
              <w:spacing w:after="0"/>
              <w:rPr>
                <w:sz w:val="24"/>
                <w:szCs w:val="24"/>
                <w:color w:val="auto"/>
              </w:rPr>
            </w:pPr>
          </w:p>
        </w:tc>
        <w:tc>
          <w:tcPr>
            <w:tcW w:w="29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2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six months of fiscal 2025 and fiscal 2024:</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45"/>
        </w:trPr>
        <w:tc>
          <w:tcPr>
            <w:tcW w:w="6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3"/>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03"/>
        </w:trPr>
        <w:tc>
          <w:tcPr>
            <w:tcW w:w="62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110,357</w:t>
            </w: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115,807</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60" w:right="619" w:firstLine="427"/>
        <w:spacing w:after="0" w:line="266"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w:t>
      </w:r>
    </w:p>
    <w:p>
      <w:pPr>
        <w:spacing w:after="0" w:line="176"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7% of inventories as of December 28, 2024, and June 29, 2024.</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six months of fiscal 2025.</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29, 2024 </w:t>
            </w:r>
            <w:r>
              <w:rPr>
                <w:rFonts w:ascii="Times New Roman" w:cs="Times New Roman" w:eastAsia="Times New Roman" w:hAnsi="Times New Roman"/>
                <w:sz w:val="25"/>
                <w:szCs w:val="25"/>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485,027</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December 28, 2024 </w:t>
            </w:r>
            <w:r>
              <w:rPr>
                <w:rFonts w:ascii="Times New Roman" w:cs="Times New Roman" w:eastAsia="Times New Roman" w:hAnsi="Times New Roman"/>
                <w:sz w:val="25"/>
                <w:szCs w:val="25"/>
                <w:color w:val="auto"/>
                <w:vertAlign w:val="superscript"/>
              </w:rPr>
              <w:t>(1)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480,385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773,656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0D0D0D"/>
            </w:tcBorders>
          </w:tcPr>
          <w:p>
            <w:pPr>
              <w:spacing w:after="0"/>
              <w:rPr>
                <w:sz w:val="8"/>
                <w:szCs w:val="8"/>
                <w:color w:val="auto"/>
              </w:rPr>
            </w:pPr>
          </w:p>
        </w:tc>
        <w:tc>
          <w:tcPr>
            <w:tcW w:w="2220" w:type="dxa"/>
            <w:vAlign w:val="bottom"/>
            <w:tcBorders>
              <w:bottom w:val="single" w:sz="8" w:color="0D0D0D"/>
            </w:tcBorders>
          </w:tcPr>
          <w:p>
            <w:pPr>
              <w:spacing w:after="0"/>
              <w:rPr>
                <w:sz w:val="8"/>
                <w:szCs w:val="8"/>
                <w:color w:val="auto"/>
              </w:rPr>
            </w:pPr>
          </w:p>
        </w:tc>
        <w:tc>
          <w:tcPr>
            <w:tcW w:w="1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54" w:lineRule="exact"/>
        <w:rPr>
          <w:sz w:val="20"/>
          <w:szCs w:val="20"/>
          <w:color w:val="auto"/>
        </w:rPr>
      </w:pPr>
    </w:p>
    <w:p>
      <w:pPr>
        <w:ind w:left="300" w:hanging="250"/>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494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gridSpan w:val="3"/>
          </w:tcPr>
          <w:p>
            <w:pPr>
              <w:jc w:val="right"/>
              <w:ind w:right="33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w w:val="78"/>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$ 415,100</w:t>
            </w:r>
          </w:p>
        </w:tc>
        <w:tc>
          <w:tcPr>
            <w:tcW w:w="60" w:type="dxa"/>
            <w:vAlign w:val="bottom"/>
          </w:tcPr>
          <w:p>
            <w:pPr>
              <w:spacing w:after="0"/>
              <w:rPr>
                <w:sz w:val="18"/>
                <w:szCs w:val="18"/>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debt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94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2,604</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$ 492,711</w:t>
            </w:r>
          </w:p>
        </w:tc>
        <w:tc>
          <w:tcPr>
            <w:tcW w:w="6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29, December 28,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48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10"/>
        </w:trPr>
        <w:tc>
          <w:tcPr>
            <w:tcW w:w="48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gridSpan w:val="3"/>
          </w:tcPr>
          <w:p>
            <w:pPr>
              <w:jc w:val="right"/>
              <w:ind w:right="33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Accounts receivable securitization program (due December 2026)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5.21 %</w:t>
            </w:r>
          </w:p>
        </w:tc>
        <w:tc>
          <w:tcPr>
            <w:tcW w:w="2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Facility (due August 2027)</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5.19 %</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745,480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4.74 %</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notes due: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2026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4.63 %</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2028</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6.25 %</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2031</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3.00 %</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36"/>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2032</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2,577,642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2,418,228</w:t>
            </w:r>
          </w:p>
        </w:tc>
        <w:tc>
          <w:tcPr>
            <w:tcW w:w="6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(10,263)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(11,599)</w:t>
            </w:r>
          </w:p>
        </w:tc>
      </w:tr>
      <w:tr>
        <w:trPr>
          <w:trHeight w:val="203"/>
        </w:trPr>
        <w:tc>
          <w:tcPr>
            <w:tcW w:w="486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2,567,379</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2,406,629</w:t>
            </w:r>
          </w:p>
        </w:tc>
        <w:tc>
          <w:tcPr>
            <w:tcW w:w="60" w:type="dxa"/>
            <w:vAlign w:val="bottom"/>
            <w:tcBorders>
              <w:top w:val="single" w:sz="8" w:color="CCEEFF"/>
            </w:tcBorders>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In December 2024, the Company amended and extended for two years its trade accounts receivable securitization program (the “Securitization Program”) in the United States with a group of financial institutions, which is now due in December 2026. The Securitization Program allows the Company to transfer, on an ongoing revolving basis, an undivided interest in a designated pool of trade accounts receivable, to provide security or collateral for borrowings of up to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$865.3 million and $1.05 billion at December 28, 2024, and June 29, 2024, respectively. The Securitization Program contains certain covenants relating to the quality of the receivables sold.</w:t>
      </w:r>
    </w:p>
    <w:p>
      <w:pPr>
        <w:spacing w:after="0" w:line="154"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five-year $1.50 billion revolving credit facility (the “Credit Facility”) with a syndicate of banks, which expires in December 2027. It consists of revolving credit facilities and the issuance of up to $200.0 million of letters of credit and up to $300.0 million of loans in certain approved currencies. As of December 28, 2024, and June 29, 2024, there were $0.9 million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December 28, 2024, and June 29, 2024.</w:t>
      </w:r>
    </w:p>
    <w:p>
      <w:pPr>
        <w:spacing w:after="0" w:line="151" w:lineRule="exact"/>
        <w:rPr>
          <w:sz w:val="20"/>
          <w:szCs w:val="20"/>
          <w:color w:val="auto"/>
        </w:rPr>
      </w:pPr>
    </w:p>
    <w:p>
      <w:pPr>
        <w:ind w:left="60" w:right="99" w:firstLine="427"/>
        <w:spacing w:after="0" w:line="282" w:lineRule="auto"/>
        <w:rPr>
          <w:sz w:val="20"/>
          <w:szCs w:val="20"/>
          <w:color w:val="auto"/>
        </w:rPr>
      </w:pPr>
      <w:r>
        <w:rPr>
          <w:rFonts w:ascii="Times New Roman" w:cs="Times New Roman" w:eastAsia="Times New Roman" w:hAnsi="Times New Roman"/>
          <w:sz w:val="18"/>
          <w:szCs w:val="18"/>
          <w:color w:val="auto"/>
        </w:rPr>
        <w:t>In January 2025, the Company extended the Credit Facility until January 2030 and made an amendment to one of the covenants associated with the limitations on certain payments.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As of December 28, 2024, the carrying value and fair value of the Company’s total debt was $2.57 billion and $2.53 billion, respectively. At June 29, 2024, the carrying value and fair value of the Company’s total debt was $2.90 billion and $2.85 billion, respectively. Fair value for public notes was estimated based on quoted market prices (Level 1) and, for other forms of debt, fair value approximates carrying value due to the market based variable nature of the interest rates on those debt facilities (Level 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89"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59" w:firstLine="427"/>
        <w:spacing w:after="0" w:line="253" w:lineRule="auto"/>
        <w:rPr>
          <w:sz w:val="20"/>
          <w:szCs w:val="20"/>
          <w:color w:val="auto"/>
        </w:rPr>
      </w:pPr>
      <w:r>
        <w:rPr>
          <w:rFonts w:ascii="Times New Roman" w:cs="Times New Roman" w:eastAsia="Times New Roman" w:hAnsi="Times New Roman"/>
          <w:sz w:val="18"/>
          <w:szCs w:val="18"/>
          <w:color w:val="auto"/>
        </w:rPr>
        <w:t>The Company uses economic hedges to reduce this risk utilizing natural hedging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94"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40"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0" w:type="dxa"/>
            <w:vAlign w:val="bottom"/>
          </w:tcPr>
          <w:p>
            <w:pPr>
              <w:spacing w:after="0"/>
              <w:rPr>
                <w:sz w:val="1"/>
                <w:szCs w:val="1"/>
                <w:color w:val="auto"/>
              </w:rPr>
            </w:pPr>
          </w:p>
        </w:tc>
      </w:tr>
      <w:tr>
        <w:trPr>
          <w:trHeight w:val="245"/>
        </w:trPr>
        <w:tc>
          <w:tcPr>
            <w:tcW w:w="67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220" w:type="dxa"/>
            <w:vAlign w:val="bottom"/>
          </w:tcPr>
          <w:p>
            <w:pPr>
              <w:spacing w:after="0"/>
              <w:rPr>
                <w:sz w:val="20"/>
                <w:szCs w:val="20"/>
                <w:color w:val="auto"/>
              </w:rPr>
            </w:pPr>
          </w:p>
        </w:tc>
        <w:tc>
          <w:tcPr>
            <w:tcW w:w="19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180"/>
        </w:trPr>
        <w:tc>
          <w:tcPr>
            <w:tcW w:w="6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14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194"/>
        </w:trPr>
        <w:tc>
          <w:tcPr>
            <w:tcW w:w="1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30,</w:t>
            </w:r>
          </w:p>
        </w:tc>
        <w:tc>
          <w:tcPr>
            <w:tcW w:w="100" w:type="dxa"/>
            <w:vAlign w:val="bottom"/>
          </w:tcPr>
          <w:p>
            <w:pPr>
              <w:spacing w:after="0"/>
              <w:rPr>
                <w:sz w:val="16"/>
                <w:szCs w:val="16"/>
                <w:color w:val="auto"/>
              </w:rPr>
            </w:pPr>
          </w:p>
        </w:tc>
        <w:tc>
          <w:tcPr>
            <w:tcW w:w="11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December 28,</w:t>
            </w:r>
          </w:p>
        </w:tc>
        <w:tc>
          <w:tcPr>
            <w:tcW w:w="104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December 30,</w:t>
            </w:r>
          </w:p>
        </w:tc>
        <w:tc>
          <w:tcPr>
            <w:tcW w:w="20" w:type="dxa"/>
            <w:vAlign w:val="bottom"/>
          </w:tcPr>
          <w:p>
            <w:pPr>
              <w:spacing w:after="0"/>
              <w:rPr>
                <w:sz w:val="16"/>
                <w:szCs w:val="16"/>
                <w:color w:val="auto"/>
              </w:rPr>
            </w:pPr>
          </w:p>
        </w:tc>
      </w:tr>
      <w:tr>
        <w:trPr>
          <w:trHeight w:val="245"/>
        </w:trPr>
        <w:tc>
          <w:tcPr>
            <w:tcW w:w="14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1"/>
                <w:szCs w:val="21"/>
                <w:color w:val="auto"/>
              </w:rPr>
            </w:pPr>
          </w:p>
        </w:tc>
      </w:tr>
      <w:tr>
        <w:trPr>
          <w:trHeight w:val="203"/>
        </w:trPr>
        <w:tc>
          <w:tcPr>
            <w:tcW w:w="1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right"/>
              <w:ind w:right="535"/>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(20,733)</w:t>
            </w:r>
          </w:p>
        </w:tc>
        <w:tc>
          <w:tcPr>
            <w:tcW w:w="20" w:type="dxa"/>
            <w:vAlign w:val="bottom"/>
          </w:tcPr>
          <w:p>
            <w:pPr>
              <w:spacing w:after="0"/>
              <w:rPr>
                <w:sz w:val="18"/>
                <w:szCs w:val="18"/>
                <w:color w:val="auto"/>
              </w:rPr>
            </w:pPr>
          </w:p>
        </w:tc>
      </w:tr>
      <w:tr>
        <w:trPr>
          <w:trHeight w:val="198"/>
        </w:trPr>
        <w:tc>
          <w:tcPr>
            <w:tcW w:w="1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Cross currency</w:t>
            </w:r>
          </w:p>
        </w:tc>
        <w:tc>
          <w:tcPr>
            <w:tcW w:w="31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and other financing expense,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20" w:type="dxa"/>
            <w:vAlign w:val="bottom"/>
          </w:tcPr>
          <w:p>
            <w:pPr>
              <w:spacing w:after="0"/>
              <w:rPr>
                <w:sz w:val="20"/>
                <w:szCs w:val="20"/>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89"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40"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ind w:left="60" w:right="220" w:firstLine="427"/>
        <w:spacing w:after="0" w:line="266" w:lineRule="auto"/>
        <w:rPr>
          <w:sz w:val="20"/>
          <w:szCs w:val="20"/>
          <w:color w:val="auto"/>
        </w:rPr>
      </w:pPr>
      <w:r>
        <w:rPr>
          <w:rFonts w:ascii="Times New Roman" w:cs="Times New Roman" w:eastAsia="Times New Roman" w:hAnsi="Times New Roman"/>
          <w:sz w:val="18"/>
          <w:szCs w:val="18"/>
          <w:color w:val="auto"/>
        </w:rPr>
        <w:t>As of December 28, 2024, and June 29, 2024, the Company had aggregate estimated liabilities of $13.7 million and $17.2 million, respectively, classified within accrued expenses and other for such compliance-related matters that were reasonably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187" w:lineRule="exact"/>
        <w:rPr>
          <w:sz w:val="20"/>
          <w:szCs w:val="20"/>
          <w:color w:val="auto"/>
        </w:rPr>
      </w:pPr>
    </w:p>
    <w:p>
      <w:pPr>
        <w:jc w:val="both"/>
        <w:ind w:left="60" w:right="520" w:firstLine="427"/>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2024, the Company recorded a gain on legal settlements and other of $86.5 million in connection with the settlements of claims filed against certain manufacturers of capacitors, which was also realized in cash that same quarter.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89"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below discussion of the effective tax rate for the periods presented in the consolidated statements of operations is in comparison to the 21% U.S. statutory federal income tax rate.</w:t>
      </w:r>
    </w:p>
    <w:p>
      <w:pPr>
        <w:spacing w:after="0" w:line="162" w:lineRule="exact"/>
        <w:rPr>
          <w:sz w:val="20"/>
          <w:szCs w:val="20"/>
          <w:color w:val="auto"/>
        </w:rPr>
      </w:pPr>
    </w:p>
    <w:p>
      <w:pPr>
        <w:jc w:val="both"/>
        <w:ind w:left="60" w:right="27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3.4% in the second quarter of fiscal 2025. During the second quarter of fiscal 2025, the Company’s effective tax rate was favorably impacted primarily by increases in tax attribute carryforwards.</w:t>
      </w:r>
    </w:p>
    <w:p>
      <w:pPr>
        <w:spacing w:after="0" w:line="176" w:lineRule="exact"/>
        <w:rPr>
          <w:sz w:val="20"/>
          <w:szCs w:val="20"/>
          <w:color w:val="auto"/>
        </w:rPr>
      </w:pPr>
    </w:p>
    <w:p>
      <w:pPr>
        <w:ind w:left="60" w:right="259" w:firstLine="427"/>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2024, the Company’s effective tax rate on its income before taxes was 23.2%. During the second quarter of fiscal 2024, the Company’s effective tax rate was unfavorably impacted primarily by (i) increases to unrecognized tax benefit reserves, (ii) U.S. state taxes, partially offset by (iii) the mix of income in lower tax foreign jurisdictions.</w:t>
      </w:r>
    </w:p>
    <w:p>
      <w:pPr>
        <w:spacing w:after="0" w:line="180" w:lineRule="exact"/>
        <w:rPr>
          <w:sz w:val="20"/>
          <w:szCs w:val="20"/>
          <w:color w:val="auto"/>
        </w:rPr>
      </w:pPr>
    </w:p>
    <w:p>
      <w:pPr>
        <w:ind w:left="60" w:right="279" w:firstLine="427"/>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2025, the Company’s effective tax rate on its income before taxes was 11.4%. The effective tax rate for the first six months of fiscal 2025 was favorably impacted primarily by (i) increases in tax attribute carryforwards, partially offset by (ii) the mix of income in higher tax jurisdictions, and (iii) increases to valuation allowances.</w:t>
      </w:r>
    </w:p>
    <w:p>
      <w:pPr>
        <w:spacing w:after="0" w:line="180"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2024, the Company’s effective tax rate on its income before taxes was 23.7%. The effective tax rate for the first six months of fiscal 2024 was unfavorably impacted primarily by (i) increases to unrecognized tax benefit reserves, (ii) U.S. state taxes, and (iii) the mix of income in higher tax foreign jurisdictions.</w:t>
      </w:r>
    </w:p>
    <w:p>
      <w:pPr>
        <w:spacing w:after="0" w:line="176"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The Pillar Two rules published by the Organization for Economic Co-operation and Development (OECD) are effective for the Company in fiscal year 2025. The Company does not expect Pillar Two taxes to have a significant impact on its income tax expense and is closely monitoring the potential impacts of further legislation, regulatory guidance, and regulations issued in the countries in which the Company does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w:t>
      </w:r>
    </w:p>
    <w:p>
      <w:pPr>
        <w:spacing w:after="0" w:line="202"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was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1"/>
                <w:szCs w:val="21"/>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18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80" w:type="dxa"/>
            <w:vAlign w:val="bottom"/>
          </w:tcPr>
          <w:p>
            <w:pPr>
              <w:spacing w:after="0"/>
              <w:rPr>
                <w:sz w:val="16"/>
                <w:szCs w:val="16"/>
                <w:color w:val="auto"/>
              </w:rPr>
            </w:pPr>
          </w:p>
        </w:tc>
        <w:tc>
          <w:tcPr>
            <w:tcW w:w="126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8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0" w:type="dxa"/>
            <w:vAlign w:val="bottom"/>
          </w:tcPr>
          <w:p>
            <w:pPr>
              <w:spacing w:after="0"/>
              <w:rPr>
                <w:sz w:val="16"/>
                <w:szCs w:val="16"/>
                <w:color w:val="auto"/>
              </w:rPr>
            </w:pPr>
          </w:p>
        </w:tc>
      </w:tr>
      <w:tr>
        <w:trPr>
          <w:trHeight w:val="245"/>
        </w:trPr>
        <w:tc>
          <w:tcPr>
            <w:tcW w:w="4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4"/>
          </w:tcPr>
          <w:p>
            <w:pPr>
              <w:jc w:val="right"/>
              <w:ind w:right="5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cost within selling, general and administrative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0" w:type="dxa"/>
            <w:vAlign w:val="bottom"/>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(10,439)</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(9,985)</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(20,877)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0" w:type="dxa"/>
            <w:vAlign w:val="bottom"/>
          </w:tcPr>
          <w:p>
            <w:pPr>
              <w:spacing w:after="0"/>
              <w:rPr>
                <w:sz w:val="18"/>
                <w:szCs w:val="18"/>
                <w:color w:val="auto"/>
              </w:rPr>
            </w:pPr>
          </w:p>
        </w:tc>
      </w:tr>
      <w:tr>
        <w:trPr>
          <w:trHeight w:val="236"/>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 and other</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0"/>
                <w:szCs w:val="20"/>
                <w:color w:val="auto"/>
              </w:rPr>
            </w:pPr>
          </w:p>
        </w:tc>
      </w:tr>
      <w:tr>
        <w:trPr>
          <w:trHeight w:val="171"/>
        </w:trPr>
        <w:tc>
          <w:tcPr>
            <w:tcW w:w="418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benefit within 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(2,969)</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(5,938)</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(7,568)</w:t>
            </w:r>
          </w:p>
        </w:tc>
      </w:tr>
      <w:tr>
        <w:trPr>
          <w:trHeight w:val="236"/>
        </w:trPr>
        <w:tc>
          <w:tcPr>
            <w:tcW w:w="4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1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benefit</w:t>
            </w: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(2,442)</w:t>
            </w:r>
          </w:p>
        </w:tc>
        <w:tc>
          <w:tcPr>
            <w:tcW w:w="20" w:type="dxa"/>
            <w:vAlign w:val="bottom"/>
            <w:tcBorders>
              <w:bottom w:val="single" w:sz="8" w:color="auto"/>
            </w:tcBorders>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$4.0 million of contributions during the first six months of fiscal 2025 and expects to make additional contributions to the Plan of $4.0 million in the remainder of fiscal 2025.</w:t>
      </w:r>
    </w:p>
    <w:p>
      <w:pPr>
        <w:sectPr>
          <w:pgSz w:w="11900" w:h="16838" w:orient="portrait"/>
          <w:cols w:equalWidth="0" w:num="1">
            <w:col w:w="9019"/>
          </w:cols>
          <w:pgMar w:left="1440" w:top="54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In August 2024, the Company’s Board of Directors approved an increase in the Company’s existing share repurchase plan. With this increase, the Company is authorized to repurchase up to an aggregate of $600 million of common stock. During the second quarter of fiscal 2025, the Company repurchased 0.9 million shares for a total cost of $51.2 million, excluding excise tax. As of December 28, 2024, the Company had $515.4 million remaining under its increased share repurchase authorization.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87" w:lineRule="exact"/>
        <w:rPr>
          <w:sz w:val="20"/>
          <w:szCs w:val="20"/>
          <w:color w:val="auto"/>
        </w:rPr>
      </w:pPr>
    </w:p>
    <w:p>
      <w:pPr>
        <w:ind w:left="60" w:right="99" w:firstLine="432"/>
        <w:spacing w:after="0" w:line="282" w:lineRule="auto"/>
        <w:rPr>
          <w:sz w:val="20"/>
          <w:szCs w:val="20"/>
          <w:color w:val="auto"/>
        </w:rPr>
      </w:pPr>
      <w:r>
        <w:rPr>
          <w:rFonts w:ascii="Times New Roman" w:cs="Times New Roman" w:eastAsia="Times New Roman" w:hAnsi="Times New Roman"/>
          <w:sz w:val="18"/>
          <w:szCs w:val="18"/>
          <w:color w:val="auto"/>
        </w:rPr>
        <w:t>In November 2024, the Company’s Board of Directors approved a dividend of $0.33 per common share and dividend payments of $28.6 million were made in December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10. Earnings per share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4"/>
                <w:szCs w:val="24"/>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30,</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9"/>
          </w:tcPr>
          <w:p>
            <w:pPr>
              <w:ind w:left="800"/>
              <w:spacing w:after="0" w:line="202" w:lineRule="exact"/>
              <w:rPr>
                <w:sz w:val="20"/>
                <w:szCs w:val="20"/>
                <w:color w:val="auto"/>
              </w:rPr>
            </w:pPr>
            <w:r>
              <w:rPr>
                <w:rFonts w:ascii="Times New Roman" w:cs="Times New Roman" w:eastAsia="Times New Roman" w:hAnsi="Times New Roman"/>
                <w:sz w:val="18"/>
                <w:szCs w:val="18"/>
                <w:b w:val="1"/>
                <w:bCs w:val="1"/>
                <w:color w:val="auto"/>
              </w:rPr>
              <w:t>(Thousands, except per share data)</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for basic earnings per</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common shares for diluted earnings per</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Stock options excluded from earnings per share calculation</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due to an anti-dilutive effect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Additional cash flow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1260" w:type="dxa"/>
            <w:vAlign w:val="bottom"/>
            <w:tcBorders>
              <w:top w:val="single" w:sz="8" w:color="auto"/>
            </w:tcBorders>
            <w:gridSpan w:val="3"/>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0" w:type="dxa"/>
            <w:vAlign w:val="bottom"/>
          </w:tcPr>
          <w:p>
            <w:pPr>
              <w:spacing w:after="0"/>
              <w:rPr>
                <w:sz w:val="16"/>
                <w:szCs w:val="16"/>
                <w:color w:val="auto"/>
              </w:rPr>
            </w:pPr>
          </w:p>
        </w:tc>
      </w:tr>
      <w:tr>
        <w:trPr>
          <w:trHeight w:val="245"/>
        </w:trPr>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30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30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152,752</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304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118,687</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128,843</w:t>
            </w:r>
          </w:p>
        </w:tc>
        <w:tc>
          <w:tcPr>
            <w:tcW w:w="20" w:type="dxa"/>
            <w:vAlign w:val="bottom"/>
          </w:tcPr>
          <w:p>
            <w:pPr>
              <w:spacing w:after="0"/>
              <w:rPr>
                <w:sz w:val="18"/>
                <w:szCs w:val="18"/>
                <w:color w:val="auto"/>
              </w:rPr>
            </w:pPr>
          </w:p>
        </w:tc>
      </w:tr>
      <w:tr>
        <w:trPr>
          <w:trHeight w:val="864"/>
        </w:trPr>
        <w:tc>
          <w:tcPr>
            <w:tcW w:w="3760" w:type="dxa"/>
            <w:vAlign w:val="bottom"/>
          </w:tcPr>
          <w:p>
            <w:pPr>
              <w:spacing w:after="0"/>
              <w:rPr>
                <w:sz w:val="24"/>
                <w:szCs w:val="24"/>
                <w:color w:val="auto"/>
              </w:rPr>
            </w:pPr>
          </w:p>
        </w:tc>
        <w:tc>
          <w:tcPr>
            <w:tcW w:w="284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35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December 28, 2024, and June 29, 2024, was $3.4 million and $14.1 million, respectively, of cash equivalents, which was primarily comprised of investment grade money market funds and overnight time deposits.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124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8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200" w:type="dxa"/>
            <w:vAlign w:val="bottom"/>
          </w:tcPr>
          <w:p>
            <w:pPr>
              <w:spacing w:after="0"/>
              <w:rPr>
                <w:sz w:val="16"/>
                <w:szCs w:val="16"/>
                <w:color w:val="auto"/>
              </w:rPr>
            </w:pPr>
          </w:p>
        </w:tc>
        <w:tc>
          <w:tcPr>
            <w:tcW w:w="10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5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5,317,815</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5,812,118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10,574,874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392,796</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692,662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5,663,384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11,267,536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181,622</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155,327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236,257</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297,551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1,368,798</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1,588,508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3,250,975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4,421,601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Asia</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2,711,781</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2,502,856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5,317,879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4,956,932</w:t>
            </w:r>
          </w:p>
        </w:tc>
        <w:tc>
          <w:tcPr>
            <w:tcW w:w="0" w:type="dxa"/>
            <w:vAlign w:val="bottom"/>
          </w:tcPr>
          <w:p>
            <w:pPr>
              <w:spacing w:after="0"/>
              <w:rPr>
                <w:sz w:val="1"/>
                <w:szCs w:val="1"/>
                <w:color w:val="auto"/>
              </w:rPr>
            </w:pPr>
          </w:p>
        </w:tc>
      </w:tr>
      <w:tr>
        <w:trPr>
          <w:trHeight w:val="203"/>
        </w:trPr>
        <w:tc>
          <w:tcPr>
            <w:tcW w:w="37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5,663,384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6,204,914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11,267,536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12,540,562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202"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During fiscal 2025, the Company executed certain restructuring actions to reduce future operating expenses including specific restructuring actions to reduce expenses within the Farnell operating group. The following table presents the activity during the first six months of fiscal 2025 related to the restructuring liabilities established during fiscal 2025:</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22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Impairments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restructuring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198"/>
        </w:trPr>
        <w:tc>
          <w:tcPr>
            <w:tcW w:w="3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427"/>
        <w:spacing w:after="0" w:line="261" w:lineRule="auto"/>
        <w:rPr>
          <w:sz w:val="20"/>
          <w:szCs w:val="20"/>
          <w:color w:val="auto"/>
        </w:rPr>
      </w:pPr>
      <w:r>
        <w:rPr>
          <w:rFonts w:ascii="Times New Roman" w:cs="Times New Roman" w:eastAsia="Times New Roman" w:hAnsi="Times New Roman"/>
          <w:sz w:val="18"/>
          <w:szCs w:val="18"/>
          <w:color w:val="auto"/>
        </w:rPr>
        <w:t>Severance expense recorded in the first six months of fiscal 2025 related to the reduction, or planned reduction, of over 150 employees, primarily in operations, distribution centers, and business support functions. Of the $27.9 million in restructuring expenses recorded in the first six months of fiscal 2025, $3.4 million related to EC, and $24.5 million related to Farnell. The Company expects the majority of the remaining amounts to be paid by the end of fiscal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189"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During fiscal 2024, the Company incurred restructuring expenses primarily related to headcount reductions including from the planned closure of certain distribution centers intended to reduce future operating expenses. The Company expects the majority of the remaining amounts to be paid by the end of fiscal 2025. The following table presents the activity during the first six months of fiscal 2025 related to the remaining restructuring liabilities established during fiscal 2024:</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June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Changes in estimates, net</w:t>
      </w:r>
    </w:p>
    <w:p>
      <w:pPr>
        <w:spacing w:after="0" w:line="9" w:lineRule="exact"/>
        <w:rPr>
          <w:sz w:val="20"/>
          <w:szCs w:val="20"/>
          <w:color w:val="auto"/>
        </w:rPr>
      </w:pPr>
    </w:p>
    <w:p>
      <w:pPr>
        <w:ind w:left="60" w:right="2580" w:firstLine="108"/>
        <w:spacing w:after="0" w:line="307" w:lineRule="auto"/>
        <w:rPr>
          <w:sz w:val="20"/>
          <w:szCs w:val="20"/>
          <w:color w:val="auto"/>
        </w:rPr>
      </w:pPr>
      <w:r>
        <w:rPr>
          <w:rFonts w:ascii="Times New Roman" w:cs="Times New Roman" w:eastAsia="Times New Roman" w:hAnsi="Times New Roman"/>
          <w:sz w:val="18"/>
          <w:szCs w:val="18"/>
          <w:color w:val="auto"/>
        </w:rPr>
        <w:t>Other, principally foreign currency translation Balance at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-189865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Severance</w:t>
            </w:r>
          </w:p>
        </w:tc>
      </w:tr>
      <w:tr>
        <w:trPr>
          <w:trHeight w:val="198"/>
        </w:trPr>
        <w:tc>
          <w:tcPr>
            <w:tcW w:w="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(10,155)</w:t>
            </w:r>
          </w:p>
        </w:tc>
      </w:tr>
      <w:tr>
        <w:trPr>
          <w:trHeight w:val="216"/>
        </w:trPr>
        <w:tc>
          <w:tcPr>
            <w:tcW w:w="3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r>
      <w:tr>
        <w:trPr>
          <w:trHeight w:val="241"/>
        </w:trPr>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216"/>
        </w:trPr>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0" w:lineRule="exact"/>
        <w:rPr>
          <w:sz w:val="20"/>
          <w:szCs w:val="20"/>
          <w:color w:val="auto"/>
        </w:rPr>
      </w:pPr>
    </w:p>
    <w:p>
      <w:pPr>
        <w:sectPr>
          <w:pgSz w:w="11900" w:h="16838" w:orient="portrait"/>
          <w:cols w:equalWidth="0" w:num="2">
            <w:col w:w="6060" w:space="720"/>
            <w:col w:w="2239"/>
          </w:cols>
          <w:pgMar w:left="1440" w:top="5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29, 2024,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December 28, 2024,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June 29, 2024.</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13" w:lineRule="exact"/>
        <w:rPr>
          <w:sz w:val="20"/>
          <w:szCs w:val="20"/>
          <w:color w:val="auto"/>
        </w:rPr>
      </w:pPr>
    </w:p>
    <w:p>
      <w:pPr>
        <w:ind w:left="720" w:right="6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1"/>
                <w:szCs w:val="21"/>
                <w:color w:val="auto"/>
              </w:rPr>
            </w:pPr>
          </w:p>
        </w:tc>
        <w:tc>
          <w:tcPr>
            <w:tcW w:w="21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1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80" w:type="dxa"/>
            <w:vAlign w:val="bottom"/>
          </w:tcPr>
          <w:p>
            <w:pPr>
              <w:spacing w:after="0"/>
              <w:rPr>
                <w:sz w:val="16"/>
                <w:szCs w:val="16"/>
                <w:color w:val="auto"/>
              </w:rPr>
            </w:pPr>
          </w:p>
        </w:tc>
        <w:tc>
          <w:tcPr>
            <w:tcW w:w="126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6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30,</w:t>
            </w:r>
          </w:p>
        </w:tc>
      </w:tr>
      <w:tr>
        <w:trPr>
          <w:trHeight w:val="245"/>
        </w:trPr>
        <w:tc>
          <w:tcPr>
            <w:tcW w:w="4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5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490,026</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36"/>
        </w:trPr>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03"/>
        </w:trPr>
        <w:tc>
          <w:tcPr>
            <w:tcW w:w="4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159,487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242,204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328,430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503,902</w:t>
            </w: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179" w:firstLine="427"/>
        <w:spacing w:after="0" w:line="256"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202" w:lineRule="exact"/>
        <w:rPr>
          <w:sz w:val="20"/>
          <w:szCs w:val="20"/>
          <w:color w:val="auto"/>
        </w:rPr>
      </w:pPr>
    </w:p>
    <w:p>
      <w:pPr>
        <w:ind w:left="60" w:right="159" w:firstLine="432"/>
        <w:spacing w:after="0" w:line="256"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decreased sales, resulting in lower operating income. The duration of the current downturn is uncertain. The Company expects sales in the third quarter of fiscal 2025 to be down 6% to down 11%, compared to the second quarter of fiscal 2025.</w:t>
      </w:r>
    </w:p>
    <w:p>
      <w:pPr>
        <w:spacing w:after="0" w:line="187"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Additionally, the Company’s inventories relative to its sales are higher than they have historically been as a result of this industry downturn. The Company has and may in the future purchase additional inventories from electronic component suppliers, even in an industry downturn, if the Company believes the purchase will benefit the Company’s financial or strategic business objectives.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40" w:type="dxa"/>
            <w:vAlign w:val="bottom"/>
            <w:tcBorders>
              <w:bottom w:val="single" w:sz="8" w:color="auto"/>
            </w:tcBorders>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Q2 2025</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Q2 2024</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Variance %</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Q2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Variance %</w:t>
            </w:r>
          </w:p>
        </w:tc>
      </w:tr>
      <w:tr>
        <w:trPr>
          <w:trHeight w:val="203"/>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 unless otherwise</w:t>
            </w:r>
          </w:p>
        </w:tc>
        <w:tc>
          <w:tcPr>
            <w:tcW w:w="140" w:type="dxa"/>
            <w:vAlign w:val="bottom"/>
            <w:gridSpan w:val="2"/>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stated)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$ 5,663</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$ 6,205</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$ 11,268</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$ 12,541</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(1,273)</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596</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1,203</w:t>
            </w:r>
          </w:p>
        </w:tc>
        <w:tc>
          <w:tcPr>
            <w:tcW w:w="40" w:type="dxa"/>
            <w:vAlign w:val="bottom"/>
          </w:tcPr>
          <w:p>
            <w:pPr>
              <w:spacing w:after="0"/>
              <w:rPr>
                <w:sz w:val="18"/>
                <w:szCs w:val="18"/>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1,454</w:t>
            </w:r>
          </w:p>
        </w:tc>
        <w:tc>
          <w:tcPr>
            <w:tcW w:w="2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(251)</w:t>
            </w:r>
          </w:p>
        </w:tc>
        <w:tc>
          <w:tcPr>
            <w:tcW w:w="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2"/>
        </w:trPr>
        <w:tc>
          <w:tcPr>
            <w:tcW w:w="2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expenses</w:t>
            </w: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876</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952</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integration, and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2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expenses</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9"/>
                <w:szCs w:val="19"/>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19"/>
                <w:szCs w:val="19"/>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9"/>
                <w:szCs w:val="19"/>
                <w:color w:val="auto"/>
              </w:rPr>
            </w:pPr>
          </w:p>
        </w:tc>
        <w:tc>
          <w:tcPr>
            <w:tcW w:w="9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145.4</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(81)</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298</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(39.3)</w:t>
            </w:r>
          </w:p>
        </w:tc>
      </w:tr>
      <w:tr>
        <w:trPr>
          <w:trHeight w:val="21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159</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242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i w:val="1"/>
                <w:iCs w:val="1"/>
                <w:color w:val="auto"/>
              </w:rPr>
              <w:t>(83)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(34.2)</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328</w:t>
            </w:r>
          </w:p>
        </w:tc>
        <w:tc>
          <w:tcPr>
            <w:tcW w:w="40" w:type="dxa"/>
            <w:vAlign w:val="bottom"/>
          </w:tcPr>
          <w:p>
            <w:pPr>
              <w:spacing w:after="0"/>
              <w:rPr>
                <w:sz w:val="18"/>
                <w:szCs w:val="18"/>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504</w:t>
            </w:r>
          </w:p>
        </w:tc>
        <w:tc>
          <w:tcPr>
            <w:tcW w:w="2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i w:val="1"/>
                <w:iCs w:val="1"/>
                <w:color w:val="auto"/>
              </w:rPr>
              <w:t>(175)</w:t>
            </w:r>
          </w:p>
        </w:tc>
        <w:tc>
          <w:tcPr>
            <w:tcW w:w="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(34.8)</w:t>
            </w:r>
          </w:p>
        </w:tc>
      </w:tr>
      <w:tr>
        <w:trPr>
          <w:trHeight w:val="21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6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133.4</w:t>
            </w: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financing</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2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expenses, net</w:t>
            </w:r>
          </w:p>
        </w:tc>
        <w:tc>
          <w:tcPr>
            <w:tcW w:w="6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(62)</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Pr>
          <w:p>
            <w:pPr>
              <w:spacing w:after="0"/>
              <w:rPr>
                <w:sz w:val="19"/>
                <w:szCs w:val="19"/>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20" w:type="dxa"/>
            <w:vAlign w:val="bottom"/>
          </w:tcPr>
          <w:p>
            <w:pPr>
              <w:spacing w:after="0"/>
              <w:rPr>
                <w:sz w:val="19"/>
                <w:szCs w:val="19"/>
                <w:color w:val="auto"/>
              </w:rPr>
            </w:pPr>
          </w:p>
        </w:tc>
        <w:tc>
          <w:tcPr>
            <w:tcW w:w="9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legal settlements and other</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18"/>
                <w:szCs w:val="18"/>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(81.5)</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6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(31)</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146</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(181)</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(55.3)</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(0.29)</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1.65</w:t>
            </w:r>
          </w:p>
        </w:tc>
        <w:tc>
          <w:tcPr>
            <w:tcW w:w="40" w:type="dxa"/>
            <w:vAlign w:val="bottom"/>
          </w:tcPr>
          <w:p>
            <w:pPr>
              <w:spacing w:after="0"/>
              <w:rPr>
                <w:sz w:val="18"/>
                <w:szCs w:val="18"/>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3.54</w:t>
            </w:r>
          </w:p>
        </w:tc>
        <w:tc>
          <w:tcPr>
            <w:tcW w:w="2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(1.89)</w:t>
            </w:r>
          </w:p>
        </w:tc>
        <w:tc>
          <w:tcPr>
            <w:tcW w:w="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(53.4)</w:t>
            </w:r>
          </w:p>
        </w:tc>
      </w:tr>
      <w:tr>
        <w:trPr>
          <w:trHeight w:val="219"/>
        </w:trPr>
        <w:tc>
          <w:tcPr>
            <w:tcW w:w="2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bps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 bps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margin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bps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 bps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(108) bps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2.9 %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(111) bps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(1,984) bps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(1,233) bps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r>
    </w:tbl>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75" w:lineRule="exact"/>
        <w:rPr>
          <w:sz w:val="20"/>
          <w:szCs w:val="20"/>
          <w:color w:val="auto"/>
        </w:rPr>
      </w:pPr>
    </w:p>
    <w:p>
      <w:pPr>
        <w:ind w:left="60" w:right="140" w:firstLine="427"/>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percentage change in sales for the second quarter and first six months of fiscal 2025 as compared to the second quarter and first six months fiscal 2024, by geographic region and operating group.</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21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70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0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w:t>
            </w:r>
          </w:p>
        </w:tc>
        <w:tc>
          <w:tcPr>
            <w:tcW w:w="2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47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4700" w:type="dxa"/>
            <w:vAlign w:val="bottom"/>
          </w:tcPr>
          <w:p>
            <w:pPr>
              <w:spacing w:after="0"/>
              <w:rPr>
                <w:sz w:val="18"/>
                <w:szCs w:val="18"/>
                <w:color w:val="auto"/>
              </w:rPr>
            </w:pPr>
          </w:p>
        </w:tc>
        <w:tc>
          <w:tcPr>
            <w:tcW w:w="4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Year-Year %   Constant   Year-Year %   Constant</w:t>
            </w:r>
          </w:p>
        </w:tc>
      </w:tr>
      <w:tr>
        <w:trPr>
          <w:trHeight w:val="245"/>
        </w:trPr>
        <w:tc>
          <w:tcPr>
            <w:tcW w:w="470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432"/>
        </w:trPr>
        <w:tc>
          <w:tcPr>
            <w:tcW w:w="4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0" w:type="dxa"/>
            <w:vAlign w:val="bottom"/>
          </w:tcPr>
          <w:p>
            <w:pPr>
              <w:spacing w:after="0"/>
              <w:rPr>
                <w:sz w:val="24"/>
                <w:szCs w:val="24"/>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0" w:type="dxa"/>
            <w:vAlign w:val="bottom"/>
          </w:tcPr>
          <w:p>
            <w:pPr>
              <w:spacing w:after="0"/>
              <w:rPr>
                <w:sz w:val="24"/>
                <w:szCs w:val="24"/>
                <w:color w:val="auto"/>
              </w:rPr>
            </w:pPr>
          </w:p>
        </w:tc>
      </w:tr>
      <w:tr>
        <w:trPr>
          <w:trHeight w:val="432"/>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20" w:type="dxa"/>
            <w:vAlign w:val="bottom"/>
          </w:tcPr>
          <w:p>
            <w:pPr>
              <w:spacing w:after="0"/>
              <w:rPr>
                <w:sz w:val="24"/>
                <w:szCs w:val="24"/>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0" w:type="dxa"/>
            <w:vAlign w:val="bottom"/>
          </w:tcPr>
          <w:p>
            <w:pPr>
              <w:spacing w:after="0"/>
              <w:rPr>
                <w:sz w:val="24"/>
                <w:szCs w:val="24"/>
                <w:color w:val="auto"/>
              </w:rPr>
            </w:pPr>
          </w:p>
        </w:tc>
      </w:tr>
      <w:tr>
        <w:trPr>
          <w:trHeight w:val="432"/>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20"/>
          </w:cols>
          <w:pgMar w:left="1440" w:top="540" w:right="1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During the second quarter and first half of fiscal 2025, both operating groups continued to experience a cyclical downturn resulting in lower demand for the Company’s products. Sales of $5.66 billion for the second quarter of fiscal 2025 decreased $541.5 million, or 8.7%, as compared to $6.20 billion for the same quarter last year. Sales for the first six months of fiscal 2025 were $11.27 billion, a decrease of $1.27 billion as compared to sales of $12.54 billion for the first six months of fiscal 2024.</w:t>
      </w:r>
    </w:p>
    <w:p>
      <w:pPr>
        <w:spacing w:after="0" w:line="183" w:lineRule="exact"/>
        <w:rPr>
          <w:sz w:val="20"/>
          <w:szCs w:val="20"/>
          <w:color w:val="auto"/>
        </w:rPr>
      </w:pPr>
    </w:p>
    <w:p>
      <w:pPr>
        <w:ind w:left="60" w:right="199" w:firstLine="427"/>
        <w:spacing w:after="0" w:line="258" w:lineRule="auto"/>
        <w:rPr>
          <w:sz w:val="20"/>
          <w:szCs w:val="20"/>
          <w:color w:val="auto"/>
        </w:rPr>
      </w:pPr>
      <w:r>
        <w:rPr>
          <w:rFonts w:ascii="Times New Roman" w:cs="Times New Roman" w:eastAsia="Times New Roman" w:hAnsi="Times New Roman"/>
          <w:sz w:val="18"/>
          <w:szCs w:val="18"/>
          <w:color w:val="auto"/>
        </w:rPr>
        <w:t>EC sales of $5.32 billion in the second quarter of fiscal 2025 decreased $494.3 million, or 8.5%, from the prior year second quarter sales of $5.81 billion, with the Americas and EMEA regions contributing to the decrease offset by sales growth in the Asia region. The decrease in sales is primarily due to sales volume decreases due to the market downturn in the electronic components industry and, to a lesser extent, an unfavorable product mix of lower priced electronic components.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Farnell sales for the second quarter of fiscal 2025 were $345.6 million, reflecting a decrease of $47.2 million, 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12.0%, compared to the same period in the prior year. The decrease in sales in the second quarter of fiscal 2025 is primarily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lower demand for on-the-board electronic components.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ind w:left="60" w:right="299" w:firstLine="432"/>
        <w:spacing w:after="0" w:line="261" w:lineRule="auto"/>
        <w:rPr>
          <w:sz w:val="20"/>
          <w:szCs w:val="20"/>
          <w:color w:val="auto"/>
        </w:rPr>
      </w:pPr>
      <w:r>
        <w:rPr>
          <w:rFonts w:ascii="Times New Roman" w:cs="Times New Roman" w:eastAsia="Times New Roman" w:hAnsi="Times New Roman"/>
          <w:sz w:val="18"/>
          <w:szCs w:val="18"/>
          <w:color w:val="auto"/>
        </w:rPr>
        <w:t>The Company’s gross profit and gross profit margin are primarily affected by sales volume, product mix, and geographic sales mix. Gross profit for the second quarter of fiscal 2025 was $110.1 million, or 15.6% lower than the second quarter of fiscal 2024. This decrease is primarily due to sales volume decreases in both operating groups and to a lesser extent from the decline in gross profit margin in each operating group.</w:t>
      </w:r>
    </w:p>
    <w:p>
      <w:pPr>
        <w:spacing w:after="0" w:line="180" w:lineRule="exact"/>
        <w:rPr>
          <w:sz w:val="20"/>
          <w:szCs w:val="20"/>
          <w:color w:val="auto"/>
        </w:rPr>
      </w:pPr>
    </w:p>
    <w:p>
      <w:pPr>
        <w:ind w:left="60" w:right="299" w:firstLine="432"/>
        <w:spacing w:after="0" w:line="258" w:lineRule="auto"/>
        <w:rPr>
          <w:sz w:val="20"/>
          <w:szCs w:val="20"/>
          <w:color w:val="auto"/>
        </w:rPr>
      </w:pPr>
      <w:r>
        <w:rPr>
          <w:rFonts w:ascii="Times New Roman" w:cs="Times New Roman" w:eastAsia="Times New Roman" w:hAnsi="Times New Roman"/>
          <w:sz w:val="18"/>
          <w:szCs w:val="18"/>
          <w:color w:val="auto"/>
        </w:rPr>
        <w:t>Gross profit margin decreased by 86 basis points to 10.5% for the second quarter of fiscal 2025 when compared to the second quarter of fiscal 2024. The decrease in gross profit margin is primarily due to shifts in geographic sales mix, partially offset by increases in gross margin from certain supplier engagements. Sales in the higher gross profit margin western regions represented approximately 52% of sales in the second quarter of fiscal 2025, versus 60% of sales during the second quarter of fiscal 2024.</w:t>
      </w:r>
    </w:p>
    <w:p>
      <w:pPr>
        <w:spacing w:after="0" w:line="183" w:lineRule="exact"/>
        <w:rPr>
          <w:sz w:val="20"/>
          <w:szCs w:val="20"/>
          <w:color w:val="auto"/>
        </w:rPr>
      </w:pPr>
    </w:p>
    <w:p>
      <w:pPr>
        <w:ind w:left="60" w:right="379" w:firstLine="432"/>
        <w:spacing w:after="0" w:line="312" w:lineRule="auto"/>
        <w:rPr>
          <w:sz w:val="20"/>
          <w:szCs w:val="20"/>
          <w:color w:val="auto"/>
        </w:rPr>
      </w:pPr>
      <w:r>
        <w:rPr>
          <w:rFonts w:ascii="Times New Roman" w:cs="Times New Roman" w:eastAsia="Times New Roman" w:hAnsi="Times New Roman"/>
          <w:sz w:val="17"/>
          <w:szCs w:val="17"/>
          <w:color w:val="auto"/>
        </w:rPr>
        <w:t>EC gross profit margin decreased year over year largely due to the change in geographic mix. Farnell gross profit margin decreased year over year, primarily due to lower sales of higher margin on-the-board electronic components.</w:t>
      </w:r>
    </w:p>
    <w:p>
      <w:pPr>
        <w:spacing w:after="0" w:line="140" w:lineRule="exact"/>
        <w:rPr>
          <w:sz w:val="20"/>
          <w:szCs w:val="20"/>
          <w:color w:val="auto"/>
        </w:rPr>
      </w:pPr>
    </w:p>
    <w:p>
      <w:pPr>
        <w:ind w:left="60" w:right="59" w:firstLine="432"/>
        <w:spacing w:after="0" w:line="282" w:lineRule="auto"/>
        <w:rPr>
          <w:sz w:val="20"/>
          <w:szCs w:val="20"/>
          <w:color w:val="auto"/>
        </w:rPr>
      </w:pPr>
      <w:r>
        <w:rPr>
          <w:rFonts w:ascii="Times New Roman" w:cs="Times New Roman" w:eastAsia="Times New Roman" w:hAnsi="Times New Roman"/>
          <w:sz w:val="18"/>
          <w:szCs w:val="18"/>
          <w:color w:val="auto"/>
        </w:rPr>
        <w:t>Gross profit and gross profit margin were $1.20 billion and 10.7%, respectively, for the first six months of fiscal 2025 as compared with $1.45 billion and 11.6%, respectively, for the first six months of fiscal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decreased $27.8 million or 6.0% from the second quarter of fiscal 2024. The decrease in SG&amp;A expenses is primarily due to decreases in variable operating expenses associated with the decrease in sales volumes discussed above and from restructuring actions taken by the Company, slightly offset by the impact of changes in foreign currency translation rates.</w:t>
      </w:r>
    </w:p>
    <w:p>
      <w:pPr>
        <w:spacing w:after="0" w:line="180"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Management monitors SG&amp;A expenses as a percentage of sales and as a percentage of gross profit. In the second quarter of fiscal 2025, SG&amp;A expenses were 7.7% of sales and 73.3% of gross profit, as compared with 7.5% and 65.8%, respectively, in the second quarter of fiscal 2024. The year-over-year increases in SG&amp;A expenses as a percentage of both sales and gross profit are primarily due to the decrease in sales and gross profit without a proportional reduction in SG&amp;A expenses, resulting in lower operating leverage.</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SG&amp;A expenses for the first six months of fiscal 2025 were $875.7 million, or 7.8% of sales, as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$952.0 million, or 7.6% of sales, in the first six months of fiscal 2024. SG&amp;A expenses as a percentage of gross profit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six months of fiscal 2025 were 72.8% as compared with 65.5% in the first six months of fiscal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202"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In fiscal 2024, the Company initiated a restructuring plan to improve operating income by reducing SG&amp;A expenses including within the Farnell operating group. In the second quarter of fiscal 2025, these efforts continued, leading to $4.0 million in restructuring, integration, and other expenses primarily for Farnell.</w:t>
      </w:r>
    </w:p>
    <w:p>
      <w:pPr>
        <w:spacing w:after="0" w:line="176" w:lineRule="exact"/>
        <w:rPr>
          <w:sz w:val="20"/>
          <w:szCs w:val="20"/>
          <w:color w:val="auto"/>
        </w:rPr>
      </w:pPr>
    </w:p>
    <w:p>
      <w:pPr>
        <w:ind w:left="60" w:right="99" w:firstLine="427"/>
        <w:spacing w:after="0" w:line="277" w:lineRule="auto"/>
        <w:rPr>
          <w:sz w:val="20"/>
          <w:szCs w:val="20"/>
          <w:color w:val="auto"/>
        </w:rPr>
      </w:pPr>
      <w:r>
        <w:rPr>
          <w:rFonts w:ascii="Times New Roman" w:cs="Times New Roman" w:eastAsia="Times New Roman" w:hAnsi="Times New Roman"/>
          <w:sz w:val="17"/>
          <w:szCs w:val="17"/>
          <w:color w:val="auto"/>
        </w:rPr>
        <w:t>As a result of these initiatives, the Company recorded total restructuring, integration, and other expense in the second quarter of fiscal 2025 of $3.8 million comprised of severance and other employee-related expenses of $4.3 million, $0.1 million of facility exit costs primarily related to an office closure in the Americas, $1.7 million of integration and other costs, and a benefit of $2.3 million for changes in estimates for costs associated with prior year restructuring actions. The after-tax impact of restructuring, integration, and other expenses were $2.7 million and $0.03 per share on a diluted basis.</w:t>
      </w:r>
    </w:p>
    <w:p>
      <w:pPr>
        <w:spacing w:after="0" w:line="168" w:lineRule="exact"/>
        <w:rPr>
          <w:sz w:val="20"/>
          <w:szCs w:val="20"/>
          <w:color w:val="auto"/>
        </w:rPr>
      </w:pPr>
    </w:p>
    <w:p>
      <w:pPr>
        <w:ind w:left="60" w:right="239" w:firstLine="427"/>
        <w:spacing w:after="0" w:line="256" w:lineRule="auto"/>
        <w:rPr>
          <w:sz w:val="20"/>
          <w:szCs w:val="20"/>
          <w:color w:val="auto"/>
        </w:rPr>
      </w:pPr>
      <w:r>
        <w:rPr>
          <w:rFonts w:ascii="Times New Roman" w:cs="Times New Roman" w:eastAsia="Times New Roman" w:hAnsi="Times New Roman"/>
          <w:sz w:val="18"/>
          <w:szCs w:val="18"/>
          <w:color w:val="auto"/>
        </w:rPr>
        <w:t>During the first six months of fiscal 2025, the Company incurred restructuring, integration, and other expense costs of $30.1 million. Restructuring expenses consisted of severance and other employee-related expenses of $7.7 million for reduction of over 150 employees across the Company, $5.3 million of facility exit costs primarily related to an office closure in the Americas, $14.9 million of asset impairments, $4.7 million of integration and other costs, and a benefit of $2.5 million for changes in estimates for costs associated with prior year restructuring actions. The after-tax impact of restructuring, integration, and other expenses were $22.3 million and $0.25 per share on a diluted basis.</w:t>
      </w:r>
    </w:p>
    <w:p>
      <w:pPr>
        <w:spacing w:after="0" w:line="187" w:lineRule="exact"/>
        <w:rPr>
          <w:sz w:val="20"/>
          <w:szCs w:val="20"/>
          <w:color w:val="auto"/>
        </w:rPr>
      </w:pPr>
    </w:p>
    <w:p>
      <w:pPr>
        <w:ind w:left="60" w:right="579" w:firstLine="427"/>
        <w:spacing w:after="0" w:line="282" w:lineRule="auto"/>
        <w:rPr>
          <w:sz w:val="20"/>
          <w:szCs w:val="20"/>
          <w:color w:val="auto"/>
        </w:rPr>
      </w:pPr>
      <w:r>
        <w:rPr>
          <w:rFonts w:ascii="Times New Roman" w:cs="Times New Roman" w:eastAsia="Times New Roman" w:hAnsi="Times New Roman"/>
          <w:sz w:val="18"/>
          <w:szCs w:val="18"/>
          <w:color w:val="auto"/>
        </w:rPr>
        <w:t>Comparatively, the Company recorded restructuring, integration, and other expenses of $5.2 million and $12.3 million during the second quarter and first six months of fiscal 2024, respectively.</w:t>
      </w:r>
    </w:p>
    <w:p>
      <w:pPr>
        <w:spacing w:after="0" w:line="162"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252525"/>
        </w:rPr>
        <w:t>See Note 13 “Restructuring expenses” to the Company’s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89" w:lineRule="exact"/>
        <w:rPr>
          <w:sz w:val="20"/>
          <w:szCs w:val="20"/>
          <w:color w:val="auto"/>
        </w:rPr>
      </w:pPr>
    </w:p>
    <w:p>
      <w:pPr>
        <w:ind w:left="60" w:right="59" w:firstLine="432"/>
        <w:spacing w:after="0" w:line="255" w:lineRule="auto"/>
        <w:rPr>
          <w:sz w:val="20"/>
          <w:szCs w:val="20"/>
          <w:color w:val="auto"/>
        </w:rPr>
      </w:pPr>
      <w:r>
        <w:rPr>
          <w:rFonts w:ascii="Times New Roman" w:cs="Times New Roman" w:eastAsia="Times New Roman" w:hAnsi="Times New Roman"/>
          <w:sz w:val="18"/>
          <w:szCs w:val="18"/>
          <w:color w:val="auto"/>
        </w:rPr>
        <w:t>Operating income for the second quarter of fiscal 2025 was $155.3 million, a decrease of $80.9 million or 34.3%, year over year. Operating income margin for the second quarter of fiscal 2025 was 2.7%, a decrease of 107 basis points compared to 3.8% in the second quarter of fiscal 2024. The decreases in operating income and operating income margin are primarily due to the decrease in gross profit primarily from lower sales without a proportionate decrease in SG&amp;A expenses, and restructuring, integration and other expenses, as discussed above. Adjusted operating income for the second quarter of fiscal 2025 was $159.5 million, a decrease of $82.7 million, or 34.2%. Adjusted operating income margin for the second quarter of fiscal 2025 was 2.8% compared to 3.9% in the second quarter of fiscal 2024.</w:t>
      </w:r>
    </w:p>
    <w:p>
      <w:pPr>
        <w:spacing w:after="0" w:line="189" w:lineRule="exact"/>
        <w:rPr>
          <w:sz w:val="20"/>
          <w:szCs w:val="20"/>
          <w:color w:val="auto"/>
        </w:rPr>
      </w:pPr>
    </w:p>
    <w:p>
      <w:pPr>
        <w:ind w:left="60" w:right="59" w:firstLine="427"/>
        <w:spacing w:after="0" w:line="256" w:lineRule="auto"/>
        <w:rPr>
          <w:sz w:val="20"/>
          <w:szCs w:val="20"/>
          <w:color w:val="auto"/>
        </w:rPr>
      </w:pPr>
      <w:r>
        <w:rPr>
          <w:rFonts w:ascii="Times New Roman" w:cs="Times New Roman" w:eastAsia="Times New Roman" w:hAnsi="Times New Roman"/>
          <w:sz w:val="18"/>
          <w:szCs w:val="18"/>
          <w:color w:val="auto"/>
        </w:rPr>
        <w:t>Comparing the second quarter of fiscal 2025 to the second quarter of fiscal 2024, EC operating income decreased 26.7% to $181.6 million, and EC operating income margin decreased 85 basis points to 3.4%, with a decrease in the EMEA region offset by improvements in the Americas and Asia regions. Farnell operating income decreased 77.9% to $3.5 million in the second quarter of fiscal 2025 and Farnell operating income margin decreased 299 basis points year over year to 1.0%. The decreases in operating income and operating income margin in both operating groups are due to the decrease in gross profit primarily from lower sales without a proportionate decrease in SG&amp;A expenses.</w:t>
      </w:r>
    </w:p>
    <w:p>
      <w:pPr>
        <w:spacing w:after="0" w:line="187" w:lineRule="exact"/>
        <w:rPr>
          <w:sz w:val="20"/>
          <w:szCs w:val="20"/>
          <w:color w:val="auto"/>
        </w:rPr>
      </w:pPr>
    </w:p>
    <w:p>
      <w:pPr>
        <w:ind w:left="60" w:right="219" w:firstLine="427"/>
        <w:spacing w:after="0" w:line="256" w:lineRule="auto"/>
        <w:rPr>
          <w:sz w:val="20"/>
          <w:szCs w:val="20"/>
          <w:color w:val="auto"/>
        </w:rPr>
      </w:pPr>
      <w:r>
        <w:rPr>
          <w:rFonts w:ascii="Times New Roman" w:cs="Times New Roman" w:eastAsia="Times New Roman" w:hAnsi="Times New Roman"/>
          <w:sz w:val="18"/>
          <w:szCs w:val="18"/>
          <w:color w:val="auto"/>
        </w:rPr>
        <w:t>Operating income for the first six months of fiscal 2025 was $297.6 million, a decrease of $192.5 million, from the first six months of fiscal 2024 operating income of $490.0 million. The year-over-year decrease in operating income was primarily due to the decrease in sales, and lower gross profit margin, partially offset by the favorable impact from foreign currency exchange rates. Adjusted operating income for the first six months of fiscal 2025 was $328.4 million, a decrease of $175.5 million or 34.8% from the first six months of fiscal 2024. Operating income margin was 2.6% in the first six months of fiscal 2025, a decrease of 127 basis points compared to 3.9% in the prior year first six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Net</w:t>
      </w:r>
    </w:p>
    <w:p>
      <w:pPr>
        <w:spacing w:after="0" w:line="189" w:lineRule="exact"/>
        <w:rPr>
          <w:sz w:val="20"/>
          <w:szCs w:val="20"/>
          <w:color w:val="auto"/>
        </w:rPr>
      </w:pPr>
    </w:p>
    <w:p>
      <w:pPr>
        <w:ind w:left="60" w:right="159" w:firstLine="432"/>
        <w:spacing w:after="0" w:line="266" w:lineRule="auto"/>
        <w:rPr>
          <w:sz w:val="20"/>
          <w:szCs w:val="20"/>
          <w:color w:val="auto"/>
        </w:rPr>
      </w:pPr>
      <w:r>
        <w:rPr>
          <w:rFonts w:ascii="Times New Roman" w:cs="Times New Roman" w:eastAsia="Times New Roman" w:hAnsi="Times New Roman"/>
          <w:sz w:val="18"/>
          <w:szCs w:val="18"/>
          <w:color w:val="auto"/>
        </w:rPr>
        <w:t>Interest and other financing expenses in the second quarter of fiscal 2025 were $62.4 million, a decrease of $11.9 million as compared to $74.3 million in the second quarter of fiscal 2024. Interest and other financing expenses in the first six months of fiscal 2025 were $126.8 million, a decrease of $18.3 million, as compared with interest and other</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 xml:space="preserve">financing expenses of $145.1 million in the first six months of fiscal 2024. </w:t>
      </w:r>
      <w:r>
        <w:rPr>
          <w:rFonts w:ascii="Times New Roman" w:cs="Times New Roman" w:eastAsia="Times New Roman" w:hAnsi="Times New Roman"/>
          <w:sz w:val="18"/>
          <w:szCs w:val="18"/>
          <w:color w:val="252525"/>
        </w:rPr>
        <w:t>The decrease in interest and other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expenses in the second quarter and first six months of fiscal 2025 compared to fiscal 2024 is primarily a result of lower outstanding borrowings and average borrowing rates.</w:t>
      </w:r>
    </w:p>
    <w:p>
      <w:pPr>
        <w:spacing w:after="0" w:line="176" w:lineRule="exact"/>
        <w:rPr>
          <w:sz w:val="20"/>
          <w:szCs w:val="20"/>
          <w:color w:val="auto"/>
        </w:rPr>
      </w:pPr>
    </w:p>
    <w:p>
      <w:pPr>
        <w:ind w:left="60" w:right="159" w:firstLine="427"/>
        <w:spacing w:after="0" w:line="258" w:lineRule="auto"/>
        <w:rPr>
          <w:sz w:val="20"/>
          <w:szCs w:val="20"/>
          <w:color w:val="auto"/>
        </w:rPr>
      </w:pPr>
      <w:r>
        <w:rPr>
          <w:rFonts w:ascii="Times New Roman" w:cs="Times New Roman" w:eastAsia="Times New Roman" w:hAnsi="Times New Roman"/>
          <w:sz w:val="18"/>
          <w:szCs w:val="18"/>
          <w:color w:val="auto"/>
        </w:rPr>
        <w:t>The Company had other expenses of $2.6 million in the second quarter of fiscal 2025 compared to other expenses of $8.4 million in the second quarter of fiscal 2024. The Company had other expenses of $5.7 million in the first six months of fiscal 2025, compared to other expenses of $2.4 million in the first six months of fiscal 2024. The decrease in other expenses in the second quarter and the increase in the first six months of fiscal 2025 is primarily due to differences in foreign currency translation losses.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52525"/>
        </w:rPr>
        <w:t>Gain on Legal Settlements and other</w:t>
      </w:r>
    </w:p>
    <w:p>
      <w:pPr>
        <w:spacing w:after="0" w:line="202" w:lineRule="exact"/>
        <w:rPr>
          <w:sz w:val="20"/>
          <w:szCs w:val="20"/>
          <w:color w:val="auto"/>
        </w:rPr>
      </w:pPr>
    </w:p>
    <w:p>
      <w:pPr>
        <w:ind w:left="60" w:right="519" w:firstLine="432"/>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2024, the Company recorded a gain on legal settlements and other of $86.5 million in connection with the settlements of claims filed against certain manufacturers of capacitors.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left="60" w:right="5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Income tax expenses for the second quarter and first six months of fiscal 2025 were $3.0 million and $18.8 million, respectively, reflecting an effective tax rate of 3.4% and 11.4%, respectively. In comparison, for the second quarter and first six months of fiscal 2024, income tax expense were $35.6 million and $101.8 million, respectively, reflecting an effective tax rate of 23.2% and 23.7%, respectively. The decrease in the effective tax rate for the second quarter of fiscal 2025 as compared to the second quarter of fiscal 2024 was primarily due to the increases in tax attribute carryforwards and decreases to unrecognized tax benefit reserves. The decrease in the effective tax rate for the first six months of fiscal 2025 as compared to the first six months of fiscal 2024 was primarily due to the increases in tax attribute carryforwards, partially offset by the mix of income in higher tax jurisdictions. See Note 7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second quarter of fiscal 2025 was $87.3 million, or $0.99 per share on a diluted basis, as compared with $117.9 million, or $1.28 per share on a diluted basis, in the second quarter of fiscal 2024.</w:t>
      </w:r>
    </w:p>
    <w:p>
      <w:pPr>
        <w:spacing w:after="0" w:line="176" w:lineRule="exact"/>
        <w:rPr>
          <w:sz w:val="20"/>
          <w:szCs w:val="20"/>
          <w:color w:val="auto"/>
        </w:rPr>
      </w:pPr>
    </w:p>
    <w:p>
      <w:pPr>
        <w:jc w:val="both"/>
        <w:ind w:left="60" w:right="47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first six months of fiscal 2025 was $146.2 million, or $1.65 per share on a diluted basis, as compared with $327.2 million, or $3.54 per share on a diluted basis, in the first six months of fiscal 2024.</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left="60" w:right="79" w:firstLine="432"/>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$444.2 million for the first six months of fiscal 2025, compared to net cash used by operating activities of $83.6 million for the first six months of fiscal 2024. The $527.7 million increase in net cash provided by operating activities year over year is primarily due to improvements in cash used for working capital and other as working capital levels have begun to be more in line with sales, offset by lower cash provided by net income. Cash generated from working capital and other was $232.5 million during the first six months of fiscal 2025, compared to cash used of $539.4 million during the first six months of fiscal 2024, with the difference attributable primarily to reductions in inventory and the timing of payments for inventory purchases. The Company also had increases in accounts receivable due to timing of sales and collections when compared to the prior year. The Company received $86.1 million of cash from legal settlements during the first six months of fiscal 2024.</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139" w:firstLine="432"/>
        <w:spacing w:after="0" w:line="255" w:lineRule="auto"/>
        <w:rPr>
          <w:sz w:val="20"/>
          <w:szCs w:val="20"/>
          <w:color w:val="auto"/>
        </w:rPr>
      </w:pPr>
      <w:r>
        <w:rPr>
          <w:rFonts w:ascii="Times New Roman" w:cs="Times New Roman" w:eastAsia="Times New Roman" w:hAnsi="Times New Roman"/>
          <w:sz w:val="18"/>
          <w:szCs w:val="18"/>
          <w:color w:val="auto"/>
        </w:rPr>
        <w:t>Net repayments of debt totaled $307.7 million during the first six months of fiscal 2025, including net repayments of $321.8 million under the Credit Facility and $70.8 million for other debt, offset by net proceeds of $84.9 million under the Securitization Program. This compares to $362.1 million of net borrowing during the first six months of the prior fiscal year. The Company paid cash dividends to shareholders of $0.66 per share, or $57.4 million, during the first six months of fiscal 2025 as compared to $0.62 per share, or $56.1 million, during the first six months of fiscal 2024. The Company has repurchased $152.2 million of common stock under the share repurchase plan during the first six months of fiscal 2025 compared to $86.0 million in the same period of the prior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The Company’s purchases of property, plant and equipment decreased during the first six months of fiscal 2025 by $97.0 million, when compared to the same period in fiscal 2024, primarily due to distribution center investments in EMEA in the first six months of fiscal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29, 2024.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December 28, 2024. The Company was in compliance with all covenants under the Credit Facility and the Securitization Program as of December 28, 2024, and June 29, 2024.</w:t>
      </w:r>
    </w:p>
    <w:p>
      <w:pPr>
        <w:spacing w:after="0" w:line="180"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second quarter of fiscal 2025 was $23.4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$172.1 million as of December 28, 2024, of which $145.1 million was held outside the United States. As of June 29, 2024, the Company held cash and cash equivalents of $310.9 million, of which $179.6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$1.22 billion in cash flows from operating activities over the trailing four fiscal quarters ended December 28,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89" w:lineRule="exact"/>
        <w:rPr>
          <w:sz w:val="20"/>
          <w:szCs w:val="20"/>
          <w:color w:val="auto"/>
        </w:rPr>
      </w:pPr>
    </w:p>
    <w:p>
      <w:pPr>
        <w:ind w:left="60" w:right="15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second quarter of fiscal 2025, the Company had a combined total borrowing capacity of $2.00 billion under the Credit Facility and the Securitization Program. There were $406.8 million of borrowings outstanding and $0.9 million in letters of credit issued under the Credit Facility, and $500.0 million outstanding under the Securitization Program, resulting in approximately $1.09 billion of total committed availability as of December 28, 2024. Availability under the Securitization Program is subject to the Company having sufficient eligible trade accounts receivable in the United States to support desired borrowings.</w:t>
      </w:r>
    </w:p>
    <w:p>
      <w:pPr>
        <w:spacing w:after="0" w:line="187"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2025, the Company had an average daily balance outstanding of approximately $1.04 billion and $1.06 billion, respectively, under the Credit Facility, and approximately $498.9 million and $483.6 million, respectively, under the Securitization Program. The Company also has average borrowings that are higher than quarter end borrowings from various lines of credit, financing arrangements, and other forms of bank debt in the U.S. and various foreign locations.</w:t>
      </w:r>
    </w:p>
    <w:p>
      <w:pPr>
        <w:spacing w:after="0" w:line="183" w:lineRule="exact"/>
        <w:rPr>
          <w:sz w:val="20"/>
          <w:szCs w:val="20"/>
          <w:color w:val="auto"/>
        </w:rPr>
      </w:pPr>
    </w:p>
    <w:p>
      <w:pPr>
        <w:jc w:val="center"/>
        <w:ind w:left="60" w:right="199"/>
        <w:spacing w:after="0" w:line="277" w:lineRule="auto"/>
        <w:rPr>
          <w:sz w:val="20"/>
          <w:szCs w:val="20"/>
          <w:color w:val="auto"/>
        </w:rPr>
      </w:pPr>
      <w:r>
        <w:rPr>
          <w:rFonts w:ascii="Times New Roman" w:cs="Times New Roman" w:eastAsia="Times New Roman" w:hAnsi="Times New Roman"/>
          <w:sz w:val="17"/>
          <w:szCs w:val="17"/>
          <w:color w:val="auto"/>
        </w:rPr>
        <w:t>As of December 28, 2024, the Company may repurchase up to an aggregate of $515.4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second quarter of fiscal 2025, the Company repurchased $51.2 million of common stock.</w:t>
      </w:r>
    </w:p>
    <w:p>
      <w:pPr>
        <w:spacing w:after="0" w:line="168" w:lineRule="exact"/>
        <w:rPr>
          <w:sz w:val="20"/>
          <w:szCs w:val="20"/>
          <w:color w:val="auto"/>
        </w:rPr>
      </w:pPr>
    </w:p>
    <w:p>
      <w:pPr>
        <w:jc w:val="both"/>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second quarter of fiscal 2025, the Board of Directors approved a dividend of $0.33 per share, which resulted in $28.6 million of dividend payments during the quarter.</w:t>
      </w:r>
    </w:p>
    <w:p>
      <w:pPr>
        <w:spacing w:after="0" w:line="176"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29, 2024, for further discussion of market risks associated with foreign currency exchange rates and interest rates. Avnet’s exposure to such risks has not changed materially since June 29, 2024,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December 28, 2024, approximately 65% of the Company’s debt bears interest at a fixed rate and 35% of the Company’s debt bears interest at variable rates. Therefore, a hypothetical 1.0% (100 basis points) increase in interest rates would result in a $2.3 million decrease in income before income taxes in the Company’s consolidated statement of operations for the second quarter of fiscal 2025.</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8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jc w:val="both"/>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29, 2024,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December 28, 2024, there have been no material changes to the risk factors set forth in the Company’s Annual Report on Form 10-K for the fiscal year ended June 29, 2024.</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9" w:lineRule="exact"/>
        <w:rPr>
          <w:sz w:val="20"/>
          <w:szCs w:val="20"/>
          <w:color w:val="auto"/>
        </w:rPr>
      </w:pPr>
    </w:p>
    <w:p>
      <w:pPr>
        <w:jc w:val="both"/>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approved the repurchase plan of up to an aggregate of $600 million of common stock including the increase approved in August 2024. The following table includes the Company’s monthly purchases of the Company’s common stock, excluding excise tax, during the second quarter of fiscal 2025, under the share repurchase program, which is part of publicly announced plans.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1"/>
                <w:szCs w:val="21"/>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 October 26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549,596,000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27 – November 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295,862</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533,680,000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 December 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515,412,000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2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5648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48"/>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101.INS*</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 the instance document does not appear in the Interactive Data File because its XBRL tags are</w:t>
            </w:r>
          </w:p>
        </w:tc>
      </w:tr>
      <w:tr>
        <w:trPr>
          <w:trHeight w:val="234"/>
        </w:trPr>
        <w:tc>
          <w:tcPr>
            <w:tcW w:w="1100" w:type="dxa"/>
            <w:vAlign w:val="bottom"/>
          </w:tcPr>
          <w:p>
            <w:pPr>
              <w:spacing w:after="0"/>
              <w:rPr>
                <w:sz w:val="20"/>
                <w:szCs w:val="20"/>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101.SCH*</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101.DEF*</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101.CAL*</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101.LAB*</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101.PRE*</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December 28, 2024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13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December 28, 2024 (the “Report”), I, Kenneth A. Jacobson, Chief Financial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2025-01-31T05:16:11Z</dcterms:created>
  <dcterms:modified xsi:type="dcterms:W3CDTF">2025-01-31T05:16:11Z</dcterms:modified>
</cp:coreProperties>
</file>