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194945</wp:posOffset>
            </wp:positionV>
            <wp:extent cx="646366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63665"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237490</wp:posOffset>
            </wp:positionV>
            <wp:extent cx="646366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63665" cy="8890"/>
                    </a:xfrm>
                    <a:prstGeom prst="rect">
                      <a:avLst/>
                    </a:prstGeom>
                    <a:noFill/>
                  </pic:spPr>
                </pic:pic>
              </a:graphicData>
            </a:graphic>
          </wp:anchor>
        </w:drawing>
      </w:r>
    </w:p>
    <w:p>
      <w:pPr>
        <w:spacing w:after="0" w:line="200" w:lineRule="exact"/>
        <w:rPr>
          <w:sz w:val="24"/>
          <w:szCs w:val="24"/>
          <w:color w:val="auto"/>
        </w:rPr>
      </w:pPr>
    </w:p>
    <w:p>
      <w:pPr>
        <w:spacing w:after="0" w:line="329" w:lineRule="exact"/>
        <w:rPr>
          <w:sz w:val="24"/>
          <w:szCs w:val="24"/>
          <w:color w:val="auto"/>
        </w:rPr>
      </w:pPr>
    </w:p>
    <w:p>
      <w:pPr>
        <w:ind w:left="4240"/>
        <w:spacing w:after="0"/>
        <w:rPr>
          <w:sz w:val="20"/>
          <w:szCs w:val="20"/>
          <w:color w:val="auto"/>
        </w:rPr>
      </w:pPr>
      <w:r>
        <w:rPr>
          <w:rFonts w:ascii="Arial" w:cs="Arial" w:eastAsia="Arial" w:hAnsi="Arial"/>
          <w:sz w:val="22"/>
          <w:szCs w:val="22"/>
          <w:b w:val="1"/>
          <w:bCs w:val="1"/>
          <w:color w:val="auto"/>
        </w:rPr>
        <w:t>UNITED STATES</w:t>
      </w:r>
    </w:p>
    <w:p>
      <w:pPr>
        <w:spacing w:after="0" w:line="44" w:lineRule="exact"/>
        <w:rPr>
          <w:sz w:val="24"/>
          <w:szCs w:val="24"/>
          <w:color w:val="auto"/>
        </w:rPr>
      </w:pPr>
    </w:p>
    <w:p>
      <w:pPr>
        <w:ind w:left="2760"/>
        <w:spacing w:after="0"/>
        <w:rPr>
          <w:sz w:val="20"/>
          <w:szCs w:val="20"/>
          <w:color w:val="auto"/>
        </w:rPr>
      </w:pPr>
      <w:r>
        <w:rPr>
          <w:rFonts w:ascii="Arial" w:cs="Arial" w:eastAsia="Arial" w:hAnsi="Arial"/>
          <w:sz w:val="22"/>
          <w:szCs w:val="22"/>
          <w:b w:val="1"/>
          <w:bCs w:val="1"/>
          <w:color w:val="auto"/>
        </w:rPr>
        <w:t>SECURITIES AND EXCHANGE COMMISSION</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2422525</wp:posOffset>
            </wp:positionH>
            <wp:positionV relativeFrom="paragraph">
              <wp:posOffset>124460</wp:posOffset>
            </wp:positionV>
            <wp:extent cx="161163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11630" cy="8255"/>
                    </a:xfrm>
                    <a:prstGeom prst="rect">
                      <a:avLst/>
                    </a:prstGeom>
                    <a:noFill/>
                  </pic:spPr>
                </pic:pic>
              </a:graphicData>
            </a:graphic>
          </wp:anchor>
        </w:drawing>
      </w:r>
    </w:p>
    <w:p>
      <w:pPr>
        <w:spacing w:after="0" w:line="378" w:lineRule="exact"/>
        <w:rPr>
          <w:sz w:val="24"/>
          <w:szCs w:val="24"/>
          <w:color w:val="auto"/>
        </w:rPr>
      </w:pPr>
    </w:p>
    <w:p>
      <w:pPr>
        <w:jc w:val="center"/>
        <w:spacing w:after="0"/>
        <w:rPr>
          <w:sz w:val="20"/>
          <w:szCs w:val="20"/>
          <w:color w:val="auto"/>
        </w:rPr>
      </w:pPr>
      <w:r>
        <w:rPr>
          <w:rFonts w:ascii="Arial" w:cs="Arial" w:eastAsia="Arial" w:hAnsi="Arial"/>
          <w:sz w:val="27"/>
          <w:szCs w:val="27"/>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2422525</wp:posOffset>
            </wp:positionH>
            <wp:positionV relativeFrom="paragraph">
              <wp:posOffset>103505</wp:posOffset>
            </wp:positionV>
            <wp:extent cx="161163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11630" cy="8255"/>
                    </a:xfrm>
                    <a:prstGeom prst="rect">
                      <a:avLst/>
                    </a:prstGeom>
                    <a:noFill/>
                  </pic:spPr>
                </pic:pic>
              </a:graphicData>
            </a:graphic>
          </wp:anchor>
        </w:drawing>
      </w:r>
    </w:p>
    <w:p>
      <w:pPr>
        <w:spacing w:after="0" w:line="200" w:lineRule="exact"/>
        <w:rPr>
          <w:sz w:val="24"/>
          <w:szCs w:val="24"/>
          <w:color w:val="auto"/>
        </w:rPr>
      </w:pPr>
    </w:p>
    <w:p>
      <w:pPr>
        <w:spacing w:after="0" w:line="275" w:lineRule="exact"/>
        <w:rPr>
          <w:sz w:val="24"/>
          <w:szCs w:val="24"/>
          <w:color w:val="auto"/>
        </w:rPr>
      </w:pPr>
    </w:p>
    <w:p>
      <w:pPr>
        <w:ind w:left="500" w:hanging="499"/>
        <w:spacing w:after="0"/>
        <w:tabs>
          <w:tab w:leader="none" w:pos="500" w:val="left"/>
        </w:tabs>
        <w:numPr>
          <w:ilvl w:val="0"/>
          <w:numId w:val="1"/>
        </w:numPr>
        <w:rPr>
          <w:rFonts w:ascii="MS PGothic" w:cs="MS PGothic" w:eastAsia="MS PGothic" w:hAnsi="MS PGothic"/>
          <w:sz w:val="17"/>
          <w:szCs w:val="17"/>
          <w:color w:val="auto"/>
          <w:highlight w:val="black"/>
        </w:rPr>
      </w:pPr>
      <w:r>
        <w:rPr>
          <w:rFonts w:ascii="Arial" w:cs="Arial" w:eastAsia="Arial" w:hAnsi="Arial"/>
          <w:sz w:val="17"/>
          <w:szCs w:val="17"/>
          <w:b w:val="1"/>
          <w:bCs w:val="1"/>
          <w:color w:val="auto"/>
        </w:rPr>
        <w:t>QUARTERLY REPORT PURSUANT TO SECTION 13 OR 15(d) OF THE SECURITIES EXCHANGE ACT OF 1934</w:t>
      </w:r>
    </w:p>
    <w:p>
      <w:pPr>
        <w:spacing w:after="0" w:line="155" w:lineRule="exact"/>
        <w:rPr>
          <w:rFonts w:ascii="MS PGothic" w:cs="MS PGothic" w:eastAsia="MS PGothic" w:hAnsi="MS PGothic"/>
          <w:sz w:val="17"/>
          <w:szCs w:val="17"/>
          <w:color w:val="auto"/>
          <w:highlight w:val="black"/>
        </w:rPr>
      </w:pPr>
    </w:p>
    <w:p>
      <w:pPr>
        <w:ind w:left="3260"/>
        <w:spacing w:after="0"/>
        <w:rPr>
          <w:rFonts w:ascii="MS PGothic" w:cs="MS PGothic" w:eastAsia="MS PGothic" w:hAnsi="MS PGothic"/>
          <w:sz w:val="17"/>
          <w:szCs w:val="17"/>
          <w:color w:val="auto"/>
          <w:highlight w:val="black"/>
        </w:rPr>
      </w:pPr>
      <w:r>
        <w:rPr>
          <w:rFonts w:ascii="Arial" w:cs="Arial" w:eastAsia="Arial" w:hAnsi="Arial"/>
          <w:sz w:val="18"/>
          <w:szCs w:val="18"/>
          <w:b w:val="1"/>
          <w:bCs w:val="1"/>
          <w:color w:val="auto"/>
        </w:rPr>
        <w:t>For the quarterly period ended October 1, 2022</w:t>
      </w:r>
    </w:p>
    <w:p>
      <w:pPr>
        <w:spacing w:after="0" w:line="144" w:lineRule="exact"/>
        <w:rPr>
          <w:sz w:val="24"/>
          <w:szCs w:val="24"/>
          <w:color w:val="auto"/>
        </w:rPr>
      </w:pPr>
    </w:p>
    <w:p>
      <w:pPr>
        <w:ind w:left="500" w:hanging="499"/>
        <w:spacing w:after="0"/>
        <w:tabs>
          <w:tab w:leader="none" w:pos="500" w:val="left"/>
        </w:tabs>
        <w:numPr>
          <w:ilvl w:val="0"/>
          <w:numId w:val="2"/>
        </w:numPr>
        <w:rPr>
          <w:rFonts w:ascii="MS PGothic" w:cs="MS PGothic" w:eastAsia="MS PGothic" w:hAnsi="MS PGothic"/>
          <w:sz w:val="17"/>
          <w:szCs w:val="17"/>
          <w:color w:val="auto"/>
          <w:highlight w:val="black"/>
        </w:rPr>
      </w:pPr>
      <w:r>
        <w:rPr>
          <w:rFonts w:ascii="Arial" w:cs="Arial" w:eastAsia="Arial" w:hAnsi="Arial"/>
          <w:sz w:val="17"/>
          <w:szCs w:val="17"/>
          <w:b w:val="1"/>
          <w:bCs w:val="1"/>
          <w:color w:val="auto"/>
        </w:rPr>
        <w:t>TRANSITION REPORT PURSUANT TO SECTION 13 OR 15(d) OF THE SECURITIES EXCHANGE ACT OF 1934</w:t>
      </w:r>
    </w:p>
    <w:p>
      <w:pPr>
        <w:spacing w:after="0" w:line="156" w:lineRule="exact"/>
        <w:rPr>
          <w:sz w:val="24"/>
          <w:szCs w:val="24"/>
          <w:color w:val="auto"/>
        </w:rPr>
      </w:pPr>
    </w:p>
    <w:p>
      <w:pPr>
        <w:ind w:left="3320"/>
        <w:spacing w:after="0"/>
        <w:rPr>
          <w:sz w:val="20"/>
          <w:szCs w:val="20"/>
          <w:color w:val="auto"/>
        </w:rPr>
      </w:pPr>
      <w:r>
        <w:rPr>
          <w:rFonts w:ascii="Arial" w:cs="Arial" w:eastAsia="Arial" w:hAnsi="Arial"/>
          <w:sz w:val="18"/>
          <w:szCs w:val="18"/>
          <w:b w:val="1"/>
          <w:bCs w:val="1"/>
          <w:color w:val="auto"/>
        </w:rPr>
        <w:t>For the transition period from _____ to _____</w:t>
      </w:r>
    </w:p>
    <w:p>
      <w:pPr>
        <w:spacing w:after="0" w:line="9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#1-4224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2422525</wp:posOffset>
            </wp:positionH>
            <wp:positionV relativeFrom="paragraph">
              <wp:posOffset>94615</wp:posOffset>
            </wp:positionV>
            <wp:extent cx="161163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611630" cy="8255"/>
                    </a:xfrm>
                    <a:prstGeom prst="rect">
                      <a:avLst/>
                    </a:prstGeom>
                    <a:noFill/>
                  </pic:spPr>
                </pic:pic>
              </a:graphicData>
            </a:graphic>
          </wp:anchor>
        </w:drawing>
      </w:r>
    </w:p>
    <w:p>
      <w:pPr>
        <w:spacing w:after="0" w:line="241"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AVNET</w:t>
      </w:r>
      <w:r>
        <w:rPr>
          <w:rFonts w:ascii="Arial" w:cs="Arial" w:eastAsia="Arial" w:hAnsi="Arial"/>
          <w:sz w:val="35"/>
          <w:szCs w:val="35"/>
          <w:b w:val="1"/>
          <w:bCs w:val="1"/>
          <w:color w:val="auto"/>
        </w:rPr>
        <w:t>,</w:t>
      </w:r>
      <w:r>
        <w:rPr>
          <w:rFonts w:ascii="Arial" w:cs="Arial" w:eastAsia="Arial" w:hAnsi="Arial"/>
          <w:sz w:val="29"/>
          <w:szCs w:val="29"/>
          <w:b w:val="1"/>
          <w:bCs w:val="1"/>
          <w:color w:val="auto"/>
        </w:rPr>
        <w:t xml:space="preserve"> INC.</w:t>
      </w: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0160"/>
          </w:cols>
          <w:pgMar w:left="860" w:top="665" w:right="879" w:bottom="1440" w:gutter="0" w:footer="0" w:header="0"/>
        </w:sectPr>
      </w:pPr>
    </w:p>
    <w:p>
      <w:pPr>
        <w:spacing w:after="0" w:line="86" w:lineRule="exact"/>
        <w:rPr>
          <w:sz w:val="24"/>
          <w:szCs w:val="24"/>
          <w:color w:val="auto"/>
        </w:rPr>
      </w:pPr>
    </w:p>
    <w:p>
      <w:pPr>
        <w:jc w:val="center"/>
        <w:ind w:right="4000"/>
        <w:spacing w:after="0"/>
        <w:rPr>
          <w:sz w:val="20"/>
          <w:szCs w:val="20"/>
          <w:color w:val="auto"/>
        </w:rPr>
      </w:pPr>
      <w:r>
        <w:rPr>
          <w:rFonts w:ascii="Arial" w:cs="Arial" w:eastAsia="Arial" w:hAnsi="Arial"/>
          <w:sz w:val="18"/>
          <w:szCs w:val="18"/>
          <w:b w:val="1"/>
          <w:bCs w:val="1"/>
          <w:color w:val="auto"/>
        </w:rPr>
        <w:t>New York</w:t>
      </w:r>
    </w:p>
    <w:p>
      <w:pPr>
        <w:jc w:val="center"/>
        <w:ind w:right="4000"/>
        <w:spacing w:after="0" w:line="203" w:lineRule="auto"/>
        <w:rPr>
          <w:sz w:val="20"/>
          <w:szCs w:val="20"/>
          <w:color w:val="auto"/>
        </w:rPr>
      </w:pPr>
      <w:r>
        <w:rPr>
          <w:rFonts w:ascii="Arial" w:cs="Arial" w:eastAsia="Arial" w:hAnsi="Arial"/>
          <w:sz w:val="18"/>
          <w:szCs w:val="18"/>
          <w:color w:val="auto"/>
        </w:rPr>
        <w:t>(State or other jurisdiction</w:t>
      </w:r>
    </w:p>
    <w:p>
      <w:pPr>
        <w:jc w:val="center"/>
        <w:ind w:right="4000"/>
        <w:spacing w:after="0"/>
        <w:rPr>
          <w:sz w:val="20"/>
          <w:szCs w:val="20"/>
          <w:color w:val="auto"/>
        </w:rPr>
      </w:pPr>
      <w:r>
        <w:rPr>
          <w:rFonts w:ascii="Arial" w:cs="Arial" w:eastAsia="Arial" w:hAnsi="Arial"/>
          <w:sz w:val="16"/>
          <w:szCs w:val="16"/>
          <w:color w:val="auto"/>
        </w:rPr>
        <w:t>of incorporation or organization)</w:t>
      </w:r>
    </w:p>
    <w:p>
      <w:pPr>
        <w:spacing w:after="0" w:line="20" w:lineRule="exact"/>
        <w:rPr>
          <w:sz w:val="24"/>
          <w:szCs w:val="24"/>
          <w:color w:val="auto"/>
        </w:rPr>
      </w:pPr>
      <w:r>
        <w:rPr>
          <w:sz w:val="24"/>
          <w:szCs w:val="24"/>
          <w:color w:val="auto"/>
        </w:rPr>
        <w:br w:type="column"/>
      </w:r>
    </w:p>
    <w:p>
      <w:pPr>
        <w:spacing w:after="0" w:line="66" w:lineRule="exact"/>
        <w:rPr>
          <w:sz w:val="24"/>
          <w:szCs w:val="24"/>
          <w:color w:val="auto"/>
        </w:rPr>
      </w:pPr>
    </w:p>
    <w:p>
      <w:pPr>
        <w:jc w:val="center"/>
        <w:ind w:right="860"/>
        <w:spacing w:after="0"/>
        <w:rPr>
          <w:sz w:val="20"/>
          <w:szCs w:val="20"/>
          <w:color w:val="auto"/>
        </w:rPr>
      </w:pPr>
      <w:r>
        <w:rPr>
          <w:rFonts w:ascii="Arial" w:cs="Arial" w:eastAsia="Arial" w:hAnsi="Arial"/>
          <w:sz w:val="18"/>
          <w:szCs w:val="18"/>
          <w:b w:val="1"/>
          <w:bCs w:val="1"/>
          <w:color w:val="auto"/>
        </w:rPr>
        <w:t>11-1890605</w:t>
      </w:r>
    </w:p>
    <w:p>
      <w:pPr>
        <w:jc w:val="center"/>
        <w:ind w:right="860"/>
        <w:spacing w:after="0" w:line="203" w:lineRule="auto"/>
        <w:rPr>
          <w:sz w:val="20"/>
          <w:szCs w:val="20"/>
          <w:color w:val="auto"/>
        </w:rPr>
      </w:pPr>
      <w:r>
        <w:rPr>
          <w:rFonts w:ascii="Arial" w:cs="Arial" w:eastAsia="Arial" w:hAnsi="Arial"/>
          <w:sz w:val="18"/>
          <w:szCs w:val="18"/>
          <w:color w:val="auto"/>
        </w:rPr>
        <w:t>(IRS Employer</w:t>
      </w:r>
    </w:p>
    <w:p>
      <w:pPr>
        <w:jc w:val="center"/>
        <w:ind w:right="860"/>
        <w:spacing w:after="0"/>
        <w:rPr>
          <w:sz w:val="20"/>
          <w:szCs w:val="20"/>
          <w:color w:val="auto"/>
        </w:rPr>
      </w:pPr>
      <w:r>
        <w:rPr>
          <w:rFonts w:ascii="Arial" w:cs="Arial" w:eastAsia="Arial" w:hAnsi="Arial"/>
          <w:sz w:val="17"/>
          <w:szCs w:val="17"/>
          <w:color w:val="auto"/>
        </w:rPr>
        <w:t>Identification No.)</w:t>
      </w:r>
    </w:p>
    <w:p>
      <w:pPr>
        <w:spacing w:after="0" w:line="111" w:lineRule="exact"/>
        <w:rPr>
          <w:sz w:val="24"/>
          <w:szCs w:val="24"/>
          <w:color w:val="auto"/>
        </w:rPr>
      </w:pPr>
    </w:p>
    <w:p>
      <w:pPr>
        <w:sectPr>
          <w:pgSz w:w="11900" w:h="16838" w:orient="portrait"/>
          <w:cols w:equalWidth="0" w:num="2">
            <w:col w:w="7240" w:space="720"/>
            <w:col w:w="2200"/>
          </w:cols>
          <w:pgMar w:left="860" w:top="665" w:right="879" w:bottom="1440" w:gutter="0" w:footer="0" w:header="0"/>
          <w:type w:val="continuous"/>
        </w:sectPr>
      </w:pPr>
    </w:p>
    <w:p>
      <w:pPr>
        <w:spacing w:after="0" w:line="11" w:lineRule="exact"/>
        <w:rPr>
          <w:sz w:val="24"/>
          <w:szCs w:val="24"/>
          <w:color w:val="auto"/>
        </w:rPr>
      </w:pPr>
    </w:p>
    <w:p>
      <w:pPr>
        <w:jc w:val="center"/>
        <w:ind w:right="1640"/>
        <w:spacing w:after="0"/>
        <w:rPr>
          <w:sz w:val="20"/>
          <w:szCs w:val="20"/>
          <w:color w:val="auto"/>
        </w:rPr>
      </w:pPr>
      <w:r>
        <w:rPr>
          <w:rFonts w:ascii="Arial" w:cs="Arial" w:eastAsia="Arial" w:hAnsi="Arial"/>
          <w:sz w:val="16"/>
          <w:szCs w:val="16"/>
          <w:b w:val="1"/>
          <w:bCs w:val="1"/>
          <w:color w:val="auto"/>
        </w:rPr>
        <w:t>2211 South 47th Street, Phoenix, Arizona</w:t>
      </w:r>
    </w:p>
    <w:p>
      <w:pPr>
        <w:spacing w:after="0" w:line="12" w:lineRule="exact"/>
        <w:rPr>
          <w:sz w:val="24"/>
          <w:szCs w:val="24"/>
          <w:color w:val="auto"/>
        </w:rPr>
      </w:pPr>
    </w:p>
    <w:p>
      <w:pPr>
        <w:jc w:val="center"/>
        <w:ind w:right="1640"/>
        <w:spacing w:after="0"/>
        <w:rPr>
          <w:sz w:val="20"/>
          <w:szCs w:val="20"/>
          <w:color w:val="auto"/>
        </w:rPr>
      </w:pPr>
      <w:r>
        <w:rPr>
          <w:rFonts w:ascii="Arial" w:cs="Arial" w:eastAsia="Arial" w:hAnsi="Arial"/>
          <w:sz w:val="18"/>
          <w:szCs w:val="18"/>
          <w:color w:val="auto"/>
        </w:rPr>
        <w:t>(Address of principal executive offices)</w:t>
      </w:r>
    </w:p>
    <w:p>
      <w:pPr>
        <w:spacing w:after="0" w:line="20" w:lineRule="exact"/>
        <w:rPr>
          <w:sz w:val="24"/>
          <w:szCs w:val="24"/>
          <w:color w:val="auto"/>
        </w:rPr>
      </w:pPr>
      <w:r>
        <w:rPr>
          <w:sz w:val="24"/>
          <w:szCs w:val="24"/>
          <w:color w:val="auto"/>
        </w:rPr>
        <w:br w:type="column"/>
      </w:r>
    </w:p>
    <w:p>
      <w:pPr>
        <w:jc w:val="center"/>
        <w:ind w:right="2060"/>
        <w:spacing w:after="0"/>
        <w:rPr>
          <w:sz w:val="20"/>
          <w:szCs w:val="20"/>
          <w:color w:val="auto"/>
        </w:rPr>
      </w:pPr>
      <w:r>
        <w:rPr>
          <w:rFonts w:ascii="Arial" w:cs="Arial" w:eastAsia="Arial" w:hAnsi="Arial"/>
          <w:sz w:val="18"/>
          <w:szCs w:val="18"/>
          <w:b w:val="1"/>
          <w:bCs w:val="1"/>
          <w:color w:val="auto"/>
        </w:rPr>
        <w:t>85034</w:t>
      </w:r>
    </w:p>
    <w:p>
      <w:pPr>
        <w:jc w:val="center"/>
        <w:ind w:right="2060"/>
        <w:spacing w:after="0"/>
        <w:rPr>
          <w:sz w:val="20"/>
          <w:szCs w:val="20"/>
          <w:color w:val="auto"/>
        </w:rPr>
      </w:pPr>
      <w:r>
        <w:rPr>
          <w:rFonts w:ascii="Arial" w:cs="Arial" w:eastAsia="Arial" w:hAnsi="Arial"/>
          <w:sz w:val="16"/>
          <w:szCs w:val="16"/>
          <w:color w:val="auto"/>
        </w:rPr>
        <w:t>(Zip Code)</w:t>
      </w:r>
    </w:p>
    <w:p>
      <w:pPr>
        <w:spacing w:after="0" w:line="92" w:lineRule="exact"/>
        <w:rPr>
          <w:sz w:val="24"/>
          <w:szCs w:val="24"/>
          <w:color w:val="auto"/>
        </w:rPr>
      </w:pPr>
    </w:p>
    <w:p>
      <w:pPr>
        <w:sectPr>
          <w:pgSz w:w="11900" w:h="16838" w:orient="portrait"/>
          <w:cols w:equalWidth="0" w:num="2">
            <w:col w:w="6600" w:space="720"/>
            <w:col w:w="2840"/>
          </w:cols>
          <w:pgMar w:left="860" w:top="665" w:right="879" w:bottom="1440" w:gutter="0" w:footer="0" w:header="0"/>
          <w:type w:val="continuous"/>
        </w:sectPr>
      </w:pPr>
    </w:p>
    <w:p>
      <w:pPr>
        <w:jc w:val="center"/>
        <w:ind w:right="-19"/>
        <w:spacing w:after="0"/>
        <w:rPr>
          <w:sz w:val="20"/>
          <w:szCs w:val="20"/>
          <w:color w:val="auto"/>
        </w:rPr>
      </w:pPr>
      <w:r>
        <w:rPr>
          <w:rFonts w:ascii="Arial" w:cs="Arial" w:eastAsia="Arial" w:hAnsi="Arial"/>
          <w:sz w:val="18"/>
          <w:szCs w:val="18"/>
          <w:b w:val="1"/>
          <w:bCs w:val="1"/>
          <w:color w:val="auto"/>
        </w:rPr>
        <w:t>(480) 643-2000</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(Registrant’s telephone number, including area code.)</w:t>
      </w:r>
    </w:p>
    <w:p>
      <w:pPr>
        <w:sectPr>
          <w:pgSz w:w="11900" w:h="16838" w:orient="portrait"/>
          <w:cols w:equalWidth="0" w:num="1">
            <w:col w:w="10160"/>
          </w:cols>
          <w:pgMar w:left="860" w:top="665" w:right="879" w:bottom="1440" w:gutter="0" w:footer="0" w:header="0"/>
          <w:type w:val="continuous"/>
        </w:sectPr>
      </w:pPr>
    </w:p>
    <w:p>
      <w:pPr>
        <w:spacing w:after="0" w:line="1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N/A</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former address and former fiscal year, if changed since last report.)</w:t>
      </w:r>
    </w:p>
    <w:p>
      <w:pPr>
        <w:spacing w:after="0" w:line="9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198"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374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9"/>
              </w:rPr>
              <w:t>Title of Each Class</w:t>
            </w:r>
          </w:p>
        </w:tc>
        <w:tc>
          <w:tcPr>
            <w:tcW w:w="80" w:type="dxa"/>
            <w:vAlign w:val="bottom"/>
          </w:tcPr>
          <w:p>
            <w:pPr>
              <w:spacing w:after="0"/>
              <w:rPr>
                <w:sz w:val="18"/>
                <w:szCs w:val="18"/>
                <w:color w:val="auto"/>
              </w:rPr>
            </w:pPr>
          </w:p>
        </w:tc>
        <w:tc>
          <w:tcPr>
            <w:tcW w:w="21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1"/>
              </w:rPr>
              <w:t>Trading Symbol</w:t>
            </w:r>
          </w:p>
        </w:tc>
        <w:tc>
          <w:tcPr>
            <w:tcW w:w="4180" w:type="dxa"/>
            <w:vAlign w:val="bottom"/>
            <w:gridSpan w:val="2"/>
          </w:tcPr>
          <w:p>
            <w:pPr>
              <w:jc w:val="center"/>
              <w:spacing w:after="0"/>
              <w:rPr>
                <w:sz w:val="20"/>
                <w:szCs w:val="20"/>
                <w:color w:val="auto"/>
              </w:rPr>
            </w:pPr>
            <w:r>
              <w:rPr>
                <w:rFonts w:ascii="Arial" w:cs="Arial" w:eastAsia="Arial" w:hAnsi="Arial"/>
                <w:sz w:val="18"/>
                <w:szCs w:val="18"/>
                <w:b w:val="1"/>
                <w:bCs w:val="1"/>
                <w:color w:val="auto"/>
                <w:w w:val="89"/>
              </w:rPr>
              <w:t>Name of Each Exchange on Which registered:</w:t>
            </w:r>
          </w:p>
        </w:tc>
      </w:tr>
      <w:tr>
        <w:trPr>
          <w:trHeight w:val="224"/>
        </w:trPr>
        <w:tc>
          <w:tcPr>
            <w:tcW w:w="35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Common stock, par value $1.00 per share</w:t>
            </w:r>
          </w:p>
        </w:tc>
        <w:tc>
          <w:tcPr>
            <w:tcW w:w="16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9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6"/>
              </w:rPr>
              <w:t>AVT</w:t>
            </w:r>
          </w:p>
        </w:tc>
        <w:tc>
          <w:tcPr>
            <w:tcW w:w="26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3800" w:type="dxa"/>
            <w:vAlign w:val="bottom"/>
            <w:tcBorders>
              <w:top w:val="single" w:sz="8" w:color="auto"/>
            </w:tcBorders>
          </w:tcPr>
          <w:p>
            <w:pPr>
              <w:jc w:val="center"/>
              <w:ind w:right="270"/>
              <w:spacing w:after="0"/>
              <w:rPr>
                <w:sz w:val="20"/>
                <w:szCs w:val="20"/>
                <w:color w:val="auto"/>
              </w:rPr>
            </w:pPr>
            <w:r>
              <w:rPr>
                <w:rFonts w:ascii="Arial" w:cs="Arial" w:eastAsia="Arial" w:hAnsi="Arial"/>
                <w:sz w:val="18"/>
                <w:szCs w:val="18"/>
                <w:color w:val="auto"/>
                <w:w w:val="90"/>
              </w:rPr>
              <w:t>Nasdaq Global Select Market</w:t>
            </w:r>
          </w:p>
        </w:tc>
      </w:tr>
      <w:tr>
        <w:trPr>
          <w:trHeight w:val="107"/>
        </w:trPr>
        <w:tc>
          <w:tcPr>
            <w:tcW w:w="35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1900" w:type="dxa"/>
            <w:vAlign w:val="bottom"/>
            <w:tcBorders>
              <w:bottom w:val="single" w:sz="8" w:color="0D0D0D"/>
            </w:tcBorders>
          </w:tcPr>
          <w:p>
            <w:pPr>
              <w:spacing w:after="0"/>
              <w:rPr>
                <w:sz w:val="9"/>
                <w:szCs w:val="9"/>
                <w:color w:val="auto"/>
              </w:rPr>
            </w:pPr>
          </w:p>
        </w:tc>
        <w:tc>
          <w:tcPr>
            <w:tcW w:w="260" w:type="dxa"/>
            <w:vAlign w:val="bottom"/>
            <w:tcBorders>
              <w:bottom w:val="single" w:sz="8" w:color="0D0D0D"/>
            </w:tcBorders>
          </w:tcPr>
          <w:p>
            <w:pPr>
              <w:spacing w:after="0"/>
              <w:rPr>
                <w:sz w:val="9"/>
                <w:szCs w:val="9"/>
                <w:color w:val="auto"/>
              </w:rPr>
            </w:pPr>
          </w:p>
        </w:tc>
        <w:tc>
          <w:tcPr>
            <w:tcW w:w="380" w:type="dxa"/>
            <w:vAlign w:val="bottom"/>
            <w:tcBorders>
              <w:bottom w:val="single" w:sz="8" w:color="0D0D0D"/>
            </w:tcBorders>
          </w:tcPr>
          <w:p>
            <w:pPr>
              <w:spacing w:after="0"/>
              <w:rPr>
                <w:sz w:val="9"/>
                <w:szCs w:val="9"/>
                <w:color w:val="auto"/>
              </w:rPr>
            </w:pPr>
          </w:p>
        </w:tc>
        <w:tc>
          <w:tcPr>
            <w:tcW w:w="3800" w:type="dxa"/>
            <w:vAlign w:val="bottom"/>
          </w:tcPr>
          <w:p>
            <w:pPr>
              <w:spacing w:after="0"/>
              <w:rPr>
                <w:sz w:val="9"/>
                <w:szCs w:val="9"/>
                <w:color w:val="auto"/>
              </w:rPr>
            </w:pPr>
          </w:p>
        </w:tc>
      </w:tr>
    </w:tbl>
    <w:p>
      <w:pPr>
        <w:spacing w:after="0" w:line="161" w:lineRule="exact"/>
        <w:rPr>
          <w:sz w:val="24"/>
          <w:szCs w:val="24"/>
          <w:color w:val="auto"/>
        </w:rPr>
      </w:pPr>
    </w:p>
    <w:p>
      <w:pPr>
        <w:ind w:right="200" w:firstLine="427"/>
        <w:spacing w:after="0" w:line="287" w:lineRule="auto"/>
        <w:rPr>
          <w:sz w:val="20"/>
          <w:szCs w:val="20"/>
          <w:color w:val="auto"/>
        </w:rPr>
      </w:pPr>
      <w:r>
        <w:rPr>
          <w:rFonts w:ascii="Arial" w:cs="Arial" w:eastAsia="Arial" w:hAnsi="Arial"/>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w:t>
      </w:r>
    </w:p>
    <w:p>
      <w:pPr>
        <w:spacing w:after="0" w:line="1"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08" w:lineRule="exact"/>
        <w:rPr>
          <w:sz w:val="24"/>
          <w:szCs w:val="24"/>
          <w:color w:val="auto"/>
        </w:rPr>
      </w:pPr>
    </w:p>
    <w:p>
      <w:pPr>
        <w:jc w:val="both"/>
        <w:ind w:right="560" w:firstLine="432"/>
        <w:spacing w:after="0" w:line="258" w:lineRule="auto"/>
        <w:rPr>
          <w:sz w:val="20"/>
          <w:szCs w:val="20"/>
          <w:color w:val="auto"/>
        </w:rPr>
      </w:pPr>
      <w:r>
        <w:rPr>
          <w:rFonts w:ascii="Arial" w:cs="Arial" w:eastAsia="Arial" w:hAnsi="Arial"/>
          <w:sz w:val="18"/>
          <w:szCs w:val="18"/>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2"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96" w:lineRule="exact"/>
        <w:rPr>
          <w:sz w:val="24"/>
          <w:szCs w:val="24"/>
          <w:color w:val="auto"/>
        </w:rPr>
      </w:pPr>
    </w:p>
    <w:p>
      <w:pPr>
        <w:ind w:right="200" w:firstLine="427"/>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0160"/>
          </w:cols>
          <w:pgMar w:left="860" w:top="665" w:right="879" w:bottom="1440" w:gutter="0" w:footer="0" w:header="0"/>
          <w:type w:val="continuous"/>
        </w:sectPr>
      </w:pPr>
    </w:p>
    <w:p>
      <w:pPr>
        <w:spacing w:after="0" w:line="56" w:lineRule="exact"/>
        <w:rPr>
          <w:sz w:val="24"/>
          <w:szCs w:val="24"/>
          <w:color w:val="auto"/>
        </w:rPr>
      </w:pPr>
    </w:p>
    <w:p>
      <w:pPr>
        <w:ind w:left="160"/>
        <w:spacing w:after="0" w:line="207" w:lineRule="exact"/>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p>
    <w:p>
      <w:pPr>
        <w:spacing w:after="0" w:line="13" w:lineRule="exact"/>
        <w:rPr>
          <w:sz w:val="24"/>
          <w:szCs w:val="24"/>
          <w:color w:val="auto"/>
        </w:rPr>
      </w:pPr>
    </w:p>
    <w:p>
      <w:pPr>
        <w:ind w:left="160"/>
        <w:spacing w:after="0" w:line="207" w:lineRule="exact"/>
        <w:rPr>
          <w:sz w:val="20"/>
          <w:szCs w:val="20"/>
          <w:color w:val="auto"/>
        </w:rPr>
      </w:pPr>
      <w:r>
        <w:rPr>
          <w:rFonts w:ascii="Arial" w:cs="Arial" w:eastAsia="Arial" w:hAnsi="Arial"/>
          <w:sz w:val="18"/>
          <w:szCs w:val="18"/>
          <w:color w:val="auto"/>
        </w:rPr>
        <w:t xml:space="preserve">Non-accelerated Filer </w:t>
      </w:r>
      <w:r>
        <w:rPr>
          <w:rFonts w:ascii="MS PGothic" w:cs="MS PGothic" w:eastAsia="MS PGothic" w:hAnsi="MS PGothic"/>
          <w:sz w:val="18"/>
          <w:szCs w:val="18"/>
          <w:color w:val="auto"/>
        </w:rPr>
        <w:t>☐</w:t>
      </w:r>
    </w:p>
    <w:p>
      <w:pPr>
        <w:ind w:left="16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36"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Accelerated Filer </w:t>
      </w:r>
      <w:r>
        <w:rPr>
          <w:rFonts w:ascii="MS PGothic" w:cs="MS PGothic" w:eastAsia="MS PGothic" w:hAnsi="MS PGothic"/>
          <w:sz w:val="18"/>
          <w:szCs w:val="18"/>
          <w:color w:val="auto"/>
        </w:rPr>
        <w:t>☐</w:t>
      </w:r>
    </w:p>
    <w:p>
      <w:pPr>
        <w:spacing w:after="0" w:line="44"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pacing w:after="0" w:line="225" w:lineRule="exact"/>
        <w:rPr>
          <w:sz w:val="24"/>
          <w:szCs w:val="24"/>
          <w:color w:val="auto"/>
        </w:rPr>
      </w:pPr>
    </w:p>
    <w:p>
      <w:pPr>
        <w:sectPr>
          <w:pgSz w:w="11900" w:h="16838" w:orient="portrait"/>
          <w:cols w:equalWidth="0" w:num="2">
            <w:col w:w="6020" w:space="720"/>
            <w:col w:w="3420"/>
          </w:cols>
          <w:pgMar w:left="860" w:top="665" w:right="879" w:bottom="1440" w:gutter="0" w:footer="0" w:header="0"/>
          <w:type w:val="continuous"/>
        </w:sectPr>
      </w:pPr>
    </w:p>
    <w:p>
      <w:pPr>
        <w:ind w:right="500" w:firstLine="427"/>
        <w:spacing w:after="0" w:line="230"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42" w:lineRule="exact"/>
        <w:rPr>
          <w:sz w:val="24"/>
          <w:szCs w:val="24"/>
          <w:color w:val="auto"/>
        </w:rPr>
      </w:pPr>
    </w:p>
    <w:p>
      <w:pPr>
        <w:ind w:left="420"/>
        <w:spacing w:after="0" w:line="184"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73" w:lineRule="exact"/>
        <w:rPr>
          <w:sz w:val="24"/>
          <w:szCs w:val="24"/>
          <w:color w:val="auto"/>
        </w:rPr>
      </w:pPr>
    </w:p>
    <w:p>
      <w:pPr>
        <w:ind w:right="540" w:firstLine="427"/>
        <w:spacing w:after="0" w:line="277" w:lineRule="auto"/>
        <w:rPr>
          <w:sz w:val="20"/>
          <w:szCs w:val="20"/>
          <w:color w:val="auto"/>
        </w:rPr>
      </w:pPr>
      <w:r>
        <w:rPr>
          <w:rFonts w:ascii="Arial" w:cs="Arial" w:eastAsia="Arial" w:hAnsi="Arial"/>
          <w:sz w:val="18"/>
          <w:szCs w:val="18"/>
          <w:color w:val="auto"/>
        </w:rPr>
        <w:t>As of October 21, 2022, the total number of shares outstanding of the registrant’s Common Stock was 91,517,297 shares, net of treasury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614680</wp:posOffset>
            </wp:positionV>
            <wp:extent cx="6463665" cy="26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463665" cy="260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91440</wp:posOffset>
            </wp:positionV>
            <wp:extent cx="6463665" cy="342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463665"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74295</wp:posOffset>
            </wp:positionV>
            <wp:extent cx="646366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463665" cy="8255"/>
                    </a:xfrm>
                    <a:prstGeom prst="rect">
                      <a:avLst/>
                    </a:prstGeom>
                    <a:noFill/>
                  </pic:spPr>
                </pic:pic>
              </a:graphicData>
            </a:graphic>
          </wp:anchor>
        </w:drawing>
      </w:r>
    </w:p>
    <w:p>
      <w:pPr>
        <w:sectPr>
          <w:pgSz w:w="11900" w:h="16838" w:orient="portrait"/>
          <w:cols w:equalWidth="0" w:num="1">
            <w:col w:w="10160"/>
          </w:cols>
          <w:pgMar w:left="860" w:top="665" w:right="879" w:bottom="1440" w:gutter="0" w:footer="0" w:header="0"/>
          <w:type w:val="continuous"/>
        </w:sectPr>
      </w:pPr>
    </w:p>
    <w:bookmarkStart w:id="1" w:name="page2"/>
    <w:bookmarkEnd w:id="1"/>
    <w:tbl>
      <w:tblPr>
        <w:tblLayout w:type="fixed"/>
        <w:tblInd w:w="60" w:type="dxa"/>
        <w:tblCellMar>
          <w:top w:w="0" w:type="dxa"/>
          <w:left w:w="0" w:type="dxa"/>
          <w:bottom w:w="0" w:type="dxa"/>
          <w:right w:w="0" w:type="dxa"/>
        </w:tblCellMar>
      </w:tblPr>
      <w:tr>
        <w:trPr>
          <w:trHeight w:val="207"/>
        </w:trPr>
        <w:tc>
          <w:tcPr>
            <w:tcW w:w="7980" w:type="dxa"/>
            <w:vAlign w:val="bottom"/>
            <w:gridSpan w:val="24"/>
          </w:tcPr>
          <w:p>
            <w:pPr>
              <w:spacing w:after="0"/>
              <w:rPr>
                <w:sz w:val="20"/>
                <w:szCs w:val="20"/>
                <w:color w:val="auto"/>
              </w:rPr>
            </w:pPr>
            <w:r>
              <w:rPr>
                <w:rFonts w:ascii="Arial" w:cs="Arial" w:eastAsia="Arial" w:hAnsi="Arial"/>
                <w:sz w:val="18"/>
                <w:szCs w:val="18"/>
                <w:color w:val="0000EE"/>
              </w:rPr>
              <w:t>Table of Contents</w:t>
            </w: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2"/>
        </w:trPr>
        <w:tc>
          <w:tcPr>
            <w:tcW w:w="4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960" w:type="dxa"/>
            <w:vAlign w:val="bottom"/>
            <w:gridSpan w:val="12"/>
          </w:tcPr>
          <w:p>
            <w:pPr>
              <w:jc w:val="center"/>
              <w:ind w:right="2120"/>
              <w:spacing w:after="0"/>
              <w:rPr>
                <w:sz w:val="20"/>
                <w:szCs w:val="20"/>
                <w:color w:val="auto"/>
              </w:rPr>
            </w:pPr>
            <w:r>
              <w:rPr>
                <w:rFonts w:ascii="Arial" w:cs="Arial" w:eastAsia="Arial" w:hAnsi="Arial"/>
                <w:sz w:val="18"/>
                <w:szCs w:val="18"/>
                <w:color w:val="auto"/>
                <w:w w:val="97"/>
              </w:rPr>
              <w:t>AVNET, INC. AND SUBSIDIARIES</w:t>
            </w: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460" w:type="dxa"/>
            <w:vAlign w:val="bottom"/>
            <w:gridSpan w:val="11"/>
          </w:tcPr>
          <w:p>
            <w:pPr>
              <w:jc w:val="center"/>
              <w:ind w:right="2620"/>
              <w:spacing w:after="0"/>
              <w:rPr>
                <w:sz w:val="20"/>
                <w:szCs w:val="20"/>
                <w:color w:val="auto"/>
              </w:rPr>
            </w:pPr>
            <w:r>
              <w:rPr>
                <w:rFonts w:ascii="Arial" w:cs="Arial" w:eastAsia="Arial" w:hAnsi="Arial"/>
                <w:sz w:val="18"/>
                <w:szCs w:val="18"/>
                <w:color w:val="auto"/>
              </w:rPr>
              <w:t>INDEX</w:t>
            </w: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vMerge w:val="restart"/>
          </w:tcPr>
          <w:p>
            <w:pPr>
              <w:spacing w:after="0"/>
              <w:rPr>
                <w:sz w:val="24"/>
                <w:szCs w:val="24"/>
                <w:color w:val="auto"/>
              </w:rPr>
            </w:pPr>
          </w:p>
        </w:tc>
        <w:tc>
          <w:tcPr>
            <w:tcW w:w="5440" w:type="dxa"/>
            <w:vAlign w:val="bottom"/>
            <w:gridSpan w:val="14"/>
            <w:vMerge w:val="restart"/>
          </w:tcPr>
          <w:p>
            <w:pPr>
              <w:jc w:val="center"/>
              <w:ind w:right="2560"/>
              <w:spacing w:after="0"/>
              <w:rPr>
                <w:sz w:val="20"/>
                <w:szCs w:val="20"/>
                <w:color w:val="auto"/>
              </w:rPr>
            </w:pPr>
            <w:r>
              <w:rPr>
                <w:rFonts w:ascii="Arial" w:cs="Arial" w:eastAsia="Arial" w:hAnsi="Arial"/>
                <w:sz w:val="18"/>
                <w:szCs w:val="18"/>
                <w:color w:val="0000EE"/>
                <w:w w:val="98"/>
              </w:rPr>
              <w:t>PART I. FINANCIAL INFORMATION</w:t>
            </w:r>
          </w:p>
        </w:tc>
        <w:tc>
          <w:tcPr>
            <w:tcW w:w="9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Page No.</w:t>
            </w:r>
          </w:p>
        </w:tc>
        <w:tc>
          <w:tcPr>
            <w:tcW w:w="0" w:type="dxa"/>
            <w:vAlign w:val="bottom"/>
          </w:tcPr>
          <w:p>
            <w:pPr>
              <w:spacing w:after="0"/>
              <w:rPr>
                <w:sz w:val="1"/>
                <w:szCs w:val="1"/>
                <w:color w:val="auto"/>
              </w:rPr>
            </w:pPr>
          </w:p>
        </w:tc>
      </w:tr>
      <w:tr>
        <w:trPr>
          <w:trHeight w:val="169"/>
        </w:trPr>
        <w:tc>
          <w:tcPr>
            <w:tcW w:w="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0" w:type="dxa"/>
            <w:vAlign w:val="bottom"/>
            <w:vMerge w:val="continue"/>
          </w:tcPr>
          <w:p>
            <w:pPr>
              <w:spacing w:after="0"/>
              <w:rPr>
                <w:sz w:val="14"/>
                <w:szCs w:val="14"/>
                <w:color w:val="auto"/>
              </w:rPr>
            </w:pPr>
          </w:p>
        </w:tc>
        <w:tc>
          <w:tcPr>
            <w:tcW w:w="5440" w:type="dxa"/>
            <w:vAlign w:val="bottom"/>
            <w:gridSpan w:val="14"/>
            <w:vMerge w:val="continue"/>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40" w:type="dxa"/>
            <w:vAlign w:val="bottom"/>
          </w:tcPr>
          <w:p>
            <w:pPr>
              <w:spacing w:after="0"/>
              <w:rPr>
                <w:sz w:val="24"/>
                <w:szCs w:val="24"/>
                <w:color w:val="auto"/>
              </w:rPr>
            </w:pPr>
          </w:p>
        </w:tc>
        <w:tc>
          <w:tcPr>
            <w:tcW w:w="7940" w:type="dxa"/>
            <w:vAlign w:val="bottom"/>
            <w:gridSpan w:val="23"/>
          </w:tcPr>
          <w:p>
            <w:pPr>
              <w:spacing w:after="0"/>
              <w:rPr>
                <w:sz w:val="20"/>
                <w:szCs w:val="20"/>
                <w:color w:val="auto"/>
              </w:rPr>
            </w:pPr>
            <w:r>
              <w:rPr>
                <w:rFonts w:ascii="Arial" w:cs="Arial" w:eastAsia="Arial" w:hAnsi="Arial"/>
                <w:sz w:val="18"/>
                <w:szCs w:val="18"/>
                <w:color w:val="0000EE"/>
              </w:rPr>
              <w:t>Item 1. Financial Statements (Unaudited)</w:t>
            </w: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8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60" w:type="dxa"/>
            <w:vAlign w:val="bottom"/>
            <w:tcBorders>
              <w:right w:val="single" w:sz="8" w:color="0000EE"/>
            </w:tcBorders>
            <w:gridSpan w:val="2"/>
            <w:shd w:val="clear" w:color="auto" w:fill="0000EE"/>
          </w:tcPr>
          <w:p>
            <w:pPr>
              <w:spacing w:after="0" w:line="20" w:lineRule="exact"/>
              <w:rPr>
                <w:sz w:val="1"/>
                <w:szCs w:val="1"/>
                <w:color w:val="auto"/>
              </w:rPr>
            </w:pPr>
          </w:p>
        </w:tc>
        <w:tc>
          <w:tcPr>
            <w:tcW w:w="280" w:type="dxa"/>
            <w:vAlign w:val="bottom"/>
            <w:tcBorders>
              <w:left w:val="single" w:sz="8" w:color="0000EE"/>
            </w:tcBorders>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78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560" w:type="dxa"/>
            <w:vAlign w:val="bottom"/>
            <w:gridSpan w:val="22"/>
          </w:tcPr>
          <w:p>
            <w:pPr>
              <w:spacing w:after="0"/>
              <w:rPr>
                <w:sz w:val="20"/>
                <w:szCs w:val="20"/>
                <w:color w:val="auto"/>
              </w:rPr>
            </w:pPr>
            <w:r>
              <w:rPr>
                <w:rFonts w:ascii="Arial" w:cs="Arial" w:eastAsia="Arial" w:hAnsi="Arial"/>
                <w:sz w:val="18"/>
                <w:szCs w:val="18"/>
                <w:color w:val="0000EE"/>
              </w:rPr>
              <w:t>Consolidated Balance Sheets at October 1, 2022 and July 2, 2022</w:t>
            </w:r>
          </w:p>
        </w:tc>
        <w:tc>
          <w:tcPr>
            <w:tcW w:w="92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80" w:type="dxa"/>
            <w:vAlign w:val="bottom"/>
            <w:tcBorders>
              <w:right w:val="single" w:sz="8" w:color="0000EE"/>
            </w:tcBorders>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60" w:type="dxa"/>
            <w:vAlign w:val="bottom"/>
            <w:tcBorders>
              <w:right w:val="single" w:sz="8" w:color="0000EE"/>
            </w:tcBorders>
            <w:gridSpan w:val="2"/>
            <w:shd w:val="clear" w:color="auto" w:fill="0000EE"/>
          </w:tcPr>
          <w:p>
            <w:pPr>
              <w:spacing w:after="0" w:line="20" w:lineRule="exact"/>
              <w:rPr>
                <w:sz w:val="1"/>
                <w:szCs w:val="1"/>
                <w:color w:val="auto"/>
              </w:rPr>
            </w:pPr>
          </w:p>
        </w:tc>
        <w:tc>
          <w:tcPr>
            <w:tcW w:w="280" w:type="dxa"/>
            <w:vAlign w:val="bottom"/>
            <w:tcBorders>
              <w:left w:val="single" w:sz="8" w:color="0000EE"/>
            </w:tcBorders>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1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78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560" w:type="dxa"/>
            <w:vAlign w:val="bottom"/>
            <w:gridSpan w:val="22"/>
          </w:tcPr>
          <w:p>
            <w:pPr>
              <w:spacing w:after="0"/>
              <w:rPr>
                <w:sz w:val="20"/>
                <w:szCs w:val="20"/>
                <w:color w:val="auto"/>
              </w:rPr>
            </w:pPr>
            <w:r>
              <w:rPr>
                <w:rFonts w:ascii="Arial" w:cs="Arial" w:eastAsia="Arial" w:hAnsi="Arial"/>
                <w:sz w:val="18"/>
                <w:szCs w:val="18"/>
                <w:color w:val="0000EE"/>
                <w:w w:val="90"/>
              </w:rPr>
              <w:t>Consolidated Statements of Operations for the first quarters ended October 1, 2022 and October 2, 2021</w:t>
            </w:r>
          </w:p>
        </w:tc>
        <w:tc>
          <w:tcPr>
            <w:tcW w:w="92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425"/>
        </w:trPr>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160" w:type="dxa"/>
            <w:vAlign w:val="bottom"/>
            <w:tcBorders>
              <w:top w:val="single" w:sz="8" w:color="0000EE"/>
              <w:bottom w:val="single" w:sz="8" w:color="0000EE"/>
            </w:tcBorders>
            <w:gridSpan w:val="19"/>
          </w:tcPr>
          <w:p>
            <w:pPr>
              <w:spacing w:after="0"/>
              <w:rPr>
                <w:sz w:val="20"/>
                <w:szCs w:val="20"/>
                <w:color w:val="auto"/>
              </w:rPr>
            </w:pPr>
            <w:r>
              <w:rPr>
                <w:rFonts w:ascii="Arial" w:cs="Arial" w:eastAsia="Arial" w:hAnsi="Arial"/>
                <w:sz w:val="18"/>
                <w:szCs w:val="18"/>
                <w:color w:val="0000EE"/>
                <w:w w:val="89"/>
              </w:rPr>
              <w:t>Consolidated Statements of Comprehensive Income for the first quarters ended October 1, 2022 and</w:t>
            </w:r>
          </w:p>
        </w:tc>
        <w:tc>
          <w:tcPr>
            <w:tcW w:w="280" w:type="dxa"/>
            <w:vAlign w:val="bottom"/>
            <w:tcBorders>
              <w:top w:val="single" w:sz="8" w:color="0000EE"/>
            </w:tcBorders>
          </w:tcPr>
          <w:p>
            <w:pPr>
              <w:spacing w:after="0"/>
              <w:rPr>
                <w:sz w:val="24"/>
                <w:szCs w:val="24"/>
                <w:color w:val="auto"/>
              </w:rPr>
            </w:pPr>
          </w:p>
        </w:tc>
        <w:tc>
          <w:tcPr>
            <w:tcW w:w="120" w:type="dxa"/>
            <w:vAlign w:val="bottom"/>
            <w:gridSpan w:val="2"/>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40" w:type="dxa"/>
            <w:vAlign w:val="bottom"/>
            <w:gridSpan w:val="21"/>
          </w:tcPr>
          <w:p>
            <w:pPr>
              <w:spacing w:after="0" w:line="196" w:lineRule="exact"/>
              <w:rPr>
                <w:sz w:val="20"/>
                <w:szCs w:val="20"/>
                <w:color w:val="auto"/>
              </w:rPr>
            </w:pPr>
            <w:r>
              <w:rPr>
                <w:rFonts w:ascii="Arial" w:cs="Arial" w:eastAsia="Arial" w:hAnsi="Arial"/>
                <w:sz w:val="18"/>
                <w:szCs w:val="18"/>
                <w:color w:val="0000EE"/>
              </w:rPr>
              <w:t>October 2, 2021</w:t>
            </w:r>
          </w:p>
        </w:tc>
        <w:tc>
          <w:tcPr>
            <w:tcW w:w="92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60" w:type="dxa"/>
            <w:vAlign w:val="bottom"/>
            <w:tcBorders>
              <w:right w:val="single" w:sz="8" w:color="0000EE"/>
            </w:tcBorders>
            <w:gridSpan w:val="2"/>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78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560" w:type="dxa"/>
            <w:vAlign w:val="bottom"/>
            <w:gridSpan w:val="22"/>
          </w:tcPr>
          <w:p>
            <w:pPr>
              <w:spacing w:after="0"/>
              <w:rPr>
                <w:sz w:val="20"/>
                <w:szCs w:val="20"/>
                <w:color w:val="auto"/>
              </w:rPr>
            </w:pPr>
            <w:r>
              <w:rPr>
                <w:rFonts w:ascii="Arial" w:cs="Arial" w:eastAsia="Arial" w:hAnsi="Arial"/>
                <w:sz w:val="18"/>
                <w:szCs w:val="18"/>
                <w:color w:val="0000EE"/>
                <w:w w:val="96"/>
              </w:rPr>
              <w:t>Consolidated Statements of Shareholders’ Equity for the first quarters ended October 1, 2022 and</w:t>
            </w: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6880" w:type="dxa"/>
            <w:vAlign w:val="bottom"/>
            <w:tcBorders>
              <w:top w:val="single" w:sz="8" w:color="0000EE"/>
            </w:tcBorders>
            <w:gridSpan w:val="17"/>
          </w:tcPr>
          <w:p>
            <w:pPr>
              <w:spacing w:after="0" w:line="196" w:lineRule="exact"/>
              <w:rPr>
                <w:sz w:val="20"/>
                <w:szCs w:val="20"/>
                <w:color w:val="auto"/>
              </w:rPr>
            </w:pPr>
            <w:r>
              <w:rPr>
                <w:rFonts w:ascii="Arial" w:cs="Arial" w:eastAsia="Arial" w:hAnsi="Arial"/>
                <w:sz w:val="18"/>
                <w:szCs w:val="18"/>
                <w:color w:val="0000EE"/>
              </w:rPr>
              <w:t>October 2, 2021</w:t>
            </w:r>
          </w:p>
        </w:tc>
        <w:tc>
          <w:tcPr>
            <w:tcW w:w="560" w:type="dxa"/>
            <w:vAlign w:val="bottom"/>
            <w:gridSpan w:val="4"/>
          </w:tcPr>
          <w:p>
            <w:pPr>
              <w:spacing w:after="0"/>
              <w:rPr>
                <w:sz w:val="17"/>
                <w:szCs w:val="17"/>
                <w:color w:val="auto"/>
              </w:rPr>
            </w:pPr>
          </w:p>
        </w:tc>
        <w:tc>
          <w:tcPr>
            <w:tcW w:w="92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60" w:type="dxa"/>
            <w:vAlign w:val="bottom"/>
            <w:tcBorders>
              <w:right w:val="single" w:sz="8" w:color="0000EE"/>
            </w:tcBorders>
            <w:gridSpan w:val="2"/>
            <w:shd w:val="clear" w:color="auto" w:fill="0000EE"/>
          </w:tcPr>
          <w:p>
            <w:pPr>
              <w:spacing w:after="0" w:line="20" w:lineRule="exact"/>
              <w:rPr>
                <w:sz w:val="1"/>
                <w:szCs w:val="1"/>
                <w:color w:val="auto"/>
              </w:rPr>
            </w:pPr>
          </w:p>
        </w:tc>
        <w:tc>
          <w:tcPr>
            <w:tcW w:w="280" w:type="dxa"/>
            <w:vAlign w:val="bottom"/>
            <w:tcBorders>
              <w:left w:val="single" w:sz="8" w:color="0000EE"/>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780" w:type="dxa"/>
            <w:vAlign w:val="bottom"/>
            <w:gridSpan w:val="2"/>
          </w:tcPr>
          <w:p>
            <w:pPr>
              <w:spacing w:after="0" w:line="20" w:lineRule="exact"/>
              <w:rPr>
                <w:sz w:val="1"/>
                <w:szCs w:val="1"/>
                <w:color w:val="auto"/>
              </w:rPr>
            </w:pPr>
          </w:p>
        </w:tc>
        <w:tc>
          <w:tcPr>
            <w:tcW w:w="86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500" w:type="dxa"/>
            <w:vAlign w:val="bottom"/>
            <w:tcBorders>
              <w:bottom w:val="single" w:sz="8" w:color="0000EE"/>
            </w:tcBorders>
            <w:gridSpan w:val="21"/>
          </w:tcPr>
          <w:p>
            <w:pPr>
              <w:spacing w:after="0"/>
              <w:rPr>
                <w:sz w:val="20"/>
                <w:szCs w:val="20"/>
                <w:color w:val="auto"/>
              </w:rPr>
            </w:pPr>
            <w:r>
              <w:rPr>
                <w:rFonts w:ascii="Arial" w:cs="Arial" w:eastAsia="Arial" w:hAnsi="Arial"/>
                <w:sz w:val="18"/>
                <w:szCs w:val="18"/>
                <w:color w:val="0000EE"/>
                <w:w w:val="89"/>
              </w:rPr>
              <w:t>Consolidated Statements of Cash Flows for the first quarters ended October 1, 2022 and October 2, 2021</w:t>
            </w:r>
          </w:p>
        </w:tc>
        <w:tc>
          <w:tcPr>
            <w:tcW w:w="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412"/>
        </w:trPr>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560" w:type="dxa"/>
            <w:vAlign w:val="bottom"/>
            <w:gridSpan w:val="22"/>
          </w:tcPr>
          <w:p>
            <w:pPr>
              <w:spacing w:after="0"/>
              <w:rPr>
                <w:sz w:val="20"/>
                <w:szCs w:val="20"/>
                <w:color w:val="auto"/>
              </w:rPr>
            </w:pPr>
            <w:r>
              <w:rPr>
                <w:rFonts w:ascii="Arial" w:cs="Arial" w:eastAsia="Arial" w:hAnsi="Arial"/>
                <w:sz w:val="18"/>
                <w:szCs w:val="18"/>
                <w:color w:val="0000EE"/>
              </w:rPr>
              <w:t>Notes to Consolidated Financial Statements</w:t>
            </w:r>
          </w:p>
        </w:tc>
        <w:tc>
          <w:tcPr>
            <w:tcW w:w="92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80" w:type="dxa"/>
            <w:vAlign w:val="bottom"/>
            <w:tcBorders>
              <w:right w:val="single" w:sz="8" w:color="0000EE"/>
            </w:tcBorders>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60" w:type="dxa"/>
            <w:vAlign w:val="bottom"/>
            <w:tcBorders>
              <w:right w:val="single" w:sz="8" w:color="0000EE"/>
            </w:tcBorders>
            <w:gridSpan w:val="2"/>
            <w:shd w:val="clear" w:color="auto" w:fill="0000EE"/>
          </w:tcPr>
          <w:p>
            <w:pPr>
              <w:spacing w:after="0" w:line="20" w:lineRule="exact"/>
              <w:rPr>
                <w:sz w:val="1"/>
                <w:szCs w:val="1"/>
                <w:color w:val="auto"/>
              </w:rPr>
            </w:pPr>
          </w:p>
        </w:tc>
        <w:tc>
          <w:tcPr>
            <w:tcW w:w="280" w:type="dxa"/>
            <w:vAlign w:val="bottom"/>
            <w:tcBorders>
              <w:left w:val="single" w:sz="8" w:color="0000EE"/>
            </w:tcBorders>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780" w:type="dxa"/>
            <w:vAlign w:val="bottom"/>
            <w:gridSpan w:val="2"/>
          </w:tcPr>
          <w:p>
            <w:pPr>
              <w:spacing w:after="0" w:line="20" w:lineRule="exact"/>
              <w:rPr>
                <w:sz w:val="1"/>
                <w:szCs w:val="1"/>
                <w:color w:val="auto"/>
              </w:rPr>
            </w:pPr>
          </w:p>
        </w:tc>
        <w:tc>
          <w:tcPr>
            <w:tcW w:w="920" w:type="dxa"/>
            <w:vAlign w:val="bottom"/>
            <w:gridSpan w:val="5"/>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40" w:type="dxa"/>
            <w:vAlign w:val="bottom"/>
          </w:tcPr>
          <w:p>
            <w:pPr>
              <w:spacing w:after="0"/>
              <w:rPr>
                <w:sz w:val="24"/>
                <w:szCs w:val="24"/>
                <w:color w:val="auto"/>
              </w:rPr>
            </w:pPr>
          </w:p>
        </w:tc>
        <w:tc>
          <w:tcPr>
            <w:tcW w:w="7940" w:type="dxa"/>
            <w:vAlign w:val="bottom"/>
            <w:gridSpan w:val="23"/>
          </w:tcPr>
          <w:p>
            <w:pPr>
              <w:spacing w:after="0"/>
              <w:rPr>
                <w:sz w:val="20"/>
                <w:szCs w:val="20"/>
                <w:color w:val="auto"/>
              </w:rPr>
            </w:pPr>
            <w:r>
              <w:rPr>
                <w:rFonts w:ascii="Arial" w:cs="Arial" w:eastAsia="Arial" w:hAnsi="Arial"/>
                <w:sz w:val="18"/>
                <w:szCs w:val="18"/>
                <w:color w:val="0000EE"/>
              </w:rPr>
              <w:t>Item 2. Management’s Discussion and Analysis of Financial Condition and Results of Operations</w:t>
            </w:r>
          </w:p>
        </w:tc>
        <w:tc>
          <w:tcPr>
            <w:tcW w:w="920" w:type="dxa"/>
            <w:vAlign w:val="bottom"/>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412"/>
        </w:trPr>
        <w:tc>
          <w:tcPr>
            <w:tcW w:w="40" w:type="dxa"/>
            <w:vAlign w:val="bottom"/>
          </w:tcPr>
          <w:p>
            <w:pPr>
              <w:spacing w:after="0"/>
              <w:rPr>
                <w:sz w:val="24"/>
                <w:szCs w:val="24"/>
                <w:color w:val="auto"/>
              </w:rPr>
            </w:pPr>
          </w:p>
        </w:tc>
        <w:tc>
          <w:tcPr>
            <w:tcW w:w="4940" w:type="dxa"/>
            <w:vAlign w:val="bottom"/>
            <w:tcBorders>
              <w:top w:val="single" w:sz="8" w:color="0000EE"/>
              <w:bottom w:val="single" w:sz="8" w:color="0000EE"/>
            </w:tcBorders>
            <w:gridSpan w:val="14"/>
          </w:tcPr>
          <w:p>
            <w:pPr>
              <w:spacing w:after="0"/>
              <w:rPr>
                <w:sz w:val="20"/>
                <w:szCs w:val="20"/>
                <w:color w:val="auto"/>
              </w:rPr>
            </w:pPr>
            <w:r>
              <w:rPr>
                <w:rFonts w:ascii="Arial" w:cs="Arial" w:eastAsia="Arial" w:hAnsi="Arial"/>
                <w:sz w:val="18"/>
                <w:szCs w:val="18"/>
                <w:color w:val="0000EE"/>
                <w:w w:val="92"/>
              </w:rPr>
              <w:t>Item 3. Quantitative and Qualitative Disclosures About Market Risk</w:t>
            </w:r>
          </w:p>
        </w:tc>
        <w:tc>
          <w:tcPr>
            <w:tcW w:w="2080" w:type="dxa"/>
            <w:vAlign w:val="bottom"/>
            <w:tcBorders>
              <w:top w:val="single" w:sz="8" w:color="0000EE"/>
            </w:tcBorders>
            <w:gridSpan w:val="4"/>
          </w:tcPr>
          <w:p>
            <w:pPr>
              <w:spacing w:after="0"/>
              <w:rPr>
                <w:sz w:val="24"/>
                <w:szCs w:val="24"/>
                <w:color w:val="auto"/>
              </w:rPr>
            </w:pPr>
          </w:p>
        </w:tc>
        <w:tc>
          <w:tcPr>
            <w:tcW w:w="920" w:type="dxa"/>
            <w:vAlign w:val="bottom"/>
            <w:gridSpan w:val="5"/>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412"/>
        </w:trPr>
        <w:tc>
          <w:tcPr>
            <w:tcW w:w="40" w:type="dxa"/>
            <w:vAlign w:val="bottom"/>
          </w:tcPr>
          <w:p>
            <w:pPr>
              <w:spacing w:after="0"/>
              <w:rPr>
                <w:sz w:val="24"/>
                <w:szCs w:val="24"/>
                <w:color w:val="auto"/>
              </w:rPr>
            </w:pPr>
          </w:p>
        </w:tc>
        <w:tc>
          <w:tcPr>
            <w:tcW w:w="7940" w:type="dxa"/>
            <w:vAlign w:val="bottom"/>
            <w:gridSpan w:val="23"/>
          </w:tcPr>
          <w:p>
            <w:pPr>
              <w:spacing w:after="0"/>
              <w:rPr>
                <w:sz w:val="20"/>
                <w:szCs w:val="20"/>
                <w:color w:val="auto"/>
              </w:rPr>
            </w:pPr>
            <w:r>
              <w:rPr>
                <w:rFonts w:ascii="Arial" w:cs="Arial" w:eastAsia="Arial" w:hAnsi="Arial"/>
                <w:sz w:val="18"/>
                <w:szCs w:val="18"/>
                <w:color w:val="0000EE"/>
              </w:rPr>
              <w:t>Item 4. Controls and Procedures</w:t>
            </w:r>
          </w:p>
        </w:tc>
        <w:tc>
          <w:tcPr>
            <w:tcW w:w="920" w:type="dxa"/>
            <w:vAlign w:val="bottom"/>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412"/>
        </w:trPr>
        <w:tc>
          <w:tcPr>
            <w:tcW w:w="40" w:type="dxa"/>
            <w:vAlign w:val="bottom"/>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580" w:type="dxa"/>
            <w:vAlign w:val="bottom"/>
            <w:tcBorders>
              <w:bottom w:val="single" w:sz="8" w:color="0000EE"/>
            </w:tcBorders>
            <w:gridSpan w:val="6"/>
          </w:tcPr>
          <w:p>
            <w:pPr>
              <w:jc w:val="center"/>
              <w:spacing w:after="0"/>
              <w:rPr>
                <w:sz w:val="20"/>
                <w:szCs w:val="20"/>
                <w:color w:val="auto"/>
              </w:rPr>
            </w:pPr>
            <w:r>
              <w:rPr>
                <w:rFonts w:ascii="Arial" w:cs="Arial" w:eastAsia="Arial" w:hAnsi="Arial"/>
                <w:sz w:val="18"/>
                <w:szCs w:val="18"/>
                <w:color w:val="0000EE"/>
                <w:w w:val="96"/>
              </w:rPr>
              <w:t>PART II. OTHER INFORMATION</w:t>
            </w:r>
          </w:p>
        </w:tc>
        <w:tc>
          <w:tcPr>
            <w:tcW w:w="2700" w:type="dxa"/>
            <w:vAlign w:val="bottom"/>
            <w:gridSpan w:val="7"/>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40" w:type="dxa"/>
            <w:vAlign w:val="bottom"/>
          </w:tcPr>
          <w:p>
            <w:pPr>
              <w:spacing w:after="0"/>
              <w:rPr>
                <w:sz w:val="24"/>
                <w:szCs w:val="24"/>
                <w:color w:val="auto"/>
              </w:rPr>
            </w:pPr>
          </w:p>
        </w:tc>
        <w:tc>
          <w:tcPr>
            <w:tcW w:w="1900" w:type="dxa"/>
            <w:vAlign w:val="bottom"/>
            <w:tcBorders>
              <w:bottom w:val="single" w:sz="8" w:color="0000EE"/>
            </w:tcBorders>
            <w:gridSpan w:val="7"/>
          </w:tcPr>
          <w:p>
            <w:pPr>
              <w:spacing w:after="0"/>
              <w:rPr>
                <w:sz w:val="20"/>
                <w:szCs w:val="20"/>
                <w:color w:val="auto"/>
              </w:rPr>
            </w:pPr>
            <w:r>
              <w:rPr>
                <w:rFonts w:ascii="Arial" w:cs="Arial" w:eastAsia="Arial" w:hAnsi="Arial"/>
                <w:sz w:val="18"/>
                <w:szCs w:val="18"/>
                <w:color w:val="0000EE"/>
                <w:w w:val="89"/>
              </w:rPr>
              <w:t>Item 1. Legal Proceedings</w:t>
            </w:r>
          </w:p>
        </w:tc>
        <w:tc>
          <w:tcPr>
            <w:tcW w:w="6040" w:type="dxa"/>
            <w:vAlign w:val="bottom"/>
            <w:gridSpan w:val="16"/>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412"/>
        </w:trPr>
        <w:tc>
          <w:tcPr>
            <w:tcW w:w="40" w:type="dxa"/>
            <w:vAlign w:val="bottom"/>
          </w:tcPr>
          <w:p>
            <w:pPr>
              <w:spacing w:after="0"/>
              <w:rPr>
                <w:sz w:val="24"/>
                <w:szCs w:val="24"/>
                <w:color w:val="auto"/>
              </w:rPr>
            </w:pPr>
          </w:p>
        </w:tc>
        <w:tc>
          <w:tcPr>
            <w:tcW w:w="1620" w:type="dxa"/>
            <w:vAlign w:val="bottom"/>
            <w:tcBorders>
              <w:bottom w:val="single" w:sz="8" w:color="0000EE"/>
            </w:tcBorders>
            <w:gridSpan w:val="6"/>
          </w:tcPr>
          <w:p>
            <w:pPr>
              <w:spacing w:after="0"/>
              <w:rPr>
                <w:sz w:val="20"/>
                <w:szCs w:val="20"/>
                <w:color w:val="auto"/>
              </w:rPr>
            </w:pPr>
            <w:r>
              <w:rPr>
                <w:rFonts w:ascii="Arial" w:cs="Arial" w:eastAsia="Arial" w:hAnsi="Arial"/>
                <w:sz w:val="18"/>
                <w:szCs w:val="18"/>
                <w:color w:val="0000EE"/>
                <w:w w:val="91"/>
              </w:rPr>
              <w:t>Item 1A. Risk Factors</w:t>
            </w:r>
          </w:p>
        </w:tc>
        <w:tc>
          <w:tcPr>
            <w:tcW w:w="6320" w:type="dxa"/>
            <w:vAlign w:val="bottom"/>
            <w:gridSpan w:val="17"/>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412"/>
        </w:trPr>
        <w:tc>
          <w:tcPr>
            <w:tcW w:w="40" w:type="dxa"/>
            <w:vAlign w:val="bottom"/>
          </w:tcPr>
          <w:p>
            <w:pPr>
              <w:spacing w:after="0"/>
              <w:rPr>
                <w:sz w:val="24"/>
                <w:szCs w:val="24"/>
                <w:color w:val="auto"/>
              </w:rPr>
            </w:pPr>
          </w:p>
        </w:tc>
        <w:tc>
          <w:tcPr>
            <w:tcW w:w="4920" w:type="dxa"/>
            <w:vAlign w:val="bottom"/>
            <w:tcBorders>
              <w:bottom w:val="single" w:sz="8" w:color="0000EE"/>
            </w:tcBorders>
            <w:gridSpan w:val="13"/>
          </w:tcPr>
          <w:p>
            <w:pPr>
              <w:spacing w:after="0"/>
              <w:rPr>
                <w:sz w:val="20"/>
                <w:szCs w:val="20"/>
                <w:color w:val="auto"/>
              </w:rPr>
            </w:pPr>
            <w:r>
              <w:rPr>
                <w:rFonts w:ascii="Arial" w:cs="Arial" w:eastAsia="Arial" w:hAnsi="Arial"/>
                <w:sz w:val="18"/>
                <w:szCs w:val="18"/>
                <w:color w:val="0000EE"/>
                <w:w w:val="89"/>
              </w:rPr>
              <w:t>Item 2. Unregistered Sales of Equity Securities and Use of Proceeds</w:t>
            </w:r>
          </w:p>
        </w:tc>
        <w:tc>
          <w:tcPr>
            <w:tcW w:w="3020" w:type="dxa"/>
            <w:vAlign w:val="bottom"/>
            <w:gridSpan w:val="10"/>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412"/>
        </w:trPr>
        <w:tc>
          <w:tcPr>
            <w:tcW w:w="40" w:type="dxa"/>
            <w:vAlign w:val="bottom"/>
          </w:tcPr>
          <w:p>
            <w:pPr>
              <w:spacing w:after="0"/>
              <w:rPr>
                <w:sz w:val="24"/>
                <w:szCs w:val="24"/>
                <w:color w:val="auto"/>
              </w:rPr>
            </w:pPr>
          </w:p>
        </w:tc>
        <w:tc>
          <w:tcPr>
            <w:tcW w:w="7940" w:type="dxa"/>
            <w:vAlign w:val="bottom"/>
            <w:gridSpan w:val="23"/>
          </w:tcPr>
          <w:p>
            <w:pPr>
              <w:spacing w:after="0"/>
              <w:rPr>
                <w:sz w:val="20"/>
                <w:szCs w:val="20"/>
                <w:color w:val="auto"/>
              </w:rPr>
            </w:pPr>
            <w:r>
              <w:rPr>
                <w:rFonts w:ascii="Arial" w:cs="Arial" w:eastAsia="Arial" w:hAnsi="Arial"/>
                <w:sz w:val="18"/>
                <w:szCs w:val="18"/>
                <w:color w:val="0000EE"/>
              </w:rPr>
              <w:t>Item 6. Exhibits</w:t>
            </w:r>
          </w:p>
        </w:tc>
        <w:tc>
          <w:tcPr>
            <w:tcW w:w="920" w:type="dxa"/>
            <w:vAlign w:val="bottom"/>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412"/>
        </w:trPr>
        <w:tc>
          <w:tcPr>
            <w:tcW w:w="40" w:type="dxa"/>
            <w:vAlign w:val="bottom"/>
          </w:tcPr>
          <w:p>
            <w:pPr>
              <w:spacing w:after="0"/>
              <w:rPr>
                <w:sz w:val="24"/>
                <w:szCs w:val="24"/>
                <w:color w:val="auto"/>
              </w:rPr>
            </w:pPr>
          </w:p>
        </w:tc>
        <w:tc>
          <w:tcPr>
            <w:tcW w:w="1100" w:type="dxa"/>
            <w:vAlign w:val="bottom"/>
            <w:tcBorders>
              <w:top w:val="single" w:sz="8" w:color="0000EE"/>
              <w:bottom w:val="single" w:sz="8" w:color="0000EE"/>
            </w:tcBorders>
            <w:gridSpan w:val="3"/>
          </w:tcPr>
          <w:p>
            <w:pPr>
              <w:spacing w:after="0"/>
              <w:rPr>
                <w:sz w:val="20"/>
                <w:szCs w:val="20"/>
                <w:color w:val="auto"/>
              </w:rPr>
            </w:pPr>
            <w:r>
              <w:rPr>
                <w:rFonts w:ascii="Arial" w:cs="Arial" w:eastAsia="Arial" w:hAnsi="Arial"/>
                <w:sz w:val="18"/>
                <w:szCs w:val="18"/>
                <w:color w:val="0000EE"/>
                <w:w w:val="87"/>
              </w:rPr>
              <w:t>Signature Page</w:t>
            </w:r>
          </w:p>
        </w:tc>
        <w:tc>
          <w:tcPr>
            <w:tcW w:w="60" w:type="dxa"/>
            <w:vAlign w:val="bottom"/>
            <w:tcBorders>
              <w:top w:val="single" w:sz="8" w:color="0000EE"/>
            </w:tcBorders>
          </w:tcPr>
          <w:p>
            <w:pPr>
              <w:spacing w:after="0"/>
              <w:rPr>
                <w:sz w:val="24"/>
                <w:szCs w:val="24"/>
                <w:color w:val="auto"/>
              </w:rPr>
            </w:pPr>
          </w:p>
        </w:tc>
        <w:tc>
          <w:tcPr>
            <w:tcW w:w="6780" w:type="dxa"/>
            <w:vAlign w:val="bottom"/>
            <w:gridSpan w:val="19"/>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27" w:right="1440" w:bottom="1440" w:gutter="0" w:footer="0" w:header="0"/>
        </w:sectPr>
      </w:pPr>
    </w:p>
    <w:bookmarkStart w:id="2" w:name="page3"/>
    <w:bookmarkEnd w:id="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35"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940" w:type="dxa"/>
            <w:vAlign w:val="bottom"/>
          </w:tcPr>
          <w:p>
            <w:pPr>
              <w:spacing w:after="0"/>
              <w:rPr>
                <w:sz w:val="20"/>
                <w:szCs w:val="20"/>
                <w:color w:val="auto"/>
              </w:rPr>
            </w:pPr>
          </w:p>
        </w:tc>
        <w:tc>
          <w:tcPr>
            <w:tcW w:w="5440" w:type="dxa"/>
            <w:vAlign w:val="bottom"/>
          </w:tcPr>
          <w:p>
            <w:pPr>
              <w:jc w:val="center"/>
              <w:ind w:left="1490"/>
              <w:spacing w:after="0"/>
              <w:rPr>
                <w:sz w:val="20"/>
                <w:szCs w:val="20"/>
                <w:color w:val="auto"/>
              </w:rPr>
            </w:pPr>
            <w:r>
              <w:rPr>
                <w:rFonts w:ascii="Arial" w:cs="Arial" w:eastAsia="Arial" w:hAnsi="Arial"/>
                <w:sz w:val="18"/>
                <w:szCs w:val="18"/>
                <w:b w:val="1"/>
                <w:bCs w:val="1"/>
                <w:color w:val="auto"/>
                <w:w w:val="98"/>
              </w:rPr>
              <w:t>PART I</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940" w:type="dxa"/>
            <w:vAlign w:val="bottom"/>
            <w:vMerge w:val="restart"/>
          </w:tcPr>
          <w:p>
            <w:pPr>
              <w:spacing w:after="0"/>
              <w:rPr>
                <w:sz w:val="20"/>
                <w:szCs w:val="20"/>
                <w:color w:val="auto"/>
              </w:rPr>
            </w:pPr>
            <w:r>
              <w:rPr>
                <w:rFonts w:ascii="Arial" w:cs="Arial" w:eastAsia="Arial" w:hAnsi="Arial"/>
                <w:sz w:val="18"/>
                <w:szCs w:val="18"/>
                <w:b w:val="1"/>
                <w:bCs w:val="1"/>
                <w:color w:val="auto"/>
              </w:rPr>
              <w:t>Item 1.</w:t>
            </w:r>
          </w:p>
        </w:tc>
        <w:tc>
          <w:tcPr>
            <w:tcW w:w="5440" w:type="dxa"/>
            <w:vAlign w:val="bottom"/>
          </w:tcPr>
          <w:p>
            <w:pPr>
              <w:jc w:val="center"/>
              <w:ind w:left="1470"/>
              <w:spacing w:after="0"/>
              <w:rPr>
                <w:sz w:val="20"/>
                <w:szCs w:val="20"/>
                <w:color w:val="auto"/>
              </w:rPr>
            </w:pPr>
            <w:r>
              <w:rPr>
                <w:rFonts w:ascii="Arial" w:cs="Arial" w:eastAsia="Arial" w:hAnsi="Arial"/>
                <w:sz w:val="18"/>
                <w:szCs w:val="18"/>
                <w:b w:val="1"/>
                <w:bCs w:val="1"/>
                <w:color w:val="auto"/>
              </w:rPr>
              <w:t>FINANCIAL INFORMATION</w:t>
            </w: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2"/>
        </w:trPr>
        <w:tc>
          <w:tcPr>
            <w:tcW w:w="940" w:type="dxa"/>
            <w:vAlign w:val="bottom"/>
            <w:vMerge w:val="continue"/>
          </w:tcPr>
          <w:p>
            <w:pPr>
              <w:spacing w:after="0"/>
              <w:rPr>
                <w:sz w:val="18"/>
                <w:szCs w:val="18"/>
                <w:color w:val="auto"/>
              </w:rPr>
            </w:pPr>
          </w:p>
        </w:tc>
        <w:tc>
          <w:tcPr>
            <w:tcW w:w="544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Financial Statements</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0" w:type="dxa"/>
            <w:vAlign w:val="bottom"/>
          </w:tcPr>
          <w:p>
            <w:pPr>
              <w:spacing w:after="0"/>
              <w:rPr>
                <w:sz w:val="18"/>
                <w:szCs w:val="18"/>
                <w:color w:val="auto"/>
              </w:rPr>
            </w:pPr>
          </w:p>
        </w:tc>
        <w:tc>
          <w:tcPr>
            <w:tcW w:w="5440" w:type="dxa"/>
            <w:vAlign w:val="bottom"/>
          </w:tcPr>
          <w:p>
            <w:pPr>
              <w:jc w:val="center"/>
              <w:ind w:left="1470"/>
              <w:spacing w:after="0"/>
              <w:rPr>
                <w:sz w:val="20"/>
                <w:szCs w:val="20"/>
                <w:color w:val="auto"/>
              </w:rPr>
            </w:pPr>
            <w:r>
              <w:rPr>
                <w:rFonts w:ascii="Arial" w:cs="Arial" w:eastAsia="Arial" w:hAnsi="Arial"/>
                <w:sz w:val="18"/>
                <w:szCs w:val="18"/>
                <w:b w:val="1"/>
                <w:bCs w:val="1"/>
                <w:color w:val="auto"/>
                <w:w w:val="98"/>
              </w:rPr>
              <w:t>AVNET, INC. AND SUBSIDIARIES</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0" w:type="dxa"/>
            <w:vAlign w:val="bottom"/>
          </w:tcPr>
          <w:p>
            <w:pPr>
              <w:spacing w:after="0"/>
              <w:rPr>
                <w:sz w:val="18"/>
                <w:szCs w:val="18"/>
                <w:color w:val="auto"/>
              </w:rPr>
            </w:pPr>
          </w:p>
        </w:tc>
        <w:tc>
          <w:tcPr>
            <w:tcW w:w="5440" w:type="dxa"/>
            <w:vAlign w:val="bottom"/>
          </w:tcPr>
          <w:p>
            <w:pPr>
              <w:jc w:val="center"/>
              <w:ind w:left="1470"/>
              <w:spacing w:after="0"/>
              <w:rPr>
                <w:sz w:val="20"/>
                <w:szCs w:val="20"/>
                <w:color w:val="auto"/>
              </w:rPr>
            </w:pPr>
            <w:r>
              <w:rPr>
                <w:rFonts w:ascii="Arial" w:cs="Arial" w:eastAsia="Arial" w:hAnsi="Arial"/>
                <w:sz w:val="18"/>
                <w:szCs w:val="18"/>
                <w:b w:val="1"/>
                <w:bCs w:val="1"/>
                <w:color w:val="auto"/>
                <w:w w:val="99"/>
              </w:rPr>
              <w:t>CONSOLIDATED BALANCE SHEETS</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940" w:type="dxa"/>
            <w:vAlign w:val="bottom"/>
          </w:tcPr>
          <w:p>
            <w:pPr>
              <w:spacing w:after="0"/>
              <w:rPr>
                <w:sz w:val="20"/>
                <w:szCs w:val="20"/>
                <w:color w:val="auto"/>
              </w:rPr>
            </w:pPr>
          </w:p>
        </w:tc>
        <w:tc>
          <w:tcPr>
            <w:tcW w:w="5440" w:type="dxa"/>
            <w:vAlign w:val="bottom"/>
          </w:tcPr>
          <w:p>
            <w:pPr>
              <w:jc w:val="center"/>
              <w:ind w:left="1470"/>
              <w:spacing w:after="0"/>
              <w:rPr>
                <w:sz w:val="20"/>
                <w:szCs w:val="20"/>
                <w:color w:val="auto"/>
              </w:rPr>
            </w:pPr>
            <w:r>
              <w:rPr>
                <w:rFonts w:ascii="Arial" w:cs="Arial" w:eastAsia="Arial" w:hAnsi="Arial"/>
                <w:sz w:val="18"/>
                <w:szCs w:val="18"/>
                <w:b w:val="1"/>
                <w:bCs w:val="1"/>
                <w:color w:val="auto"/>
                <w:w w:val="91"/>
              </w:rPr>
              <w:t>(Unaudited)</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0"/>
        </w:trPr>
        <w:tc>
          <w:tcPr>
            <w:tcW w:w="940" w:type="dxa"/>
            <w:vAlign w:val="bottom"/>
          </w:tcPr>
          <w:p>
            <w:pPr>
              <w:spacing w:after="0"/>
              <w:rPr>
                <w:sz w:val="24"/>
                <w:szCs w:val="24"/>
                <w:color w:val="auto"/>
              </w:rPr>
            </w:pPr>
          </w:p>
        </w:tc>
        <w:tc>
          <w:tcPr>
            <w:tcW w:w="5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b w:val="1"/>
                <w:bCs w:val="1"/>
                <w:color w:val="auto"/>
                <w:w w:val="89"/>
              </w:rPr>
              <w:t>October 1,</w:t>
            </w: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gridSpan w:val="2"/>
          </w:tcPr>
          <w:p>
            <w:pPr>
              <w:ind w:left="120"/>
              <w:spacing w:after="0"/>
              <w:rPr>
                <w:sz w:val="20"/>
                <w:szCs w:val="20"/>
                <w:color w:val="auto"/>
              </w:rPr>
            </w:pPr>
            <w:r>
              <w:rPr>
                <w:rFonts w:ascii="Arial" w:cs="Arial" w:eastAsia="Arial" w:hAnsi="Arial"/>
                <w:sz w:val="18"/>
                <w:szCs w:val="18"/>
                <w:b w:val="1"/>
                <w:bCs w:val="1"/>
                <w:color w:val="auto"/>
              </w:rPr>
              <w:t>July 2,</w:t>
            </w:r>
          </w:p>
        </w:tc>
        <w:tc>
          <w:tcPr>
            <w:tcW w:w="0" w:type="dxa"/>
            <w:vAlign w:val="bottom"/>
          </w:tcPr>
          <w:p>
            <w:pPr>
              <w:spacing w:after="0"/>
              <w:rPr>
                <w:sz w:val="1"/>
                <w:szCs w:val="1"/>
                <w:color w:val="auto"/>
              </w:rPr>
            </w:pPr>
          </w:p>
        </w:tc>
      </w:tr>
      <w:tr>
        <w:trPr>
          <w:trHeight w:val="241"/>
        </w:trPr>
        <w:tc>
          <w:tcPr>
            <w:tcW w:w="940" w:type="dxa"/>
            <w:vAlign w:val="bottom"/>
          </w:tcPr>
          <w:p>
            <w:pPr>
              <w:spacing w:after="0"/>
              <w:rPr>
                <w:sz w:val="20"/>
                <w:szCs w:val="20"/>
                <w:color w:val="auto"/>
              </w:rPr>
            </w:pPr>
          </w:p>
        </w:tc>
        <w:tc>
          <w:tcPr>
            <w:tcW w:w="5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2022</w:t>
            </w:r>
          </w:p>
        </w:tc>
        <w:tc>
          <w:tcPr>
            <w:tcW w:w="1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4"/>
        </w:trPr>
        <w:tc>
          <w:tcPr>
            <w:tcW w:w="940" w:type="dxa"/>
            <w:vAlign w:val="bottom"/>
          </w:tcPr>
          <w:p>
            <w:pPr>
              <w:spacing w:after="0"/>
              <w:rPr>
                <w:sz w:val="16"/>
                <w:szCs w:val="16"/>
                <w:color w:val="auto"/>
              </w:rPr>
            </w:pPr>
          </w:p>
        </w:tc>
        <w:tc>
          <w:tcPr>
            <w:tcW w:w="54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jc w:val="right"/>
              <w:spacing w:after="0" w:line="184" w:lineRule="exact"/>
              <w:rPr>
                <w:sz w:val="20"/>
                <w:szCs w:val="20"/>
                <w:color w:val="auto"/>
              </w:rPr>
            </w:pPr>
            <w:r>
              <w:rPr>
                <w:rFonts w:ascii="Arial" w:cs="Arial" w:eastAsia="Arial" w:hAnsi="Arial"/>
                <w:sz w:val="18"/>
                <w:szCs w:val="18"/>
                <w:b w:val="1"/>
                <w:bCs w:val="1"/>
                <w:color w:val="auto"/>
                <w:w w:val="85"/>
              </w:rPr>
              <w:t>(Thousands,</w:t>
            </w:r>
          </w:p>
        </w:tc>
        <w:tc>
          <w:tcPr>
            <w:tcW w:w="180" w:type="dxa"/>
            <w:vAlign w:val="bottom"/>
          </w:tcPr>
          <w:p>
            <w:pPr>
              <w:spacing w:after="0"/>
              <w:rPr>
                <w:sz w:val="16"/>
                <w:szCs w:val="16"/>
                <w:color w:val="auto"/>
              </w:rPr>
            </w:pPr>
          </w:p>
        </w:tc>
        <w:tc>
          <w:tcPr>
            <w:tcW w:w="1040" w:type="dxa"/>
            <w:vAlign w:val="bottom"/>
            <w:gridSpan w:val="2"/>
          </w:tcPr>
          <w:p>
            <w:pPr>
              <w:spacing w:after="0" w:line="184" w:lineRule="exact"/>
              <w:rPr>
                <w:sz w:val="20"/>
                <w:szCs w:val="20"/>
                <w:color w:val="auto"/>
              </w:rPr>
            </w:pPr>
            <w:r>
              <w:rPr>
                <w:rFonts w:ascii="Arial" w:cs="Arial" w:eastAsia="Arial" w:hAnsi="Arial"/>
                <w:sz w:val="18"/>
                <w:szCs w:val="18"/>
                <w:b w:val="1"/>
                <w:bCs w:val="1"/>
                <w:color w:val="auto"/>
                <w:w w:val="92"/>
              </w:rPr>
              <w:t>except share</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940" w:type="dxa"/>
            <w:vAlign w:val="bottom"/>
          </w:tcPr>
          <w:p>
            <w:pPr>
              <w:spacing w:after="0"/>
              <w:rPr>
                <w:sz w:val="20"/>
                <w:szCs w:val="20"/>
                <w:color w:val="auto"/>
              </w:rPr>
            </w:pPr>
          </w:p>
        </w:tc>
        <w:tc>
          <w:tcPr>
            <w:tcW w:w="5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60" w:type="dxa"/>
            <w:vAlign w:val="bottom"/>
            <w:gridSpan w:val="5"/>
          </w:tcPr>
          <w:p>
            <w:pPr>
              <w:ind w:left="680"/>
              <w:spacing w:after="0"/>
              <w:rPr>
                <w:sz w:val="20"/>
                <w:szCs w:val="20"/>
                <w:color w:val="auto"/>
              </w:rPr>
            </w:pPr>
            <w:r>
              <w:rPr>
                <w:rFonts w:ascii="Arial" w:cs="Arial" w:eastAsia="Arial" w:hAnsi="Arial"/>
                <w:sz w:val="18"/>
                <w:szCs w:val="18"/>
                <w:b w:val="1"/>
                <w:bCs w:val="1"/>
                <w:color w:val="auto"/>
              </w:rPr>
              <w:t>amounts)</w:t>
            </w:r>
          </w:p>
        </w:tc>
        <w:tc>
          <w:tcPr>
            <w:tcW w:w="0" w:type="dxa"/>
            <w:vAlign w:val="bottom"/>
          </w:tcPr>
          <w:p>
            <w:pPr>
              <w:spacing w:after="0"/>
              <w:rPr>
                <w:sz w:val="1"/>
                <w:szCs w:val="1"/>
                <w:color w:val="auto"/>
              </w:rPr>
            </w:pPr>
          </w:p>
        </w:tc>
      </w:tr>
      <w:tr>
        <w:trPr>
          <w:trHeight w:val="216"/>
        </w:trPr>
        <w:tc>
          <w:tcPr>
            <w:tcW w:w="940" w:type="dxa"/>
            <w:vAlign w:val="bottom"/>
            <w:shd w:val="clear" w:color="auto" w:fill="CCEEFF"/>
          </w:tcPr>
          <w:p>
            <w:pPr>
              <w:spacing w:after="0"/>
              <w:rPr>
                <w:sz w:val="18"/>
                <w:szCs w:val="18"/>
                <w:color w:val="auto"/>
              </w:rPr>
            </w:pPr>
          </w:p>
        </w:tc>
        <w:tc>
          <w:tcPr>
            <w:tcW w:w="5440" w:type="dxa"/>
            <w:vAlign w:val="bottom"/>
            <w:shd w:val="clear" w:color="auto" w:fill="CCEEFF"/>
          </w:tcPr>
          <w:p>
            <w:pPr>
              <w:jc w:val="center"/>
              <w:ind w:right="870"/>
              <w:spacing w:after="0"/>
              <w:rPr>
                <w:sz w:val="20"/>
                <w:szCs w:val="20"/>
                <w:color w:val="auto"/>
              </w:rPr>
            </w:pPr>
            <w:r>
              <w:rPr>
                <w:rFonts w:ascii="Arial" w:cs="Arial" w:eastAsia="Arial" w:hAnsi="Arial"/>
                <w:sz w:val="18"/>
                <w:szCs w:val="18"/>
                <w:b w:val="1"/>
                <w:bCs w:val="1"/>
                <w:color w:val="auto"/>
                <w:w w:val="94"/>
              </w:rPr>
              <w:t>ASSETS</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8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Cash and cash equivalents</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80,881</w:t>
            </w:r>
          </w:p>
        </w:tc>
        <w:tc>
          <w:tcPr>
            <w:tcW w:w="3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153,693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80" w:type="dxa"/>
            <w:vAlign w:val="bottom"/>
            <w:gridSpan w:val="2"/>
          </w:tcPr>
          <w:p>
            <w:pPr>
              <w:ind w:left="100"/>
              <w:spacing w:after="0"/>
              <w:rPr>
                <w:sz w:val="20"/>
                <w:szCs w:val="20"/>
                <w:color w:val="auto"/>
              </w:rPr>
            </w:pPr>
            <w:r>
              <w:rPr>
                <w:rFonts w:ascii="Arial" w:cs="Arial" w:eastAsia="Arial" w:hAnsi="Arial"/>
                <w:sz w:val="18"/>
                <w:szCs w:val="18"/>
                <w:color w:val="auto"/>
              </w:rPr>
              <w:t>Receivables</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4,591,020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4,301,002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0" w:type="dxa"/>
            <w:vAlign w:val="bottom"/>
            <w:shd w:val="clear" w:color="auto" w:fill="CCEEFF"/>
          </w:tcPr>
          <w:p>
            <w:pPr>
              <w:ind w:left="100"/>
              <w:spacing w:after="0"/>
              <w:rPr>
                <w:sz w:val="20"/>
                <w:szCs w:val="20"/>
                <w:color w:val="auto"/>
              </w:rPr>
            </w:pPr>
            <w:r>
              <w:rPr>
                <w:rFonts w:ascii="Arial" w:cs="Arial" w:eastAsia="Arial" w:hAnsi="Arial"/>
                <w:sz w:val="18"/>
                <w:szCs w:val="18"/>
                <w:color w:val="auto"/>
                <w:w w:val="93"/>
              </w:rPr>
              <w:t>Inventories</w:t>
            </w:r>
          </w:p>
        </w:tc>
        <w:tc>
          <w:tcPr>
            <w:tcW w:w="5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4,654,985</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4,244,148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380" w:type="dxa"/>
            <w:vAlign w:val="bottom"/>
            <w:tcBorders>
              <w:bottom w:val="single" w:sz="8" w:color="CCEEFF"/>
            </w:tcBorders>
            <w:gridSpan w:val="2"/>
          </w:tcPr>
          <w:p>
            <w:pPr>
              <w:ind w:left="100"/>
              <w:spacing w:after="0"/>
              <w:rPr>
                <w:sz w:val="20"/>
                <w:szCs w:val="20"/>
                <w:color w:val="auto"/>
              </w:rPr>
            </w:pPr>
            <w:r>
              <w:rPr>
                <w:rFonts w:ascii="Arial" w:cs="Arial" w:eastAsia="Arial" w:hAnsi="Arial"/>
                <w:sz w:val="18"/>
                <w:szCs w:val="18"/>
                <w:color w:val="auto"/>
              </w:rPr>
              <w:t>Prepaid and other current assets</w:t>
            </w:r>
          </w:p>
        </w:tc>
        <w:tc>
          <w:tcPr>
            <w:tcW w:w="16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183,019</w:t>
            </w:r>
          </w:p>
        </w:tc>
        <w:tc>
          <w:tcPr>
            <w:tcW w:w="1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177,783</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3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Total current assets</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9,509,905</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8,876,626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80" w:type="dxa"/>
            <w:vAlign w:val="bottom"/>
            <w:gridSpan w:val="2"/>
          </w:tcPr>
          <w:p>
            <w:pPr>
              <w:ind w:left="100"/>
              <w:spacing w:after="0"/>
              <w:rPr>
                <w:sz w:val="20"/>
                <w:szCs w:val="20"/>
                <w:color w:val="auto"/>
              </w:rPr>
            </w:pPr>
            <w:r>
              <w:rPr>
                <w:rFonts w:ascii="Arial" w:cs="Arial" w:eastAsia="Arial" w:hAnsi="Arial"/>
                <w:sz w:val="18"/>
                <w:szCs w:val="18"/>
                <w:color w:val="auto"/>
              </w:rPr>
              <w:t>Property, plant and equipment, net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300,068</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315,204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Goodwill</w:t>
            </w:r>
          </w:p>
        </w:tc>
        <w:tc>
          <w:tcPr>
            <w:tcW w:w="5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703,828</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758,833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80" w:type="dxa"/>
            <w:vAlign w:val="bottom"/>
            <w:gridSpan w:val="2"/>
          </w:tcPr>
          <w:p>
            <w:pPr>
              <w:ind w:left="100"/>
              <w:spacing w:after="0"/>
              <w:rPr>
                <w:sz w:val="20"/>
                <w:szCs w:val="20"/>
                <w:color w:val="auto"/>
              </w:rPr>
            </w:pPr>
            <w:r>
              <w:rPr>
                <w:rFonts w:ascii="Arial" w:cs="Arial" w:eastAsia="Arial" w:hAnsi="Arial"/>
                <w:sz w:val="18"/>
                <w:szCs w:val="18"/>
                <w:color w:val="auto"/>
              </w:rPr>
              <w:t>Operating lease assets</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226,960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227,138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638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8"/>
                <w:szCs w:val="18"/>
                <w:color w:val="auto"/>
              </w:rPr>
              <w:t>Other assets</w:t>
            </w:r>
          </w:p>
        </w:tc>
        <w:tc>
          <w:tcPr>
            <w:tcW w:w="1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227,645</w:t>
            </w:r>
          </w:p>
        </w:tc>
        <w:tc>
          <w:tcPr>
            <w:tcW w:w="1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210,731</w:t>
            </w:r>
          </w:p>
        </w:tc>
        <w:tc>
          <w:tcPr>
            <w:tcW w:w="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380" w:type="dxa"/>
            <w:vAlign w:val="bottom"/>
            <w:tcBorders>
              <w:bottom w:val="single" w:sz="8" w:color="CCEEFF"/>
            </w:tcBorders>
            <w:gridSpan w:val="2"/>
          </w:tcPr>
          <w:p>
            <w:pPr>
              <w:ind w:left="320"/>
              <w:spacing w:after="0" w:line="203" w:lineRule="exact"/>
              <w:rPr>
                <w:sz w:val="20"/>
                <w:szCs w:val="20"/>
                <w:color w:val="auto"/>
              </w:rPr>
            </w:pPr>
            <w:r>
              <w:rPr>
                <w:rFonts w:ascii="Arial" w:cs="Arial" w:eastAsia="Arial" w:hAnsi="Arial"/>
                <w:sz w:val="18"/>
                <w:szCs w:val="18"/>
                <w:color w:val="auto"/>
              </w:rPr>
              <w:t>Total assets</w:t>
            </w:r>
          </w:p>
        </w:tc>
        <w:tc>
          <w:tcPr>
            <w:tcW w:w="16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5"/>
              </w:rPr>
              <w:t>10,968,406</w:t>
            </w:r>
          </w:p>
        </w:tc>
        <w:tc>
          <w:tcPr>
            <w:tcW w:w="18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line="203" w:lineRule="exact"/>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0"/>
              </w:rPr>
              <w:t>10,388,532</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940" w:type="dxa"/>
            <w:vAlign w:val="bottom"/>
            <w:shd w:val="clear" w:color="auto" w:fill="CCEEFF"/>
          </w:tcPr>
          <w:p>
            <w:pPr>
              <w:spacing w:after="0"/>
              <w:rPr>
                <w:sz w:val="17"/>
                <w:szCs w:val="17"/>
                <w:color w:val="auto"/>
              </w:rPr>
            </w:pPr>
          </w:p>
        </w:tc>
        <w:tc>
          <w:tcPr>
            <w:tcW w:w="5440" w:type="dxa"/>
            <w:vAlign w:val="bottom"/>
            <w:shd w:val="clear" w:color="auto" w:fill="CCEEFF"/>
          </w:tcPr>
          <w:p>
            <w:pPr>
              <w:jc w:val="center"/>
              <w:ind w:right="890"/>
              <w:spacing w:after="0" w:line="196" w:lineRule="exact"/>
              <w:rPr>
                <w:sz w:val="20"/>
                <w:szCs w:val="20"/>
                <w:color w:val="auto"/>
              </w:rPr>
            </w:pPr>
            <w:r>
              <w:rPr>
                <w:rFonts w:ascii="Arial" w:cs="Arial" w:eastAsia="Arial" w:hAnsi="Arial"/>
                <w:sz w:val="18"/>
                <w:szCs w:val="18"/>
                <w:b w:val="1"/>
                <w:bCs w:val="1"/>
                <w:color w:val="auto"/>
              </w:rPr>
              <w:t>LIABILITIES AND SHAREHOLDERS’ EQUITY</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380" w:type="dxa"/>
            <w:vAlign w:val="bottom"/>
            <w:gridSpan w:val="2"/>
          </w:tcPr>
          <w:p>
            <w:pPr>
              <w:spacing w:after="0"/>
              <w:rPr>
                <w:sz w:val="20"/>
                <w:szCs w:val="20"/>
                <w:color w:val="auto"/>
              </w:rPr>
            </w:pPr>
            <w:r>
              <w:rPr>
                <w:rFonts w:ascii="Arial" w:cs="Arial" w:eastAsia="Arial" w:hAnsi="Arial"/>
                <w:sz w:val="18"/>
                <w:szCs w:val="18"/>
                <w:color w:val="auto"/>
              </w:rPr>
              <w:t>Current liabilities:</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Short-term debt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513,000</w:t>
            </w:r>
          </w:p>
        </w:tc>
        <w:tc>
          <w:tcPr>
            <w:tcW w:w="3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174,422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80" w:type="dxa"/>
            <w:vAlign w:val="bottom"/>
            <w:gridSpan w:val="2"/>
          </w:tcPr>
          <w:p>
            <w:pPr>
              <w:ind w:left="100"/>
              <w:spacing w:after="0"/>
              <w:rPr>
                <w:sz w:val="20"/>
                <w:szCs w:val="20"/>
                <w:color w:val="auto"/>
              </w:rPr>
            </w:pPr>
            <w:r>
              <w:rPr>
                <w:rFonts w:ascii="Arial" w:cs="Arial" w:eastAsia="Arial" w:hAnsi="Arial"/>
                <w:sz w:val="18"/>
                <w:szCs w:val="18"/>
                <w:color w:val="auto"/>
              </w:rPr>
              <w:t>Accounts payable</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3,466,620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3,431,683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Accrued expenses and other</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624,959</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591,020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380" w:type="dxa"/>
            <w:vAlign w:val="bottom"/>
            <w:tcBorders>
              <w:bottom w:val="single" w:sz="8" w:color="CCEEFF"/>
            </w:tcBorders>
            <w:gridSpan w:val="2"/>
          </w:tcPr>
          <w:p>
            <w:pPr>
              <w:ind w:left="100"/>
              <w:spacing w:after="0"/>
              <w:rPr>
                <w:sz w:val="20"/>
                <w:szCs w:val="20"/>
                <w:color w:val="auto"/>
              </w:rPr>
            </w:pPr>
            <w:r>
              <w:rPr>
                <w:rFonts w:ascii="Arial" w:cs="Arial" w:eastAsia="Arial" w:hAnsi="Arial"/>
                <w:sz w:val="18"/>
                <w:szCs w:val="18"/>
                <w:color w:val="auto"/>
              </w:rPr>
              <w:t>Short-term operating lease liabilities</w:t>
            </w:r>
          </w:p>
        </w:tc>
        <w:tc>
          <w:tcPr>
            <w:tcW w:w="16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54,612</w:t>
            </w:r>
          </w:p>
        </w:tc>
        <w:tc>
          <w:tcPr>
            <w:tcW w:w="1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54,529</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3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Total current liabilities</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4,659,191</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4,251,654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80" w:type="dxa"/>
            <w:vAlign w:val="bottom"/>
            <w:gridSpan w:val="2"/>
          </w:tcPr>
          <w:p>
            <w:pPr>
              <w:ind w:left="100"/>
              <w:spacing w:after="0"/>
              <w:rPr>
                <w:sz w:val="20"/>
                <w:szCs w:val="20"/>
                <w:color w:val="auto"/>
              </w:rPr>
            </w:pPr>
            <w:r>
              <w:rPr>
                <w:rFonts w:ascii="Arial" w:cs="Arial" w:eastAsia="Arial" w:hAnsi="Arial"/>
                <w:sz w:val="18"/>
                <w:szCs w:val="18"/>
                <w:color w:val="auto"/>
              </w:rPr>
              <w:t>Long-term debt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1,825,514</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1,437,400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Long-term operating lease liabilities</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196,908</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199,418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380" w:type="dxa"/>
            <w:vAlign w:val="bottom"/>
            <w:tcBorders>
              <w:bottom w:val="single" w:sz="8" w:color="CCEEFF"/>
            </w:tcBorders>
            <w:gridSpan w:val="2"/>
          </w:tcPr>
          <w:p>
            <w:pPr>
              <w:ind w:left="100"/>
              <w:spacing w:after="0"/>
              <w:rPr>
                <w:sz w:val="20"/>
                <w:szCs w:val="20"/>
                <w:color w:val="auto"/>
              </w:rPr>
            </w:pPr>
            <w:r>
              <w:rPr>
                <w:rFonts w:ascii="Arial" w:cs="Arial" w:eastAsia="Arial" w:hAnsi="Arial"/>
                <w:sz w:val="18"/>
                <w:szCs w:val="18"/>
                <w:color w:val="auto"/>
              </w:rPr>
              <w:t>Other liabilities</w:t>
            </w:r>
          </w:p>
        </w:tc>
        <w:tc>
          <w:tcPr>
            <w:tcW w:w="16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267,458</w:t>
            </w:r>
          </w:p>
        </w:tc>
        <w:tc>
          <w:tcPr>
            <w:tcW w:w="1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307,300</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6380" w:type="dxa"/>
            <w:vAlign w:val="bottom"/>
            <w:tcBorders>
              <w:bottom w:val="single" w:sz="8" w:color="CCEEFF"/>
            </w:tcBorders>
            <w:gridSpan w:val="2"/>
            <w:shd w:val="clear" w:color="auto" w:fill="CCEEFF"/>
          </w:tcPr>
          <w:p>
            <w:pPr>
              <w:ind w:left="320"/>
              <w:spacing w:after="0"/>
              <w:rPr>
                <w:sz w:val="20"/>
                <w:szCs w:val="20"/>
                <w:color w:val="auto"/>
              </w:rPr>
            </w:pPr>
            <w:r>
              <w:rPr>
                <w:rFonts w:ascii="Arial" w:cs="Arial" w:eastAsia="Arial" w:hAnsi="Arial"/>
                <w:sz w:val="18"/>
                <w:szCs w:val="18"/>
                <w:color w:val="auto"/>
              </w:rPr>
              <w:t>Total liabilities</w:t>
            </w:r>
          </w:p>
        </w:tc>
        <w:tc>
          <w:tcPr>
            <w:tcW w:w="1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6,949,071</w:t>
            </w:r>
          </w:p>
        </w:tc>
        <w:tc>
          <w:tcPr>
            <w:tcW w:w="1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6,195,772</w:t>
            </w:r>
          </w:p>
        </w:tc>
        <w:tc>
          <w:tcPr>
            <w:tcW w:w="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6380" w:type="dxa"/>
            <w:vAlign w:val="bottom"/>
            <w:gridSpan w:val="2"/>
          </w:tcPr>
          <w:p>
            <w:pPr>
              <w:ind w:left="100"/>
              <w:spacing w:after="0" w:line="203" w:lineRule="exact"/>
              <w:rPr>
                <w:sz w:val="20"/>
                <w:szCs w:val="20"/>
                <w:color w:val="auto"/>
              </w:rPr>
            </w:pPr>
            <w:r>
              <w:rPr>
                <w:rFonts w:ascii="Arial" w:cs="Arial" w:eastAsia="Arial" w:hAnsi="Arial"/>
                <w:sz w:val="18"/>
                <w:szCs w:val="18"/>
                <w:color w:val="auto"/>
              </w:rPr>
              <w:t>Commitments and contingencies (Note 7)</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3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Shareholders’ equity:</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6380" w:type="dxa"/>
            <w:vAlign w:val="bottom"/>
            <w:gridSpan w:val="2"/>
          </w:tcPr>
          <w:p>
            <w:pPr>
              <w:ind w:left="220"/>
              <w:spacing w:after="0" w:line="201" w:lineRule="exact"/>
              <w:rPr>
                <w:sz w:val="20"/>
                <w:szCs w:val="20"/>
                <w:color w:val="auto"/>
              </w:rPr>
            </w:pPr>
            <w:r>
              <w:rPr>
                <w:rFonts w:ascii="Arial" w:cs="Arial" w:eastAsia="Arial" w:hAnsi="Arial"/>
                <w:sz w:val="18"/>
                <w:szCs w:val="18"/>
                <w:color w:val="auto"/>
                <w:w w:val="90"/>
              </w:rPr>
              <w:t>Common stock $1.00 par; authorized 300,000,000 shares; issued 92,328,956 shares</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380" w:type="dxa"/>
            <w:vAlign w:val="bottom"/>
            <w:gridSpan w:val="2"/>
          </w:tcPr>
          <w:p>
            <w:pPr>
              <w:ind w:left="220"/>
              <w:spacing w:after="0"/>
              <w:rPr>
                <w:sz w:val="20"/>
                <w:szCs w:val="20"/>
                <w:color w:val="auto"/>
              </w:rPr>
            </w:pPr>
            <w:r>
              <w:rPr>
                <w:rFonts w:ascii="Arial" w:cs="Arial" w:eastAsia="Arial" w:hAnsi="Arial"/>
                <w:sz w:val="18"/>
                <w:szCs w:val="18"/>
                <w:color w:val="auto"/>
              </w:rPr>
              <w:t>and 95,701,630 shares, respectively</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92,329</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95,702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3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Additional paid-in capital</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1,665,846</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1,656,907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80" w:type="dxa"/>
            <w:vAlign w:val="bottom"/>
            <w:gridSpan w:val="2"/>
          </w:tcPr>
          <w:p>
            <w:pPr>
              <w:ind w:left="220"/>
              <w:spacing w:after="0"/>
              <w:rPr>
                <w:sz w:val="20"/>
                <w:szCs w:val="20"/>
                <w:color w:val="auto"/>
              </w:rPr>
            </w:pPr>
            <w:r>
              <w:rPr>
                <w:rFonts w:ascii="Arial" w:cs="Arial" w:eastAsia="Arial" w:hAnsi="Arial"/>
                <w:sz w:val="18"/>
                <w:szCs w:val="18"/>
                <w:color w:val="auto"/>
              </w:rPr>
              <w:t>Retained earnings</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2,934,205</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2,921,399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638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Accumulated other comprehensive loss</w:t>
            </w:r>
          </w:p>
        </w:tc>
        <w:tc>
          <w:tcPr>
            <w:tcW w:w="1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(673,045)</w:t>
            </w:r>
          </w:p>
        </w:tc>
        <w:tc>
          <w:tcPr>
            <w:tcW w:w="1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(481,248)</w:t>
            </w:r>
          </w:p>
        </w:tc>
        <w:tc>
          <w:tcPr>
            <w:tcW w:w="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6380" w:type="dxa"/>
            <w:vAlign w:val="bottom"/>
            <w:tcBorders>
              <w:bottom w:val="single" w:sz="8" w:color="CCEEFF"/>
            </w:tcBorders>
            <w:gridSpan w:val="2"/>
          </w:tcPr>
          <w:p>
            <w:pPr>
              <w:ind w:left="320"/>
              <w:spacing w:after="0" w:line="203" w:lineRule="exact"/>
              <w:rPr>
                <w:sz w:val="20"/>
                <w:szCs w:val="20"/>
                <w:color w:val="auto"/>
              </w:rPr>
            </w:pPr>
            <w:r>
              <w:rPr>
                <w:rFonts w:ascii="Arial" w:cs="Arial" w:eastAsia="Arial" w:hAnsi="Arial"/>
                <w:sz w:val="18"/>
                <w:szCs w:val="18"/>
                <w:color w:val="auto"/>
              </w:rPr>
              <w:t>Total shareholders’ equity</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4,019,335</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4,192,760</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80" w:type="dxa"/>
            <w:vAlign w:val="bottom"/>
            <w:tcBorders>
              <w:bottom w:val="single" w:sz="8" w:color="CCEEFF"/>
            </w:tcBorders>
            <w:gridSpan w:val="2"/>
            <w:shd w:val="clear" w:color="auto" w:fill="CCEEFF"/>
          </w:tcPr>
          <w:p>
            <w:pPr>
              <w:ind w:left="320"/>
              <w:spacing w:after="0"/>
              <w:rPr>
                <w:sz w:val="20"/>
                <w:szCs w:val="20"/>
                <w:color w:val="auto"/>
              </w:rPr>
            </w:pPr>
            <w:r>
              <w:rPr>
                <w:rFonts w:ascii="Arial" w:cs="Arial" w:eastAsia="Arial" w:hAnsi="Arial"/>
                <w:sz w:val="18"/>
                <w:szCs w:val="18"/>
                <w:color w:val="auto"/>
              </w:rPr>
              <w:t>Total liabilities and shareholders’ equity</w:t>
            </w:r>
          </w:p>
        </w:tc>
        <w:tc>
          <w:tcPr>
            <w:tcW w:w="1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10,968,406</w:t>
            </w:r>
          </w:p>
        </w:tc>
        <w:tc>
          <w:tcPr>
            <w:tcW w:w="1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10,388,532</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5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44" w:right="1440" w:bottom="1440" w:gutter="0" w:footer="0" w:header="0"/>
        </w:sectPr>
      </w:pPr>
    </w:p>
    <w:bookmarkStart w:id="3" w:name="page4"/>
    <w:bookmarkEnd w:id="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AVNET,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4" w:lineRule="exact"/>
        <w:rPr>
          <w:sz w:val="20"/>
          <w:szCs w:val="20"/>
          <w:color w:val="auto"/>
        </w:rPr>
      </w:pPr>
    </w:p>
    <w:tbl>
      <w:tblPr>
        <w:tblLayout w:type="fixed"/>
        <w:tblInd w:w="6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43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3300" w:type="dxa"/>
            <w:vAlign w:val="bottom"/>
            <w:tcBorders>
              <w:bottom w:val="single" w:sz="8" w:color="auto"/>
            </w:tcBorders>
            <w:gridSpan w:val="5"/>
          </w:tcPr>
          <w:p>
            <w:pPr>
              <w:jc w:val="right"/>
              <w:ind w:right="810"/>
              <w:spacing w:after="0"/>
              <w:rPr>
                <w:sz w:val="20"/>
                <w:szCs w:val="20"/>
                <w:color w:val="auto"/>
              </w:rPr>
            </w:pPr>
            <w:r>
              <w:rPr>
                <w:rFonts w:ascii="Arial" w:cs="Arial" w:eastAsia="Arial" w:hAnsi="Arial"/>
                <w:sz w:val="18"/>
                <w:szCs w:val="18"/>
                <w:b w:val="1"/>
                <w:bCs w:val="1"/>
                <w:color w:val="auto"/>
              </w:rPr>
              <w:t>First Quarters Ended</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40" w:type="dxa"/>
            <w:vAlign w:val="bottom"/>
            <w:gridSpan w:val="2"/>
          </w:tcPr>
          <w:p>
            <w:pPr>
              <w:ind w:left="220"/>
              <w:spacing w:after="0" w:line="198" w:lineRule="exact"/>
              <w:rPr>
                <w:sz w:val="20"/>
                <w:szCs w:val="20"/>
                <w:color w:val="auto"/>
              </w:rPr>
            </w:pPr>
            <w:r>
              <w:rPr>
                <w:rFonts w:ascii="Arial" w:cs="Arial" w:eastAsia="Arial" w:hAnsi="Arial"/>
                <w:sz w:val="18"/>
                <w:szCs w:val="18"/>
                <w:b w:val="1"/>
                <w:bCs w:val="1"/>
                <w:color w:val="auto"/>
              </w:rPr>
              <w:t>October 1,</w:t>
            </w: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0" w:type="dxa"/>
            <w:vAlign w:val="bottom"/>
          </w:tcPr>
          <w:p>
            <w:pPr>
              <w:jc w:val="right"/>
              <w:ind w:right="330"/>
              <w:spacing w:after="0" w:line="198" w:lineRule="exact"/>
              <w:rPr>
                <w:sz w:val="20"/>
                <w:szCs w:val="20"/>
                <w:color w:val="auto"/>
              </w:rPr>
            </w:pPr>
            <w:r>
              <w:rPr>
                <w:rFonts w:ascii="Arial" w:cs="Arial" w:eastAsia="Arial" w:hAnsi="Arial"/>
                <w:sz w:val="18"/>
                <w:szCs w:val="18"/>
                <w:b w:val="1"/>
                <w:bCs w:val="1"/>
                <w:color w:val="auto"/>
              </w:rPr>
              <w:t>October 2,</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3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2022</w:t>
            </w: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60" w:type="dxa"/>
            <w:vAlign w:val="bottom"/>
            <w:gridSpan w:val="3"/>
          </w:tcPr>
          <w:p>
            <w:pPr>
              <w:ind w:left="60"/>
              <w:spacing w:after="0" w:line="202" w:lineRule="exact"/>
              <w:rPr>
                <w:sz w:val="20"/>
                <w:szCs w:val="20"/>
                <w:color w:val="auto"/>
              </w:rPr>
            </w:pPr>
            <w:r>
              <w:rPr>
                <w:rFonts w:ascii="Arial" w:cs="Arial" w:eastAsia="Arial" w:hAnsi="Arial"/>
                <w:sz w:val="18"/>
                <w:szCs w:val="18"/>
                <w:b w:val="1"/>
                <w:bCs w:val="1"/>
                <w:color w:val="auto"/>
                <w:w w:val="93"/>
              </w:rPr>
              <w:t>(Thousands, except</w:t>
            </w:r>
          </w:p>
        </w:tc>
        <w:tc>
          <w:tcPr>
            <w:tcW w:w="1640" w:type="dxa"/>
            <w:vAlign w:val="bottom"/>
            <w:gridSpan w:val="2"/>
          </w:tcPr>
          <w:p>
            <w:pPr>
              <w:jc w:val="right"/>
              <w:ind w:right="130"/>
              <w:spacing w:after="0" w:line="202" w:lineRule="exact"/>
              <w:rPr>
                <w:sz w:val="20"/>
                <w:szCs w:val="20"/>
                <w:color w:val="auto"/>
              </w:rPr>
            </w:pPr>
            <w:r>
              <w:rPr>
                <w:rFonts w:ascii="Arial" w:cs="Arial" w:eastAsia="Arial" w:hAnsi="Arial"/>
                <w:sz w:val="18"/>
                <w:szCs w:val="18"/>
                <w:b w:val="1"/>
                <w:bCs w:val="1"/>
                <w:color w:val="auto"/>
                <w:w w:val="83"/>
              </w:rPr>
              <w:t>per share amounts)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Sales</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6,750,133</w:t>
            </w:r>
          </w:p>
        </w:tc>
        <w:tc>
          <w:tcPr>
            <w:tcW w:w="24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83"/>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5,584,695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Cost of sales</w:t>
            </w:r>
          </w:p>
        </w:tc>
        <w:tc>
          <w:tcPr>
            <w:tcW w:w="1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5,981,960</w:t>
            </w:r>
          </w:p>
        </w:tc>
        <w:tc>
          <w:tcPr>
            <w:tcW w:w="24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4,925,002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768,173</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659,693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Selling, general and administrative expenses</w:t>
            </w: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477,636</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486,178</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Restructuring, integration and other expenses</w:t>
            </w:r>
          </w:p>
        </w:tc>
        <w:tc>
          <w:tcPr>
            <w:tcW w:w="1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6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5,272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40" w:type="dxa"/>
            <w:vAlign w:val="bottom"/>
            <w:tcBorders>
              <w:top w:val="single" w:sz="8" w:color="CCEEFF"/>
            </w:tcBorders>
          </w:tcPr>
          <w:p>
            <w:pPr>
              <w:spacing w:after="0" w:line="203" w:lineRule="exact"/>
              <w:rPr>
                <w:sz w:val="20"/>
                <w:szCs w:val="20"/>
                <w:color w:val="auto"/>
              </w:rPr>
            </w:pPr>
            <w:r>
              <w:rPr>
                <w:rFonts w:ascii="Arial" w:cs="Arial" w:eastAsia="Arial" w:hAnsi="Arial"/>
                <w:sz w:val="18"/>
                <w:szCs w:val="18"/>
                <w:color w:val="auto"/>
              </w:rPr>
              <w:t>Operating income</w:t>
            </w:r>
          </w:p>
        </w:tc>
        <w:tc>
          <w:tcPr>
            <w:tcW w:w="110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40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290,537</w:t>
            </w:r>
          </w:p>
        </w:tc>
        <w:tc>
          <w:tcPr>
            <w:tcW w:w="24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40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168,243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 net</w:t>
            </w:r>
          </w:p>
        </w:tc>
        <w:tc>
          <w:tcPr>
            <w:tcW w:w="1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Interest and other financing expenses, net</w:t>
            </w:r>
          </w:p>
        </w:tc>
        <w:tc>
          <w:tcPr>
            <w:tcW w:w="1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(45,098)</w:t>
            </w:r>
          </w:p>
        </w:tc>
        <w:tc>
          <w:tcPr>
            <w:tcW w:w="24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(22,844)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Income before taxes</w:t>
            </w:r>
          </w:p>
        </w:tc>
        <w:tc>
          <w:tcPr>
            <w:tcW w:w="1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245,762</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144,990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Income tax expense</w:t>
            </w:r>
          </w:p>
        </w:tc>
        <w:tc>
          <w:tcPr>
            <w:tcW w:w="1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61,501</w:t>
            </w:r>
          </w:p>
        </w:tc>
        <w:tc>
          <w:tcPr>
            <w:tcW w:w="24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33,672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w:t>
            </w:r>
          </w:p>
        </w:tc>
        <w:tc>
          <w:tcPr>
            <w:tcW w:w="1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184,261</w:t>
            </w:r>
          </w:p>
        </w:tc>
        <w:tc>
          <w:tcPr>
            <w:tcW w:w="24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111,318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Earnings per share:</w:t>
            </w:r>
          </w:p>
        </w:tc>
        <w:tc>
          <w:tcPr>
            <w:tcW w:w="1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4340" w:type="dxa"/>
            <w:vAlign w:val="bottom"/>
          </w:tcPr>
          <w:p>
            <w:pPr>
              <w:ind w:left="80"/>
              <w:spacing w:after="0"/>
              <w:rPr>
                <w:sz w:val="20"/>
                <w:szCs w:val="20"/>
                <w:color w:val="auto"/>
              </w:rPr>
            </w:pPr>
            <w:r>
              <w:rPr>
                <w:rFonts w:ascii="Arial" w:cs="Arial" w:eastAsia="Arial" w:hAnsi="Arial"/>
                <w:sz w:val="18"/>
                <w:szCs w:val="18"/>
                <w:color w:val="auto"/>
              </w:rPr>
              <w:t>Basic</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1.96</w:t>
            </w:r>
          </w:p>
        </w:tc>
        <w:tc>
          <w:tcPr>
            <w:tcW w:w="240" w:type="dxa"/>
            <w:vAlign w:val="bottom"/>
          </w:tcPr>
          <w:p>
            <w:pPr>
              <w:spacing w:after="0"/>
              <w:rPr>
                <w:sz w:val="22"/>
                <w:szCs w:val="22"/>
                <w:color w:val="auto"/>
              </w:rPr>
            </w:pPr>
          </w:p>
        </w:tc>
        <w:tc>
          <w:tcPr>
            <w:tcW w:w="260" w:type="dxa"/>
            <w:vAlign w:val="bottom"/>
            <w:gridSpan w:val="2"/>
          </w:tcPr>
          <w:p>
            <w:pPr>
              <w:jc w:val="right"/>
              <w:ind w:right="83"/>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4340" w:type="dxa"/>
            <w:vAlign w:val="bottom"/>
            <w:tcBorders>
              <w:top w:val="single" w:sz="8" w:color="CCEEFF"/>
              <w:bottom w:val="single" w:sz="8" w:color="CCEEFF"/>
            </w:tcBorders>
            <w:shd w:val="clear" w:color="auto" w:fill="CCEEFF"/>
          </w:tcPr>
          <w:p>
            <w:pPr>
              <w:ind w:left="80"/>
              <w:spacing w:after="0" w:line="196" w:lineRule="exact"/>
              <w:rPr>
                <w:sz w:val="20"/>
                <w:szCs w:val="20"/>
                <w:color w:val="auto"/>
              </w:rPr>
            </w:pPr>
            <w:r>
              <w:rPr>
                <w:rFonts w:ascii="Arial" w:cs="Arial" w:eastAsia="Arial" w:hAnsi="Arial"/>
                <w:sz w:val="18"/>
                <w:szCs w:val="18"/>
                <w:color w:val="auto"/>
              </w:rPr>
              <w:t>Diluted</w:t>
            </w:r>
          </w:p>
        </w:tc>
        <w:tc>
          <w:tcPr>
            <w:tcW w:w="110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1.93</w:t>
            </w:r>
          </w:p>
        </w:tc>
        <w:tc>
          <w:tcPr>
            <w:tcW w:w="24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14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Shares used to compute earnings per share:</w:t>
            </w:r>
          </w:p>
        </w:tc>
        <w:tc>
          <w:tcPr>
            <w:tcW w:w="1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4340" w:type="dxa"/>
            <w:vAlign w:val="bottom"/>
            <w:tcBorders>
              <w:bottom w:val="single" w:sz="8" w:color="CCEEFF"/>
            </w:tcBorders>
          </w:tcPr>
          <w:p>
            <w:pPr>
              <w:ind w:left="80"/>
              <w:spacing w:after="0"/>
              <w:rPr>
                <w:sz w:val="20"/>
                <w:szCs w:val="20"/>
                <w:color w:val="auto"/>
              </w:rPr>
            </w:pPr>
            <w:r>
              <w:rPr>
                <w:rFonts w:ascii="Arial" w:cs="Arial" w:eastAsia="Arial" w:hAnsi="Arial"/>
                <w:sz w:val="18"/>
                <w:szCs w:val="18"/>
                <w:color w:val="auto"/>
              </w:rPr>
              <w:t>Basic</w:t>
            </w:r>
          </w:p>
        </w:tc>
        <w:tc>
          <w:tcPr>
            <w:tcW w:w="1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94,051</w:t>
            </w:r>
          </w:p>
        </w:tc>
        <w:tc>
          <w:tcPr>
            <w:tcW w:w="24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99,647</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4340" w:type="dxa"/>
            <w:vAlign w:val="bottom"/>
            <w:tcBorders>
              <w:bottom w:val="single" w:sz="8" w:color="CCEEFF"/>
            </w:tcBorders>
            <w:shd w:val="clear" w:color="auto" w:fill="CCEEFF"/>
          </w:tcPr>
          <w:p>
            <w:pPr>
              <w:ind w:left="80"/>
              <w:spacing w:after="0" w:line="196" w:lineRule="exact"/>
              <w:rPr>
                <w:sz w:val="20"/>
                <w:szCs w:val="20"/>
                <w:color w:val="auto"/>
              </w:rPr>
            </w:pPr>
            <w:r>
              <w:rPr>
                <w:rFonts w:ascii="Arial" w:cs="Arial" w:eastAsia="Arial" w:hAnsi="Arial"/>
                <w:sz w:val="18"/>
                <w:szCs w:val="18"/>
                <w:color w:val="auto"/>
              </w:rPr>
              <w:t>Diluted</w:t>
            </w:r>
          </w:p>
        </w:tc>
        <w:tc>
          <w:tcPr>
            <w:tcW w:w="1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4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95,636</w:t>
            </w:r>
          </w:p>
        </w:tc>
        <w:tc>
          <w:tcPr>
            <w:tcW w:w="24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14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101,116</w:t>
            </w:r>
          </w:p>
        </w:tc>
        <w:tc>
          <w:tcPr>
            <w:tcW w:w="0" w:type="dxa"/>
            <w:vAlign w:val="bottom"/>
          </w:tcPr>
          <w:p>
            <w:pPr>
              <w:spacing w:after="0"/>
              <w:rPr>
                <w:sz w:val="1"/>
                <w:szCs w:val="1"/>
                <w:color w:val="auto"/>
              </w:rPr>
            </w:pPr>
          </w:p>
        </w:tc>
      </w:tr>
      <w:tr>
        <w:trPr>
          <w:trHeight w:val="20"/>
        </w:trPr>
        <w:tc>
          <w:tcPr>
            <w:tcW w:w="4360" w:type="dxa"/>
            <w:vAlign w:val="bottom"/>
            <w:gridSpan w:val="2"/>
            <w:vMerge w:val="restart"/>
          </w:tcPr>
          <w:p>
            <w:pPr>
              <w:spacing w:after="0"/>
              <w:rPr>
                <w:sz w:val="20"/>
                <w:szCs w:val="20"/>
                <w:color w:val="auto"/>
              </w:rPr>
            </w:pPr>
            <w:r>
              <w:rPr>
                <w:rFonts w:ascii="Arial" w:cs="Arial" w:eastAsia="Arial" w:hAnsi="Arial"/>
                <w:sz w:val="18"/>
                <w:szCs w:val="18"/>
                <w:color w:val="auto"/>
              </w:rPr>
              <w:t>Cash dividends paid per common share</w:t>
            </w:r>
          </w:p>
        </w:tc>
        <w:tc>
          <w:tcPr>
            <w:tcW w:w="1100" w:type="dxa"/>
            <w:vAlign w:val="bottom"/>
            <w:vMerge w:val="restart"/>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360" w:type="dxa"/>
            <w:vAlign w:val="bottom"/>
            <w:gridSpan w:val="2"/>
            <w:vMerge w:val="continue"/>
          </w:tcPr>
          <w:p>
            <w:pPr>
              <w:spacing w:after="0"/>
              <w:rPr>
                <w:sz w:val="17"/>
                <w:szCs w:val="17"/>
                <w:color w:val="auto"/>
              </w:rPr>
            </w:pPr>
          </w:p>
        </w:tc>
        <w:tc>
          <w:tcPr>
            <w:tcW w:w="1100" w:type="dxa"/>
            <w:vAlign w:val="bottom"/>
            <w:vMerge w:val="continue"/>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0.29</w:t>
            </w:r>
          </w:p>
        </w:tc>
        <w:tc>
          <w:tcPr>
            <w:tcW w:w="240" w:type="dxa"/>
            <w:vAlign w:val="bottom"/>
          </w:tcPr>
          <w:p>
            <w:pPr>
              <w:spacing w:after="0"/>
              <w:rPr>
                <w:sz w:val="17"/>
                <w:szCs w:val="17"/>
                <w:color w:val="auto"/>
              </w:rPr>
            </w:pPr>
          </w:p>
        </w:tc>
        <w:tc>
          <w:tcPr>
            <w:tcW w:w="20" w:type="dxa"/>
            <w:vAlign w:val="bottom"/>
            <w:tcBorders>
              <w:bottom w:val="single" w:sz="8" w:color="auto"/>
            </w:tcBorders>
            <w:vMerge w:val="continue"/>
          </w:tcPr>
          <w:p>
            <w:pPr>
              <w:spacing w:after="0"/>
              <w:rPr>
                <w:sz w:val="17"/>
                <w:szCs w:val="17"/>
                <w:color w:val="auto"/>
              </w:rPr>
            </w:pPr>
          </w:p>
        </w:tc>
        <w:tc>
          <w:tcPr>
            <w:tcW w:w="240" w:type="dxa"/>
            <w:vAlign w:val="bottom"/>
            <w:tcBorders>
              <w:bottom w:val="single" w:sz="8" w:color="auto"/>
            </w:tcBorders>
          </w:tcPr>
          <w:p>
            <w:pPr>
              <w:jc w:val="right"/>
              <w:ind w:right="83"/>
              <w:spacing w:after="0"/>
              <w:rPr>
                <w:sz w:val="20"/>
                <w:szCs w:val="20"/>
                <w:color w:val="auto"/>
              </w:rPr>
            </w:pPr>
            <w:r>
              <w:rPr>
                <w:rFonts w:ascii="Arial" w:cs="Arial" w:eastAsia="Arial" w:hAnsi="Arial"/>
                <w:sz w:val="15"/>
                <w:szCs w:val="15"/>
                <w:color w:val="auto"/>
                <w:w w:val="71"/>
              </w:rPr>
              <w:t>$</w:t>
            </w:r>
          </w:p>
        </w:tc>
        <w:tc>
          <w:tcPr>
            <w:tcW w:w="14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0.24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44" w:right="1440" w:bottom="1440" w:gutter="0" w:footer="0" w:header="0"/>
        </w:sectPr>
      </w:pPr>
    </w:p>
    <w:bookmarkStart w:id="4" w:name="page5"/>
    <w:bookmarkEnd w:id="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35" w:lineRule="exact"/>
        <w:rPr>
          <w:sz w:val="20"/>
          <w:szCs w:val="20"/>
          <w:color w:val="auto"/>
        </w:rPr>
      </w:pPr>
    </w:p>
    <w:p>
      <w:pPr>
        <w:jc w:val="center"/>
        <w:ind w:left="60" w:right="79"/>
        <w:spacing w:after="0" w:line="275" w:lineRule="auto"/>
        <w:rPr>
          <w:sz w:val="20"/>
          <w:szCs w:val="20"/>
          <w:color w:val="auto"/>
        </w:rPr>
      </w:pPr>
      <w:r>
        <w:rPr>
          <w:rFonts w:ascii="Arial" w:cs="Arial" w:eastAsia="Arial" w:hAnsi="Arial"/>
          <w:sz w:val="18"/>
          <w:szCs w:val="18"/>
          <w:b w:val="1"/>
          <w:bCs w:val="1"/>
          <w:color w:val="auto"/>
        </w:rPr>
        <w:t>AVNET, INC. AND SUBSIDIARIES CONSOLIDATED STATEMENTS OF COMPREHENSIVE INCOME (Unaudited)</w:t>
      </w:r>
    </w:p>
    <w:p>
      <w:pPr>
        <w:spacing w:after="0" w:line="200" w:lineRule="exact"/>
        <w:rPr>
          <w:sz w:val="20"/>
          <w:szCs w:val="20"/>
          <w:color w:val="auto"/>
        </w:rPr>
      </w:pPr>
    </w:p>
    <w:p>
      <w:pPr>
        <w:spacing w:after="0" w:line="217" w:lineRule="exact"/>
        <w:rPr>
          <w:sz w:val="20"/>
          <w:szCs w:val="20"/>
          <w:color w:val="auto"/>
        </w:rPr>
      </w:pPr>
    </w:p>
    <w:tbl>
      <w:tblPr>
        <w:tblLayout w:type="fixed"/>
        <w:tblInd w:w="60" w:type="dxa"/>
        <w:tblCellMar>
          <w:top w:w="0" w:type="dxa"/>
          <w:left w:w="0" w:type="dxa"/>
          <w:bottom w:w="0" w:type="dxa"/>
          <w:right w:w="0" w:type="dxa"/>
        </w:tblCellMar>
      </w:tblPr>
      <w:tr>
        <w:trPr>
          <w:trHeight w:val="241"/>
        </w:trPr>
        <w:tc>
          <w:tcPr>
            <w:tcW w:w="502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160" w:type="dxa"/>
            <w:vAlign w:val="bottom"/>
            <w:tcBorders>
              <w:bottom w:val="single" w:sz="8" w:color="auto"/>
            </w:tcBorders>
            <w:gridSpan w:val="4"/>
          </w:tcPr>
          <w:p>
            <w:pPr>
              <w:jc w:val="right"/>
              <w:ind w:right="210"/>
              <w:spacing w:after="0"/>
              <w:rPr>
                <w:sz w:val="20"/>
                <w:szCs w:val="20"/>
                <w:color w:val="auto"/>
              </w:rPr>
            </w:pPr>
            <w:r>
              <w:rPr>
                <w:rFonts w:ascii="Arial" w:cs="Arial" w:eastAsia="Arial" w:hAnsi="Arial"/>
                <w:sz w:val="18"/>
                <w:szCs w:val="18"/>
                <w:b w:val="1"/>
                <w:bCs w:val="1"/>
                <w:color w:val="auto"/>
              </w:rPr>
              <w:t>First Quarters Ended</w:t>
            </w:r>
          </w:p>
        </w:tc>
      </w:tr>
      <w:tr>
        <w:trPr>
          <w:trHeight w:val="198"/>
        </w:trPr>
        <w:tc>
          <w:tcPr>
            <w:tcW w:w="502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jc w:val="right"/>
              <w:ind w:right="30"/>
              <w:spacing w:after="0" w:line="198" w:lineRule="exact"/>
              <w:rPr>
                <w:sz w:val="20"/>
                <w:szCs w:val="20"/>
                <w:color w:val="auto"/>
              </w:rPr>
            </w:pPr>
            <w:r>
              <w:rPr>
                <w:rFonts w:ascii="Arial" w:cs="Arial" w:eastAsia="Arial" w:hAnsi="Arial"/>
                <w:sz w:val="18"/>
                <w:szCs w:val="18"/>
                <w:b w:val="1"/>
                <w:bCs w:val="1"/>
                <w:color w:val="auto"/>
                <w:w w:val="89"/>
              </w:rPr>
              <w:t>October 1,</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jc w:val="right"/>
              <w:ind w:right="30"/>
              <w:spacing w:after="0" w:line="198" w:lineRule="exact"/>
              <w:rPr>
                <w:sz w:val="20"/>
                <w:szCs w:val="20"/>
                <w:color w:val="auto"/>
              </w:rPr>
            </w:pPr>
            <w:r>
              <w:rPr>
                <w:rFonts w:ascii="Arial" w:cs="Arial" w:eastAsia="Arial" w:hAnsi="Arial"/>
                <w:sz w:val="18"/>
                <w:szCs w:val="18"/>
                <w:b w:val="1"/>
                <w:bCs w:val="1"/>
                <w:color w:val="auto"/>
                <w:w w:val="87"/>
              </w:rPr>
              <w:t>October 2,</w:t>
            </w:r>
          </w:p>
        </w:tc>
      </w:tr>
      <w:tr>
        <w:trPr>
          <w:trHeight w:val="241"/>
        </w:trPr>
        <w:tc>
          <w:tcPr>
            <w:tcW w:w="502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2022</w:t>
            </w:r>
          </w:p>
        </w:tc>
        <w:tc>
          <w:tcPr>
            <w:tcW w:w="2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2021</w:t>
            </w:r>
          </w:p>
        </w:tc>
      </w:tr>
      <w:tr>
        <w:trPr>
          <w:trHeight w:val="203"/>
        </w:trPr>
        <w:tc>
          <w:tcPr>
            <w:tcW w:w="502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160" w:type="dxa"/>
            <w:vAlign w:val="bottom"/>
            <w:gridSpan w:val="4"/>
          </w:tcPr>
          <w:p>
            <w:pPr>
              <w:jc w:val="right"/>
              <w:ind w:right="550"/>
              <w:spacing w:after="0" w:line="202" w:lineRule="exact"/>
              <w:rPr>
                <w:sz w:val="20"/>
                <w:szCs w:val="20"/>
                <w:color w:val="auto"/>
              </w:rPr>
            </w:pPr>
            <w:r>
              <w:rPr>
                <w:rFonts w:ascii="Arial" w:cs="Arial" w:eastAsia="Arial" w:hAnsi="Arial"/>
                <w:sz w:val="18"/>
                <w:szCs w:val="18"/>
                <w:b w:val="1"/>
                <w:bCs w:val="1"/>
                <w:color w:val="auto"/>
              </w:rPr>
              <w:t>(Thousands)</w:t>
            </w:r>
          </w:p>
        </w:tc>
      </w:tr>
      <w:tr>
        <w:trPr>
          <w:trHeight w:val="216"/>
        </w:trPr>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184,261</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111,318</w:t>
            </w:r>
          </w:p>
        </w:tc>
      </w:tr>
      <w:tr>
        <w:trPr>
          <w:trHeight w:val="216"/>
        </w:trPr>
        <w:tc>
          <w:tcPr>
            <w:tcW w:w="5020" w:type="dxa"/>
            <w:vAlign w:val="bottom"/>
          </w:tcPr>
          <w:p>
            <w:pPr>
              <w:spacing w:after="0"/>
              <w:rPr>
                <w:sz w:val="20"/>
                <w:szCs w:val="20"/>
                <w:color w:val="auto"/>
              </w:rPr>
            </w:pPr>
            <w:r>
              <w:rPr>
                <w:rFonts w:ascii="Arial" w:cs="Arial" w:eastAsia="Arial" w:hAnsi="Arial"/>
                <w:sz w:val="18"/>
                <w:szCs w:val="18"/>
                <w:color w:val="auto"/>
              </w:rPr>
              <w:t>Other comprehensive income (loss), net of tax:</w:t>
            </w:r>
          </w:p>
        </w:tc>
        <w:tc>
          <w:tcPr>
            <w:tcW w:w="1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6"/>
        </w:trPr>
        <w:tc>
          <w:tcPr>
            <w:tcW w:w="50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Foreign currency translation and other</w:t>
            </w:r>
          </w:p>
        </w:tc>
        <w:tc>
          <w:tcPr>
            <w:tcW w:w="1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(201,663)</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(29,036)</w:t>
            </w:r>
          </w:p>
        </w:tc>
      </w:tr>
      <w:tr>
        <w:trPr>
          <w:trHeight w:val="223"/>
        </w:trPr>
        <w:tc>
          <w:tcPr>
            <w:tcW w:w="502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Pension adjustments, net</w:t>
            </w:r>
          </w:p>
        </w:tc>
        <w:tc>
          <w:tcPr>
            <w:tcW w:w="164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9,866</w:t>
            </w:r>
          </w:p>
        </w:tc>
        <w:tc>
          <w:tcPr>
            <w:tcW w:w="2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4,012</w:t>
            </w:r>
          </w:p>
        </w:tc>
      </w:tr>
      <w:tr>
        <w:trPr>
          <w:trHeight w:val="216"/>
        </w:trPr>
        <w:tc>
          <w:tcPr>
            <w:tcW w:w="50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comprehensive (loss) income</w:t>
            </w:r>
          </w:p>
        </w:tc>
        <w:tc>
          <w:tcPr>
            <w:tcW w:w="16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(7,536)</w:t>
            </w:r>
          </w:p>
        </w:tc>
        <w:tc>
          <w:tcPr>
            <w:tcW w:w="2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86,294</w:t>
            </w:r>
          </w:p>
        </w:tc>
      </w:tr>
      <w:tr>
        <w:trPr>
          <w:trHeight w:val="20"/>
        </w:trPr>
        <w:tc>
          <w:tcPr>
            <w:tcW w:w="50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44" w:right="1440" w:bottom="1440" w:gutter="0" w:footer="0" w:header="0"/>
        </w:sectPr>
      </w:pPr>
    </w:p>
    <w:bookmarkStart w:id="5" w:name="page6"/>
    <w:bookmarkEnd w:id="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35" w:lineRule="exact"/>
        <w:rPr>
          <w:sz w:val="20"/>
          <w:szCs w:val="20"/>
          <w:color w:val="auto"/>
        </w:rPr>
      </w:pPr>
    </w:p>
    <w:p>
      <w:pPr>
        <w:jc w:val="center"/>
        <w:ind w:left="1500" w:right="1760"/>
        <w:spacing w:after="0" w:line="275" w:lineRule="auto"/>
        <w:rPr>
          <w:sz w:val="20"/>
          <w:szCs w:val="20"/>
          <w:color w:val="auto"/>
        </w:rPr>
      </w:pPr>
      <w:r>
        <w:rPr>
          <w:rFonts w:ascii="Arial" w:cs="Arial" w:eastAsia="Arial" w:hAnsi="Arial"/>
          <w:sz w:val="18"/>
          <w:szCs w:val="18"/>
          <w:b w:val="1"/>
          <w:bCs w:val="1"/>
          <w:color w:val="auto"/>
        </w:rPr>
        <w:t>AVNET, INC. AND SUBSIDIARIES CONSOLIDATED STATEMENTS OF SHAREHOLDERS’ EQUITY (Unaudited)</w:t>
      </w:r>
    </w:p>
    <w:p>
      <w:pPr>
        <w:spacing w:after="0" w:line="400" w:lineRule="exact"/>
        <w:rPr>
          <w:sz w:val="20"/>
          <w:szCs w:val="20"/>
          <w:color w:val="auto"/>
        </w:rPr>
      </w:pPr>
    </w:p>
    <w:tbl>
      <w:tblPr>
        <w:tblLayout w:type="fixed"/>
        <w:tblInd w:w="40" w:type="dxa"/>
        <w:tblCellMar>
          <w:top w:w="0" w:type="dxa"/>
          <w:left w:w="0" w:type="dxa"/>
          <w:bottom w:w="0" w:type="dxa"/>
          <w:right w:w="0" w:type="dxa"/>
        </w:tblCellMar>
      </w:tblPr>
      <w:tr>
        <w:trPr>
          <w:trHeight w:val="203"/>
        </w:trPr>
        <w:tc>
          <w:tcPr>
            <w:tcW w:w="26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40" w:type="dxa"/>
            <w:vAlign w:val="bottom"/>
            <w:gridSpan w:val="3"/>
          </w:tcPr>
          <w:p>
            <w:pPr>
              <w:jc w:val="center"/>
              <w:ind w:right="180"/>
              <w:spacing w:after="0"/>
              <w:rPr>
                <w:sz w:val="20"/>
                <w:szCs w:val="20"/>
                <w:color w:val="auto"/>
              </w:rPr>
            </w:pPr>
            <w:r>
              <w:rPr>
                <w:rFonts w:ascii="Arial" w:cs="Arial" w:eastAsia="Arial" w:hAnsi="Arial"/>
                <w:sz w:val="17"/>
                <w:szCs w:val="17"/>
                <w:b w:val="1"/>
                <w:bCs w:val="1"/>
                <w:color w:val="auto"/>
                <w:w w:val="89"/>
              </w:rPr>
              <w:t>Accumulated</w:t>
            </w: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203"/>
        </w:trPr>
        <w:tc>
          <w:tcPr>
            <w:tcW w:w="2640" w:type="dxa"/>
            <w:vAlign w:val="bottom"/>
          </w:tcPr>
          <w:p>
            <w:pPr>
              <w:spacing w:after="0"/>
              <w:rPr>
                <w:sz w:val="17"/>
                <w:szCs w:val="17"/>
                <w:color w:val="auto"/>
              </w:rPr>
            </w:pPr>
          </w:p>
        </w:tc>
        <w:tc>
          <w:tcPr>
            <w:tcW w:w="880" w:type="dxa"/>
            <w:vAlign w:val="bottom"/>
            <w:gridSpan w:val="2"/>
          </w:tcPr>
          <w:p>
            <w:pPr>
              <w:jc w:val="center"/>
              <w:ind w:right="160"/>
              <w:spacing w:after="0"/>
              <w:rPr>
                <w:sz w:val="20"/>
                <w:szCs w:val="20"/>
                <w:color w:val="auto"/>
              </w:rPr>
            </w:pPr>
            <w:r>
              <w:rPr>
                <w:rFonts w:ascii="Arial" w:cs="Arial" w:eastAsia="Arial" w:hAnsi="Arial"/>
                <w:sz w:val="17"/>
                <w:szCs w:val="17"/>
                <w:b w:val="1"/>
                <w:bCs w:val="1"/>
                <w:color w:val="auto"/>
                <w:w w:val="92"/>
              </w:rPr>
              <w:t>Common</w:t>
            </w:r>
          </w:p>
        </w:tc>
        <w:tc>
          <w:tcPr>
            <w:tcW w:w="880" w:type="dxa"/>
            <w:vAlign w:val="bottom"/>
            <w:gridSpan w:val="2"/>
          </w:tcPr>
          <w:p>
            <w:pPr>
              <w:jc w:val="center"/>
              <w:ind w:right="180"/>
              <w:spacing w:after="0"/>
              <w:rPr>
                <w:sz w:val="20"/>
                <w:szCs w:val="20"/>
                <w:color w:val="auto"/>
              </w:rPr>
            </w:pPr>
            <w:r>
              <w:rPr>
                <w:rFonts w:ascii="Arial" w:cs="Arial" w:eastAsia="Arial" w:hAnsi="Arial"/>
                <w:sz w:val="17"/>
                <w:szCs w:val="17"/>
                <w:b w:val="1"/>
                <w:bCs w:val="1"/>
                <w:color w:val="auto"/>
                <w:w w:val="89"/>
              </w:rPr>
              <w:t>Common</w:t>
            </w:r>
          </w:p>
        </w:tc>
        <w:tc>
          <w:tcPr>
            <w:tcW w:w="880" w:type="dxa"/>
            <w:vAlign w:val="bottom"/>
          </w:tcPr>
          <w:p>
            <w:pPr>
              <w:jc w:val="center"/>
              <w:spacing w:after="0"/>
              <w:rPr>
                <w:sz w:val="20"/>
                <w:szCs w:val="20"/>
                <w:color w:val="auto"/>
              </w:rPr>
            </w:pPr>
            <w:r>
              <w:rPr>
                <w:rFonts w:ascii="Arial" w:cs="Arial" w:eastAsia="Arial" w:hAnsi="Arial"/>
                <w:sz w:val="17"/>
                <w:szCs w:val="17"/>
                <w:b w:val="1"/>
                <w:bCs w:val="1"/>
                <w:color w:val="auto"/>
                <w:w w:val="93"/>
              </w:rPr>
              <w:t>Additional</w:t>
            </w: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gridSpan w:val="2"/>
          </w:tcPr>
          <w:p>
            <w:pPr>
              <w:jc w:val="center"/>
              <w:ind w:right="480"/>
              <w:spacing w:after="0"/>
              <w:rPr>
                <w:sz w:val="20"/>
                <w:szCs w:val="20"/>
                <w:color w:val="auto"/>
              </w:rPr>
            </w:pPr>
            <w:r>
              <w:rPr>
                <w:rFonts w:ascii="Arial" w:cs="Arial" w:eastAsia="Arial" w:hAnsi="Arial"/>
                <w:sz w:val="17"/>
                <w:szCs w:val="17"/>
                <w:b w:val="1"/>
                <w:bCs w:val="1"/>
                <w:color w:val="auto"/>
                <w:w w:val="96"/>
              </w:rPr>
              <w:t>Other</w:t>
            </w:r>
          </w:p>
        </w:tc>
        <w:tc>
          <w:tcPr>
            <w:tcW w:w="220" w:type="dxa"/>
            <w:vAlign w:val="bottom"/>
          </w:tcPr>
          <w:p>
            <w:pPr>
              <w:spacing w:after="0"/>
              <w:rPr>
                <w:sz w:val="17"/>
                <w:szCs w:val="17"/>
                <w:color w:val="auto"/>
              </w:rPr>
            </w:pPr>
          </w:p>
        </w:tc>
        <w:tc>
          <w:tcPr>
            <w:tcW w:w="820" w:type="dxa"/>
            <w:vAlign w:val="bottom"/>
          </w:tcPr>
          <w:p>
            <w:pPr>
              <w:jc w:val="center"/>
              <w:ind w:right="135"/>
              <w:spacing w:after="0"/>
              <w:rPr>
                <w:sz w:val="20"/>
                <w:szCs w:val="20"/>
                <w:color w:val="auto"/>
              </w:rPr>
            </w:pPr>
            <w:r>
              <w:rPr>
                <w:rFonts w:ascii="Arial" w:cs="Arial" w:eastAsia="Arial" w:hAnsi="Arial"/>
                <w:sz w:val="17"/>
                <w:szCs w:val="17"/>
                <w:b w:val="1"/>
                <w:bCs w:val="1"/>
                <w:color w:val="auto"/>
                <w:w w:val="88"/>
              </w:rPr>
              <w:t>Total</w:t>
            </w:r>
          </w:p>
        </w:tc>
      </w:tr>
      <w:tr>
        <w:trPr>
          <w:trHeight w:val="203"/>
        </w:trPr>
        <w:tc>
          <w:tcPr>
            <w:tcW w:w="2640" w:type="dxa"/>
            <w:vAlign w:val="bottom"/>
          </w:tcPr>
          <w:p>
            <w:pPr>
              <w:spacing w:after="0"/>
              <w:rPr>
                <w:sz w:val="17"/>
                <w:szCs w:val="17"/>
                <w:color w:val="auto"/>
              </w:rPr>
            </w:pPr>
          </w:p>
        </w:tc>
        <w:tc>
          <w:tcPr>
            <w:tcW w:w="880" w:type="dxa"/>
            <w:vAlign w:val="bottom"/>
            <w:gridSpan w:val="2"/>
          </w:tcPr>
          <w:p>
            <w:pPr>
              <w:jc w:val="center"/>
              <w:ind w:right="180"/>
              <w:spacing w:after="0"/>
              <w:rPr>
                <w:sz w:val="20"/>
                <w:szCs w:val="20"/>
                <w:color w:val="auto"/>
              </w:rPr>
            </w:pPr>
            <w:r>
              <w:rPr>
                <w:rFonts w:ascii="Arial" w:cs="Arial" w:eastAsia="Arial" w:hAnsi="Arial"/>
                <w:sz w:val="17"/>
                <w:szCs w:val="17"/>
                <w:b w:val="1"/>
                <w:bCs w:val="1"/>
                <w:color w:val="auto"/>
                <w:w w:val="88"/>
              </w:rPr>
              <w:t>Stock-</w:t>
            </w:r>
          </w:p>
        </w:tc>
        <w:tc>
          <w:tcPr>
            <w:tcW w:w="880" w:type="dxa"/>
            <w:vAlign w:val="bottom"/>
            <w:gridSpan w:val="2"/>
          </w:tcPr>
          <w:p>
            <w:pPr>
              <w:jc w:val="center"/>
              <w:ind w:right="180"/>
              <w:spacing w:after="0"/>
              <w:rPr>
                <w:sz w:val="20"/>
                <w:szCs w:val="20"/>
                <w:color w:val="auto"/>
              </w:rPr>
            </w:pPr>
            <w:r>
              <w:rPr>
                <w:rFonts w:ascii="Arial" w:cs="Arial" w:eastAsia="Arial" w:hAnsi="Arial"/>
                <w:sz w:val="17"/>
                <w:szCs w:val="17"/>
                <w:b w:val="1"/>
                <w:bCs w:val="1"/>
                <w:color w:val="auto"/>
                <w:w w:val="88"/>
              </w:rPr>
              <w:t>Stock-</w:t>
            </w:r>
          </w:p>
        </w:tc>
        <w:tc>
          <w:tcPr>
            <w:tcW w:w="880" w:type="dxa"/>
            <w:vAlign w:val="bottom"/>
          </w:tcPr>
          <w:p>
            <w:pPr>
              <w:jc w:val="center"/>
              <w:spacing w:after="0"/>
              <w:rPr>
                <w:sz w:val="20"/>
                <w:szCs w:val="20"/>
                <w:color w:val="auto"/>
              </w:rPr>
            </w:pPr>
            <w:r>
              <w:rPr>
                <w:rFonts w:ascii="Arial" w:cs="Arial" w:eastAsia="Arial" w:hAnsi="Arial"/>
                <w:sz w:val="17"/>
                <w:szCs w:val="17"/>
                <w:b w:val="1"/>
                <w:bCs w:val="1"/>
                <w:color w:val="auto"/>
                <w:w w:val="98"/>
              </w:rPr>
              <w:t>Paid-In</w:t>
            </w:r>
          </w:p>
        </w:tc>
        <w:tc>
          <w:tcPr>
            <w:tcW w:w="160" w:type="dxa"/>
            <w:vAlign w:val="bottom"/>
          </w:tcPr>
          <w:p>
            <w:pPr>
              <w:spacing w:after="0"/>
              <w:rPr>
                <w:sz w:val="17"/>
                <w:szCs w:val="17"/>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7"/>
                <w:szCs w:val="17"/>
                <w:b w:val="1"/>
                <w:bCs w:val="1"/>
                <w:color w:val="auto"/>
              </w:rPr>
              <w:t>Retained</w:t>
            </w:r>
          </w:p>
        </w:tc>
        <w:tc>
          <w:tcPr>
            <w:tcW w:w="1340" w:type="dxa"/>
            <w:vAlign w:val="bottom"/>
            <w:gridSpan w:val="3"/>
          </w:tcPr>
          <w:p>
            <w:pPr>
              <w:jc w:val="center"/>
              <w:ind w:right="180"/>
              <w:spacing w:after="0"/>
              <w:rPr>
                <w:sz w:val="20"/>
                <w:szCs w:val="20"/>
                <w:color w:val="auto"/>
              </w:rPr>
            </w:pPr>
            <w:r>
              <w:rPr>
                <w:rFonts w:ascii="Arial" w:cs="Arial" w:eastAsia="Arial" w:hAnsi="Arial"/>
                <w:sz w:val="17"/>
                <w:szCs w:val="17"/>
                <w:b w:val="1"/>
                <w:bCs w:val="1"/>
                <w:color w:val="auto"/>
                <w:w w:val="87"/>
              </w:rPr>
              <w:t>Comprehensive</w:t>
            </w:r>
          </w:p>
        </w:tc>
        <w:tc>
          <w:tcPr>
            <w:tcW w:w="1040" w:type="dxa"/>
            <w:vAlign w:val="bottom"/>
            <w:gridSpan w:val="2"/>
          </w:tcPr>
          <w:p>
            <w:pPr>
              <w:jc w:val="center"/>
              <w:spacing w:after="0"/>
              <w:rPr>
                <w:sz w:val="20"/>
                <w:szCs w:val="20"/>
                <w:color w:val="auto"/>
              </w:rPr>
            </w:pPr>
            <w:r>
              <w:rPr>
                <w:rFonts w:ascii="Arial" w:cs="Arial" w:eastAsia="Arial" w:hAnsi="Arial"/>
                <w:sz w:val="17"/>
                <w:szCs w:val="17"/>
                <w:b w:val="1"/>
                <w:bCs w:val="1"/>
                <w:color w:val="auto"/>
                <w:w w:val="91"/>
              </w:rPr>
              <w:t>Shareholders’</w:t>
            </w:r>
          </w:p>
        </w:tc>
      </w:tr>
      <w:tr>
        <w:trPr>
          <w:trHeight w:val="231"/>
        </w:trPr>
        <w:tc>
          <w:tcPr>
            <w:tcW w:w="2640" w:type="dxa"/>
            <w:vAlign w:val="bottom"/>
          </w:tcPr>
          <w:p>
            <w:pPr>
              <w:spacing w:after="0"/>
              <w:rPr>
                <w:sz w:val="20"/>
                <w:szCs w:val="20"/>
                <w:color w:val="auto"/>
              </w:rPr>
            </w:pPr>
          </w:p>
        </w:tc>
        <w:tc>
          <w:tcPr>
            <w:tcW w:w="880" w:type="dxa"/>
            <w:vAlign w:val="bottom"/>
            <w:gridSpan w:val="2"/>
          </w:tcPr>
          <w:p>
            <w:pPr>
              <w:jc w:val="center"/>
              <w:ind w:right="180"/>
              <w:spacing w:after="0"/>
              <w:rPr>
                <w:sz w:val="20"/>
                <w:szCs w:val="20"/>
                <w:color w:val="auto"/>
              </w:rPr>
            </w:pPr>
            <w:r>
              <w:rPr>
                <w:rFonts w:ascii="Arial" w:cs="Arial" w:eastAsia="Arial" w:hAnsi="Arial"/>
                <w:sz w:val="17"/>
                <w:szCs w:val="17"/>
                <w:b w:val="1"/>
                <w:bCs w:val="1"/>
                <w:color w:val="auto"/>
                <w:w w:val="88"/>
              </w:rPr>
              <w:t>Shares</w:t>
            </w:r>
          </w:p>
        </w:tc>
        <w:tc>
          <w:tcPr>
            <w:tcW w:w="880" w:type="dxa"/>
            <w:vAlign w:val="bottom"/>
            <w:gridSpan w:val="2"/>
          </w:tcPr>
          <w:p>
            <w:pPr>
              <w:jc w:val="center"/>
              <w:ind w:right="160"/>
              <w:spacing w:after="0"/>
              <w:rPr>
                <w:sz w:val="20"/>
                <w:szCs w:val="20"/>
                <w:color w:val="auto"/>
              </w:rPr>
            </w:pPr>
            <w:r>
              <w:rPr>
                <w:rFonts w:ascii="Arial" w:cs="Arial" w:eastAsia="Arial" w:hAnsi="Arial"/>
                <w:sz w:val="17"/>
                <w:szCs w:val="17"/>
                <w:b w:val="1"/>
                <w:bCs w:val="1"/>
                <w:color w:val="auto"/>
                <w:w w:val="93"/>
              </w:rPr>
              <w:t>Amount</w:t>
            </w:r>
          </w:p>
        </w:tc>
        <w:tc>
          <w:tcPr>
            <w:tcW w:w="880" w:type="dxa"/>
            <w:vAlign w:val="bottom"/>
          </w:tcPr>
          <w:p>
            <w:pPr>
              <w:jc w:val="center"/>
              <w:spacing w:after="0"/>
              <w:rPr>
                <w:sz w:val="20"/>
                <w:szCs w:val="20"/>
                <w:color w:val="auto"/>
              </w:rPr>
            </w:pPr>
            <w:r>
              <w:rPr>
                <w:rFonts w:ascii="Arial" w:cs="Arial" w:eastAsia="Arial" w:hAnsi="Arial"/>
                <w:sz w:val="17"/>
                <w:szCs w:val="17"/>
                <w:b w:val="1"/>
                <w:bCs w:val="1"/>
                <w:color w:val="auto"/>
                <w:w w:val="95"/>
              </w:rPr>
              <w:t>Capital</w:t>
            </w:r>
          </w:p>
        </w:tc>
        <w:tc>
          <w:tcPr>
            <w:tcW w:w="160" w:type="dxa"/>
            <w:vAlign w:val="bottom"/>
          </w:tcPr>
          <w:p>
            <w:pPr>
              <w:spacing w:after="0"/>
              <w:rPr>
                <w:sz w:val="20"/>
                <w:szCs w:val="20"/>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7"/>
                <w:szCs w:val="17"/>
                <w:b w:val="1"/>
                <w:bCs w:val="1"/>
                <w:color w:val="auto"/>
              </w:rPr>
              <w:t>Earnings</w:t>
            </w:r>
          </w:p>
        </w:tc>
        <w:tc>
          <w:tcPr>
            <w:tcW w:w="1340" w:type="dxa"/>
            <w:vAlign w:val="bottom"/>
            <w:gridSpan w:val="3"/>
          </w:tcPr>
          <w:p>
            <w:pPr>
              <w:jc w:val="center"/>
              <w:ind w:right="180"/>
              <w:spacing w:after="0"/>
              <w:rPr>
                <w:sz w:val="20"/>
                <w:szCs w:val="20"/>
                <w:color w:val="auto"/>
              </w:rPr>
            </w:pPr>
            <w:r>
              <w:rPr>
                <w:rFonts w:ascii="Arial" w:cs="Arial" w:eastAsia="Arial" w:hAnsi="Arial"/>
                <w:sz w:val="17"/>
                <w:szCs w:val="17"/>
                <w:b w:val="1"/>
                <w:bCs w:val="1"/>
                <w:color w:val="auto"/>
                <w:w w:val="90"/>
              </w:rPr>
              <w:t>(Loss) Income</w:t>
            </w:r>
          </w:p>
        </w:tc>
        <w:tc>
          <w:tcPr>
            <w:tcW w:w="220" w:type="dxa"/>
            <w:vAlign w:val="bottom"/>
          </w:tcPr>
          <w:p>
            <w:pPr>
              <w:spacing w:after="0"/>
              <w:rPr>
                <w:sz w:val="20"/>
                <w:szCs w:val="20"/>
                <w:color w:val="auto"/>
              </w:rPr>
            </w:pPr>
          </w:p>
        </w:tc>
        <w:tc>
          <w:tcPr>
            <w:tcW w:w="820" w:type="dxa"/>
            <w:vAlign w:val="bottom"/>
          </w:tcPr>
          <w:p>
            <w:pPr>
              <w:jc w:val="center"/>
              <w:ind w:right="135"/>
              <w:spacing w:after="0"/>
              <w:rPr>
                <w:sz w:val="20"/>
                <w:szCs w:val="20"/>
                <w:color w:val="auto"/>
              </w:rPr>
            </w:pPr>
            <w:r>
              <w:rPr>
                <w:rFonts w:ascii="Arial" w:cs="Arial" w:eastAsia="Arial" w:hAnsi="Arial"/>
                <w:sz w:val="17"/>
                <w:szCs w:val="17"/>
                <w:b w:val="1"/>
                <w:bCs w:val="1"/>
                <w:color w:val="auto"/>
                <w:w w:val="92"/>
              </w:rPr>
              <w:t>Equity</w:t>
            </w:r>
          </w:p>
        </w:tc>
      </w:tr>
      <w:tr>
        <w:trPr>
          <w:trHeight w:val="189"/>
        </w:trPr>
        <w:tc>
          <w:tcPr>
            <w:tcW w:w="2640" w:type="dxa"/>
            <w:vAlign w:val="bottom"/>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Borders>
              <w:top w:val="single" w:sz="8" w:color="auto"/>
            </w:tcBorders>
          </w:tcPr>
          <w:p>
            <w:pPr>
              <w:jc w:val="right"/>
              <w:ind w:right="15"/>
              <w:spacing w:after="0" w:line="189" w:lineRule="exact"/>
              <w:rPr>
                <w:sz w:val="20"/>
                <w:szCs w:val="20"/>
                <w:color w:val="auto"/>
              </w:rPr>
            </w:pPr>
            <w:r>
              <w:rPr>
                <w:rFonts w:ascii="Arial" w:cs="Arial" w:eastAsia="Arial" w:hAnsi="Arial"/>
                <w:sz w:val="17"/>
                <w:szCs w:val="17"/>
                <w:b w:val="1"/>
                <w:bCs w:val="1"/>
                <w:color w:val="auto"/>
                <w:w w:val="76"/>
              </w:rPr>
              <w:t>(Thousands)</w:t>
            </w:r>
          </w:p>
        </w:tc>
        <w:tc>
          <w:tcPr>
            <w:tcW w:w="18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r>
      <w:tr>
        <w:trPr>
          <w:trHeight w:val="203"/>
        </w:trPr>
        <w:tc>
          <w:tcPr>
            <w:tcW w:w="264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Balance, July 2, 2022</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95,702</w:t>
            </w: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3"/>
              </w:rPr>
              <w:t>$ 95,702</w:t>
            </w: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9"/>
              </w:rPr>
              <w:t>$ 1,656,907</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$ 2,921,399</w:t>
            </w:r>
          </w:p>
        </w:tc>
        <w:tc>
          <w:tcPr>
            <w:tcW w:w="180" w:type="dxa"/>
            <w:vAlign w:val="bottom"/>
            <w:shd w:val="clear" w:color="auto" w:fill="CCEEFF"/>
          </w:tcPr>
          <w:p>
            <w:pPr>
              <w:spacing w:after="0"/>
              <w:rPr>
                <w:sz w:val="17"/>
                <w:szCs w:val="17"/>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(481,248)</w:t>
            </w:r>
          </w:p>
        </w:tc>
        <w:tc>
          <w:tcPr>
            <w:tcW w:w="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4,192,760</w:t>
            </w:r>
          </w:p>
        </w:tc>
      </w:tr>
      <w:tr>
        <w:trPr>
          <w:trHeight w:val="203"/>
        </w:trPr>
        <w:tc>
          <w:tcPr>
            <w:tcW w:w="2640" w:type="dxa"/>
            <w:vAlign w:val="bottom"/>
          </w:tcPr>
          <w:p>
            <w:pPr>
              <w:ind w:left="20"/>
              <w:spacing w:after="0"/>
              <w:rPr>
                <w:sz w:val="20"/>
                <w:szCs w:val="20"/>
                <w:color w:val="auto"/>
              </w:rPr>
            </w:pPr>
            <w:r>
              <w:rPr>
                <w:rFonts w:ascii="Arial" w:cs="Arial" w:eastAsia="Arial" w:hAnsi="Arial"/>
                <w:sz w:val="17"/>
                <w:szCs w:val="17"/>
                <w:color w:val="auto"/>
              </w:rPr>
              <w:t>Net income</w:t>
            </w:r>
          </w:p>
        </w:tc>
        <w:tc>
          <w:tcPr>
            <w:tcW w:w="88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88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w:t>
            </w:r>
          </w:p>
        </w:tc>
        <w:tc>
          <w:tcPr>
            <w:tcW w:w="1060" w:type="dxa"/>
            <w:vAlign w:val="bottom"/>
            <w:gridSpan w:val="2"/>
          </w:tcPr>
          <w:p>
            <w:pPr>
              <w:jc w:val="right"/>
              <w:spacing w:after="0"/>
              <w:rPr>
                <w:sz w:val="20"/>
                <w:szCs w:val="20"/>
                <w:color w:val="auto"/>
              </w:rPr>
            </w:pPr>
            <w:r>
              <w:rPr>
                <w:rFonts w:ascii="Arial" w:cs="Arial" w:eastAsia="Arial" w:hAnsi="Arial"/>
                <w:sz w:val="17"/>
                <w:szCs w:val="17"/>
                <w:color w:val="auto"/>
              </w:rPr>
              <w:t>184,261</w:t>
            </w: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184,261</w:t>
            </w:r>
          </w:p>
        </w:tc>
      </w:tr>
      <w:tr>
        <w:trPr>
          <w:trHeight w:val="203"/>
        </w:trPr>
        <w:tc>
          <w:tcPr>
            <w:tcW w:w="2640" w:type="dxa"/>
            <w:vAlign w:val="bottom"/>
            <w:shd w:val="clear" w:color="auto" w:fill="CCEEFF"/>
          </w:tcPr>
          <w:p>
            <w:pPr>
              <w:ind w:left="20"/>
              <w:spacing w:after="0"/>
              <w:rPr>
                <w:sz w:val="20"/>
                <w:szCs w:val="20"/>
                <w:color w:val="auto"/>
              </w:rPr>
            </w:pPr>
            <w:r>
              <w:rPr>
                <w:rFonts w:ascii="Arial" w:cs="Arial" w:eastAsia="Arial" w:hAnsi="Arial"/>
                <w:sz w:val="17"/>
                <w:szCs w:val="17"/>
                <w:color w:val="auto"/>
              </w:rPr>
              <w:t>Translation adjustments and other</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3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(201,663)</w:t>
            </w: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(201,663)</w:t>
            </w:r>
          </w:p>
        </w:tc>
      </w:tr>
      <w:tr>
        <w:trPr>
          <w:trHeight w:val="203"/>
        </w:trPr>
        <w:tc>
          <w:tcPr>
            <w:tcW w:w="2640" w:type="dxa"/>
            <w:vAlign w:val="bottom"/>
          </w:tcPr>
          <w:p>
            <w:pPr>
              <w:ind w:left="20"/>
              <w:spacing w:after="0"/>
              <w:rPr>
                <w:sz w:val="20"/>
                <w:szCs w:val="20"/>
                <w:color w:val="auto"/>
              </w:rPr>
            </w:pPr>
            <w:r>
              <w:rPr>
                <w:rFonts w:ascii="Arial" w:cs="Arial" w:eastAsia="Arial" w:hAnsi="Arial"/>
                <w:sz w:val="17"/>
                <w:szCs w:val="17"/>
                <w:color w:val="auto"/>
              </w:rPr>
              <w:t>Pension liability adjustments, net</w:t>
            </w:r>
          </w:p>
        </w:tc>
        <w:tc>
          <w:tcPr>
            <w:tcW w:w="88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88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7"/>
                <w:szCs w:val="17"/>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9,866</w:t>
            </w: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9,866</w:t>
            </w:r>
          </w:p>
        </w:tc>
      </w:tr>
      <w:tr>
        <w:trPr>
          <w:trHeight w:val="203"/>
        </w:trPr>
        <w:tc>
          <w:tcPr>
            <w:tcW w:w="2640" w:type="dxa"/>
            <w:vAlign w:val="bottom"/>
            <w:shd w:val="clear" w:color="auto" w:fill="CCEEFF"/>
          </w:tcPr>
          <w:p>
            <w:pPr>
              <w:ind w:left="20"/>
              <w:spacing w:after="0"/>
              <w:rPr>
                <w:sz w:val="20"/>
                <w:szCs w:val="20"/>
                <w:color w:val="auto"/>
              </w:rPr>
            </w:pPr>
            <w:r>
              <w:rPr>
                <w:rFonts w:ascii="Arial" w:cs="Arial" w:eastAsia="Arial" w:hAnsi="Arial"/>
                <w:sz w:val="17"/>
                <w:szCs w:val="17"/>
                <w:color w:val="auto"/>
              </w:rPr>
              <w:t>Cash dividends</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40" w:type="dxa"/>
            <w:vAlign w:val="bottom"/>
            <w:gridSpan w:val="3"/>
            <w:shd w:val="clear" w:color="auto" w:fill="CCEEFF"/>
          </w:tcPr>
          <w:p>
            <w:pPr>
              <w:jc w:val="right"/>
              <w:ind w:right="180"/>
              <w:spacing w:after="0"/>
              <w:rPr>
                <w:sz w:val="20"/>
                <w:szCs w:val="20"/>
                <w:color w:val="auto"/>
              </w:rPr>
            </w:pPr>
            <w:r>
              <w:rPr>
                <w:rFonts w:ascii="Arial" w:cs="Arial" w:eastAsia="Arial" w:hAnsi="Arial"/>
                <w:sz w:val="17"/>
                <w:szCs w:val="17"/>
                <w:color w:val="auto"/>
              </w:rPr>
              <w:t>(26,998)</w:t>
            </w:r>
          </w:p>
        </w:tc>
        <w:tc>
          <w:tcPr>
            <w:tcW w:w="3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(26,998)</w:t>
            </w:r>
          </w:p>
        </w:tc>
      </w:tr>
      <w:tr>
        <w:trPr>
          <w:trHeight w:val="203"/>
        </w:trPr>
        <w:tc>
          <w:tcPr>
            <w:tcW w:w="2640" w:type="dxa"/>
            <w:vAlign w:val="bottom"/>
          </w:tcPr>
          <w:p>
            <w:pPr>
              <w:ind w:left="20"/>
              <w:spacing w:after="0"/>
              <w:rPr>
                <w:sz w:val="20"/>
                <w:szCs w:val="20"/>
                <w:color w:val="auto"/>
              </w:rPr>
            </w:pPr>
            <w:r>
              <w:rPr>
                <w:rFonts w:ascii="Arial" w:cs="Arial" w:eastAsia="Arial" w:hAnsi="Arial"/>
                <w:sz w:val="17"/>
                <w:szCs w:val="17"/>
                <w:color w:val="auto"/>
              </w:rPr>
              <w:t>Repurchases of common stock</w:t>
            </w:r>
          </w:p>
        </w:tc>
        <w:tc>
          <w:tcPr>
            <w:tcW w:w="880" w:type="dxa"/>
            <w:vAlign w:val="bottom"/>
            <w:gridSpan w:val="2"/>
          </w:tcPr>
          <w:p>
            <w:pPr>
              <w:jc w:val="right"/>
              <w:ind w:right="180"/>
              <w:spacing w:after="0"/>
              <w:rPr>
                <w:sz w:val="20"/>
                <w:szCs w:val="20"/>
                <w:color w:val="auto"/>
              </w:rPr>
            </w:pPr>
            <w:r>
              <w:rPr>
                <w:rFonts w:ascii="Arial" w:cs="Arial" w:eastAsia="Arial" w:hAnsi="Arial"/>
                <w:sz w:val="17"/>
                <w:szCs w:val="17"/>
                <w:color w:val="auto"/>
              </w:rPr>
              <w:t>(3,445)</w:t>
            </w:r>
          </w:p>
        </w:tc>
        <w:tc>
          <w:tcPr>
            <w:tcW w:w="880" w:type="dxa"/>
            <w:vAlign w:val="bottom"/>
            <w:gridSpan w:val="2"/>
          </w:tcPr>
          <w:p>
            <w:pPr>
              <w:jc w:val="right"/>
              <w:ind w:right="180"/>
              <w:spacing w:after="0"/>
              <w:rPr>
                <w:sz w:val="20"/>
                <w:szCs w:val="20"/>
                <w:color w:val="auto"/>
              </w:rPr>
            </w:pPr>
            <w:r>
              <w:rPr>
                <w:rFonts w:ascii="Arial" w:cs="Arial" w:eastAsia="Arial" w:hAnsi="Arial"/>
                <w:sz w:val="17"/>
                <w:szCs w:val="17"/>
                <w:color w:val="auto"/>
              </w:rPr>
              <w:t>(3,445)</w:t>
            </w:r>
          </w:p>
        </w:tc>
        <w:tc>
          <w:tcPr>
            <w:tcW w:w="880" w:type="dxa"/>
            <w:vAlign w:val="bottom"/>
          </w:tcPr>
          <w:p>
            <w:pPr>
              <w:jc w:val="right"/>
              <w:spacing w:after="0"/>
              <w:rPr>
                <w:sz w:val="20"/>
                <w:szCs w:val="20"/>
                <w:color w:val="auto"/>
              </w:rPr>
            </w:pPr>
            <w:r>
              <w:rPr>
                <w:rFonts w:ascii="Arial" w:cs="Arial" w:eastAsia="Arial" w:hAnsi="Arial"/>
                <w:sz w:val="17"/>
                <w:szCs w:val="17"/>
                <w:color w:val="auto"/>
              </w:rPr>
              <w:t>—</w:t>
            </w:r>
          </w:p>
        </w:tc>
        <w:tc>
          <w:tcPr>
            <w:tcW w:w="1240" w:type="dxa"/>
            <w:vAlign w:val="bottom"/>
            <w:gridSpan w:val="3"/>
          </w:tcPr>
          <w:p>
            <w:pPr>
              <w:jc w:val="right"/>
              <w:ind w:right="180"/>
              <w:spacing w:after="0"/>
              <w:rPr>
                <w:sz w:val="20"/>
                <w:szCs w:val="20"/>
                <w:color w:val="auto"/>
              </w:rPr>
            </w:pPr>
            <w:r>
              <w:rPr>
                <w:rFonts w:ascii="Arial" w:cs="Arial" w:eastAsia="Arial" w:hAnsi="Arial"/>
                <w:sz w:val="17"/>
                <w:szCs w:val="17"/>
                <w:color w:val="auto"/>
              </w:rPr>
              <w:t>(144,457)</w:t>
            </w:r>
          </w:p>
        </w:tc>
        <w:tc>
          <w:tcPr>
            <w:tcW w:w="300" w:type="dxa"/>
            <w:vAlign w:val="bottom"/>
          </w:tcPr>
          <w:p>
            <w:pPr>
              <w:spacing w:after="0"/>
              <w:rPr>
                <w:sz w:val="17"/>
                <w:szCs w:val="17"/>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(147,902)</w:t>
            </w:r>
          </w:p>
        </w:tc>
      </w:tr>
      <w:tr>
        <w:trPr>
          <w:trHeight w:val="223"/>
        </w:trPr>
        <w:tc>
          <w:tcPr>
            <w:tcW w:w="2640" w:type="dxa"/>
            <w:vAlign w:val="bottom"/>
            <w:shd w:val="clear" w:color="auto" w:fill="CCEEFF"/>
          </w:tcPr>
          <w:p>
            <w:pPr>
              <w:ind w:left="20"/>
              <w:spacing w:after="0"/>
              <w:rPr>
                <w:sz w:val="20"/>
                <w:szCs w:val="20"/>
                <w:color w:val="auto"/>
              </w:rPr>
            </w:pPr>
            <w:r>
              <w:rPr>
                <w:rFonts w:ascii="Arial" w:cs="Arial" w:eastAsia="Arial" w:hAnsi="Arial"/>
                <w:sz w:val="17"/>
                <w:szCs w:val="17"/>
                <w:color w:val="auto"/>
              </w:rPr>
              <w:t>Stock-based compensation</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72</w:t>
            </w: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72</w:t>
            </w: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8,939</w:t>
            </w:r>
          </w:p>
        </w:tc>
        <w:tc>
          <w:tcPr>
            <w:tcW w:w="1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3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9,011</w:t>
            </w:r>
          </w:p>
        </w:tc>
      </w:tr>
      <w:tr>
        <w:trPr>
          <w:trHeight w:val="189"/>
        </w:trPr>
        <w:tc>
          <w:tcPr>
            <w:tcW w:w="2640" w:type="dxa"/>
            <w:vAlign w:val="bottom"/>
            <w:tcBorders>
              <w:top w:val="single" w:sz="8" w:color="CCEEFF"/>
            </w:tcBorders>
          </w:tcPr>
          <w:p>
            <w:pPr>
              <w:ind w:left="20"/>
              <w:spacing w:after="0" w:line="189" w:lineRule="exact"/>
              <w:rPr>
                <w:sz w:val="20"/>
                <w:szCs w:val="20"/>
                <w:color w:val="auto"/>
              </w:rPr>
            </w:pPr>
            <w:r>
              <w:rPr>
                <w:rFonts w:ascii="Arial" w:cs="Arial" w:eastAsia="Arial" w:hAnsi="Arial"/>
                <w:sz w:val="17"/>
                <w:szCs w:val="17"/>
                <w:b w:val="1"/>
                <w:bCs w:val="1"/>
                <w:color w:val="auto"/>
              </w:rPr>
              <w:t>Balance, October 1, 2022</w:t>
            </w:r>
          </w:p>
        </w:tc>
        <w:tc>
          <w:tcPr>
            <w:tcW w:w="700" w:type="dxa"/>
            <w:vAlign w:val="bottom"/>
            <w:tcBorders>
              <w:top w:val="single" w:sz="8" w:color="auto"/>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92,329</w:t>
            </w:r>
          </w:p>
        </w:tc>
        <w:tc>
          <w:tcPr>
            <w:tcW w:w="180" w:type="dxa"/>
            <w:vAlign w:val="bottom"/>
            <w:tcBorders>
              <w:top w:val="single" w:sz="8" w:color="CCEEFF"/>
            </w:tcBorders>
          </w:tcPr>
          <w:p>
            <w:pPr>
              <w:spacing w:after="0"/>
              <w:rPr>
                <w:sz w:val="16"/>
                <w:szCs w:val="16"/>
                <w:color w:val="auto"/>
              </w:rPr>
            </w:pPr>
          </w:p>
        </w:tc>
        <w:tc>
          <w:tcPr>
            <w:tcW w:w="700" w:type="dxa"/>
            <w:vAlign w:val="bottom"/>
            <w:tcBorders>
              <w:top w:val="single" w:sz="8" w:color="auto"/>
              <w:bottom w:val="single" w:sz="8" w:color="auto"/>
            </w:tcBorders>
          </w:tcPr>
          <w:p>
            <w:pPr>
              <w:jc w:val="right"/>
              <w:spacing w:after="0" w:line="189" w:lineRule="exact"/>
              <w:rPr>
                <w:sz w:val="20"/>
                <w:szCs w:val="20"/>
                <w:color w:val="auto"/>
              </w:rPr>
            </w:pPr>
            <w:r>
              <w:rPr>
                <w:rFonts w:ascii="Arial" w:cs="Arial" w:eastAsia="Arial" w:hAnsi="Arial"/>
                <w:sz w:val="17"/>
                <w:szCs w:val="17"/>
                <w:color w:val="auto"/>
                <w:w w:val="93"/>
              </w:rPr>
              <w:t>$ 92,329</w:t>
            </w:r>
          </w:p>
        </w:tc>
        <w:tc>
          <w:tcPr>
            <w:tcW w:w="180" w:type="dxa"/>
            <w:vAlign w:val="bottom"/>
            <w:tcBorders>
              <w:top w:val="single" w:sz="8" w:color="CCEEFF"/>
            </w:tcBorders>
          </w:tcPr>
          <w:p>
            <w:pPr>
              <w:spacing w:after="0"/>
              <w:rPr>
                <w:sz w:val="16"/>
                <w:szCs w:val="16"/>
                <w:color w:val="auto"/>
              </w:rPr>
            </w:pPr>
          </w:p>
        </w:tc>
        <w:tc>
          <w:tcPr>
            <w:tcW w:w="880" w:type="dxa"/>
            <w:vAlign w:val="bottom"/>
            <w:tcBorders>
              <w:top w:val="single" w:sz="8" w:color="auto"/>
              <w:bottom w:val="single" w:sz="8" w:color="auto"/>
            </w:tcBorders>
          </w:tcPr>
          <w:p>
            <w:pPr>
              <w:jc w:val="right"/>
              <w:spacing w:after="0" w:line="189" w:lineRule="exact"/>
              <w:rPr>
                <w:sz w:val="20"/>
                <w:szCs w:val="20"/>
                <w:color w:val="auto"/>
              </w:rPr>
            </w:pPr>
            <w:r>
              <w:rPr>
                <w:rFonts w:ascii="Arial" w:cs="Arial" w:eastAsia="Arial" w:hAnsi="Arial"/>
                <w:sz w:val="17"/>
                <w:szCs w:val="17"/>
                <w:color w:val="auto"/>
                <w:w w:val="89"/>
              </w:rPr>
              <w:t>$ 1,665,846</w:t>
            </w:r>
          </w:p>
        </w:tc>
        <w:tc>
          <w:tcPr>
            <w:tcW w:w="160" w:type="dxa"/>
            <w:vAlign w:val="bottom"/>
            <w:tcBorders>
              <w:top w:val="single" w:sz="8" w:color="CCEEFF"/>
            </w:tcBorders>
          </w:tcPr>
          <w:p>
            <w:pPr>
              <w:spacing w:after="0"/>
              <w:rPr>
                <w:sz w:val="16"/>
                <w:szCs w:val="16"/>
                <w:color w:val="auto"/>
              </w:rPr>
            </w:pPr>
          </w:p>
        </w:tc>
        <w:tc>
          <w:tcPr>
            <w:tcW w:w="900" w:type="dxa"/>
            <w:vAlign w:val="bottom"/>
            <w:tcBorders>
              <w:top w:val="single" w:sz="8" w:color="auto"/>
              <w:bottom w:val="single" w:sz="8" w:color="auto"/>
            </w:tcBorders>
          </w:tcPr>
          <w:p>
            <w:pPr>
              <w:jc w:val="right"/>
              <w:spacing w:after="0" w:line="189" w:lineRule="exact"/>
              <w:rPr>
                <w:sz w:val="20"/>
                <w:szCs w:val="20"/>
                <w:color w:val="auto"/>
              </w:rPr>
            </w:pPr>
            <w:r>
              <w:rPr>
                <w:rFonts w:ascii="Arial" w:cs="Arial" w:eastAsia="Arial" w:hAnsi="Arial"/>
                <w:sz w:val="17"/>
                <w:szCs w:val="17"/>
                <w:color w:val="auto"/>
                <w:w w:val="91"/>
              </w:rPr>
              <w:t>$ 2,934,205</w:t>
            </w:r>
          </w:p>
        </w:tc>
        <w:tc>
          <w:tcPr>
            <w:tcW w:w="180" w:type="dxa"/>
            <w:vAlign w:val="bottom"/>
            <w:tcBorders>
              <w:top w:val="single" w:sz="8" w:color="CCEEFF"/>
            </w:tcBorders>
          </w:tcPr>
          <w:p>
            <w:pPr>
              <w:spacing w:after="0"/>
              <w:rPr>
                <w:sz w:val="16"/>
                <w:szCs w:val="16"/>
                <w:color w:val="auto"/>
              </w:rPr>
            </w:pPr>
          </w:p>
        </w:tc>
        <w:tc>
          <w:tcPr>
            <w:tcW w:w="300" w:type="dxa"/>
            <w:vAlign w:val="bottom"/>
            <w:tcBorders>
              <w:top w:val="single" w:sz="8" w:color="auto"/>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w:t>
            </w:r>
          </w:p>
        </w:tc>
        <w:tc>
          <w:tcPr>
            <w:tcW w:w="860" w:type="dxa"/>
            <w:vAlign w:val="bottom"/>
            <w:tcBorders>
              <w:top w:val="single" w:sz="8" w:color="auto"/>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(673,045)</w:t>
            </w:r>
          </w:p>
        </w:tc>
        <w:tc>
          <w:tcPr>
            <w:tcW w:w="180" w:type="dxa"/>
            <w:vAlign w:val="bottom"/>
            <w:tcBorders>
              <w:top w:val="single" w:sz="8" w:color="CCEEFF"/>
            </w:tcBorders>
          </w:tcPr>
          <w:p>
            <w:pPr>
              <w:spacing w:after="0"/>
              <w:rPr>
                <w:sz w:val="16"/>
                <w:szCs w:val="16"/>
                <w:color w:val="auto"/>
              </w:rPr>
            </w:pPr>
          </w:p>
        </w:tc>
        <w:tc>
          <w:tcPr>
            <w:tcW w:w="220" w:type="dxa"/>
            <w:vAlign w:val="bottom"/>
            <w:tcBorders>
              <w:top w:val="single" w:sz="8" w:color="auto"/>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w:t>
            </w:r>
          </w:p>
        </w:tc>
        <w:tc>
          <w:tcPr>
            <w:tcW w:w="820" w:type="dxa"/>
            <w:vAlign w:val="bottom"/>
            <w:tcBorders>
              <w:top w:val="single" w:sz="8" w:color="auto"/>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4,019,335</w:t>
            </w:r>
          </w:p>
        </w:tc>
      </w:tr>
      <w:tr>
        <w:trPr>
          <w:trHeight w:val="20"/>
        </w:trPr>
        <w:tc>
          <w:tcPr>
            <w:tcW w:w="26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tcBorders>
              <w:bottom w:val="single" w:sz="8" w:color="auto"/>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391"/>
        </w:trPr>
        <w:tc>
          <w:tcPr>
            <w:tcW w:w="26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gridSpan w:val="3"/>
          </w:tcPr>
          <w:p>
            <w:pPr>
              <w:jc w:val="center"/>
              <w:ind w:right="180"/>
              <w:spacing w:after="0"/>
              <w:rPr>
                <w:sz w:val="20"/>
                <w:szCs w:val="20"/>
                <w:color w:val="auto"/>
              </w:rPr>
            </w:pPr>
            <w:r>
              <w:rPr>
                <w:rFonts w:ascii="Arial" w:cs="Arial" w:eastAsia="Arial" w:hAnsi="Arial"/>
                <w:sz w:val="17"/>
                <w:szCs w:val="17"/>
                <w:b w:val="1"/>
                <w:bCs w:val="1"/>
                <w:color w:val="auto"/>
                <w:w w:val="89"/>
              </w:rPr>
              <w:t>Accumulated</w:t>
            </w: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203"/>
        </w:trPr>
        <w:tc>
          <w:tcPr>
            <w:tcW w:w="2640" w:type="dxa"/>
            <w:vAlign w:val="bottom"/>
          </w:tcPr>
          <w:p>
            <w:pPr>
              <w:spacing w:after="0"/>
              <w:rPr>
                <w:sz w:val="17"/>
                <w:szCs w:val="17"/>
                <w:color w:val="auto"/>
              </w:rPr>
            </w:pPr>
          </w:p>
        </w:tc>
        <w:tc>
          <w:tcPr>
            <w:tcW w:w="880" w:type="dxa"/>
            <w:vAlign w:val="bottom"/>
            <w:gridSpan w:val="2"/>
          </w:tcPr>
          <w:p>
            <w:pPr>
              <w:jc w:val="center"/>
              <w:ind w:right="160"/>
              <w:spacing w:after="0"/>
              <w:rPr>
                <w:sz w:val="20"/>
                <w:szCs w:val="20"/>
                <w:color w:val="auto"/>
              </w:rPr>
            </w:pPr>
            <w:r>
              <w:rPr>
                <w:rFonts w:ascii="Arial" w:cs="Arial" w:eastAsia="Arial" w:hAnsi="Arial"/>
                <w:sz w:val="17"/>
                <w:szCs w:val="17"/>
                <w:b w:val="1"/>
                <w:bCs w:val="1"/>
                <w:color w:val="auto"/>
                <w:w w:val="92"/>
              </w:rPr>
              <w:t>Common</w:t>
            </w:r>
          </w:p>
        </w:tc>
        <w:tc>
          <w:tcPr>
            <w:tcW w:w="880" w:type="dxa"/>
            <w:vAlign w:val="bottom"/>
            <w:gridSpan w:val="2"/>
          </w:tcPr>
          <w:p>
            <w:pPr>
              <w:jc w:val="center"/>
              <w:ind w:right="180"/>
              <w:spacing w:after="0"/>
              <w:rPr>
                <w:sz w:val="20"/>
                <w:szCs w:val="20"/>
                <w:color w:val="auto"/>
              </w:rPr>
            </w:pPr>
            <w:r>
              <w:rPr>
                <w:rFonts w:ascii="Arial" w:cs="Arial" w:eastAsia="Arial" w:hAnsi="Arial"/>
                <w:sz w:val="17"/>
                <w:szCs w:val="17"/>
                <w:b w:val="1"/>
                <w:bCs w:val="1"/>
                <w:color w:val="auto"/>
                <w:w w:val="89"/>
              </w:rPr>
              <w:t>Common</w:t>
            </w:r>
          </w:p>
        </w:tc>
        <w:tc>
          <w:tcPr>
            <w:tcW w:w="880" w:type="dxa"/>
            <w:vAlign w:val="bottom"/>
          </w:tcPr>
          <w:p>
            <w:pPr>
              <w:jc w:val="center"/>
              <w:spacing w:after="0"/>
              <w:rPr>
                <w:sz w:val="20"/>
                <w:szCs w:val="20"/>
                <w:color w:val="auto"/>
              </w:rPr>
            </w:pPr>
            <w:r>
              <w:rPr>
                <w:rFonts w:ascii="Arial" w:cs="Arial" w:eastAsia="Arial" w:hAnsi="Arial"/>
                <w:sz w:val="17"/>
                <w:szCs w:val="17"/>
                <w:b w:val="1"/>
                <w:bCs w:val="1"/>
                <w:color w:val="auto"/>
                <w:w w:val="93"/>
              </w:rPr>
              <w:t>Additional</w:t>
            </w: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gridSpan w:val="2"/>
          </w:tcPr>
          <w:p>
            <w:pPr>
              <w:jc w:val="center"/>
              <w:ind w:right="480"/>
              <w:spacing w:after="0"/>
              <w:rPr>
                <w:sz w:val="20"/>
                <w:szCs w:val="20"/>
                <w:color w:val="auto"/>
              </w:rPr>
            </w:pPr>
            <w:r>
              <w:rPr>
                <w:rFonts w:ascii="Arial" w:cs="Arial" w:eastAsia="Arial" w:hAnsi="Arial"/>
                <w:sz w:val="17"/>
                <w:szCs w:val="17"/>
                <w:b w:val="1"/>
                <w:bCs w:val="1"/>
                <w:color w:val="auto"/>
                <w:w w:val="96"/>
              </w:rPr>
              <w:t>Other</w:t>
            </w:r>
          </w:p>
        </w:tc>
        <w:tc>
          <w:tcPr>
            <w:tcW w:w="220" w:type="dxa"/>
            <w:vAlign w:val="bottom"/>
          </w:tcPr>
          <w:p>
            <w:pPr>
              <w:spacing w:after="0"/>
              <w:rPr>
                <w:sz w:val="17"/>
                <w:szCs w:val="17"/>
                <w:color w:val="auto"/>
              </w:rPr>
            </w:pPr>
          </w:p>
        </w:tc>
        <w:tc>
          <w:tcPr>
            <w:tcW w:w="820" w:type="dxa"/>
            <w:vAlign w:val="bottom"/>
          </w:tcPr>
          <w:p>
            <w:pPr>
              <w:jc w:val="center"/>
              <w:ind w:right="135"/>
              <w:spacing w:after="0"/>
              <w:rPr>
                <w:sz w:val="20"/>
                <w:szCs w:val="20"/>
                <w:color w:val="auto"/>
              </w:rPr>
            </w:pPr>
            <w:r>
              <w:rPr>
                <w:rFonts w:ascii="Arial" w:cs="Arial" w:eastAsia="Arial" w:hAnsi="Arial"/>
                <w:sz w:val="17"/>
                <w:szCs w:val="17"/>
                <w:b w:val="1"/>
                <w:bCs w:val="1"/>
                <w:color w:val="auto"/>
                <w:w w:val="88"/>
              </w:rPr>
              <w:t>Total</w:t>
            </w:r>
          </w:p>
        </w:tc>
      </w:tr>
      <w:tr>
        <w:trPr>
          <w:trHeight w:val="203"/>
        </w:trPr>
        <w:tc>
          <w:tcPr>
            <w:tcW w:w="2640" w:type="dxa"/>
            <w:vAlign w:val="bottom"/>
          </w:tcPr>
          <w:p>
            <w:pPr>
              <w:spacing w:after="0"/>
              <w:rPr>
                <w:sz w:val="17"/>
                <w:szCs w:val="17"/>
                <w:color w:val="auto"/>
              </w:rPr>
            </w:pPr>
          </w:p>
        </w:tc>
        <w:tc>
          <w:tcPr>
            <w:tcW w:w="880" w:type="dxa"/>
            <w:vAlign w:val="bottom"/>
            <w:gridSpan w:val="2"/>
          </w:tcPr>
          <w:p>
            <w:pPr>
              <w:jc w:val="center"/>
              <w:ind w:right="180"/>
              <w:spacing w:after="0"/>
              <w:rPr>
                <w:sz w:val="20"/>
                <w:szCs w:val="20"/>
                <w:color w:val="auto"/>
              </w:rPr>
            </w:pPr>
            <w:r>
              <w:rPr>
                <w:rFonts w:ascii="Arial" w:cs="Arial" w:eastAsia="Arial" w:hAnsi="Arial"/>
                <w:sz w:val="17"/>
                <w:szCs w:val="17"/>
                <w:b w:val="1"/>
                <w:bCs w:val="1"/>
                <w:color w:val="auto"/>
                <w:w w:val="88"/>
              </w:rPr>
              <w:t>Stock-</w:t>
            </w:r>
          </w:p>
        </w:tc>
        <w:tc>
          <w:tcPr>
            <w:tcW w:w="880" w:type="dxa"/>
            <w:vAlign w:val="bottom"/>
            <w:gridSpan w:val="2"/>
          </w:tcPr>
          <w:p>
            <w:pPr>
              <w:jc w:val="center"/>
              <w:ind w:right="180"/>
              <w:spacing w:after="0"/>
              <w:rPr>
                <w:sz w:val="20"/>
                <w:szCs w:val="20"/>
                <w:color w:val="auto"/>
              </w:rPr>
            </w:pPr>
            <w:r>
              <w:rPr>
                <w:rFonts w:ascii="Arial" w:cs="Arial" w:eastAsia="Arial" w:hAnsi="Arial"/>
                <w:sz w:val="17"/>
                <w:szCs w:val="17"/>
                <w:b w:val="1"/>
                <w:bCs w:val="1"/>
                <w:color w:val="auto"/>
                <w:w w:val="88"/>
              </w:rPr>
              <w:t>Stock-</w:t>
            </w:r>
          </w:p>
        </w:tc>
        <w:tc>
          <w:tcPr>
            <w:tcW w:w="880" w:type="dxa"/>
            <w:vAlign w:val="bottom"/>
          </w:tcPr>
          <w:p>
            <w:pPr>
              <w:jc w:val="center"/>
              <w:spacing w:after="0"/>
              <w:rPr>
                <w:sz w:val="20"/>
                <w:szCs w:val="20"/>
                <w:color w:val="auto"/>
              </w:rPr>
            </w:pPr>
            <w:r>
              <w:rPr>
                <w:rFonts w:ascii="Arial" w:cs="Arial" w:eastAsia="Arial" w:hAnsi="Arial"/>
                <w:sz w:val="17"/>
                <w:szCs w:val="17"/>
                <w:b w:val="1"/>
                <w:bCs w:val="1"/>
                <w:color w:val="auto"/>
                <w:w w:val="98"/>
              </w:rPr>
              <w:t>Paid-In</w:t>
            </w:r>
          </w:p>
        </w:tc>
        <w:tc>
          <w:tcPr>
            <w:tcW w:w="160" w:type="dxa"/>
            <w:vAlign w:val="bottom"/>
          </w:tcPr>
          <w:p>
            <w:pPr>
              <w:spacing w:after="0"/>
              <w:rPr>
                <w:sz w:val="17"/>
                <w:szCs w:val="17"/>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7"/>
                <w:szCs w:val="17"/>
                <w:b w:val="1"/>
                <w:bCs w:val="1"/>
                <w:color w:val="auto"/>
              </w:rPr>
              <w:t>Retained</w:t>
            </w:r>
          </w:p>
        </w:tc>
        <w:tc>
          <w:tcPr>
            <w:tcW w:w="1340" w:type="dxa"/>
            <w:vAlign w:val="bottom"/>
            <w:gridSpan w:val="3"/>
          </w:tcPr>
          <w:p>
            <w:pPr>
              <w:jc w:val="center"/>
              <w:ind w:right="180"/>
              <w:spacing w:after="0"/>
              <w:rPr>
                <w:sz w:val="20"/>
                <w:szCs w:val="20"/>
                <w:color w:val="auto"/>
              </w:rPr>
            </w:pPr>
            <w:r>
              <w:rPr>
                <w:rFonts w:ascii="Arial" w:cs="Arial" w:eastAsia="Arial" w:hAnsi="Arial"/>
                <w:sz w:val="17"/>
                <w:szCs w:val="17"/>
                <w:b w:val="1"/>
                <w:bCs w:val="1"/>
                <w:color w:val="auto"/>
                <w:w w:val="87"/>
              </w:rPr>
              <w:t>Comprehensive</w:t>
            </w:r>
          </w:p>
        </w:tc>
        <w:tc>
          <w:tcPr>
            <w:tcW w:w="1040" w:type="dxa"/>
            <w:vAlign w:val="bottom"/>
            <w:gridSpan w:val="2"/>
          </w:tcPr>
          <w:p>
            <w:pPr>
              <w:jc w:val="center"/>
              <w:spacing w:after="0"/>
              <w:rPr>
                <w:sz w:val="20"/>
                <w:szCs w:val="20"/>
                <w:color w:val="auto"/>
              </w:rPr>
            </w:pPr>
            <w:r>
              <w:rPr>
                <w:rFonts w:ascii="Arial" w:cs="Arial" w:eastAsia="Arial" w:hAnsi="Arial"/>
                <w:sz w:val="17"/>
                <w:szCs w:val="17"/>
                <w:b w:val="1"/>
                <w:bCs w:val="1"/>
                <w:color w:val="auto"/>
                <w:w w:val="91"/>
              </w:rPr>
              <w:t>Shareholders’</w:t>
            </w:r>
          </w:p>
        </w:tc>
      </w:tr>
      <w:tr>
        <w:trPr>
          <w:trHeight w:val="231"/>
        </w:trPr>
        <w:tc>
          <w:tcPr>
            <w:tcW w:w="2640" w:type="dxa"/>
            <w:vAlign w:val="bottom"/>
          </w:tcPr>
          <w:p>
            <w:pPr>
              <w:spacing w:after="0"/>
              <w:rPr>
                <w:sz w:val="20"/>
                <w:szCs w:val="20"/>
                <w:color w:val="auto"/>
              </w:rPr>
            </w:pPr>
          </w:p>
        </w:tc>
        <w:tc>
          <w:tcPr>
            <w:tcW w:w="880" w:type="dxa"/>
            <w:vAlign w:val="bottom"/>
            <w:gridSpan w:val="2"/>
          </w:tcPr>
          <w:p>
            <w:pPr>
              <w:jc w:val="center"/>
              <w:ind w:right="180"/>
              <w:spacing w:after="0"/>
              <w:rPr>
                <w:sz w:val="20"/>
                <w:szCs w:val="20"/>
                <w:color w:val="auto"/>
              </w:rPr>
            </w:pPr>
            <w:r>
              <w:rPr>
                <w:rFonts w:ascii="Arial" w:cs="Arial" w:eastAsia="Arial" w:hAnsi="Arial"/>
                <w:sz w:val="17"/>
                <w:szCs w:val="17"/>
                <w:b w:val="1"/>
                <w:bCs w:val="1"/>
                <w:color w:val="auto"/>
                <w:w w:val="88"/>
              </w:rPr>
              <w:t>Shares</w:t>
            </w:r>
          </w:p>
        </w:tc>
        <w:tc>
          <w:tcPr>
            <w:tcW w:w="880" w:type="dxa"/>
            <w:vAlign w:val="bottom"/>
            <w:gridSpan w:val="2"/>
          </w:tcPr>
          <w:p>
            <w:pPr>
              <w:jc w:val="center"/>
              <w:ind w:right="160"/>
              <w:spacing w:after="0"/>
              <w:rPr>
                <w:sz w:val="20"/>
                <w:szCs w:val="20"/>
                <w:color w:val="auto"/>
              </w:rPr>
            </w:pPr>
            <w:r>
              <w:rPr>
                <w:rFonts w:ascii="Arial" w:cs="Arial" w:eastAsia="Arial" w:hAnsi="Arial"/>
                <w:sz w:val="17"/>
                <w:szCs w:val="17"/>
                <w:b w:val="1"/>
                <w:bCs w:val="1"/>
                <w:color w:val="auto"/>
                <w:w w:val="93"/>
              </w:rPr>
              <w:t>Amount</w:t>
            </w:r>
          </w:p>
        </w:tc>
        <w:tc>
          <w:tcPr>
            <w:tcW w:w="880" w:type="dxa"/>
            <w:vAlign w:val="bottom"/>
          </w:tcPr>
          <w:p>
            <w:pPr>
              <w:jc w:val="center"/>
              <w:spacing w:after="0"/>
              <w:rPr>
                <w:sz w:val="20"/>
                <w:szCs w:val="20"/>
                <w:color w:val="auto"/>
              </w:rPr>
            </w:pPr>
            <w:r>
              <w:rPr>
                <w:rFonts w:ascii="Arial" w:cs="Arial" w:eastAsia="Arial" w:hAnsi="Arial"/>
                <w:sz w:val="17"/>
                <w:szCs w:val="17"/>
                <w:b w:val="1"/>
                <w:bCs w:val="1"/>
                <w:color w:val="auto"/>
                <w:w w:val="95"/>
              </w:rPr>
              <w:t>Capital</w:t>
            </w:r>
          </w:p>
        </w:tc>
        <w:tc>
          <w:tcPr>
            <w:tcW w:w="160" w:type="dxa"/>
            <w:vAlign w:val="bottom"/>
          </w:tcPr>
          <w:p>
            <w:pPr>
              <w:spacing w:after="0"/>
              <w:rPr>
                <w:sz w:val="20"/>
                <w:szCs w:val="20"/>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7"/>
                <w:szCs w:val="17"/>
                <w:b w:val="1"/>
                <w:bCs w:val="1"/>
                <w:color w:val="auto"/>
              </w:rPr>
              <w:t>Earnings</w:t>
            </w:r>
          </w:p>
        </w:tc>
        <w:tc>
          <w:tcPr>
            <w:tcW w:w="1340" w:type="dxa"/>
            <w:vAlign w:val="bottom"/>
            <w:gridSpan w:val="3"/>
          </w:tcPr>
          <w:p>
            <w:pPr>
              <w:jc w:val="center"/>
              <w:ind w:right="180"/>
              <w:spacing w:after="0"/>
              <w:rPr>
                <w:sz w:val="20"/>
                <w:szCs w:val="20"/>
                <w:color w:val="auto"/>
              </w:rPr>
            </w:pPr>
            <w:r>
              <w:rPr>
                <w:rFonts w:ascii="Arial" w:cs="Arial" w:eastAsia="Arial" w:hAnsi="Arial"/>
                <w:sz w:val="17"/>
                <w:szCs w:val="17"/>
                <w:b w:val="1"/>
                <w:bCs w:val="1"/>
                <w:color w:val="auto"/>
                <w:w w:val="90"/>
              </w:rPr>
              <w:t>(Loss) Income</w:t>
            </w:r>
          </w:p>
        </w:tc>
        <w:tc>
          <w:tcPr>
            <w:tcW w:w="220" w:type="dxa"/>
            <w:vAlign w:val="bottom"/>
          </w:tcPr>
          <w:p>
            <w:pPr>
              <w:spacing w:after="0"/>
              <w:rPr>
                <w:sz w:val="20"/>
                <w:szCs w:val="20"/>
                <w:color w:val="auto"/>
              </w:rPr>
            </w:pPr>
          </w:p>
        </w:tc>
        <w:tc>
          <w:tcPr>
            <w:tcW w:w="820" w:type="dxa"/>
            <w:vAlign w:val="bottom"/>
          </w:tcPr>
          <w:p>
            <w:pPr>
              <w:jc w:val="center"/>
              <w:ind w:right="135"/>
              <w:spacing w:after="0"/>
              <w:rPr>
                <w:sz w:val="20"/>
                <w:szCs w:val="20"/>
                <w:color w:val="auto"/>
              </w:rPr>
            </w:pPr>
            <w:r>
              <w:rPr>
                <w:rFonts w:ascii="Arial" w:cs="Arial" w:eastAsia="Arial" w:hAnsi="Arial"/>
                <w:sz w:val="17"/>
                <w:szCs w:val="17"/>
                <w:b w:val="1"/>
                <w:bCs w:val="1"/>
                <w:color w:val="auto"/>
                <w:w w:val="92"/>
              </w:rPr>
              <w:t>Equity</w:t>
            </w:r>
          </w:p>
        </w:tc>
      </w:tr>
      <w:tr>
        <w:trPr>
          <w:trHeight w:val="189"/>
        </w:trPr>
        <w:tc>
          <w:tcPr>
            <w:tcW w:w="2640" w:type="dxa"/>
            <w:vAlign w:val="bottom"/>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Borders>
              <w:top w:val="single" w:sz="8" w:color="auto"/>
            </w:tcBorders>
          </w:tcPr>
          <w:p>
            <w:pPr>
              <w:jc w:val="right"/>
              <w:ind w:right="15"/>
              <w:spacing w:after="0" w:line="189" w:lineRule="exact"/>
              <w:rPr>
                <w:sz w:val="20"/>
                <w:szCs w:val="20"/>
                <w:color w:val="auto"/>
              </w:rPr>
            </w:pPr>
            <w:r>
              <w:rPr>
                <w:rFonts w:ascii="Arial" w:cs="Arial" w:eastAsia="Arial" w:hAnsi="Arial"/>
                <w:sz w:val="17"/>
                <w:szCs w:val="17"/>
                <w:b w:val="1"/>
                <w:bCs w:val="1"/>
                <w:color w:val="auto"/>
                <w:w w:val="76"/>
              </w:rPr>
              <w:t>(Thousands)</w:t>
            </w:r>
          </w:p>
        </w:tc>
        <w:tc>
          <w:tcPr>
            <w:tcW w:w="18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r>
      <w:tr>
        <w:trPr>
          <w:trHeight w:val="203"/>
        </w:trPr>
        <w:tc>
          <w:tcPr>
            <w:tcW w:w="264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Balance, July 3, 2021</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99,601</w:t>
            </w: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3"/>
              </w:rPr>
              <w:t>$ 99,601</w:t>
            </w: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9"/>
              </w:rPr>
              <w:t>$ 1,622,160</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$ 2,516,170</w:t>
            </w:r>
          </w:p>
        </w:tc>
        <w:tc>
          <w:tcPr>
            <w:tcW w:w="180" w:type="dxa"/>
            <w:vAlign w:val="bottom"/>
            <w:shd w:val="clear" w:color="auto" w:fill="CCEEFF"/>
          </w:tcPr>
          <w:p>
            <w:pPr>
              <w:spacing w:after="0"/>
              <w:rPr>
                <w:sz w:val="17"/>
                <w:szCs w:val="17"/>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(153,747)</w:t>
            </w:r>
          </w:p>
        </w:tc>
        <w:tc>
          <w:tcPr>
            <w:tcW w:w="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4,084,184</w:t>
            </w:r>
          </w:p>
        </w:tc>
      </w:tr>
      <w:tr>
        <w:trPr>
          <w:trHeight w:val="202"/>
        </w:trPr>
        <w:tc>
          <w:tcPr>
            <w:tcW w:w="2640" w:type="dxa"/>
            <w:vAlign w:val="bottom"/>
          </w:tcPr>
          <w:p>
            <w:pPr>
              <w:ind w:left="20"/>
              <w:spacing w:after="0"/>
              <w:rPr>
                <w:sz w:val="20"/>
                <w:szCs w:val="20"/>
                <w:color w:val="auto"/>
              </w:rPr>
            </w:pPr>
            <w:r>
              <w:rPr>
                <w:rFonts w:ascii="Arial" w:cs="Arial" w:eastAsia="Arial" w:hAnsi="Arial"/>
                <w:sz w:val="17"/>
                <w:szCs w:val="17"/>
                <w:color w:val="auto"/>
              </w:rPr>
              <w:t>Net income</w:t>
            </w:r>
          </w:p>
        </w:tc>
        <w:tc>
          <w:tcPr>
            <w:tcW w:w="88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88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w:t>
            </w:r>
          </w:p>
        </w:tc>
        <w:tc>
          <w:tcPr>
            <w:tcW w:w="1060" w:type="dxa"/>
            <w:vAlign w:val="bottom"/>
            <w:gridSpan w:val="2"/>
          </w:tcPr>
          <w:p>
            <w:pPr>
              <w:jc w:val="right"/>
              <w:spacing w:after="0"/>
              <w:rPr>
                <w:sz w:val="20"/>
                <w:szCs w:val="20"/>
                <w:color w:val="auto"/>
              </w:rPr>
            </w:pPr>
            <w:r>
              <w:rPr>
                <w:rFonts w:ascii="Arial" w:cs="Arial" w:eastAsia="Arial" w:hAnsi="Arial"/>
                <w:sz w:val="17"/>
                <w:szCs w:val="17"/>
                <w:color w:val="auto"/>
              </w:rPr>
              <w:t>111,318</w:t>
            </w: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111,318</w:t>
            </w:r>
          </w:p>
        </w:tc>
      </w:tr>
      <w:tr>
        <w:trPr>
          <w:trHeight w:val="203"/>
        </w:trPr>
        <w:tc>
          <w:tcPr>
            <w:tcW w:w="2640" w:type="dxa"/>
            <w:vAlign w:val="bottom"/>
            <w:shd w:val="clear" w:color="auto" w:fill="CCEEFF"/>
          </w:tcPr>
          <w:p>
            <w:pPr>
              <w:ind w:left="20"/>
              <w:spacing w:after="0"/>
              <w:rPr>
                <w:sz w:val="20"/>
                <w:szCs w:val="20"/>
                <w:color w:val="auto"/>
              </w:rPr>
            </w:pPr>
            <w:r>
              <w:rPr>
                <w:rFonts w:ascii="Arial" w:cs="Arial" w:eastAsia="Arial" w:hAnsi="Arial"/>
                <w:sz w:val="17"/>
                <w:szCs w:val="17"/>
                <w:color w:val="auto"/>
              </w:rPr>
              <w:t>Translation adjustments and other</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3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(29,036)</w:t>
            </w: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(29,036)</w:t>
            </w:r>
          </w:p>
        </w:tc>
      </w:tr>
      <w:tr>
        <w:trPr>
          <w:trHeight w:val="203"/>
        </w:trPr>
        <w:tc>
          <w:tcPr>
            <w:tcW w:w="2640" w:type="dxa"/>
            <w:vAlign w:val="bottom"/>
          </w:tcPr>
          <w:p>
            <w:pPr>
              <w:ind w:left="20"/>
              <w:spacing w:after="0"/>
              <w:rPr>
                <w:sz w:val="20"/>
                <w:szCs w:val="20"/>
                <w:color w:val="auto"/>
              </w:rPr>
            </w:pPr>
            <w:r>
              <w:rPr>
                <w:rFonts w:ascii="Arial" w:cs="Arial" w:eastAsia="Arial" w:hAnsi="Arial"/>
                <w:sz w:val="17"/>
                <w:szCs w:val="17"/>
                <w:color w:val="auto"/>
              </w:rPr>
              <w:t>Pension liability adjustments, net</w:t>
            </w:r>
          </w:p>
        </w:tc>
        <w:tc>
          <w:tcPr>
            <w:tcW w:w="88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88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7"/>
                <w:szCs w:val="17"/>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4,012</w:t>
            </w: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4,012</w:t>
            </w:r>
          </w:p>
        </w:tc>
      </w:tr>
      <w:tr>
        <w:trPr>
          <w:trHeight w:val="203"/>
        </w:trPr>
        <w:tc>
          <w:tcPr>
            <w:tcW w:w="2640" w:type="dxa"/>
            <w:vAlign w:val="bottom"/>
            <w:shd w:val="clear" w:color="auto" w:fill="CCEEFF"/>
          </w:tcPr>
          <w:p>
            <w:pPr>
              <w:ind w:left="20"/>
              <w:spacing w:after="0"/>
              <w:rPr>
                <w:sz w:val="20"/>
                <w:szCs w:val="20"/>
                <w:color w:val="auto"/>
              </w:rPr>
            </w:pPr>
            <w:r>
              <w:rPr>
                <w:rFonts w:ascii="Arial" w:cs="Arial" w:eastAsia="Arial" w:hAnsi="Arial"/>
                <w:sz w:val="17"/>
                <w:szCs w:val="17"/>
                <w:color w:val="auto"/>
              </w:rPr>
              <w:t>Cash dividends</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40" w:type="dxa"/>
            <w:vAlign w:val="bottom"/>
            <w:gridSpan w:val="3"/>
            <w:shd w:val="clear" w:color="auto" w:fill="CCEEFF"/>
          </w:tcPr>
          <w:p>
            <w:pPr>
              <w:jc w:val="right"/>
              <w:ind w:right="180"/>
              <w:spacing w:after="0"/>
              <w:rPr>
                <w:sz w:val="20"/>
                <w:szCs w:val="20"/>
                <w:color w:val="auto"/>
              </w:rPr>
            </w:pPr>
            <w:r>
              <w:rPr>
                <w:rFonts w:ascii="Arial" w:cs="Arial" w:eastAsia="Arial" w:hAnsi="Arial"/>
                <w:sz w:val="17"/>
                <w:szCs w:val="17"/>
                <w:color w:val="auto"/>
              </w:rPr>
              <w:t>(23,893)</w:t>
            </w:r>
          </w:p>
        </w:tc>
        <w:tc>
          <w:tcPr>
            <w:tcW w:w="3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(23,893)</w:t>
            </w:r>
          </w:p>
        </w:tc>
      </w:tr>
      <w:tr>
        <w:trPr>
          <w:trHeight w:val="203"/>
        </w:trPr>
        <w:tc>
          <w:tcPr>
            <w:tcW w:w="2640" w:type="dxa"/>
            <w:vAlign w:val="bottom"/>
          </w:tcPr>
          <w:p>
            <w:pPr>
              <w:ind w:left="20"/>
              <w:spacing w:after="0"/>
              <w:rPr>
                <w:sz w:val="20"/>
                <w:szCs w:val="20"/>
                <w:color w:val="auto"/>
              </w:rPr>
            </w:pPr>
            <w:r>
              <w:rPr>
                <w:rFonts w:ascii="Arial" w:cs="Arial" w:eastAsia="Arial" w:hAnsi="Arial"/>
                <w:sz w:val="17"/>
                <w:szCs w:val="17"/>
                <w:color w:val="auto"/>
              </w:rPr>
              <w:t>Repurchases of common stock</w:t>
            </w:r>
          </w:p>
        </w:tc>
        <w:tc>
          <w:tcPr>
            <w:tcW w:w="880" w:type="dxa"/>
            <w:vAlign w:val="bottom"/>
            <w:gridSpan w:val="2"/>
          </w:tcPr>
          <w:p>
            <w:pPr>
              <w:jc w:val="right"/>
              <w:ind w:right="180"/>
              <w:spacing w:after="0"/>
              <w:rPr>
                <w:sz w:val="20"/>
                <w:szCs w:val="20"/>
                <w:color w:val="auto"/>
              </w:rPr>
            </w:pPr>
            <w:r>
              <w:rPr>
                <w:rFonts w:ascii="Arial" w:cs="Arial" w:eastAsia="Arial" w:hAnsi="Arial"/>
                <w:sz w:val="17"/>
                <w:szCs w:val="17"/>
                <w:color w:val="auto"/>
              </w:rPr>
              <w:t>(275)</w:t>
            </w:r>
          </w:p>
        </w:tc>
        <w:tc>
          <w:tcPr>
            <w:tcW w:w="880" w:type="dxa"/>
            <w:vAlign w:val="bottom"/>
            <w:gridSpan w:val="2"/>
          </w:tcPr>
          <w:p>
            <w:pPr>
              <w:jc w:val="right"/>
              <w:ind w:right="180"/>
              <w:spacing w:after="0"/>
              <w:rPr>
                <w:sz w:val="20"/>
                <w:szCs w:val="20"/>
                <w:color w:val="auto"/>
              </w:rPr>
            </w:pPr>
            <w:r>
              <w:rPr>
                <w:rFonts w:ascii="Arial" w:cs="Arial" w:eastAsia="Arial" w:hAnsi="Arial"/>
                <w:sz w:val="17"/>
                <w:szCs w:val="17"/>
                <w:color w:val="auto"/>
              </w:rPr>
              <w:t>(275)</w:t>
            </w:r>
          </w:p>
        </w:tc>
        <w:tc>
          <w:tcPr>
            <w:tcW w:w="880" w:type="dxa"/>
            <w:vAlign w:val="bottom"/>
          </w:tcPr>
          <w:p>
            <w:pPr>
              <w:jc w:val="right"/>
              <w:spacing w:after="0"/>
              <w:rPr>
                <w:sz w:val="20"/>
                <w:szCs w:val="20"/>
                <w:color w:val="auto"/>
              </w:rPr>
            </w:pPr>
            <w:r>
              <w:rPr>
                <w:rFonts w:ascii="Arial" w:cs="Arial" w:eastAsia="Arial" w:hAnsi="Arial"/>
                <w:sz w:val="17"/>
                <w:szCs w:val="17"/>
                <w:color w:val="auto"/>
              </w:rPr>
              <w:t>—</w:t>
            </w:r>
          </w:p>
        </w:tc>
        <w:tc>
          <w:tcPr>
            <w:tcW w:w="1240" w:type="dxa"/>
            <w:vAlign w:val="bottom"/>
            <w:gridSpan w:val="3"/>
          </w:tcPr>
          <w:p>
            <w:pPr>
              <w:jc w:val="right"/>
              <w:ind w:right="180"/>
              <w:spacing w:after="0"/>
              <w:rPr>
                <w:sz w:val="20"/>
                <w:szCs w:val="20"/>
                <w:color w:val="auto"/>
              </w:rPr>
            </w:pPr>
            <w:r>
              <w:rPr>
                <w:rFonts w:ascii="Arial" w:cs="Arial" w:eastAsia="Arial" w:hAnsi="Arial"/>
                <w:sz w:val="17"/>
                <w:szCs w:val="17"/>
                <w:color w:val="auto"/>
              </w:rPr>
              <w:t>(10,228)</w:t>
            </w:r>
          </w:p>
        </w:tc>
        <w:tc>
          <w:tcPr>
            <w:tcW w:w="300" w:type="dxa"/>
            <w:vAlign w:val="bottom"/>
          </w:tcPr>
          <w:p>
            <w:pPr>
              <w:spacing w:after="0"/>
              <w:rPr>
                <w:sz w:val="17"/>
                <w:szCs w:val="17"/>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(10,503)</w:t>
            </w:r>
          </w:p>
        </w:tc>
      </w:tr>
      <w:tr>
        <w:trPr>
          <w:trHeight w:val="223"/>
        </w:trPr>
        <w:tc>
          <w:tcPr>
            <w:tcW w:w="2640" w:type="dxa"/>
            <w:vAlign w:val="bottom"/>
            <w:shd w:val="clear" w:color="auto" w:fill="CCEEFF"/>
          </w:tcPr>
          <w:p>
            <w:pPr>
              <w:ind w:left="20"/>
              <w:spacing w:after="0"/>
              <w:rPr>
                <w:sz w:val="20"/>
                <w:szCs w:val="20"/>
                <w:color w:val="auto"/>
              </w:rPr>
            </w:pPr>
            <w:r>
              <w:rPr>
                <w:rFonts w:ascii="Arial" w:cs="Arial" w:eastAsia="Arial" w:hAnsi="Arial"/>
                <w:sz w:val="17"/>
                <w:szCs w:val="17"/>
                <w:color w:val="auto"/>
              </w:rPr>
              <w:t>Stock-based compensation</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w:t>
            </w: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w:t>
            </w: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9,507</w:t>
            </w:r>
          </w:p>
        </w:tc>
        <w:tc>
          <w:tcPr>
            <w:tcW w:w="1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3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9,517</w:t>
            </w:r>
          </w:p>
        </w:tc>
      </w:tr>
      <w:tr>
        <w:trPr>
          <w:trHeight w:val="190"/>
        </w:trPr>
        <w:tc>
          <w:tcPr>
            <w:tcW w:w="2640" w:type="dxa"/>
            <w:vAlign w:val="bottom"/>
            <w:tcBorders>
              <w:top w:val="single" w:sz="8" w:color="CCEEFF"/>
            </w:tcBorders>
          </w:tcPr>
          <w:p>
            <w:pPr>
              <w:ind w:left="20"/>
              <w:spacing w:after="0" w:line="189" w:lineRule="exact"/>
              <w:rPr>
                <w:sz w:val="20"/>
                <w:szCs w:val="20"/>
                <w:color w:val="auto"/>
              </w:rPr>
            </w:pPr>
            <w:r>
              <w:rPr>
                <w:rFonts w:ascii="Arial" w:cs="Arial" w:eastAsia="Arial" w:hAnsi="Arial"/>
                <w:sz w:val="17"/>
                <w:szCs w:val="17"/>
                <w:b w:val="1"/>
                <w:bCs w:val="1"/>
                <w:color w:val="auto"/>
              </w:rPr>
              <w:t>Balance, October 2, 2021</w:t>
            </w:r>
          </w:p>
        </w:tc>
        <w:tc>
          <w:tcPr>
            <w:tcW w:w="700" w:type="dxa"/>
            <w:vAlign w:val="bottom"/>
            <w:tcBorders>
              <w:top w:val="single" w:sz="8" w:color="auto"/>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99,336</w:t>
            </w:r>
          </w:p>
        </w:tc>
        <w:tc>
          <w:tcPr>
            <w:tcW w:w="180" w:type="dxa"/>
            <w:vAlign w:val="bottom"/>
            <w:tcBorders>
              <w:top w:val="single" w:sz="8" w:color="CCEEFF"/>
            </w:tcBorders>
          </w:tcPr>
          <w:p>
            <w:pPr>
              <w:spacing w:after="0"/>
              <w:rPr>
                <w:sz w:val="16"/>
                <w:szCs w:val="16"/>
                <w:color w:val="auto"/>
              </w:rPr>
            </w:pPr>
          </w:p>
        </w:tc>
        <w:tc>
          <w:tcPr>
            <w:tcW w:w="700" w:type="dxa"/>
            <w:vAlign w:val="bottom"/>
            <w:tcBorders>
              <w:top w:val="single" w:sz="8" w:color="auto"/>
              <w:bottom w:val="single" w:sz="8" w:color="auto"/>
            </w:tcBorders>
          </w:tcPr>
          <w:p>
            <w:pPr>
              <w:jc w:val="right"/>
              <w:spacing w:after="0" w:line="189" w:lineRule="exact"/>
              <w:rPr>
                <w:sz w:val="20"/>
                <w:szCs w:val="20"/>
                <w:color w:val="auto"/>
              </w:rPr>
            </w:pPr>
            <w:r>
              <w:rPr>
                <w:rFonts w:ascii="Arial" w:cs="Arial" w:eastAsia="Arial" w:hAnsi="Arial"/>
                <w:sz w:val="17"/>
                <w:szCs w:val="17"/>
                <w:color w:val="auto"/>
                <w:w w:val="93"/>
              </w:rPr>
              <w:t>$ 99,336</w:t>
            </w:r>
          </w:p>
        </w:tc>
        <w:tc>
          <w:tcPr>
            <w:tcW w:w="180" w:type="dxa"/>
            <w:vAlign w:val="bottom"/>
            <w:tcBorders>
              <w:top w:val="single" w:sz="8" w:color="CCEEFF"/>
            </w:tcBorders>
          </w:tcPr>
          <w:p>
            <w:pPr>
              <w:spacing w:after="0"/>
              <w:rPr>
                <w:sz w:val="16"/>
                <w:szCs w:val="16"/>
                <w:color w:val="auto"/>
              </w:rPr>
            </w:pPr>
          </w:p>
        </w:tc>
        <w:tc>
          <w:tcPr>
            <w:tcW w:w="880" w:type="dxa"/>
            <w:vAlign w:val="bottom"/>
            <w:tcBorders>
              <w:top w:val="single" w:sz="8" w:color="auto"/>
              <w:bottom w:val="single" w:sz="8" w:color="auto"/>
            </w:tcBorders>
          </w:tcPr>
          <w:p>
            <w:pPr>
              <w:jc w:val="right"/>
              <w:spacing w:after="0" w:line="189" w:lineRule="exact"/>
              <w:rPr>
                <w:sz w:val="20"/>
                <w:szCs w:val="20"/>
                <w:color w:val="auto"/>
              </w:rPr>
            </w:pPr>
            <w:r>
              <w:rPr>
                <w:rFonts w:ascii="Arial" w:cs="Arial" w:eastAsia="Arial" w:hAnsi="Arial"/>
                <w:sz w:val="17"/>
                <w:szCs w:val="17"/>
                <w:color w:val="auto"/>
                <w:w w:val="89"/>
              </w:rPr>
              <w:t>$ 1,631,667</w:t>
            </w:r>
          </w:p>
        </w:tc>
        <w:tc>
          <w:tcPr>
            <w:tcW w:w="160" w:type="dxa"/>
            <w:vAlign w:val="bottom"/>
            <w:tcBorders>
              <w:top w:val="single" w:sz="8" w:color="CCEEFF"/>
            </w:tcBorders>
          </w:tcPr>
          <w:p>
            <w:pPr>
              <w:spacing w:after="0"/>
              <w:rPr>
                <w:sz w:val="16"/>
                <w:szCs w:val="16"/>
                <w:color w:val="auto"/>
              </w:rPr>
            </w:pPr>
          </w:p>
        </w:tc>
        <w:tc>
          <w:tcPr>
            <w:tcW w:w="900" w:type="dxa"/>
            <w:vAlign w:val="bottom"/>
            <w:tcBorders>
              <w:top w:val="single" w:sz="8" w:color="auto"/>
              <w:bottom w:val="single" w:sz="8" w:color="auto"/>
            </w:tcBorders>
          </w:tcPr>
          <w:p>
            <w:pPr>
              <w:jc w:val="right"/>
              <w:spacing w:after="0" w:line="189" w:lineRule="exact"/>
              <w:rPr>
                <w:sz w:val="20"/>
                <w:szCs w:val="20"/>
                <w:color w:val="auto"/>
              </w:rPr>
            </w:pPr>
            <w:r>
              <w:rPr>
                <w:rFonts w:ascii="Arial" w:cs="Arial" w:eastAsia="Arial" w:hAnsi="Arial"/>
                <w:sz w:val="17"/>
                <w:szCs w:val="17"/>
                <w:color w:val="auto"/>
                <w:w w:val="91"/>
              </w:rPr>
              <w:t>$ 2,593,367</w:t>
            </w:r>
          </w:p>
        </w:tc>
        <w:tc>
          <w:tcPr>
            <w:tcW w:w="180" w:type="dxa"/>
            <w:vAlign w:val="bottom"/>
            <w:tcBorders>
              <w:top w:val="single" w:sz="8" w:color="CCEEFF"/>
            </w:tcBorders>
          </w:tcPr>
          <w:p>
            <w:pPr>
              <w:spacing w:after="0"/>
              <w:rPr>
                <w:sz w:val="16"/>
                <w:szCs w:val="16"/>
                <w:color w:val="auto"/>
              </w:rPr>
            </w:pPr>
          </w:p>
        </w:tc>
        <w:tc>
          <w:tcPr>
            <w:tcW w:w="300" w:type="dxa"/>
            <w:vAlign w:val="bottom"/>
            <w:tcBorders>
              <w:top w:val="single" w:sz="8" w:color="auto"/>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w:t>
            </w:r>
          </w:p>
        </w:tc>
        <w:tc>
          <w:tcPr>
            <w:tcW w:w="860" w:type="dxa"/>
            <w:vAlign w:val="bottom"/>
            <w:tcBorders>
              <w:top w:val="single" w:sz="8" w:color="auto"/>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(178,771)</w:t>
            </w:r>
          </w:p>
        </w:tc>
        <w:tc>
          <w:tcPr>
            <w:tcW w:w="180" w:type="dxa"/>
            <w:vAlign w:val="bottom"/>
            <w:tcBorders>
              <w:top w:val="single" w:sz="8" w:color="CCEEFF"/>
            </w:tcBorders>
          </w:tcPr>
          <w:p>
            <w:pPr>
              <w:spacing w:after="0"/>
              <w:rPr>
                <w:sz w:val="16"/>
                <w:szCs w:val="16"/>
                <w:color w:val="auto"/>
              </w:rPr>
            </w:pPr>
          </w:p>
        </w:tc>
        <w:tc>
          <w:tcPr>
            <w:tcW w:w="220" w:type="dxa"/>
            <w:vAlign w:val="bottom"/>
            <w:tcBorders>
              <w:top w:val="single" w:sz="8" w:color="auto"/>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w:t>
            </w:r>
          </w:p>
        </w:tc>
        <w:tc>
          <w:tcPr>
            <w:tcW w:w="820" w:type="dxa"/>
            <w:vAlign w:val="bottom"/>
            <w:tcBorders>
              <w:top w:val="single" w:sz="8" w:color="auto"/>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4,145,599</w:t>
            </w:r>
          </w:p>
        </w:tc>
      </w:tr>
      <w:tr>
        <w:trPr>
          <w:trHeight w:val="20"/>
        </w:trPr>
        <w:tc>
          <w:tcPr>
            <w:tcW w:w="26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44" w:right="1440" w:bottom="1440" w:gutter="0" w:footer="0" w:header="0"/>
        </w:sectPr>
      </w:pPr>
    </w:p>
    <w:bookmarkStart w:id="6" w:name="page7"/>
    <w:bookmarkEnd w:id="6"/>
    <w:tbl>
      <w:tblPr>
        <w:tblLayout w:type="fixed"/>
        <w:tblInd w:w="40" w:type="dxa"/>
        <w:tblCellMar>
          <w:top w:w="0" w:type="dxa"/>
          <w:left w:w="0" w:type="dxa"/>
          <w:bottom w:w="0" w:type="dxa"/>
          <w:right w:w="0" w:type="dxa"/>
        </w:tblCellMar>
      </w:tblPr>
      <w:tr>
        <w:trPr>
          <w:trHeight w:val="207"/>
        </w:trPr>
        <w:tc>
          <w:tcPr>
            <w:tcW w:w="6640" w:type="dxa"/>
            <w:vAlign w:val="bottom"/>
            <w:gridSpan w:val="3"/>
          </w:tcPr>
          <w:p>
            <w:pPr>
              <w:ind w:left="20"/>
              <w:spacing w:after="0"/>
              <w:rPr>
                <w:sz w:val="20"/>
                <w:szCs w:val="20"/>
                <w:color w:val="auto"/>
              </w:rPr>
            </w:pPr>
            <w:r>
              <w:rPr>
                <w:rFonts w:ascii="Arial" w:cs="Arial" w:eastAsia="Arial" w:hAnsi="Arial"/>
                <w:sz w:val="18"/>
                <w:szCs w:val="18"/>
                <w:color w:val="0000EE"/>
              </w:rPr>
              <w:t>Table of Contents</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64"/>
        </w:trPr>
        <w:tc>
          <w:tcPr>
            <w:tcW w:w="20" w:type="dxa"/>
            <w:vAlign w:val="bottom"/>
            <w:tcBorders>
              <w:top w:val="single" w:sz="8" w:color="0000EE"/>
            </w:tcBorders>
          </w:tcPr>
          <w:p>
            <w:pPr>
              <w:spacing w:after="0"/>
              <w:rPr>
                <w:sz w:val="24"/>
                <w:szCs w:val="24"/>
                <w:color w:val="auto"/>
              </w:rPr>
            </w:pPr>
          </w:p>
        </w:tc>
        <w:tc>
          <w:tcPr>
            <w:tcW w:w="1260" w:type="dxa"/>
            <w:vAlign w:val="bottom"/>
            <w:tcBorders>
              <w:top w:val="single" w:sz="8" w:color="0000EE"/>
            </w:tcBorders>
          </w:tcPr>
          <w:p>
            <w:pPr>
              <w:spacing w:after="0"/>
              <w:rPr>
                <w:sz w:val="24"/>
                <w:szCs w:val="24"/>
                <w:color w:val="auto"/>
              </w:rPr>
            </w:pPr>
          </w:p>
        </w:tc>
        <w:tc>
          <w:tcPr>
            <w:tcW w:w="5360" w:type="dxa"/>
            <w:vAlign w:val="bottom"/>
          </w:tcPr>
          <w:p>
            <w:pPr>
              <w:jc w:val="center"/>
              <w:ind w:left="910"/>
              <w:spacing w:after="0"/>
              <w:rPr>
                <w:sz w:val="20"/>
                <w:szCs w:val="20"/>
                <w:color w:val="auto"/>
              </w:rPr>
            </w:pPr>
            <w:r>
              <w:rPr>
                <w:rFonts w:ascii="Arial" w:cs="Arial" w:eastAsia="Arial" w:hAnsi="Arial"/>
                <w:sz w:val="18"/>
                <w:szCs w:val="18"/>
                <w:b w:val="1"/>
                <w:bCs w:val="1"/>
                <w:color w:val="auto"/>
                <w:w w:val="98"/>
              </w:rPr>
              <w:t>AVNET, INC. AND SUBSIDIARIES</w:t>
            </w: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5360" w:type="dxa"/>
            <w:vAlign w:val="bottom"/>
          </w:tcPr>
          <w:p>
            <w:pPr>
              <w:jc w:val="center"/>
              <w:ind w:left="910"/>
              <w:spacing w:after="0"/>
              <w:rPr>
                <w:sz w:val="20"/>
                <w:szCs w:val="20"/>
                <w:color w:val="auto"/>
              </w:rPr>
            </w:pPr>
            <w:r>
              <w:rPr>
                <w:rFonts w:ascii="Arial" w:cs="Arial" w:eastAsia="Arial" w:hAnsi="Arial"/>
                <w:sz w:val="18"/>
                <w:szCs w:val="18"/>
                <w:b w:val="1"/>
                <w:bCs w:val="1"/>
                <w:color w:val="auto"/>
                <w:w w:val="99"/>
              </w:rPr>
              <w:t>CONSOLIDATED STATEMENTS OF CASH FLOWS</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5360" w:type="dxa"/>
            <w:vAlign w:val="bottom"/>
          </w:tcPr>
          <w:p>
            <w:pPr>
              <w:jc w:val="center"/>
              <w:ind w:left="910"/>
              <w:spacing w:after="0"/>
              <w:rPr>
                <w:sz w:val="20"/>
                <w:szCs w:val="20"/>
                <w:color w:val="auto"/>
              </w:rPr>
            </w:pPr>
            <w:r>
              <w:rPr>
                <w:rFonts w:ascii="Arial" w:cs="Arial" w:eastAsia="Arial" w:hAnsi="Arial"/>
                <w:sz w:val="18"/>
                <w:szCs w:val="18"/>
                <w:b w:val="1"/>
                <w:bCs w:val="1"/>
                <w:color w:val="auto"/>
                <w:w w:val="91"/>
              </w:rPr>
              <w:t>(Unaudited)</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6"/>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5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gridSpan w:val="4"/>
          </w:tcPr>
          <w:p>
            <w:pPr>
              <w:jc w:val="right"/>
              <w:ind w:right="210"/>
              <w:spacing w:after="0"/>
              <w:rPr>
                <w:sz w:val="20"/>
                <w:szCs w:val="20"/>
                <w:color w:val="auto"/>
              </w:rPr>
            </w:pPr>
            <w:r>
              <w:rPr>
                <w:rFonts w:ascii="Arial" w:cs="Arial" w:eastAsia="Arial" w:hAnsi="Arial"/>
                <w:sz w:val="18"/>
                <w:szCs w:val="18"/>
                <w:b w:val="1"/>
                <w:bCs w:val="1"/>
                <w:color w:val="auto"/>
              </w:rPr>
              <w:t>First Quarters Ended</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53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jc w:val="right"/>
              <w:ind w:right="10"/>
              <w:spacing w:after="0" w:line="198" w:lineRule="exact"/>
              <w:rPr>
                <w:sz w:val="20"/>
                <w:szCs w:val="20"/>
                <w:color w:val="auto"/>
              </w:rPr>
            </w:pPr>
            <w:r>
              <w:rPr>
                <w:rFonts w:ascii="Arial" w:cs="Arial" w:eastAsia="Arial" w:hAnsi="Arial"/>
                <w:sz w:val="18"/>
                <w:szCs w:val="18"/>
                <w:b w:val="1"/>
                <w:bCs w:val="1"/>
                <w:color w:val="auto"/>
                <w:w w:val="89"/>
              </w:rPr>
              <w:t>October 1,</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jc w:val="right"/>
              <w:ind w:right="30"/>
              <w:spacing w:after="0" w:line="198" w:lineRule="exact"/>
              <w:rPr>
                <w:sz w:val="20"/>
                <w:szCs w:val="20"/>
                <w:color w:val="auto"/>
              </w:rPr>
            </w:pPr>
            <w:r>
              <w:rPr>
                <w:rFonts w:ascii="Arial" w:cs="Arial" w:eastAsia="Arial" w:hAnsi="Arial"/>
                <w:sz w:val="18"/>
                <w:szCs w:val="18"/>
                <w:b w:val="1"/>
                <w:bCs w:val="1"/>
                <w:color w:val="auto"/>
                <w:w w:val="89"/>
              </w:rPr>
              <w:t>October 2,</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53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2022</w:t>
            </w:r>
          </w:p>
        </w:tc>
        <w:tc>
          <w:tcPr>
            <w:tcW w:w="20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2021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53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140" w:type="dxa"/>
            <w:vAlign w:val="bottom"/>
            <w:gridSpan w:val="4"/>
          </w:tcPr>
          <w:p>
            <w:pPr>
              <w:jc w:val="right"/>
              <w:ind w:right="550"/>
              <w:spacing w:after="0" w:line="202" w:lineRule="exact"/>
              <w:rPr>
                <w:sz w:val="20"/>
                <w:szCs w:val="20"/>
                <w:color w:val="auto"/>
              </w:rPr>
            </w:pPr>
            <w:r>
              <w:rPr>
                <w:rFonts w:ascii="Arial" w:cs="Arial" w:eastAsia="Arial" w:hAnsi="Arial"/>
                <w:sz w:val="18"/>
                <w:szCs w:val="18"/>
                <w:b w:val="1"/>
                <w:bCs w:val="1"/>
                <w:color w:val="auto"/>
              </w:rPr>
              <w:t>(Thousands)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tcPr>
          <w:p>
            <w:pPr>
              <w:ind w:left="100"/>
              <w:spacing w:after="0"/>
              <w:rPr>
                <w:sz w:val="20"/>
                <w:szCs w:val="20"/>
                <w:color w:val="auto"/>
              </w:rPr>
            </w:pPr>
            <w:r>
              <w:rPr>
                <w:rFonts w:ascii="Arial" w:cs="Arial" w:eastAsia="Arial" w:hAnsi="Arial"/>
                <w:sz w:val="18"/>
                <w:szCs w:val="18"/>
                <w:color w:val="auto"/>
              </w:rPr>
              <w:t>Net income</w:t>
            </w: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184,261</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111,318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tcPr>
          <w:p>
            <w:pPr>
              <w:ind w:left="100"/>
              <w:spacing w:after="0"/>
              <w:rPr>
                <w:sz w:val="20"/>
                <w:szCs w:val="20"/>
                <w:color w:val="auto"/>
              </w:rPr>
            </w:pPr>
            <w:r>
              <w:rPr>
                <w:rFonts w:ascii="Arial" w:cs="Arial" w:eastAsia="Arial" w:hAnsi="Arial"/>
                <w:sz w:val="18"/>
                <w:szCs w:val="18"/>
                <w:color w:val="auto"/>
              </w:rPr>
              <w:t>Non-cash and other reconciling items:</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Depreciation</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19,640</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tcPr>
          <w:p>
            <w:pPr>
              <w:ind w:left="320"/>
              <w:spacing w:after="0"/>
              <w:rPr>
                <w:sz w:val="20"/>
                <w:szCs w:val="20"/>
                <w:color w:val="auto"/>
              </w:rPr>
            </w:pPr>
            <w:r>
              <w:rPr>
                <w:rFonts w:ascii="Arial" w:cs="Arial" w:eastAsia="Arial" w:hAnsi="Arial"/>
                <w:sz w:val="18"/>
                <w:szCs w:val="18"/>
                <w:color w:val="auto"/>
              </w:rPr>
              <w:t>Amortization</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2,755</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5,210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Amortization of operating lease assets</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13,141</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tcPr>
          <w:p>
            <w:pPr>
              <w:ind w:left="320"/>
              <w:spacing w:after="0"/>
              <w:rPr>
                <w:sz w:val="20"/>
                <w:szCs w:val="20"/>
                <w:color w:val="auto"/>
              </w:rPr>
            </w:pPr>
            <w:r>
              <w:rPr>
                <w:rFonts w:ascii="Arial" w:cs="Arial" w:eastAsia="Arial" w:hAnsi="Arial"/>
                <w:sz w:val="18"/>
                <w:szCs w:val="18"/>
                <w:color w:val="auto"/>
              </w:rPr>
              <w:t>Deferred income taxes</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(7,296)</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(3,259)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Stock-based compensation</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8,924</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tcPr>
          <w:p>
            <w:pPr>
              <w:ind w:left="320"/>
              <w:spacing w:after="0"/>
              <w:rPr>
                <w:sz w:val="20"/>
                <w:szCs w:val="20"/>
                <w:color w:val="auto"/>
              </w:rPr>
            </w:pPr>
            <w:r>
              <w:rPr>
                <w:rFonts w:ascii="Arial" w:cs="Arial" w:eastAsia="Arial" w:hAnsi="Arial"/>
                <w:sz w:val="18"/>
                <w:szCs w:val="18"/>
                <w:color w:val="auto"/>
              </w:rPr>
              <w:t>Other, net</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8,224</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2,603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Changes in (net of effects from businesses acquired and divested):</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tcPr>
          <w:p>
            <w:pPr>
              <w:ind w:left="320"/>
              <w:spacing w:after="0"/>
              <w:rPr>
                <w:sz w:val="20"/>
                <w:szCs w:val="20"/>
                <w:color w:val="auto"/>
              </w:rPr>
            </w:pPr>
            <w:r>
              <w:rPr>
                <w:rFonts w:ascii="Arial" w:cs="Arial" w:eastAsia="Arial" w:hAnsi="Arial"/>
                <w:sz w:val="18"/>
                <w:szCs w:val="18"/>
                <w:color w:val="auto"/>
              </w:rPr>
              <w:t>Receivables</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(419,852)</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(169,992)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Inventories</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(559,044)</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(73,971)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tcPr>
          <w:p>
            <w:pPr>
              <w:ind w:left="320"/>
              <w:spacing w:after="0"/>
              <w:rPr>
                <w:sz w:val="20"/>
                <w:szCs w:val="20"/>
                <w:color w:val="auto"/>
              </w:rPr>
            </w:pPr>
            <w:r>
              <w:rPr>
                <w:rFonts w:ascii="Arial" w:cs="Arial" w:eastAsia="Arial" w:hAnsi="Arial"/>
                <w:sz w:val="18"/>
                <w:szCs w:val="18"/>
                <w:color w:val="auto"/>
              </w:rPr>
              <w:t>Accounts payable</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120,938</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85,217</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6620" w:type="dxa"/>
            <w:vAlign w:val="bottom"/>
            <w:tcBorders>
              <w:bottom w:val="single" w:sz="8" w:color="CCEEFF"/>
            </w:tcBorders>
            <w:gridSpan w:val="2"/>
            <w:shd w:val="clear" w:color="auto" w:fill="CCEEFF"/>
          </w:tcPr>
          <w:p>
            <w:pPr>
              <w:ind w:left="320"/>
              <w:spacing w:after="0"/>
              <w:rPr>
                <w:sz w:val="20"/>
                <w:szCs w:val="20"/>
                <w:color w:val="auto"/>
              </w:rPr>
            </w:pPr>
            <w:r>
              <w:rPr>
                <w:rFonts w:ascii="Arial" w:cs="Arial" w:eastAsia="Arial" w:hAnsi="Arial"/>
                <w:sz w:val="18"/>
                <w:szCs w:val="18"/>
                <w:color w:val="auto"/>
              </w:rPr>
              <w:t>Accrued expenses and other, net</w:t>
            </w:r>
          </w:p>
        </w:tc>
        <w:tc>
          <w:tcPr>
            <w:tcW w:w="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(16,840)</w:t>
            </w:r>
          </w:p>
        </w:tc>
        <w:tc>
          <w:tcPr>
            <w:tcW w:w="2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(32,856)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20" w:type="dxa"/>
            <w:vAlign w:val="bottom"/>
            <w:tcBorders>
              <w:bottom w:val="single" w:sz="8" w:color="CCEEFF"/>
            </w:tcBorders>
            <w:gridSpan w:val="2"/>
          </w:tcPr>
          <w:p>
            <w:pPr>
              <w:ind w:left="420"/>
              <w:spacing w:after="0" w:line="203" w:lineRule="exact"/>
              <w:rPr>
                <w:sz w:val="20"/>
                <w:szCs w:val="20"/>
                <w:color w:val="auto"/>
              </w:rPr>
            </w:pPr>
            <w:r>
              <w:rPr>
                <w:rFonts w:ascii="Arial" w:cs="Arial" w:eastAsia="Arial" w:hAnsi="Arial"/>
                <w:sz w:val="18"/>
                <w:szCs w:val="18"/>
                <w:color w:val="auto"/>
              </w:rPr>
              <w:t>Net cash flows used for operating activities</w:t>
            </w:r>
          </w:p>
        </w:tc>
        <w:tc>
          <w:tcPr>
            <w:tcW w:w="6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(645,149)</w:t>
            </w:r>
          </w:p>
        </w:tc>
        <w:tc>
          <w:tcPr>
            <w:tcW w:w="20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(30,968)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53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tcPr>
          <w:p>
            <w:pPr>
              <w:spacing w:after="0"/>
              <w:rPr>
                <w:sz w:val="20"/>
                <w:szCs w:val="20"/>
                <w:color w:val="auto"/>
              </w:rPr>
            </w:pPr>
            <w:r>
              <w:rPr>
                <w:rFonts w:ascii="Arial" w:cs="Arial" w:eastAsia="Arial" w:hAnsi="Arial"/>
                <w:sz w:val="18"/>
                <w:szCs w:val="18"/>
                <w:color w:val="auto"/>
              </w:rPr>
              <w:t>Cash flows from financing activities:</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Borrowings under accounts receivable securitization, net</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152,200</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59,300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tcPr>
          <w:p>
            <w:pPr>
              <w:ind w:left="100"/>
              <w:spacing w:after="0"/>
              <w:rPr>
                <w:sz w:val="20"/>
                <w:szCs w:val="20"/>
                <w:color w:val="auto"/>
              </w:rPr>
            </w:pPr>
            <w:r>
              <w:rPr>
                <w:rFonts w:ascii="Arial" w:cs="Arial" w:eastAsia="Arial" w:hAnsi="Arial"/>
                <w:sz w:val="18"/>
                <w:szCs w:val="18"/>
                <w:color w:val="auto"/>
              </w:rPr>
              <w:t>Borrowings under senior unsecured credit facility, net</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701,987</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118,716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Repayments under bank credit facilities and other debt, net</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(85,432)</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tcPr>
          <w:p>
            <w:pPr>
              <w:ind w:left="100"/>
              <w:spacing w:after="0"/>
              <w:rPr>
                <w:sz w:val="20"/>
                <w:szCs w:val="20"/>
                <w:color w:val="auto"/>
              </w:rPr>
            </w:pPr>
            <w:r>
              <w:rPr>
                <w:rFonts w:ascii="Arial" w:cs="Arial" w:eastAsia="Arial" w:hAnsi="Arial"/>
                <w:sz w:val="18"/>
                <w:szCs w:val="18"/>
                <w:color w:val="auto"/>
              </w:rPr>
              <w:t>Repurchases of common stock</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(152,408)</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(9,566)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Dividends paid on common stock</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(26,998)</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(23,893)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20" w:type="dxa"/>
            <w:vAlign w:val="bottom"/>
            <w:tcBorders>
              <w:bottom w:val="single" w:sz="8" w:color="CCEEFF"/>
            </w:tcBorders>
            <w:gridSpan w:val="2"/>
          </w:tcPr>
          <w:p>
            <w:pPr>
              <w:ind w:left="100"/>
              <w:spacing w:after="0"/>
              <w:rPr>
                <w:sz w:val="20"/>
                <w:szCs w:val="20"/>
                <w:color w:val="auto"/>
              </w:rPr>
            </w:pPr>
            <w:r>
              <w:rPr>
                <w:rFonts w:ascii="Arial" w:cs="Arial" w:eastAsia="Arial" w:hAnsi="Arial"/>
                <w:sz w:val="18"/>
                <w:szCs w:val="18"/>
                <w:color w:val="auto"/>
              </w:rPr>
              <w:t>Other, net</w:t>
            </w:r>
          </w:p>
        </w:tc>
        <w:tc>
          <w:tcPr>
            <w:tcW w:w="6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(964)</w:t>
            </w:r>
          </w:p>
        </w:tc>
        <w:tc>
          <w:tcPr>
            <w:tcW w:w="20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20" w:type="dxa"/>
            <w:vAlign w:val="bottom"/>
            <w:tcBorders>
              <w:bottom w:val="single" w:sz="8" w:color="CCEEFF"/>
            </w:tcBorders>
            <w:gridSpan w:val="2"/>
            <w:shd w:val="clear" w:color="auto" w:fill="CCEEFF"/>
          </w:tcPr>
          <w:p>
            <w:pPr>
              <w:ind w:left="420"/>
              <w:spacing w:after="0"/>
              <w:rPr>
                <w:sz w:val="20"/>
                <w:szCs w:val="20"/>
                <w:color w:val="auto"/>
              </w:rPr>
            </w:pPr>
            <w:r>
              <w:rPr>
                <w:rFonts w:ascii="Arial" w:cs="Arial" w:eastAsia="Arial" w:hAnsi="Arial"/>
                <w:sz w:val="18"/>
                <w:szCs w:val="18"/>
                <w:color w:val="auto"/>
              </w:rPr>
              <w:t>Net cash flows provided by financing activities</w:t>
            </w:r>
          </w:p>
        </w:tc>
        <w:tc>
          <w:tcPr>
            <w:tcW w:w="6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588,385</w:t>
            </w:r>
          </w:p>
        </w:tc>
        <w:tc>
          <w:tcPr>
            <w:tcW w:w="20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142,486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5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tcPr>
          <w:p>
            <w:pPr>
              <w:ind w:left="100"/>
              <w:spacing w:after="0"/>
              <w:rPr>
                <w:sz w:val="20"/>
                <w:szCs w:val="20"/>
                <w:color w:val="auto"/>
              </w:rPr>
            </w:pPr>
            <w:r>
              <w:rPr>
                <w:rFonts w:ascii="Arial" w:cs="Arial" w:eastAsia="Arial" w:hAnsi="Arial"/>
                <w:sz w:val="18"/>
                <w:szCs w:val="18"/>
                <w:color w:val="auto"/>
              </w:rPr>
              <w:t>Purchases of property, plant and equipment</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(28,208)</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(12,025)</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662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8"/>
                <w:szCs w:val="18"/>
                <w:color w:val="auto"/>
              </w:rPr>
              <w:t>Other, net</w:t>
            </w:r>
          </w:p>
        </w:tc>
        <w:tc>
          <w:tcPr>
            <w:tcW w:w="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7,303</w:t>
            </w:r>
          </w:p>
        </w:tc>
        <w:tc>
          <w:tcPr>
            <w:tcW w:w="2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20" w:type="dxa"/>
            <w:vAlign w:val="bottom"/>
            <w:tcBorders>
              <w:bottom w:val="single" w:sz="8" w:color="CCEEFF"/>
            </w:tcBorders>
            <w:gridSpan w:val="2"/>
          </w:tcPr>
          <w:p>
            <w:pPr>
              <w:ind w:left="420"/>
              <w:spacing w:after="0" w:line="203" w:lineRule="exact"/>
              <w:rPr>
                <w:sz w:val="20"/>
                <w:szCs w:val="20"/>
                <w:color w:val="auto"/>
              </w:rPr>
            </w:pPr>
            <w:r>
              <w:rPr>
                <w:rFonts w:ascii="Arial" w:cs="Arial" w:eastAsia="Arial" w:hAnsi="Arial"/>
                <w:sz w:val="18"/>
                <w:szCs w:val="18"/>
                <w:color w:val="auto"/>
              </w:rPr>
              <w:t>Net cash flows used for investing activities</w:t>
            </w:r>
          </w:p>
        </w:tc>
        <w:tc>
          <w:tcPr>
            <w:tcW w:w="6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(20,905)</w:t>
            </w:r>
          </w:p>
        </w:tc>
        <w:tc>
          <w:tcPr>
            <w:tcW w:w="20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(11,707)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53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tcPr>
          <w:p>
            <w:pPr>
              <w:spacing w:after="0"/>
              <w:rPr>
                <w:sz w:val="20"/>
                <w:szCs w:val="20"/>
                <w:color w:val="auto"/>
              </w:rPr>
            </w:pPr>
            <w:r>
              <w:rPr>
                <w:rFonts w:ascii="Arial" w:cs="Arial" w:eastAsia="Arial" w:hAnsi="Arial"/>
                <w:sz w:val="18"/>
                <w:szCs w:val="18"/>
                <w:color w:val="auto"/>
              </w:rPr>
              <w:t>Effect of currency exchange rate changes on cash and cash equivalents</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4,857</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tcPr>
          <w:p>
            <w:pPr>
              <w:spacing w:after="0"/>
              <w:rPr>
                <w:sz w:val="20"/>
                <w:szCs w:val="20"/>
                <w:color w:val="auto"/>
              </w:rPr>
            </w:pPr>
            <w:r>
              <w:rPr>
                <w:rFonts w:ascii="Arial" w:cs="Arial" w:eastAsia="Arial" w:hAnsi="Arial"/>
                <w:sz w:val="18"/>
                <w:szCs w:val="18"/>
                <w:color w:val="auto"/>
              </w:rPr>
              <w:t>Cash and cash equivalents:</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(decrease) increase</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(72,812)</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99,410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2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 at beginning of period</w:t>
            </w:r>
          </w:p>
        </w:tc>
        <w:tc>
          <w:tcPr>
            <w:tcW w:w="6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153,693</w:t>
            </w:r>
          </w:p>
        </w:tc>
        <w:tc>
          <w:tcPr>
            <w:tcW w:w="20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199,691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 at end of period</w:t>
            </w:r>
          </w:p>
        </w:tc>
        <w:tc>
          <w:tcPr>
            <w:tcW w:w="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80,881</w:t>
            </w:r>
          </w:p>
        </w:tc>
        <w:tc>
          <w:tcPr>
            <w:tcW w:w="2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299,101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5360" w:type="dxa"/>
            <w:vAlign w:val="bottom"/>
            <w:vMerge w:val="restart"/>
          </w:tcPr>
          <w:p>
            <w:pPr>
              <w:jc w:val="center"/>
              <w:ind w:left="930"/>
              <w:spacing w:after="0"/>
              <w:rPr>
                <w:sz w:val="20"/>
                <w:szCs w:val="20"/>
                <w:color w:val="auto"/>
              </w:rPr>
            </w:pPr>
            <w:r>
              <w:rPr>
                <w:rFonts w:ascii="Arial" w:cs="Arial" w:eastAsia="Arial" w:hAnsi="Arial"/>
                <w:sz w:val="18"/>
                <w:szCs w:val="18"/>
                <w:color w:val="auto"/>
                <w:w w:val="88"/>
              </w:rPr>
              <w:t>See notes to consolidated financial statements.</w:t>
            </w: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536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42"/>
        </w:trPr>
        <w:tc>
          <w:tcPr>
            <w:tcW w:w="6640" w:type="dxa"/>
            <w:vAlign w:val="bottom"/>
            <w:gridSpan w:val="3"/>
          </w:tcPr>
          <w:p>
            <w:pPr>
              <w:jc w:val="center"/>
              <w:ind w:left="2190"/>
              <w:spacing w:after="0"/>
              <w:rPr>
                <w:sz w:val="20"/>
                <w:szCs w:val="20"/>
                <w:color w:val="auto"/>
              </w:rPr>
            </w:pPr>
            <w:r>
              <w:rPr>
                <w:rFonts w:ascii="Arial" w:cs="Arial" w:eastAsia="Arial" w:hAnsi="Arial"/>
                <w:sz w:val="18"/>
                <w:szCs w:val="18"/>
                <w:color w:val="auto"/>
                <w:w w:val="79"/>
              </w:rPr>
              <w:t>6</w:t>
            </w: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53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27" w:right="1440" w:bottom="1440" w:gutter="0" w:footer="0" w:header="0"/>
        </w:sectPr>
      </w:pPr>
    </w:p>
    <w:bookmarkStart w:id="7" w:name="page8"/>
    <w:bookmarkEnd w:id="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86" w:lineRule="exact"/>
        <w:rPr>
          <w:sz w:val="20"/>
          <w:szCs w:val="20"/>
          <w:color w:val="auto"/>
        </w:rPr>
      </w:pPr>
    </w:p>
    <w:p>
      <w:pPr>
        <w:jc w:val="center"/>
        <w:ind w:left="40" w:right="59"/>
        <w:spacing w:after="0" w:line="313" w:lineRule="auto"/>
        <w:rPr>
          <w:sz w:val="20"/>
          <w:szCs w:val="20"/>
          <w:color w:val="auto"/>
        </w:rPr>
      </w:pPr>
      <w:r>
        <w:rPr>
          <w:rFonts w:ascii="Arial" w:cs="Arial" w:eastAsia="Arial" w:hAnsi="Arial"/>
          <w:sz w:val="18"/>
          <w:szCs w:val="18"/>
          <w:b w:val="1"/>
          <w:bCs w:val="1"/>
          <w:color w:val="auto"/>
        </w:rPr>
        <w:t>AVNET, INC. AND SUBSIDIARIES NOTES TO CONSOLIDATED FINANCIAL STATEMENTS (Unaudited)</w:t>
      </w:r>
    </w:p>
    <w:p>
      <w:pPr>
        <w:spacing w:after="0" w:line="36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 Basis of presentation and new accounting pronouncements</w:t>
      </w:r>
    </w:p>
    <w:p>
      <w:pPr>
        <w:spacing w:after="0" w:line="229" w:lineRule="exact"/>
        <w:rPr>
          <w:sz w:val="20"/>
          <w:szCs w:val="20"/>
          <w:color w:val="auto"/>
        </w:rPr>
      </w:pPr>
    </w:p>
    <w:p>
      <w:pPr>
        <w:ind w:left="60" w:right="219" w:firstLine="427"/>
        <w:spacing w:after="0" w:line="257" w:lineRule="auto"/>
        <w:rPr>
          <w:sz w:val="20"/>
          <w:szCs w:val="20"/>
          <w:color w:val="auto"/>
        </w:rPr>
      </w:pPr>
      <w:r>
        <w:rPr>
          <w:rFonts w:ascii="Arial" w:cs="Arial" w:eastAsia="Arial" w:hAnsi="Arial"/>
          <w:sz w:val="18"/>
          <w:szCs w:val="18"/>
          <w:color w:val="auto"/>
        </w:rPr>
        <w:t>In the opinion of management, the accompanying unaudited interim consolidated financial statements contain all adjustments necessary to present fairly Avnet, Inc. and its consolidated subsidiaries’ (collectively, the “Company” or “Avnet”) financial position, results of operations, comprehensive income and cash flows. All such adjustments are of a normal recurring nature. Certain reclassifications have been made to fiscal 2022 balances to correspond to the fiscal 2023 consolidated financial statement presentation.</w:t>
      </w:r>
    </w:p>
    <w:p>
      <w:pPr>
        <w:spacing w:after="0" w:line="188" w:lineRule="exact"/>
        <w:rPr>
          <w:sz w:val="20"/>
          <w:szCs w:val="20"/>
          <w:color w:val="auto"/>
        </w:rPr>
      </w:pPr>
    </w:p>
    <w:p>
      <w:pPr>
        <w:ind w:left="60" w:right="299" w:firstLine="427"/>
        <w:spacing w:after="0" w:line="286" w:lineRule="auto"/>
        <w:rPr>
          <w:sz w:val="20"/>
          <w:szCs w:val="20"/>
          <w:color w:val="auto"/>
        </w:rPr>
      </w:pPr>
      <w:r>
        <w:rPr>
          <w:rFonts w:ascii="Arial" w:cs="Arial" w:eastAsia="Arial" w:hAnsi="Arial"/>
          <w:sz w:val="17"/>
          <w:szCs w:val="17"/>
          <w:color w:val="auto"/>
        </w:rPr>
        <w:t>Preparing financial statements in accordance with generally accepted accounting principles in the United States (“GAAP”) requires management to make estimates and assumptions that affect the amounts reported in the consolidated financial statements. Actual results may differ from these estimates and assumptions.</w:t>
      </w:r>
    </w:p>
    <w:p>
      <w:pPr>
        <w:spacing w:after="0" w:line="165" w:lineRule="exact"/>
        <w:rPr>
          <w:sz w:val="20"/>
          <w:szCs w:val="20"/>
          <w:color w:val="auto"/>
        </w:rPr>
      </w:pPr>
    </w:p>
    <w:p>
      <w:pPr>
        <w:ind w:left="60" w:right="579" w:firstLine="427"/>
        <w:spacing w:after="0" w:line="311" w:lineRule="auto"/>
        <w:rPr>
          <w:sz w:val="20"/>
          <w:szCs w:val="20"/>
          <w:color w:val="auto"/>
        </w:rPr>
      </w:pPr>
      <w:r>
        <w:rPr>
          <w:rFonts w:ascii="Arial" w:cs="Arial" w:eastAsia="Arial" w:hAnsi="Arial"/>
          <w:sz w:val="16"/>
          <w:szCs w:val="16"/>
          <w:color w:val="auto"/>
        </w:rPr>
        <w:t>Interim results of operations do not necessarily indicate the results to be expected for the full fiscal year. The information included in this Form 10-Q should be read in conjunction with the consolidated financial statements and accompanying notes included in the Company’s Annual Report on Form 10-K for the fiscal year ended July 2, 2022.</w:t>
      </w:r>
    </w:p>
    <w:p>
      <w:pPr>
        <w:spacing w:after="0" w:line="149" w:lineRule="exact"/>
        <w:rPr>
          <w:sz w:val="20"/>
          <w:szCs w:val="20"/>
          <w:color w:val="auto"/>
        </w:rPr>
      </w:pPr>
    </w:p>
    <w:p>
      <w:pPr>
        <w:ind w:left="480"/>
        <w:spacing w:after="0"/>
        <w:rPr>
          <w:sz w:val="20"/>
          <w:szCs w:val="20"/>
          <w:color w:val="auto"/>
        </w:rPr>
      </w:pPr>
      <w:r>
        <w:rPr>
          <w:rFonts w:ascii="Arial" w:cs="Arial" w:eastAsia="Arial" w:hAnsi="Arial"/>
          <w:sz w:val="18"/>
          <w:szCs w:val="18"/>
          <w:i w:val="1"/>
          <w:iCs w:val="1"/>
          <w:color w:val="auto"/>
        </w:rPr>
        <w:t>Recently adopted accounting pronouncements</w:t>
      </w:r>
    </w:p>
    <w:p>
      <w:pPr>
        <w:spacing w:after="0" w:line="225" w:lineRule="exact"/>
        <w:rPr>
          <w:sz w:val="20"/>
          <w:szCs w:val="20"/>
          <w:color w:val="auto"/>
        </w:rPr>
      </w:pPr>
    </w:p>
    <w:p>
      <w:pPr>
        <w:ind w:left="60" w:right="199" w:firstLine="427"/>
        <w:spacing w:after="0" w:line="293" w:lineRule="auto"/>
        <w:rPr>
          <w:sz w:val="20"/>
          <w:szCs w:val="20"/>
          <w:color w:val="auto"/>
        </w:rPr>
      </w:pPr>
      <w:r>
        <w:rPr>
          <w:rFonts w:ascii="Arial" w:cs="Arial" w:eastAsia="Arial" w:hAnsi="Arial"/>
          <w:sz w:val="16"/>
          <w:szCs w:val="16"/>
          <w:color w:val="auto"/>
        </w:rPr>
        <w:t xml:space="preserve">In October 2021, the FASB issued ASU No. 2021-08, </w:t>
      </w:r>
      <w:r>
        <w:rPr>
          <w:rFonts w:ascii="Arial" w:cs="Arial" w:eastAsia="Arial" w:hAnsi="Arial"/>
          <w:sz w:val="16"/>
          <w:szCs w:val="16"/>
          <w:i w:val="1"/>
          <w:iCs w:val="1"/>
          <w:color w:val="auto"/>
        </w:rPr>
        <w:t>Business Combinations (Topic 805): Accounting for Contract</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Assets and Contract Liabilities from Contracts with Customers </w:t>
      </w:r>
      <w:r>
        <w:rPr>
          <w:rFonts w:ascii="Arial" w:cs="Arial" w:eastAsia="Arial" w:hAnsi="Arial"/>
          <w:sz w:val="16"/>
          <w:szCs w:val="16"/>
          <w:color w:val="auto"/>
        </w:rPr>
        <w:t>(“ASU No. 2021-08”), which requires contract assets and</w:t>
      </w:r>
      <w:r>
        <w:rPr>
          <w:rFonts w:ascii="Arial" w:cs="Arial" w:eastAsia="Arial" w:hAnsi="Arial"/>
          <w:sz w:val="16"/>
          <w:szCs w:val="16"/>
          <w:i w:val="1"/>
          <w:iCs w:val="1"/>
          <w:color w:val="auto"/>
        </w:rPr>
        <w:t xml:space="preserve"> </w:t>
      </w:r>
      <w:r>
        <w:rPr>
          <w:rFonts w:ascii="Arial" w:cs="Arial" w:eastAsia="Arial" w:hAnsi="Arial"/>
          <w:sz w:val="16"/>
          <w:szCs w:val="16"/>
          <w:color w:val="auto"/>
        </w:rPr>
        <w:t>contract liabilities acquired in a business combination to be recognized and measured by the acquirer on the acquisition date in accordance with Topic 606 as if it had originated the contracts. The Company’s early adoption of ASU 2021-08 at the beginning of fiscal year 2023 did not have an impact on the Company’s Consolidated Financial Statements as the Company did not have any business combinations in the first quarter of fiscal 2023.</w:t>
      </w:r>
    </w:p>
    <w:p>
      <w:pPr>
        <w:spacing w:after="0" w:line="164" w:lineRule="exact"/>
        <w:rPr>
          <w:sz w:val="20"/>
          <w:szCs w:val="20"/>
          <w:color w:val="auto"/>
        </w:rPr>
      </w:pPr>
    </w:p>
    <w:p>
      <w:pPr>
        <w:ind w:left="480"/>
        <w:spacing w:after="0"/>
        <w:rPr>
          <w:sz w:val="20"/>
          <w:szCs w:val="20"/>
          <w:color w:val="auto"/>
        </w:rPr>
      </w:pPr>
      <w:r>
        <w:rPr>
          <w:rFonts w:ascii="Arial" w:cs="Arial" w:eastAsia="Arial" w:hAnsi="Arial"/>
          <w:sz w:val="18"/>
          <w:szCs w:val="18"/>
          <w:i w:val="1"/>
          <w:iCs w:val="1"/>
          <w:color w:val="auto"/>
        </w:rPr>
        <w:t>Recently issued accounting pronouncements</w:t>
      </w:r>
    </w:p>
    <w:p>
      <w:pPr>
        <w:spacing w:after="0" w:line="225" w:lineRule="exact"/>
        <w:rPr>
          <w:sz w:val="20"/>
          <w:szCs w:val="20"/>
          <w:color w:val="auto"/>
        </w:rPr>
      </w:pPr>
    </w:p>
    <w:p>
      <w:pPr>
        <w:ind w:left="60" w:right="119" w:firstLine="427"/>
        <w:spacing w:after="0" w:line="289" w:lineRule="auto"/>
        <w:rPr>
          <w:sz w:val="20"/>
          <w:szCs w:val="20"/>
          <w:color w:val="auto"/>
        </w:rPr>
      </w:pPr>
      <w:r>
        <w:rPr>
          <w:rFonts w:ascii="Arial" w:cs="Arial" w:eastAsia="Arial" w:hAnsi="Arial"/>
          <w:sz w:val="16"/>
          <w:szCs w:val="16"/>
          <w:color w:val="auto"/>
        </w:rPr>
        <w:t xml:space="preserve">In September 2022, the FASB issued ASU No. 2022-04, </w:t>
      </w:r>
      <w:r>
        <w:rPr>
          <w:rFonts w:ascii="Arial" w:cs="Arial" w:eastAsia="Arial" w:hAnsi="Arial"/>
          <w:sz w:val="16"/>
          <w:szCs w:val="16"/>
          <w:i w:val="1"/>
          <w:iCs w:val="1"/>
          <w:color w:val="auto"/>
        </w:rPr>
        <w:t>Liabilities (subtopic 405-50): Supplier Finance Programs</w:t>
      </w:r>
      <w:r>
        <w:rPr>
          <w:rFonts w:ascii="Arial" w:cs="Arial" w:eastAsia="Arial" w:hAnsi="Arial"/>
          <w:sz w:val="16"/>
          <w:szCs w:val="16"/>
          <w:color w:val="auto"/>
        </w:rPr>
        <w:t xml:space="preserve"> (“ASU No. 2022-04”) to enhance the transparency of certain supplier finance programs to allow financial statement users to understand the effect on working capital, liquidity and cash flows. The new pronouncement requires disclosure of key terms of the programs, including a description of the payment terms, payment timing and assets pledged as security or other forms of guarantees provided to the finance provider or intermediary. Other requirements include the disclosure of the amount that remains unpaid as of the end of the reporting period, a description of where these obligations are presented in the balance sheet and a rollforward of the obligation during the annual period. The guidance is effective for the Company in the first quarter of fiscal 2024, except for the rollforward, which is effective in fiscal 2025. Early adoption is permitted. The Company is currently evaluating any impact from adoption of this pronouncement.</w:t>
      </w:r>
    </w:p>
    <w:p>
      <w:pPr>
        <w:spacing w:after="0" w:line="14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2. Receivables</w:t>
      </w:r>
    </w:p>
    <w:p>
      <w:pPr>
        <w:spacing w:after="0" w:line="229"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The Company’s receivables and allowance for credit losses were as follows:</w:t>
      </w:r>
    </w:p>
    <w:p>
      <w:pPr>
        <w:spacing w:after="0" w:line="235"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330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w w:val="94"/>
              </w:rPr>
              <w:t>October 1,</w:t>
            </w:r>
          </w:p>
        </w:tc>
        <w:tc>
          <w:tcPr>
            <w:tcW w:w="220" w:type="dxa"/>
            <w:vAlign w:val="bottom"/>
          </w:tcPr>
          <w:p>
            <w:pPr>
              <w:spacing w:after="0"/>
              <w:rPr>
                <w:sz w:val="18"/>
                <w:szCs w:val="18"/>
                <w:color w:val="auto"/>
              </w:rPr>
            </w:pPr>
          </w:p>
        </w:tc>
        <w:tc>
          <w:tcPr>
            <w:tcW w:w="1000" w:type="dxa"/>
            <w:vAlign w:val="bottom"/>
            <w:gridSpan w:val="2"/>
          </w:tcPr>
          <w:p>
            <w:pPr>
              <w:ind w:left="120"/>
              <w:spacing w:after="0"/>
              <w:rPr>
                <w:sz w:val="20"/>
                <w:szCs w:val="20"/>
                <w:color w:val="auto"/>
              </w:rPr>
            </w:pPr>
            <w:r>
              <w:rPr>
                <w:rFonts w:ascii="Arial" w:cs="Arial" w:eastAsia="Arial" w:hAnsi="Arial"/>
                <w:sz w:val="18"/>
                <w:szCs w:val="18"/>
                <w:b w:val="1"/>
                <w:bCs w:val="1"/>
                <w:color w:val="auto"/>
              </w:rPr>
              <w:t>July 2,</w:t>
            </w:r>
          </w:p>
        </w:tc>
      </w:tr>
      <w:tr>
        <w:trPr>
          <w:trHeight w:val="241"/>
        </w:trPr>
        <w:tc>
          <w:tcPr>
            <w:tcW w:w="3300" w:type="dxa"/>
            <w:vAlign w:val="bottom"/>
          </w:tcPr>
          <w:p>
            <w:pPr>
              <w:spacing w:after="0"/>
              <w:rPr>
                <w:sz w:val="20"/>
                <w:szCs w:val="20"/>
                <w:color w:val="auto"/>
              </w:rPr>
            </w:pPr>
          </w:p>
        </w:tc>
        <w:tc>
          <w:tcPr>
            <w:tcW w:w="30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2022</w:t>
            </w:r>
          </w:p>
        </w:tc>
        <w:tc>
          <w:tcPr>
            <w:tcW w:w="1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2022</w:t>
            </w:r>
          </w:p>
        </w:tc>
        <w:tc>
          <w:tcPr>
            <w:tcW w:w="20" w:type="dxa"/>
            <w:vAlign w:val="bottom"/>
          </w:tcPr>
          <w:p>
            <w:pPr>
              <w:spacing w:after="0"/>
              <w:rPr>
                <w:sz w:val="20"/>
                <w:szCs w:val="20"/>
                <w:color w:val="auto"/>
              </w:rPr>
            </w:pPr>
          </w:p>
        </w:tc>
      </w:tr>
      <w:tr>
        <w:trPr>
          <w:trHeight w:val="203"/>
        </w:trPr>
        <w:tc>
          <w:tcPr>
            <w:tcW w:w="3300" w:type="dxa"/>
            <w:vAlign w:val="bottom"/>
          </w:tcPr>
          <w:p>
            <w:pPr>
              <w:spacing w:after="0"/>
              <w:rPr>
                <w:sz w:val="17"/>
                <w:szCs w:val="17"/>
                <w:color w:val="auto"/>
              </w:rPr>
            </w:pPr>
          </w:p>
        </w:tc>
        <w:tc>
          <w:tcPr>
            <w:tcW w:w="3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40" w:type="dxa"/>
            <w:vAlign w:val="bottom"/>
            <w:gridSpan w:val="4"/>
          </w:tcPr>
          <w:p>
            <w:pPr>
              <w:jc w:val="right"/>
              <w:ind w:right="710"/>
              <w:spacing w:after="0" w:line="202" w:lineRule="exact"/>
              <w:rPr>
                <w:sz w:val="20"/>
                <w:szCs w:val="20"/>
                <w:color w:val="auto"/>
              </w:rPr>
            </w:pPr>
            <w:r>
              <w:rPr>
                <w:rFonts w:ascii="Arial" w:cs="Arial" w:eastAsia="Arial" w:hAnsi="Arial"/>
                <w:sz w:val="18"/>
                <w:szCs w:val="18"/>
                <w:b w:val="1"/>
                <w:bCs w:val="1"/>
                <w:color w:val="auto"/>
              </w:rPr>
              <w:t>(Thousands)</w:t>
            </w:r>
          </w:p>
        </w:tc>
        <w:tc>
          <w:tcPr>
            <w:tcW w:w="20" w:type="dxa"/>
            <w:vAlign w:val="bottom"/>
          </w:tcPr>
          <w:p>
            <w:pPr>
              <w:spacing w:after="0"/>
              <w:rPr>
                <w:sz w:val="17"/>
                <w:szCs w:val="17"/>
                <w:color w:val="auto"/>
              </w:rPr>
            </w:pPr>
          </w:p>
        </w:tc>
      </w:tr>
      <w:tr>
        <w:trPr>
          <w:trHeight w:val="216"/>
        </w:trPr>
        <w:tc>
          <w:tcPr>
            <w:tcW w:w="33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Receivables</w:t>
            </w:r>
          </w:p>
        </w:tc>
        <w:tc>
          <w:tcPr>
            <w:tcW w:w="3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4,697,643</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4,414,904</w:t>
            </w:r>
          </w:p>
        </w:tc>
        <w:tc>
          <w:tcPr>
            <w:tcW w:w="20" w:type="dxa"/>
            <w:vAlign w:val="bottom"/>
          </w:tcPr>
          <w:p>
            <w:pPr>
              <w:spacing w:after="0"/>
              <w:rPr>
                <w:sz w:val="18"/>
                <w:szCs w:val="18"/>
                <w:color w:val="auto"/>
              </w:rPr>
            </w:pPr>
          </w:p>
        </w:tc>
      </w:tr>
      <w:tr>
        <w:trPr>
          <w:trHeight w:val="230"/>
        </w:trPr>
        <w:tc>
          <w:tcPr>
            <w:tcW w:w="3300" w:type="dxa"/>
            <w:vAlign w:val="bottom"/>
          </w:tcPr>
          <w:p>
            <w:pPr>
              <w:ind w:left="120"/>
              <w:spacing w:after="0"/>
              <w:rPr>
                <w:sz w:val="20"/>
                <w:szCs w:val="20"/>
                <w:color w:val="auto"/>
              </w:rPr>
            </w:pPr>
            <w:r>
              <w:rPr>
                <w:rFonts w:ascii="Arial" w:cs="Arial" w:eastAsia="Arial" w:hAnsi="Arial"/>
                <w:sz w:val="18"/>
                <w:szCs w:val="18"/>
                <w:color w:val="auto"/>
              </w:rPr>
              <w:t>Allowance for Credit Losses</w:t>
            </w:r>
          </w:p>
        </w:tc>
        <w:tc>
          <w:tcPr>
            <w:tcW w:w="30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(106,623)</w:t>
            </w:r>
          </w:p>
        </w:tc>
        <w:tc>
          <w:tcPr>
            <w:tcW w:w="2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(113,902)</w:t>
            </w:r>
          </w:p>
        </w:tc>
        <w:tc>
          <w:tcPr>
            <w:tcW w:w="20" w:type="dxa"/>
            <w:vAlign w:val="bottom"/>
          </w:tcPr>
          <w:p>
            <w:pPr>
              <w:spacing w:after="0"/>
              <w:rPr>
                <w:sz w:val="20"/>
                <w:szCs w:val="20"/>
                <w:color w:val="auto"/>
              </w:rPr>
            </w:pPr>
          </w:p>
        </w:tc>
      </w:tr>
      <w:tr>
        <w:trPr>
          <w:trHeight w:val="850"/>
        </w:trPr>
        <w:tc>
          <w:tcPr>
            <w:tcW w:w="3300" w:type="dxa"/>
            <w:vAlign w:val="bottom"/>
          </w:tcPr>
          <w:p>
            <w:pPr>
              <w:spacing w:after="0"/>
              <w:rPr>
                <w:sz w:val="24"/>
                <w:szCs w:val="24"/>
                <w:color w:val="auto"/>
              </w:rPr>
            </w:pPr>
          </w:p>
        </w:tc>
        <w:tc>
          <w:tcPr>
            <w:tcW w:w="3020" w:type="dxa"/>
            <w:vAlign w:val="bottom"/>
          </w:tcPr>
          <w:p>
            <w:pPr>
              <w:jc w:val="right"/>
              <w:ind w:right="1730"/>
              <w:spacing w:after="0"/>
              <w:rPr>
                <w:sz w:val="20"/>
                <w:szCs w:val="20"/>
                <w:color w:val="auto"/>
              </w:rPr>
            </w:pPr>
            <w:r>
              <w:rPr>
                <w:rFonts w:ascii="Arial" w:cs="Arial" w:eastAsia="Arial" w:hAnsi="Arial"/>
                <w:sz w:val="18"/>
                <w:szCs w:val="18"/>
                <w:color w:val="auto"/>
              </w:rPr>
              <w:t>7</w:t>
            </w: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561"/>
        </w:trPr>
        <w:tc>
          <w:tcPr>
            <w:tcW w:w="3300" w:type="dxa"/>
            <w:vAlign w:val="bottom"/>
            <w:tcBorders>
              <w:bottom w:val="single" w:sz="8" w:color="auto"/>
            </w:tcBorders>
          </w:tcPr>
          <w:p>
            <w:pPr>
              <w:spacing w:after="0"/>
              <w:rPr>
                <w:sz w:val="24"/>
                <w:szCs w:val="24"/>
                <w:color w:val="auto"/>
              </w:rPr>
            </w:pPr>
          </w:p>
        </w:tc>
        <w:tc>
          <w:tcPr>
            <w:tcW w:w="30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44" w:right="1440" w:bottom="1440" w:gutter="0" w:footer="0" w:header="0"/>
        </w:sectPr>
      </w:pPr>
    </w:p>
    <w:bookmarkStart w:id="8" w:name="page9"/>
    <w:bookmarkEnd w:id="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AVNET, INC. AND SUBSIDIARIES</w:t>
      </w:r>
    </w:p>
    <w:p>
      <w:pPr>
        <w:spacing w:after="0" w:line="5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43" w:lineRule="exact"/>
        <w:rPr>
          <w:sz w:val="20"/>
          <w:szCs w:val="20"/>
          <w:color w:val="auto"/>
        </w:rPr>
      </w:pPr>
    </w:p>
    <w:p>
      <w:pPr>
        <w:ind w:left="60" w:right="59" w:firstLine="427"/>
        <w:spacing w:after="0" w:line="277" w:lineRule="auto"/>
        <w:rPr>
          <w:sz w:val="20"/>
          <w:szCs w:val="20"/>
          <w:color w:val="auto"/>
        </w:rPr>
      </w:pPr>
      <w:r>
        <w:rPr>
          <w:rFonts w:ascii="Arial" w:cs="Arial" w:eastAsia="Arial" w:hAnsi="Arial"/>
          <w:sz w:val="18"/>
          <w:szCs w:val="18"/>
          <w:color w:val="auto"/>
        </w:rPr>
        <w:t>The Company had the following activity in the allowance for credit losses during the first quarters of fiscal 2023 and fiscal 2022:</w:t>
      </w:r>
    </w:p>
    <w:p>
      <w:pPr>
        <w:spacing w:after="0" w:line="180"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6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w w:val="94"/>
              </w:rPr>
              <w:t>October 1,</w:t>
            </w:r>
          </w:p>
        </w:tc>
        <w:tc>
          <w:tcPr>
            <w:tcW w:w="140" w:type="dxa"/>
            <w:vAlign w:val="bottom"/>
          </w:tcPr>
          <w:p>
            <w:pPr>
              <w:spacing w:after="0"/>
              <w:rPr>
                <w:sz w:val="18"/>
                <w:szCs w:val="18"/>
                <w:color w:val="auto"/>
              </w:rPr>
            </w:pPr>
          </w:p>
        </w:tc>
        <w:tc>
          <w:tcPr>
            <w:tcW w:w="1080" w:type="dxa"/>
            <w:vAlign w:val="bottom"/>
            <w:gridSpan w:val="2"/>
          </w:tcPr>
          <w:p>
            <w:pPr>
              <w:ind w:left="60"/>
              <w:spacing w:after="0"/>
              <w:rPr>
                <w:sz w:val="20"/>
                <w:szCs w:val="20"/>
                <w:color w:val="auto"/>
              </w:rPr>
            </w:pPr>
            <w:r>
              <w:rPr>
                <w:rFonts w:ascii="Arial" w:cs="Arial" w:eastAsia="Arial" w:hAnsi="Arial"/>
                <w:sz w:val="18"/>
                <w:szCs w:val="18"/>
                <w:b w:val="1"/>
                <w:bCs w:val="1"/>
                <w:color w:val="auto"/>
              </w:rPr>
              <w:t>October 2,</w:t>
            </w:r>
          </w:p>
        </w:tc>
      </w:tr>
      <w:tr>
        <w:trPr>
          <w:trHeight w:val="241"/>
        </w:trPr>
        <w:tc>
          <w:tcPr>
            <w:tcW w:w="63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2022</w:t>
            </w:r>
          </w:p>
        </w:tc>
        <w:tc>
          <w:tcPr>
            <w:tcW w:w="1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2021</w:t>
            </w:r>
          </w:p>
        </w:tc>
        <w:tc>
          <w:tcPr>
            <w:tcW w:w="20" w:type="dxa"/>
            <w:vAlign w:val="bottom"/>
          </w:tcPr>
          <w:p>
            <w:pPr>
              <w:spacing w:after="0"/>
              <w:rPr>
                <w:sz w:val="20"/>
                <w:szCs w:val="20"/>
                <w:color w:val="auto"/>
              </w:rPr>
            </w:pPr>
          </w:p>
        </w:tc>
      </w:tr>
      <w:tr>
        <w:trPr>
          <w:trHeight w:val="203"/>
        </w:trPr>
        <w:tc>
          <w:tcPr>
            <w:tcW w:w="6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40" w:type="dxa"/>
            <w:vAlign w:val="bottom"/>
            <w:gridSpan w:val="4"/>
          </w:tcPr>
          <w:p>
            <w:pPr>
              <w:jc w:val="right"/>
              <w:ind w:right="710"/>
              <w:spacing w:after="0" w:line="202" w:lineRule="exact"/>
              <w:rPr>
                <w:sz w:val="20"/>
                <w:szCs w:val="20"/>
                <w:color w:val="auto"/>
              </w:rPr>
            </w:pPr>
            <w:r>
              <w:rPr>
                <w:rFonts w:ascii="Arial" w:cs="Arial" w:eastAsia="Arial" w:hAnsi="Arial"/>
                <w:sz w:val="18"/>
                <w:szCs w:val="18"/>
                <w:b w:val="1"/>
                <w:bCs w:val="1"/>
                <w:color w:val="auto"/>
              </w:rPr>
              <w:t>(Thousands)</w:t>
            </w:r>
          </w:p>
        </w:tc>
        <w:tc>
          <w:tcPr>
            <w:tcW w:w="20" w:type="dxa"/>
            <w:vAlign w:val="bottom"/>
          </w:tcPr>
          <w:p>
            <w:pPr>
              <w:spacing w:after="0"/>
              <w:rPr>
                <w:sz w:val="17"/>
                <w:szCs w:val="17"/>
                <w:color w:val="auto"/>
              </w:rPr>
            </w:pPr>
          </w:p>
        </w:tc>
      </w:tr>
      <w:tr>
        <w:trPr>
          <w:trHeight w:val="216"/>
        </w:trPr>
        <w:tc>
          <w:tcPr>
            <w:tcW w:w="6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beginning of the period</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113,902</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88,160</w:t>
            </w:r>
          </w:p>
        </w:tc>
        <w:tc>
          <w:tcPr>
            <w:tcW w:w="20" w:type="dxa"/>
            <w:vAlign w:val="bottom"/>
          </w:tcPr>
          <w:p>
            <w:pPr>
              <w:spacing w:after="0"/>
              <w:rPr>
                <w:sz w:val="18"/>
                <w:szCs w:val="18"/>
                <w:color w:val="auto"/>
              </w:rPr>
            </w:pPr>
          </w:p>
        </w:tc>
      </w:tr>
      <w:tr>
        <w:trPr>
          <w:trHeight w:val="216"/>
        </w:trPr>
        <w:tc>
          <w:tcPr>
            <w:tcW w:w="6320" w:type="dxa"/>
            <w:vAlign w:val="bottom"/>
          </w:tcPr>
          <w:p>
            <w:pPr>
              <w:ind w:left="120"/>
              <w:spacing w:after="0"/>
              <w:rPr>
                <w:sz w:val="20"/>
                <w:szCs w:val="20"/>
                <w:color w:val="auto"/>
              </w:rPr>
            </w:pPr>
            <w:r>
              <w:rPr>
                <w:rFonts w:ascii="Arial" w:cs="Arial" w:eastAsia="Arial" w:hAnsi="Arial"/>
                <w:sz w:val="18"/>
                <w:szCs w:val="18"/>
                <w:color w:val="auto"/>
              </w:rPr>
              <w:t>Credit Loss Provisions</w:t>
            </w: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1,442</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4,174</w:t>
            </w:r>
          </w:p>
        </w:tc>
        <w:tc>
          <w:tcPr>
            <w:tcW w:w="20" w:type="dxa"/>
            <w:vAlign w:val="bottom"/>
          </w:tcPr>
          <w:p>
            <w:pPr>
              <w:spacing w:after="0"/>
              <w:rPr>
                <w:sz w:val="18"/>
                <w:szCs w:val="18"/>
                <w:color w:val="auto"/>
              </w:rPr>
            </w:pPr>
          </w:p>
        </w:tc>
      </w:tr>
      <w:tr>
        <w:trPr>
          <w:trHeight w:val="216"/>
        </w:trPr>
        <w:tc>
          <w:tcPr>
            <w:tcW w:w="63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Credit Loss Recoveries</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(216)</w:t>
            </w: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w:t>
            </w:r>
          </w:p>
        </w:tc>
        <w:tc>
          <w:tcPr>
            <w:tcW w:w="20" w:type="dxa"/>
            <w:vAlign w:val="bottom"/>
          </w:tcPr>
          <w:p>
            <w:pPr>
              <w:spacing w:after="0"/>
              <w:rPr>
                <w:sz w:val="18"/>
                <w:szCs w:val="18"/>
                <w:color w:val="auto"/>
              </w:rPr>
            </w:pPr>
          </w:p>
        </w:tc>
      </w:tr>
      <w:tr>
        <w:trPr>
          <w:trHeight w:val="216"/>
        </w:trPr>
        <w:tc>
          <w:tcPr>
            <w:tcW w:w="6320" w:type="dxa"/>
            <w:vAlign w:val="bottom"/>
          </w:tcPr>
          <w:p>
            <w:pPr>
              <w:ind w:left="120"/>
              <w:spacing w:after="0"/>
              <w:rPr>
                <w:sz w:val="20"/>
                <w:szCs w:val="20"/>
                <w:color w:val="auto"/>
              </w:rPr>
            </w:pPr>
            <w:r>
              <w:rPr>
                <w:rFonts w:ascii="Arial" w:cs="Arial" w:eastAsia="Arial" w:hAnsi="Arial"/>
                <w:sz w:val="18"/>
                <w:szCs w:val="18"/>
                <w:color w:val="auto"/>
              </w:rPr>
              <w:t>Receivables Write Offs</w:t>
            </w:r>
          </w:p>
        </w:tc>
        <w:tc>
          <w:tcPr>
            <w:tcW w:w="14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(3,378)</w:t>
            </w: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(3,193)</w:t>
            </w:r>
          </w:p>
        </w:tc>
        <w:tc>
          <w:tcPr>
            <w:tcW w:w="20" w:type="dxa"/>
            <w:vAlign w:val="bottom"/>
          </w:tcPr>
          <w:p>
            <w:pPr>
              <w:spacing w:after="0"/>
              <w:rPr>
                <w:sz w:val="18"/>
                <w:szCs w:val="18"/>
                <w:color w:val="auto"/>
              </w:rPr>
            </w:pPr>
          </w:p>
        </w:tc>
      </w:tr>
      <w:tr>
        <w:trPr>
          <w:trHeight w:val="236"/>
        </w:trPr>
        <w:tc>
          <w:tcPr>
            <w:tcW w:w="63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Foreign Currency Effect and Other</w:t>
            </w:r>
          </w:p>
        </w:tc>
        <w:tc>
          <w:tcPr>
            <w:tcW w:w="14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(5,127)</w:t>
            </w:r>
          </w:p>
        </w:tc>
        <w:tc>
          <w:tcPr>
            <w:tcW w:w="14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(947)</w:t>
            </w:r>
          </w:p>
        </w:tc>
        <w:tc>
          <w:tcPr>
            <w:tcW w:w="20" w:type="dxa"/>
            <w:vAlign w:val="bottom"/>
          </w:tcPr>
          <w:p>
            <w:pPr>
              <w:spacing w:after="0"/>
              <w:rPr>
                <w:sz w:val="20"/>
                <w:szCs w:val="20"/>
                <w:color w:val="auto"/>
              </w:rPr>
            </w:pPr>
          </w:p>
        </w:tc>
      </w:tr>
      <w:tr>
        <w:trPr>
          <w:trHeight w:val="203"/>
        </w:trPr>
        <w:tc>
          <w:tcPr>
            <w:tcW w:w="6320" w:type="dxa"/>
            <w:vAlign w:val="bottom"/>
            <w:tcBorders>
              <w:top w:val="single" w:sz="8" w:color="CCEEFF"/>
            </w:tcBorders>
          </w:tcPr>
          <w:p>
            <w:pPr>
              <w:ind w:left="20"/>
              <w:spacing w:after="0" w:line="203" w:lineRule="exact"/>
              <w:rPr>
                <w:sz w:val="20"/>
                <w:szCs w:val="20"/>
                <w:color w:val="auto"/>
              </w:rPr>
            </w:pPr>
            <w:r>
              <w:rPr>
                <w:rFonts w:ascii="Arial" w:cs="Arial" w:eastAsia="Arial" w:hAnsi="Arial"/>
                <w:sz w:val="18"/>
                <w:szCs w:val="18"/>
                <w:color w:val="auto"/>
              </w:rPr>
              <w:t>Balance at end of the period</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106,623</w:t>
            </w:r>
          </w:p>
        </w:tc>
        <w:tc>
          <w:tcPr>
            <w:tcW w:w="180" w:type="dxa"/>
            <w:vAlign w:val="bottom"/>
            <w:tcBorders>
              <w:top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87,918</w:t>
            </w:r>
          </w:p>
        </w:tc>
        <w:tc>
          <w:tcPr>
            <w:tcW w:w="20" w:type="dxa"/>
            <w:vAlign w:val="bottom"/>
          </w:tcPr>
          <w:p>
            <w:pPr>
              <w:spacing w:after="0"/>
              <w:rPr>
                <w:sz w:val="17"/>
                <w:szCs w:val="17"/>
                <w:color w:val="auto"/>
              </w:rPr>
            </w:pPr>
          </w:p>
        </w:tc>
      </w:tr>
      <w:tr>
        <w:trPr>
          <w:trHeight w:val="20"/>
        </w:trPr>
        <w:tc>
          <w:tcPr>
            <w:tcW w:w="6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7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3. Goodwill and intangible assets</w:t>
      </w:r>
    </w:p>
    <w:p>
      <w:pPr>
        <w:spacing w:after="0" w:line="229" w:lineRule="exact"/>
        <w:rPr>
          <w:sz w:val="20"/>
          <w:szCs w:val="20"/>
          <w:color w:val="auto"/>
        </w:rPr>
      </w:pPr>
    </w:p>
    <w:p>
      <w:pPr>
        <w:ind w:left="480"/>
        <w:spacing w:after="0"/>
        <w:rPr>
          <w:sz w:val="20"/>
          <w:szCs w:val="20"/>
          <w:color w:val="auto"/>
        </w:rPr>
      </w:pPr>
      <w:r>
        <w:rPr>
          <w:rFonts w:ascii="Arial" w:cs="Arial" w:eastAsia="Arial" w:hAnsi="Arial"/>
          <w:sz w:val="18"/>
          <w:szCs w:val="18"/>
          <w:i w:val="1"/>
          <w:iCs w:val="1"/>
          <w:color w:val="auto"/>
        </w:rPr>
        <w:t>Goodwill</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The following table presents the change in goodwill by reportable segment for the first quarter ended October 1,</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8"/>
          <w:szCs w:val="18"/>
          <w:color w:val="auto"/>
        </w:rPr>
        <w:t>2022.</w:t>
      </w:r>
    </w:p>
    <w:p>
      <w:pPr>
        <w:spacing w:after="0" w:line="220"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ind w:right="150"/>
              <w:spacing w:after="0"/>
              <w:rPr>
                <w:sz w:val="20"/>
                <w:szCs w:val="20"/>
                <w:color w:val="auto"/>
              </w:rPr>
            </w:pPr>
            <w:r>
              <w:rPr>
                <w:rFonts w:ascii="Arial" w:cs="Arial" w:eastAsia="Arial" w:hAnsi="Arial"/>
                <w:sz w:val="18"/>
                <w:szCs w:val="18"/>
                <w:b w:val="1"/>
                <w:bCs w:val="1"/>
                <w:color w:val="auto"/>
                <w:w w:val="94"/>
              </w:rPr>
              <w:t>Electronic</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41"/>
        </w:trPr>
        <w:tc>
          <w:tcPr>
            <w:tcW w:w="2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87"/>
              </w:rPr>
              <w:t>Components</w:t>
            </w: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Farnell</w:t>
            </w:r>
          </w:p>
        </w:tc>
        <w:tc>
          <w:tcPr>
            <w:tcW w:w="1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Total</w:t>
            </w:r>
          </w:p>
        </w:tc>
      </w:tr>
      <w:tr>
        <w:trPr>
          <w:trHeight w:val="203"/>
        </w:trPr>
        <w:tc>
          <w:tcPr>
            <w:tcW w:w="2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b w:val="1"/>
                <w:bCs w:val="1"/>
                <w:color w:val="auto"/>
                <w:w w:val="90"/>
              </w:rPr>
              <w:t>(Thousands)</w:t>
            </w: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3860" w:type="dxa"/>
            <w:vAlign w:val="bottom"/>
            <w:gridSpan w:val="2"/>
            <w:shd w:val="clear" w:color="auto" w:fill="CCEEFF"/>
          </w:tcPr>
          <w:p>
            <w:pPr>
              <w:spacing w:after="0" w:line="216" w:lineRule="exact"/>
              <w:rPr>
                <w:sz w:val="20"/>
                <w:szCs w:val="20"/>
                <w:color w:val="auto"/>
              </w:rPr>
            </w:pPr>
            <w:r>
              <w:rPr>
                <w:rFonts w:ascii="Arial" w:cs="Arial" w:eastAsia="Arial" w:hAnsi="Arial"/>
                <w:sz w:val="17"/>
                <w:szCs w:val="17"/>
                <w:color w:val="auto"/>
              </w:rPr>
              <w:t xml:space="preserve">Carrying value at July 2, 2022 </w:t>
            </w:r>
            <w:r>
              <w:rPr>
                <w:rFonts w:ascii="Arial" w:cs="Arial" w:eastAsia="Arial" w:hAnsi="Arial"/>
                <w:sz w:val="25"/>
                <w:szCs w:val="25"/>
                <w:color w:val="auto"/>
                <w:vertAlign w:val="superscript"/>
              </w:rPr>
              <w:t>(1)</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291,526</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467,307</w:t>
            </w:r>
          </w:p>
        </w:tc>
        <w:tc>
          <w:tcPr>
            <w:tcW w:w="400" w:type="dxa"/>
            <w:vAlign w:val="bottom"/>
            <w:gridSpan w:val="2"/>
            <w:shd w:val="clear" w:color="auto" w:fill="CCEEFF"/>
          </w:tcPr>
          <w:p>
            <w:pPr>
              <w:jc w:val="right"/>
              <w:ind w:right="87"/>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758,833</w:t>
            </w:r>
          </w:p>
        </w:tc>
      </w:tr>
      <w:tr>
        <w:trPr>
          <w:trHeight w:val="223"/>
        </w:trPr>
        <w:tc>
          <w:tcPr>
            <w:tcW w:w="20" w:type="dxa"/>
            <w:vAlign w:val="bottom"/>
          </w:tcPr>
          <w:p>
            <w:pPr>
              <w:spacing w:after="0"/>
              <w:rPr>
                <w:sz w:val="19"/>
                <w:szCs w:val="19"/>
                <w:color w:val="auto"/>
              </w:rPr>
            </w:pPr>
          </w:p>
        </w:tc>
        <w:tc>
          <w:tcPr>
            <w:tcW w:w="3860" w:type="dxa"/>
            <w:vAlign w:val="bottom"/>
            <w:tcBorders>
              <w:bottom w:val="single" w:sz="8" w:color="CCEEFF"/>
            </w:tcBorders>
            <w:gridSpan w:val="2"/>
          </w:tcPr>
          <w:p>
            <w:pPr>
              <w:ind w:left="100"/>
              <w:spacing w:after="0"/>
              <w:rPr>
                <w:sz w:val="20"/>
                <w:szCs w:val="20"/>
                <w:color w:val="auto"/>
              </w:rPr>
            </w:pPr>
            <w:r>
              <w:rPr>
                <w:rFonts w:ascii="Arial" w:cs="Arial" w:eastAsia="Arial" w:hAnsi="Arial"/>
                <w:sz w:val="18"/>
                <w:szCs w:val="18"/>
                <w:color w:val="auto"/>
              </w:rPr>
              <w:t>Foreign currency translation</w:t>
            </w:r>
          </w:p>
        </w:tc>
        <w:tc>
          <w:tcPr>
            <w:tcW w:w="12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(11,780)</w:t>
            </w: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(43,225)</w:t>
            </w:r>
          </w:p>
        </w:tc>
        <w:tc>
          <w:tcPr>
            <w:tcW w:w="16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(55,005)</w:t>
            </w:r>
          </w:p>
        </w:tc>
      </w:tr>
      <w:tr>
        <w:trPr>
          <w:trHeight w:val="216"/>
        </w:trPr>
        <w:tc>
          <w:tcPr>
            <w:tcW w:w="20" w:type="dxa"/>
            <w:vAlign w:val="bottom"/>
          </w:tcPr>
          <w:p>
            <w:pPr>
              <w:spacing w:after="0"/>
              <w:rPr>
                <w:sz w:val="18"/>
                <w:szCs w:val="18"/>
                <w:color w:val="auto"/>
              </w:rPr>
            </w:pPr>
          </w:p>
        </w:tc>
        <w:tc>
          <w:tcPr>
            <w:tcW w:w="3860" w:type="dxa"/>
            <w:vAlign w:val="bottom"/>
            <w:tcBorders>
              <w:bottom w:val="single" w:sz="8" w:color="CCEEFF"/>
            </w:tcBorders>
            <w:gridSpan w:val="2"/>
            <w:shd w:val="clear" w:color="auto" w:fill="CCEEFF"/>
          </w:tcPr>
          <w:p>
            <w:pPr>
              <w:spacing w:after="0" w:line="216" w:lineRule="exact"/>
              <w:rPr>
                <w:sz w:val="20"/>
                <w:szCs w:val="20"/>
                <w:color w:val="auto"/>
              </w:rPr>
            </w:pPr>
            <w:r>
              <w:rPr>
                <w:rFonts w:ascii="Arial" w:cs="Arial" w:eastAsia="Arial" w:hAnsi="Arial"/>
                <w:sz w:val="17"/>
                <w:szCs w:val="17"/>
                <w:color w:val="auto"/>
              </w:rPr>
              <w:t xml:space="preserve">Carrying value at October 1, 2022 </w:t>
            </w:r>
            <w:r>
              <w:rPr>
                <w:rFonts w:ascii="Arial" w:cs="Arial" w:eastAsia="Arial" w:hAnsi="Arial"/>
                <w:sz w:val="25"/>
                <w:szCs w:val="25"/>
                <w:color w:val="auto"/>
                <w:vertAlign w:val="superscript"/>
              </w:rPr>
              <w:t>(1)</w:t>
            </w:r>
          </w:p>
        </w:tc>
        <w:tc>
          <w:tcPr>
            <w:tcW w:w="12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279,746</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424,082</w:t>
            </w:r>
          </w:p>
        </w:tc>
        <w:tc>
          <w:tcPr>
            <w:tcW w:w="16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703,828</w:t>
            </w: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88"/>
        </w:trPr>
        <w:tc>
          <w:tcPr>
            <w:tcW w:w="20" w:type="dxa"/>
            <w:vAlign w:val="bottom"/>
            <w:tcBorders>
              <w:bottom w:val="single" w:sz="8" w:color="0D0D0D"/>
            </w:tcBorders>
          </w:tcPr>
          <w:p>
            <w:pPr>
              <w:spacing w:after="0"/>
              <w:rPr>
                <w:sz w:val="7"/>
                <w:szCs w:val="7"/>
                <w:color w:val="auto"/>
              </w:rPr>
            </w:pPr>
          </w:p>
        </w:tc>
        <w:tc>
          <w:tcPr>
            <w:tcW w:w="2220" w:type="dxa"/>
            <w:vAlign w:val="bottom"/>
            <w:tcBorders>
              <w:bottom w:val="single" w:sz="8" w:color="0D0D0D"/>
            </w:tcBorders>
          </w:tcPr>
          <w:p>
            <w:pPr>
              <w:spacing w:after="0"/>
              <w:rPr>
                <w:sz w:val="7"/>
                <w:szCs w:val="7"/>
                <w:color w:val="auto"/>
              </w:rPr>
            </w:pPr>
          </w:p>
        </w:tc>
        <w:tc>
          <w:tcPr>
            <w:tcW w:w="1640" w:type="dxa"/>
            <w:vAlign w:val="bottom"/>
          </w:tcPr>
          <w:p>
            <w:pPr>
              <w:spacing w:after="0"/>
              <w:rPr>
                <w:sz w:val="7"/>
                <w:szCs w:val="7"/>
                <w:color w:val="auto"/>
              </w:rPr>
            </w:pPr>
          </w:p>
        </w:tc>
        <w:tc>
          <w:tcPr>
            <w:tcW w:w="1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60" w:type="dxa"/>
            <w:vAlign w:val="bottom"/>
          </w:tcPr>
          <w:p>
            <w:pPr>
              <w:spacing w:after="0"/>
              <w:rPr>
                <w:sz w:val="7"/>
                <w:szCs w:val="7"/>
                <w:color w:val="auto"/>
              </w:rPr>
            </w:pPr>
          </w:p>
        </w:tc>
        <w:tc>
          <w:tcPr>
            <w:tcW w:w="240" w:type="dxa"/>
            <w:vAlign w:val="bottom"/>
          </w:tcPr>
          <w:p>
            <w:pPr>
              <w:spacing w:after="0"/>
              <w:rPr>
                <w:sz w:val="7"/>
                <w:szCs w:val="7"/>
                <w:color w:val="auto"/>
              </w:rPr>
            </w:pPr>
          </w:p>
        </w:tc>
        <w:tc>
          <w:tcPr>
            <w:tcW w:w="960" w:type="dxa"/>
            <w:vAlign w:val="bottom"/>
          </w:tcPr>
          <w:p>
            <w:pPr>
              <w:spacing w:after="0"/>
              <w:rPr>
                <w:sz w:val="7"/>
                <w:szCs w:val="7"/>
                <w:color w:val="auto"/>
              </w:rPr>
            </w:pPr>
          </w:p>
        </w:tc>
      </w:tr>
    </w:tbl>
    <w:p>
      <w:pPr>
        <w:spacing w:after="0" w:line="71" w:lineRule="exact"/>
        <w:rPr>
          <w:sz w:val="20"/>
          <w:szCs w:val="20"/>
          <w:color w:val="auto"/>
        </w:rPr>
      </w:pPr>
    </w:p>
    <w:p>
      <w:pPr>
        <w:ind w:left="300" w:hanging="250"/>
        <w:spacing w:after="0"/>
        <w:tabs>
          <w:tab w:leader="none" w:pos="300" w:val="left"/>
        </w:tabs>
        <w:numPr>
          <w:ilvl w:val="0"/>
          <w:numId w:val="3"/>
        </w:numPr>
        <w:rPr>
          <w:rFonts w:ascii="Arial" w:cs="Arial" w:eastAsia="Arial" w:hAnsi="Arial"/>
          <w:sz w:val="12"/>
          <w:szCs w:val="12"/>
          <w:color w:val="auto"/>
        </w:rPr>
      </w:pPr>
      <w:r>
        <w:rPr>
          <w:rFonts w:ascii="Arial" w:cs="Arial" w:eastAsia="Arial" w:hAnsi="Arial"/>
          <w:sz w:val="16"/>
          <w:szCs w:val="16"/>
          <w:color w:val="auto"/>
        </w:rPr>
        <w:t>Includes accumulated impairments of $1,482,677 from prior fiscal years.</w:t>
      </w:r>
    </w:p>
    <w:p>
      <w:pPr>
        <w:spacing w:after="0" w:line="122" w:lineRule="exact"/>
        <w:rPr>
          <w:rFonts w:ascii="Arial" w:cs="Arial" w:eastAsia="Arial" w:hAnsi="Arial"/>
          <w:sz w:val="12"/>
          <w:szCs w:val="12"/>
          <w:color w:val="auto"/>
        </w:rPr>
      </w:pPr>
    </w:p>
    <w:p>
      <w:pPr>
        <w:ind w:left="480"/>
        <w:spacing w:after="0"/>
        <w:rPr>
          <w:rFonts w:ascii="Arial" w:cs="Arial" w:eastAsia="Arial" w:hAnsi="Arial"/>
          <w:sz w:val="12"/>
          <w:szCs w:val="12"/>
          <w:color w:val="auto"/>
        </w:rPr>
      </w:pPr>
      <w:r>
        <w:rPr>
          <w:rFonts w:ascii="Arial" w:cs="Arial" w:eastAsia="Arial" w:hAnsi="Arial"/>
          <w:sz w:val="18"/>
          <w:szCs w:val="18"/>
          <w:i w:val="1"/>
          <w:iCs w:val="1"/>
          <w:color w:val="auto"/>
        </w:rPr>
        <w:t>Intangible Assets</w:t>
      </w:r>
    </w:p>
    <w:p>
      <w:pPr>
        <w:spacing w:after="0" w:line="225" w:lineRule="exact"/>
        <w:rPr>
          <w:sz w:val="20"/>
          <w:szCs w:val="20"/>
          <w:color w:val="auto"/>
        </w:rPr>
      </w:pPr>
    </w:p>
    <w:p>
      <w:pPr>
        <w:ind w:left="60" w:right="459" w:firstLine="427"/>
        <w:spacing w:after="0" w:line="263" w:lineRule="auto"/>
        <w:rPr>
          <w:sz w:val="20"/>
          <w:szCs w:val="20"/>
          <w:color w:val="auto"/>
        </w:rPr>
      </w:pPr>
      <w:r>
        <w:rPr>
          <w:rFonts w:ascii="Arial" w:cs="Arial" w:eastAsia="Arial" w:hAnsi="Arial"/>
          <w:sz w:val="18"/>
          <w:szCs w:val="18"/>
          <w:color w:val="auto"/>
        </w:rPr>
        <w:t>The net book value of intangible assets were $9.6 million as of October 1, 2022 and is not material to the consolidated financial statements. Intangible asset amortization expense was $2.8 million and $5.2 million for the first quarters of fiscal 2023 and 2022, respectively.</w:t>
      </w:r>
    </w:p>
    <w:p>
      <w:pPr>
        <w:spacing w:after="0" w:line="11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4. Debt</w:t>
      </w:r>
    </w:p>
    <w:p>
      <w:pPr>
        <w:spacing w:after="0" w:line="229" w:lineRule="exact"/>
        <w:rPr>
          <w:sz w:val="20"/>
          <w:szCs w:val="20"/>
          <w:color w:val="auto"/>
        </w:rPr>
      </w:pPr>
    </w:p>
    <w:p>
      <w:pPr>
        <w:ind w:left="480"/>
        <w:spacing w:after="0"/>
        <w:rPr>
          <w:sz w:val="20"/>
          <w:szCs w:val="20"/>
          <w:color w:val="auto"/>
        </w:rPr>
      </w:pPr>
      <w:r>
        <w:rPr>
          <w:rFonts w:ascii="Arial" w:cs="Arial" w:eastAsia="Arial" w:hAnsi="Arial"/>
          <w:sz w:val="18"/>
          <w:szCs w:val="18"/>
          <w:color w:val="auto"/>
        </w:rPr>
        <w:t>Short-term debt consists of the following (carrying balances in thousands):</w:t>
      </w:r>
    </w:p>
    <w:p>
      <w:pPr>
        <w:spacing w:after="0" w:line="248" w:lineRule="exact"/>
        <w:rPr>
          <w:sz w:val="20"/>
          <w:szCs w:val="20"/>
          <w:color w:val="auto"/>
        </w:rPr>
      </w:pPr>
    </w:p>
    <w:tbl>
      <w:tblPr>
        <w:tblLayout w:type="fixed"/>
        <w:tblInd w:w="180" w:type="dxa"/>
        <w:tblCellMar>
          <w:top w:w="0" w:type="dxa"/>
          <w:left w:w="0" w:type="dxa"/>
          <w:bottom w:w="0" w:type="dxa"/>
          <w:right w:w="0" w:type="dxa"/>
        </w:tblCellMar>
      </w:tblPr>
      <w:tr>
        <w:trPr>
          <w:trHeight w:val="216"/>
        </w:trPr>
        <w:tc>
          <w:tcPr>
            <w:tcW w:w="4960" w:type="dxa"/>
            <w:vAlign w:val="bottom"/>
          </w:tcPr>
          <w:p>
            <w:pPr>
              <w:spacing w:after="0"/>
              <w:rPr>
                <w:sz w:val="18"/>
                <w:szCs w:val="18"/>
                <w:color w:val="auto"/>
              </w:rPr>
            </w:pPr>
          </w:p>
        </w:tc>
        <w:tc>
          <w:tcPr>
            <w:tcW w:w="1080" w:type="dxa"/>
            <w:vAlign w:val="bottom"/>
            <w:gridSpan w:val="2"/>
          </w:tcPr>
          <w:p>
            <w:pPr>
              <w:ind w:left="60"/>
              <w:spacing w:after="0"/>
              <w:rPr>
                <w:sz w:val="20"/>
                <w:szCs w:val="20"/>
                <w:color w:val="auto"/>
              </w:rPr>
            </w:pPr>
            <w:r>
              <w:rPr>
                <w:rFonts w:ascii="Arial" w:cs="Arial" w:eastAsia="Arial" w:hAnsi="Arial"/>
                <w:sz w:val="18"/>
                <w:szCs w:val="18"/>
                <w:b w:val="1"/>
                <w:bCs w:val="1"/>
                <w:color w:val="auto"/>
              </w:rPr>
              <w:t>October 1,</w:t>
            </w: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w w:val="96"/>
              </w:rPr>
              <w:t>July 2,</w:t>
            </w:r>
          </w:p>
        </w:tc>
        <w:tc>
          <w:tcPr>
            <w:tcW w:w="14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b w:val="1"/>
                <w:bCs w:val="1"/>
                <w:color w:val="auto"/>
                <w:w w:val="89"/>
              </w:rPr>
              <w:t>October 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ind w:left="40"/>
              <w:spacing w:after="0"/>
              <w:rPr>
                <w:sz w:val="20"/>
                <w:szCs w:val="20"/>
                <w:color w:val="auto"/>
              </w:rPr>
            </w:pPr>
            <w:r>
              <w:rPr>
                <w:rFonts w:ascii="Arial" w:cs="Arial" w:eastAsia="Arial" w:hAnsi="Arial"/>
                <w:sz w:val="18"/>
                <w:szCs w:val="18"/>
                <w:b w:val="1"/>
                <w:bCs w:val="1"/>
                <w:color w:val="auto"/>
              </w:rPr>
              <w:t>July 2,</w:t>
            </w:r>
          </w:p>
        </w:tc>
      </w:tr>
      <w:tr>
        <w:trPr>
          <w:trHeight w:val="241"/>
        </w:trPr>
        <w:tc>
          <w:tcPr>
            <w:tcW w:w="4960" w:type="dxa"/>
            <w:vAlign w:val="bottom"/>
          </w:tcPr>
          <w:p>
            <w:pPr>
              <w:spacing w:after="0"/>
              <w:rPr>
                <w:sz w:val="20"/>
                <w:szCs w:val="20"/>
                <w:color w:val="auto"/>
              </w:rPr>
            </w:pPr>
          </w:p>
        </w:tc>
        <w:tc>
          <w:tcPr>
            <w:tcW w:w="9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2022</w:t>
            </w:r>
          </w:p>
        </w:tc>
        <w:tc>
          <w:tcPr>
            <w:tcW w:w="140" w:type="dxa"/>
            <w:vAlign w:val="bottom"/>
          </w:tcPr>
          <w:p>
            <w:pPr>
              <w:spacing w:after="0"/>
              <w:rPr>
                <w:sz w:val="20"/>
                <w:szCs w:val="20"/>
                <w:color w:val="auto"/>
              </w:rPr>
            </w:pPr>
          </w:p>
        </w:tc>
        <w:tc>
          <w:tcPr>
            <w:tcW w:w="62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b w:val="1"/>
                <w:bCs w:val="1"/>
                <w:color w:val="auto"/>
              </w:rPr>
              <w:t>2022</w:t>
            </w:r>
          </w:p>
        </w:tc>
        <w:tc>
          <w:tcPr>
            <w:tcW w:w="1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2022</w:t>
            </w:r>
          </w:p>
        </w:tc>
        <w:tc>
          <w:tcPr>
            <w:tcW w:w="1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2022</w:t>
            </w:r>
          </w:p>
        </w:tc>
        <w:tc>
          <w:tcPr>
            <w:tcW w:w="60" w:type="dxa"/>
            <w:vAlign w:val="bottom"/>
          </w:tcPr>
          <w:p>
            <w:pPr>
              <w:spacing w:after="0"/>
              <w:rPr>
                <w:sz w:val="20"/>
                <w:szCs w:val="20"/>
                <w:color w:val="auto"/>
              </w:rPr>
            </w:pPr>
          </w:p>
        </w:tc>
      </w:tr>
      <w:tr>
        <w:trPr>
          <w:trHeight w:val="209"/>
        </w:trPr>
        <w:tc>
          <w:tcPr>
            <w:tcW w:w="4960" w:type="dxa"/>
            <w:vAlign w:val="bottom"/>
            <w:tcBorders>
              <w:bottom w:val="single" w:sz="8" w:color="CCEEFF"/>
            </w:tcBorders>
          </w:tcPr>
          <w:p>
            <w:pPr>
              <w:spacing w:after="0"/>
              <w:rPr>
                <w:sz w:val="18"/>
                <w:szCs w:val="18"/>
                <w:color w:val="auto"/>
              </w:rPr>
            </w:pPr>
          </w:p>
        </w:tc>
        <w:tc>
          <w:tcPr>
            <w:tcW w:w="9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b w:val="1"/>
                <w:bCs w:val="1"/>
                <w:color w:val="auto"/>
              </w:rPr>
              <w:t>Interest</w:t>
            </w:r>
          </w:p>
        </w:tc>
        <w:tc>
          <w:tcPr>
            <w:tcW w:w="1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273"/>
              <w:spacing w:after="0"/>
              <w:rPr>
                <w:sz w:val="20"/>
                <w:szCs w:val="20"/>
                <w:color w:val="auto"/>
              </w:rPr>
            </w:pPr>
            <w:r>
              <w:rPr>
                <w:rFonts w:ascii="Arial" w:cs="Arial" w:eastAsia="Arial" w:hAnsi="Arial"/>
                <w:sz w:val="15"/>
                <w:szCs w:val="15"/>
                <w:b w:val="1"/>
                <w:bCs w:val="1"/>
                <w:color w:val="auto"/>
                <w:w w:val="73"/>
              </w:rPr>
              <w:t>Rate</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b w:val="1"/>
                <w:bCs w:val="1"/>
                <w:color w:val="auto"/>
                <w:w w:val="94"/>
              </w:rPr>
              <w:t>Carrying</w:t>
            </w:r>
          </w:p>
        </w:tc>
        <w:tc>
          <w:tcPr>
            <w:tcW w:w="1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gridSpan w:val="2"/>
          </w:tcPr>
          <w:p>
            <w:pPr>
              <w:spacing w:after="0" w:line="202" w:lineRule="exact"/>
              <w:rPr>
                <w:sz w:val="20"/>
                <w:szCs w:val="20"/>
                <w:color w:val="auto"/>
              </w:rPr>
            </w:pPr>
            <w:r>
              <w:rPr>
                <w:rFonts w:ascii="Arial" w:cs="Arial" w:eastAsia="Arial" w:hAnsi="Arial"/>
                <w:sz w:val="18"/>
                <w:szCs w:val="18"/>
                <w:b w:val="1"/>
                <w:bCs w:val="1"/>
                <w:color w:val="auto"/>
              </w:rPr>
              <w:t>Balance</w:t>
            </w:r>
          </w:p>
        </w:tc>
        <w:tc>
          <w:tcPr>
            <w:tcW w:w="60" w:type="dxa"/>
            <w:vAlign w:val="bottom"/>
            <w:tcBorders>
              <w:bottom w:val="single" w:sz="8" w:color="CCEEFF"/>
            </w:tcBorders>
          </w:tcPr>
          <w:p>
            <w:pPr>
              <w:spacing w:after="0"/>
              <w:rPr>
                <w:sz w:val="18"/>
                <w:szCs w:val="18"/>
                <w:color w:val="auto"/>
              </w:rPr>
            </w:pPr>
          </w:p>
        </w:tc>
      </w:tr>
      <w:tr>
        <w:trPr>
          <w:trHeight w:val="216"/>
        </w:trPr>
        <w:tc>
          <w:tcPr>
            <w:tcW w:w="496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7"/>
              </w:rPr>
              <w:t>Accounts receivable securitization program (due August 2023)</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3.89 %</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450,000</w:t>
            </w:r>
          </w:p>
        </w:tc>
        <w:tc>
          <w:tcPr>
            <w:tcW w:w="2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r>
      <w:tr>
        <w:trPr>
          <w:trHeight w:val="223"/>
        </w:trPr>
        <w:tc>
          <w:tcPr>
            <w:tcW w:w="496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Other short-term debt</w:t>
            </w:r>
          </w:p>
        </w:tc>
        <w:tc>
          <w:tcPr>
            <w:tcW w:w="9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4.39 %</w:t>
            </w:r>
          </w:p>
        </w:tc>
        <w:tc>
          <w:tcPr>
            <w:tcW w:w="140" w:type="dxa"/>
            <w:vAlign w:val="bottom"/>
            <w:tcBorders>
              <w:bottom w:val="single" w:sz="8" w:color="CCEEFF"/>
            </w:tcBorders>
          </w:tcPr>
          <w:p>
            <w:pPr>
              <w:spacing w:after="0"/>
              <w:rPr>
                <w:sz w:val="19"/>
                <w:szCs w:val="19"/>
                <w:color w:val="auto"/>
              </w:rPr>
            </w:pPr>
          </w:p>
        </w:tc>
        <w:tc>
          <w:tcPr>
            <w:tcW w:w="6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2.09 %</w:t>
            </w:r>
          </w:p>
        </w:tc>
        <w:tc>
          <w:tcPr>
            <w:tcW w:w="14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63,000</w:t>
            </w:r>
          </w:p>
        </w:tc>
        <w:tc>
          <w:tcPr>
            <w:tcW w:w="14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174,422</w:t>
            </w:r>
          </w:p>
        </w:tc>
        <w:tc>
          <w:tcPr>
            <w:tcW w:w="60" w:type="dxa"/>
            <w:vAlign w:val="bottom"/>
            <w:tcBorders>
              <w:bottom w:val="single" w:sz="8" w:color="CCEEFF"/>
            </w:tcBorders>
          </w:tcPr>
          <w:p>
            <w:pPr>
              <w:spacing w:after="0"/>
              <w:rPr>
                <w:sz w:val="19"/>
                <w:szCs w:val="19"/>
                <w:color w:val="auto"/>
              </w:rPr>
            </w:pPr>
          </w:p>
        </w:tc>
      </w:tr>
      <w:tr>
        <w:trPr>
          <w:trHeight w:val="216"/>
        </w:trPr>
        <w:tc>
          <w:tcPr>
            <w:tcW w:w="49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Short-term debt</w:t>
            </w:r>
          </w:p>
        </w:tc>
        <w:tc>
          <w:tcPr>
            <w:tcW w:w="9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513,000</w:t>
            </w:r>
          </w:p>
        </w:tc>
        <w:tc>
          <w:tcPr>
            <w:tcW w:w="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174,422</w:t>
            </w:r>
          </w:p>
        </w:tc>
        <w:tc>
          <w:tcPr>
            <w:tcW w:w="60" w:type="dxa"/>
            <w:vAlign w:val="bottom"/>
            <w:tcBorders>
              <w:bottom w:val="single" w:sz="8" w:color="CCEEFF"/>
            </w:tcBorders>
            <w:shd w:val="clear" w:color="auto" w:fill="CCEEFF"/>
          </w:tcPr>
          <w:p>
            <w:pPr>
              <w:spacing w:after="0"/>
              <w:rPr>
                <w:sz w:val="18"/>
                <w:szCs w:val="18"/>
                <w:color w:val="auto"/>
              </w:rPr>
            </w:pPr>
          </w:p>
        </w:tc>
      </w:tr>
      <w:tr>
        <w:trPr>
          <w:trHeight w:val="20"/>
        </w:trPr>
        <w:tc>
          <w:tcPr>
            <w:tcW w:w="49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 w:right="119" w:firstLine="427"/>
        <w:spacing w:after="0" w:line="301" w:lineRule="auto"/>
        <w:rPr>
          <w:sz w:val="20"/>
          <w:szCs w:val="20"/>
          <w:color w:val="auto"/>
        </w:rPr>
      </w:pPr>
      <w:r>
        <w:rPr>
          <w:rFonts w:ascii="Arial" w:cs="Arial" w:eastAsia="Arial" w:hAnsi="Arial"/>
          <w:sz w:val="16"/>
          <w:szCs w:val="16"/>
          <w:color w:val="auto"/>
        </w:rPr>
        <w:t>The Company has a trade accounts receivable securitization program (the “Securitization Program”) in the United States with a group of financial institutions. The Securitization Program allows the Company to transfer, on an ongoing revolving basis, an undivided interest in a designated pool of trade accounts receivable, to provide security or collateral for borrowings of up to a maximum of $450 million. The Securitization Program does not qualify for off balance sheet</w:t>
      </w:r>
    </w:p>
    <w:p>
      <w:pPr>
        <w:sectPr>
          <w:pgSz w:w="11900" w:h="16838" w:orient="portrait"/>
          <w:cols w:equalWidth="0" w:num="1">
            <w:col w:w="9019"/>
          </w:cols>
          <w:pgMar w:left="1440" w:top="544" w:right="1440" w:bottom="1440" w:gutter="0" w:footer="0" w:header="0"/>
        </w:sectPr>
      </w:pP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44" w:right="1440" w:bottom="1440" w:gutter="0" w:footer="0" w:header="0"/>
          <w:type w:val="continuous"/>
        </w:sectPr>
      </w:pPr>
    </w:p>
    <w:bookmarkStart w:id="9" w:name="page10"/>
    <w:bookmarkEnd w:id="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AVNET, INC. AND SUBSIDIARIES</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43" w:lineRule="exact"/>
        <w:rPr>
          <w:sz w:val="20"/>
          <w:szCs w:val="20"/>
          <w:color w:val="auto"/>
        </w:rPr>
      </w:pPr>
    </w:p>
    <w:p>
      <w:pPr>
        <w:ind w:left="60" w:right="59"/>
        <w:spacing w:after="0" w:line="296" w:lineRule="auto"/>
        <w:rPr>
          <w:sz w:val="20"/>
          <w:szCs w:val="20"/>
          <w:color w:val="auto"/>
        </w:rPr>
      </w:pPr>
      <w:r>
        <w:rPr>
          <w:rFonts w:ascii="Arial" w:cs="Arial" w:eastAsia="Arial" w:hAnsi="Arial"/>
          <w:sz w:val="16"/>
          <w:szCs w:val="16"/>
          <w:color w:val="auto"/>
        </w:rPr>
        <w:t>accounting treatment and any borrowings under the Securitization Program are recorded as debt in the consolidated balance sheets. Under the Securitization Program, the Company legally sells and isolates certain U.S. trade accounts receivable into a wholly owned and consolidated bankruptcy remote special purpose entity. Such receivables, which are recorded within “Receivables” in the consolidated balance sheets, totaled $1.25 billion and $1.12 billion at October 1, 2022, and July 2, 2022, respectively. The Securitization Program contains certain covenants relating to the quality of the receivables sold.</w:t>
      </w:r>
    </w:p>
    <w:p>
      <w:pPr>
        <w:spacing w:after="0" w:line="161" w:lineRule="exact"/>
        <w:rPr>
          <w:sz w:val="20"/>
          <w:szCs w:val="20"/>
          <w:color w:val="auto"/>
        </w:rPr>
      </w:pPr>
    </w:p>
    <w:p>
      <w:pPr>
        <w:ind w:left="60" w:right="359" w:firstLine="432"/>
        <w:spacing w:after="0" w:line="263" w:lineRule="auto"/>
        <w:rPr>
          <w:sz w:val="20"/>
          <w:szCs w:val="20"/>
          <w:color w:val="auto"/>
        </w:rPr>
      </w:pPr>
      <w:r>
        <w:rPr>
          <w:rFonts w:ascii="Arial" w:cs="Arial" w:eastAsia="Arial" w:hAnsi="Arial"/>
          <w:sz w:val="18"/>
          <w:szCs w:val="18"/>
          <w:color w:val="auto"/>
        </w:rPr>
        <w:t>Other short-term debt consists primarily of various committed and uncommitted lines of credit and other forms of bank debt with financial institutions utilized primarily to support the ongoing working capital requirements of the Company, including its foreign operations.</w:t>
      </w:r>
    </w:p>
    <w:p>
      <w:pPr>
        <w:spacing w:after="0" w:line="184" w:lineRule="exact"/>
        <w:rPr>
          <w:sz w:val="20"/>
          <w:szCs w:val="20"/>
          <w:color w:val="auto"/>
        </w:rPr>
      </w:pPr>
    </w:p>
    <w:p>
      <w:pPr>
        <w:ind w:left="480"/>
        <w:spacing w:after="0"/>
        <w:rPr>
          <w:sz w:val="20"/>
          <w:szCs w:val="20"/>
          <w:color w:val="auto"/>
        </w:rPr>
      </w:pPr>
      <w:r>
        <w:rPr>
          <w:rFonts w:ascii="Arial" w:cs="Arial" w:eastAsia="Arial" w:hAnsi="Arial"/>
          <w:sz w:val="18"/>
          <w:szCs w:val="18"/>
          <w:color w:val="auto"/>
        </w:rPr>
        <w:t>Long-term debt consists of the following (carrying balances in thousands):</w:t>
      </w:r>
    </w:p>
    <w:p>
      <w:pPr>
        <w:spacing w:after="0" w:line="235" w:lineRule="exact"/>
        <w:rPr>
          <w:sz w:val="20"/>
          <w:szCs w:val="20"/>
          <w:color w:val="auto"/>
        </w:rPr>
      </w:pPr>
    </w:p>
    <w:tbl>
      <w:tblPr>
        <w:tblLayout w:type="fixed"/>
        <w:tblInd w:w="180" w:type="dxa"/>
        <w:tblCellMar>
          <w:top w:w="0" w:type="dxa"/>
          <w:left w:w="0" w:type="dxa"/>
          <w:bottom w:w="0" w:type="dxa"/>
          <w:right w:w="0" w:type="dxa"/>
        </w:tblCellMar>
      </w:tblPr>
      <w:tr>
        <w:trPr>
          <w:trHeight w:val="216"/>
        </w:trPr>
        <w:tc>
          <w:tcPr>
            <w:tcW w:w="494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w w:val="89"/>
              </w:rPr>
              <w:t>October 1,</w:t>
            </w: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w w:val="96"/>
              </w:rPr>
              <w:t>July 2,</w:t>
            </w:r>
          </w:p>
        </w:tc>
        <w:tc>
          <w:tcPr>
            <w:tcW w:w="100" w:type="dxa"/>
            <w:vAlign w:val="bottom"/>
          </w:tcPr>
          <w:p>
            <w:pPr>
              <w:spacing w:after="0"/>
              <w:rPr>
                <w:sz w:val="18"/>
                <w:szCs w:val="18"/>
                <w:color w:val="auto"/>
              </w:rPr>
            </w:pPr>
          </w:p>
        </w:tc>
        <w:tc>
          <w:tcPr>
            <w:tcW w:w="1020" w:type="dxa"/>
            <w:vAlign w:val="bottom"/>
            <w:gridSpan w:val="3"/>
          </w:tcPr>
          <w:p>
            <w:pPr>
              <w:ind w:left="60"/>
              <w:spacing w:after="0"/>
              <w:rPr>
                <w:sz w:val="20"/>
                <w:szCs w:val="20"/>
                <w:color w:val="auto"/>
              </w:rPr>
            </w:pPr>
            <w:r>
              <w:rPr>
                <w:rFonts w:ascii="Arial" w:cs="Arial" w:eastAsia="Arial" w:hAnsi="Arial"/>
                <w:sz w:val="18"/>
                <w:szCs w:val="18"/>
                <w:b w:val="1"/>
                <w:bCs w:val="1"/>
                <w:color w:val="auto"/>
              </w:rPr>
              <w:t>October 1,</w:t>
            </w:r>
          </w:p>
        </w:tc>
        <w:tc>
          <w:tcPr>
            <w:tcW w:w="10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July 2,</w:t>
            </w:r>
          </w:p>
        </w:tc>
      </w:tr>
      <w:tr>
        <w:trPr>
          <w:trHeight w:val="241"/>
        </w:trPr>
        <w:tc>
          <w:tcPr>
            <w:tcW w:w="4940" w:type="dxa"/>
            <w:vAlign w:val="bottom"/>
          </w:tcPr>
          <w:p>
            <w:pPr>
              <w:spacing w:after="0"/>
              <w:rPr>
                <w:sz w:val="20"/>
                <w:szCs w:val="20"/>
                <w:color w:val="auto"/>
              </w:rPr>
            </w:pPr>
          </w:p>
        </w:tc>
        <w:tc>
          <w:tcPr>
            <w:tcW w:w="8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2022</w:t>
            </w:r>
          </w:p>
        </w:tc>
        <w:tc>
          <w:tcPr>
            <w:tcW w:w="200" w:type="dxa"/>
            <w:vAlign w:val="bottom"/>
          </w:tcPr>
          <w:p>
            <w:pPr>
              <w:spacing w:after="0"/>
              <w:rPr>
                <w:sz w:val="20"/>
                <w:szCs w:val="20"/>
                <w:color w:val="auto"/>
              </w:rPr>
            </w:pPr>
          </w:p>
        </w:tc>
        <w:tc>
          <w:tcPr>
            <w:tcW w:w="6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ind w:left="16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2022</w:t>
            </w:r>
          </w:p>
        </w:tc>
        <w:tc>
          <w:tcPr>
            <w:tcW w:w="60" w:type="dxa"/>
            <w:vAlign w:val="bottom"/>
          </w:tcPr>
          <w:p>
            <w:pPr>
              <w:spacing w:after="0"/>
              <w:rPr>
                <w:sz w:val="20"/>
                <w:szCs w:val="20"/>
                <w:color w:val="auto"/>
              </w:rPr>
            </w:pPr>
          </w:p>
        </w:tc>
      </w:tr>
      <w:tr>
        <w:trPr>
          <w:trHeight w:val="209"/>
        </w:trPr>
        <w:tc>
          <w:tcPr>
            <w:tcW w:w="4940" w:type="dxa"/>
            <w:vAlign w:val="bottom"/>
            <w:tcBorders>
              <w:bottom w:val="single" w:sz="8" w:color="CCEEFF"/>
            </w:tcBorders>
          </w:tcPr>
          <w:p>
            <w:pPr>
              <w:spacing w:after="0"/>
              <w:rPr>
                <w:sz w:val="18"/>
                <w:szCs w:val="18"/>
                <w:color w:val="auto"/>
              </w:rPr>
            </w:pPr>
          </w:p>
        </w:tc>
        <w:tc>
          <w:tcPr>
            <w:tcW w:w="8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b w:val="1"/>
                <w:bCs w:val="1"/>
                <w:color w:val="auto"/>
              </w:rPr>
              <w:t>Interest</w:t>
            </w:r>
          </w:p>
        </w:tc>
        <w:tc>
          <w:tcPr>
            <w:tcW w:w="2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210"/>
              <w:spacing w:after="0" w:line="202" w:lineRule="exact"/>
              <w:rPr>
                <w:sz w:val="20"/>
                <w:szCs w:val="20"/>
                <w:color w:val="auto"/>
              </w:rPr>
            </w:pPr>
            <w:r>
              <w:rPr>
                <w:rFonts w:ascii="Arial" w:cs="Arial" w:eastAsia="Arial" w:hAnsi="Arial"/>
                <w:sz w:val="18"/>
                <w:szCs w:val="18"/>
                <w:b w:val="1"/>
                <w:bCs w:val="1"/>
                <w:color w:val="auto"/>
                <w:w w:val="71"/>
              </w:rPr>
              <w:t>Rate</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ind w:left="160"/>
              <w:spacing w:after="0" w:line="202" w:lineRule="exact"/>
              <w:rPr>
                <w:sz w:val="20"/>
                <w:szCs w:val="20"/>
                <w:color w:val="auto"/>
              </w:rPr>
            </w:pPr>
            <w:r>
              <w:rPr>
                <w:rFonts w:ascii="Arial" w:cs="Arial" w:eastAsia="Arial" w:hAnsi="Arial"/>
                <w:sz w:val="18"/>
                <w:szCs w:val="18"/>
                <w:b w:val="1"/>
                <w:bCs w:val="1"/>
                <w:color w:val="auto"/>
                <w:w w:val="83"/>
              </w:rPr>
              <w:t>Carrying</w:t>
            </w: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gridSpan w:val="2"/>
          </w:tcPr>
          <w:p>
            <w:pPr>
              <w:ind w:left="20"/>
              <w:spacing w:after="0" w:line="202" w:lineRule="exact"/>
              <w:rPr>
                <w:sz w:val="20"/>
                <w:szCs w:val="20"/>
                <w:color w:val="auto"/>
              </w:rPr>
            </w:pPr>
            <w:r>
              <w:rPr>
                <w:rFonts w:ascii="Arial" w:cs="Arial" w:eastAsia="Arial" w:hAnsi="Arial"/>
                <w:sz w:val="18"/>
                <w:szCs w:val="18"/>
                <w:b w:val="1"/>
                <w:bCs w:val="1"/>
                <w:color w:val="auto"/>
              </w:rPr>
              <w:t>Balance</w:t>
            </w:r>
          </w:p>
        </w:tc>
        <w:tc>
          <w:tcPr>
            <w:tcW w:w="60" w:type="dxa"/>
            <w:vAlign w:val="bottom"/>
            <w:tcBorders>
              <w:bottom w:val="single" w:sz="8" w:color="CCEEFF"/>
            </w:tcBorders>
          </w:tcPr>
          <w:p>
            <w:pPr>
              <w:spacing w:after="0"/>
              <w:rPr>
                <w:sz w:val="18"/>
                <w:szCs w:val="18"/>
                <w:color w:val="auto"/>
              </w:rPr>
            </w:pPr>
          </w:p>
        </w:tc>
      </w:tr>
      <w:tr>
        <w:trPr>
          <w:trHeight w:val="216"/>
        </w:trPr>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Revolving credit facilities:</w:t>
            </w: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4940" w:type="dxa"/>
            <w:vAlign w:val="bottom"/>
          </w:tcPr>
          <w:p>
            <w:pPr>
              <w:ind w:left="120"/>
              <w:spacing w:after="0"/>
              <w:rPr>
                <w:sz w:val="20"/>
                <w:szCs w:val="20"/>
                <w:color w:val="auto"/>
              </w:rPr>
            </w:pPr>
            <w:r>
              <w:rPr>
                <w:rFonts w:ascii="Arial" w:cs="Arial" w:eastAsia="Arial" w:hAnsi="Arial"/>
                <w:sz w:val="18"/>
                <w:szCs w:val="18"/>
                <w:color w:val="auto"/>
                <w:w w:val="96"/>
              </w:rPr>
              <w:t>Accounts receivable securitization program (due August 2023)</w:t>
            </w:r>
          </w:p>
        </w:tc>
        <w:tc>
          <w:tcPr>
            <w:tcW w:w="102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2.55 %</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297,800</w:t>
            </w:r>
          </w:p>
        </w:tc>
        <w:tc>
          <w:tcPr>
            <w:tcW w:w="60" w:type="dxa"/>
            <w:vAlign w:val="bottom"/>
          </w:tcPr>
          <w:p>
            <w:pPr>
              <w:spacing w:after="0"/>
              <w:rPr>
                <w:sz w:val="18"/>
                <w:szCs w:val="18"/>
                <w:color w:val="auto"/>
              </w:rPr>
            </w:pPr>
          </w:p>
        </w:tc>
      </w:tr>
      <w:tr>
        <w:trPr>
          <w:trHeight w:val="216"/>
        </w:trPr>
        <w:tc>
          <w:tcPr>
            <w:tcW w:w="49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Credit Facility (due August 2027)</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3.45 %</w:t>
            </w: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685,632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4940" w:type="dxa"/>
            <w:vAlign w:val="bottom"/>
          </w:tcPr>
          <w:p>
            <w:pPr>
              <w:spacing w:after="0"/>
              <w:rPr>
                <w:sz w:val="20"/>
                <w:szCs w:val="20"/>
                <w:color w:val="auto"/>
              </w:rPr>
            </w:pPr>
            <w:r>
              <w:rPr>
                <w:rFonts w:ascii="Arial" w:cs="Arial" w:eastAsia="Arial" w:hAnsi="Arial"/>
                <w:sz w:val="18"/>
                <w:szCs w:val="18"/>
                <w:color w:val="auto"/>
              </w:rPr>
              <w:t>Public notes due:</w:t>
            </w: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9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April 2026</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4.63 %</w:t>
            </w: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4.63 %</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550,000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550,000</w:t>
            </w:r>
          </w:p>
        </w:tc>
        <w:tc>
          <w:tcPr>
            <w:tcW w:w="60" w:type="dxa"/>
            <w:vAlign w:val="bottom"/>
            <w:shd w:val="clear" w:color="auto" w:fill="CCEEFF"/>
          </w:tcPr>
          <w:p>
            <w:pPr>
              <w:spacing w:after="0"/>
              <w:rPr>
                <w:sz w:val="18"/>
                <w:szCs w:val="18"/>
                <w:color w:val="auto"/>
              </w:rPr>
            </w:pPr>
          </w:p>
        </w:tc>
      </w:tr>
      <w:tr>
        <w:trPr>
          <w:trHeight w:val="216"/>
        </w:trPr>
        <w:tc>
          <w:tcPr>
            <w:tcW w:w="4940" w:type="dxa"/>
            <w:vAlign w:val="bottom"/>
          </w:tcPr>
          <w:p>
            <w:pPr>
              <w:ind w:left="120"/>
              <w:spacing w:after="0"/>
              <w:rPr>
                <w:sz w:val="20"/>
                <w:szCs w:val="20"/>
                <w:color w:val="auto"/>
              </w:rPr>
            </w:pPr>
            <w:r>
              <w:rPr>
                <w:rFonts w:ascii="Arial" w:cs="Arial" w:eastAsia="Arial" w:hAnsi="Arial"/>
                <w:sz w:val="18"/>
                <w:szCs w:val="18"/>
                <w:color w:val="auto"/>
              </w:rPr>
              <w:t>May 2031</w:t>
            </w:r>
          </w:p>
        </w:tc>
        <w:tc>
          <w:tcPr>
            <w:tcW w:w="820" w:type="dxa"/>
            <w:vAlign w:val="bottom"/>
          </w:tcPr>
          <w:p>
            <w:pPr>
              <w:jc w:val="right"/>
              <w:spacing w:after="0"/>
              <w:rPr>
                <w:sz w:val="20"/>
                <w:szCs w:val="20"/>
                <w:color w:val="auto"/>
              </w:rPr>
            </w:pPr>
            <w:r>
              <w:rPr>
                <w:rFonts w:ascii="Arial" w:cs="Arial" w:eastAsia="Arial" w:hAnsi="Arial"/>
                <w:sz w:val="18"/>
                <w:szCs w:val="18"/>
                <w:color w:val="auto"/>
              </w:rPr>
              <w:t>3.00 %</w:t>
            </w:r>
          </w:p>
        </w:tc>
        <w:tc>
          <w:tcPr>
            <w:tcW w:w="2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3.00 %</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300,000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300,000</w:t>
            </w:r>
          </w:p>
        </w:tc>
        <w:tc>
          <w:tcPr>
            <w:tcW w:w="60" w:type="dxa"/>
            <w:vAlign w:val="bottom"/>
          </w:tcPr>
          <w:p>
            <w:pPr>
              <w:spacing w:after="0"/>
              <w:rPr>
                <w:sz w:val="18"/>
                <w:szCs w:val="18"/>
                <w:color w:val="auto"/>
              </w:rPr>
            </w:pPr>
          </w:p>
        </w:tc>
      </w:tr>
      <w:tr>
        <w:trPr>
          <w:trHeight w:val="236"/>
        </w:trPr>
        <w:tc>
          <w:tcPr>
            <w:tcW w:w="49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June 2032</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5.50 %</w:t>
            </w:r>
          </w:p>
        </w:tc>
        <w:tc>
          <w:tcPr>
            <w:tcW w:w="20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5.50 %</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300,000</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300,000</w:t>
            </w:r>
          </w:p>
        </w:tc>
        <w:tc>
          <w:tcPr>
            <w:tcW w:w="60" w:type="dxa"/>
            <w:vAlign w:val="bottom"/>
            <w:tcBorders>
              <w:bottom w:val="single" w:sz="8" w:color="CCEEFF"/>
            </w:tcBorders>
            <w:shd w:val="clear" w:color="auto" w:fill="CCEEFF"/>
          </w:tcPr>
          <w:p>
            <w:pPr>
              <w:spacing w:after="0"/>
              <w:rPr>
                <w:sz w:val="20"/>
                <w:szCs w:val="20"/>
                <w:color w:val="auto"/>
              </w:rPr>
            </w:pPr>
          </w:p>
        </w:tc>
      </w:tr>
      <w:tr>
        <w:trPr>
          <w:trHeight w:val="203"/>
        </w:trPr>
        <w:tc>
          <w:tcPr>
            <w:tcW w:w="4940" w:type="dxa"/>
            <w:vAlign w:val="bottom"/>
          </w:tcPr>
          <w:p>
            <w:pPr>
              <w:spacing w:after="0" w:line="203" w:lineRule="exact"/>
              <w:rPr>
                <w:sz w:val="20"/>
                <w:szCs w:val="20"/>
                <w:color w:val="auto"/>
              </w:rPr>
            </w:pPr>
            <w:r>
              <w:rPr>
                <w:rFonts w:ascii="Arial" w:cs="Arial" w:eastAsia="Arial" w:hAnsi="Arial"/>
                <w:sz w:val="18"/>
                <w:szCs w:val="18"/>
                <w:color w:val="auto"/>
              </w:rPr>
              <w:t>Long-term debt before discount and debt issuance costs</w:t>
            </w: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Arial" w:cs="Arial" w:eastAsia="Arial" w:hAnsi="Arial"/>
                <w:sz w:val="18"/>
                <w:szCs w:val="18"/>
                <w:color w:val="auto"/>
                <w:w w:val="89"/>
              </w:rPr>
              <w:t>1,835,632</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Arial" w:cs="Arial" w:eastAsia="Arial" w:hAnsi="Arial"/>
                <w:sz w:val="18"/>
                <w:szCs w:val="18"/>
                <w:color w:val="auto"/>
                <w:w w:val="92"/>
              </w:rPr>
              <w:t>1,447,800</w:t>
            </w:r>
          </w:p>
        </w:tc>
        <w:tc>
          <w:tcPr>
            <w:tcW w:w="60" w:type="dxa"/>
            <w:vAlign w:val="bottom"/>
          </w:tcPr>
          <w:p>
            <w:pPr>
              <w:spacing w:after="0"/>
              <w:rPr>
                <w:sz w:val="17"/>
                <w:szCs w:val="17"/>
                <w:color w:val="auto"/>
              </w:rPr>
            </w:pPr>
          </w:p>
        </w:tc>
      </w:tr>
      <w:tr>
        <w:trPr>
          <w:trHeight w:val="236"/>
        </w:trPr>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Discount and debt issuance costs – unamortized</w:t>
            </w:r>
          </w:p>
        </w:tc>
        <w:tc>
          <w:tcPr>
            <w:tcW w:w="8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(10,118)</w:t>
            </w:r>
          </w:p>
        </w:tc>
        <w:tc>
          <w:tcPr>
            <w:tcW w:w="10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(10,400)</w:t>
            </w:r>
          </w:p>
        </w:tc>
      </w:tr>
      <w:tr>
        <w:trPr>
          <w:trHeight w:val="203"/>
        </w:trPr>
        <w:tc>
          <w:tcPr>
            <w:tcW w:w="4940" w:type="dxa"/>
            <w:vAlign w:val="bottom"/>
            <w:tcBorders>
              <w:top w:val="single" w:sz="8" w:color="CCEEFF"/>
            </w:tcBorders>
          </w:tcPr>
          <w:p>
            <w:pPr>
              <w:ind w:left="320"/>
              <w:spacing w:after="0" w:line="203" w:lineRule="exact"/>
              <w:rPr>
                <w:sz w:val="20"/>
                <w:szCs w:val="20"/>
                <w:color w:val="auto"/>
              </w:rPr>
            </w:pPr>
            <w:r>
              <w:rPr>
                <w:rFonts w:ascii="Arial" w:cs="Arial" w:eastAsia="Arial" w:hAnsi="Arial"/>
                <w:sz w:val="18"/>
                <w:szCs w:val="18"/>
                <w:color w:val="auto"/>
              </w:rPr>
              <w:t>Long-term debt</w:t>
            </w:r>
          </w:p>
        </w:tc>
        <w:tc>
          <w:tcPr>
            <w:tcW w:w="820" w:type="dxa"/>
            <w:vAlign w:val="bottom"/>
            <w:tcBorders>
              <w:top w:val="single" w:sz="8" w:color="CCEEFF"/>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60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89"/>
              </w:rPr>
              <w:t>1,825,514</w:t>
            </w:r>
          </w:p>
        </w:tc>
        <w:tc>
          <w:tcPr>
            <w:tcW w:w="100" w:type="dxa"/>
            <w:vAlign w:val="bottom"/>
            <w:tcBorders>
              <w:top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spacing w:after="0" w:line="203" w:lineRule="exact"/>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2"/>
              </w:rPr>
              <w:t>1,437,400</w:t>
            </w:r>
          </w:p>
        </w:tc>
        <w:tc>
          <w:tcPr>
            <w:tcW w:w="60" w:type="dxa"/>
            <w:vAlign w:val="bottom"/>
            <w:tcBorders>
              <w:top w:val="single" w:sz="8" w:color="CCEEFF"/>
            </w:tcBorders>
          </w:tcPr>
          <w:p>
            <w:pPr>
              <w:spacing w:after="0"/>
              <w:rPr>
                <w:sz w:val="17"/>
                <w:szCs w:val="17"/>
                <w:color w:val="auto"/>
              </w:rPr>
            </w:pPr>
          </w:p>
        </w:tc>
      </w:tr>
      <w:tr>
        <w:trPr>
          <w:trHeight w:val="20"/>
        </w:trPr>
        <w:tc>
          <w:tcPr>
            <w:tcW w:w="49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 w:right="59" w:firstLine="432"/>
        <w:spacing w:after="0" w:line="289" w:lineRule="auto"/>
        <w:rPr>
          <w:sz w:val="20"/>
          <w:szCs w:val="20"/>
          <w:color w:val="auto"/>
        </w:rPr>
      </w:pPr>
      <w:r>
        <w:rPr>
          <w:rFonts w:ascii="Arial" w:cs="Arial" w:eastAsia="Arial" w:hAnsi="Arial"/>
          <w:sz w:val="16"/>
          <w:szCs w:val="16"/>
          <w:color w:val="auto"/>
        </w:rPr>
        <w:t>In August 2022, the Company amended and extended its five-year $1.25 billion revolving credit facility (the “Credit Facility”) with a syndicate of banks, which expires in August 2027. It consists of revolving credit facilities and the issuance of up to $200.0 million of letters of credit and up to $300.0 million of loans in certain approved currencies. As of October 1, 2022, and July 2, 2022, there were $1.1 million and $1.2 million, respectively, in letters of credit issued under the Credit Facility. Subject to certain conditions, the Credit Facility may be increased up to $1.50 billion. Under the Credit Facility, the Company may select from various interest rate options, currencies, and maturities. The Credit Facility contains certain covenants including various limitations on debt incurrence, share repurchases, dividends, investments, and capital expenditures. The Credit Facility also includes financial covenants requiring the Company to maintain minimum leverage ratios, which the Company was in compliance with as of October 1, 2022, and July 2, 2022.</w:t>
      </w:r>
    </w:p>
    <w:p>
      <w:pPr>
        <w:spacing w:after="0" w:line="166" w:lineRule="exact"/>
        <w:rPr>
          <w:sz w:val="20"/>
          <w:szCs w:val="20"/>
          <w:color w:val="auto"/>
        </w:rPr>
      </w:pPr>
    </w:p>
    <w:p>
      <w:pPr>
        <w:ind w:left="60" w:right="199" w:firstLine="427"/>
        <w:spacing w:after="0" w:line="257" w:lineRule="auto"/>
        <w:rPr>
          <w:sz w:val="20"/>
          <w:szCs w:val="20"/>
          <w:color w:val="auto"/>
        </w:rPr>
      </w:pPr>
      <w:r>
        <w:rPr>
          <w:rFonts w:ascii="Arial" w:cs="Arial" w:eastAsia="Arial" w:hAnsi="Arial"/>
          <w:sz w:val="18"/>
          <w:szCs w:val="18"/>
          <w:color w:val="auto"/>
        </w:rPr>
        <w:t>As of October 1, 2022, the carrying value and fair value of the Company’s total debt was $2.34 billion and $2.22 billion, respectively. At July 2, 2022, the carrying value and fair value of the Company’s total debt was $1.61 billion and $1.55 billion, respectively. Fair value for the public notes was estimated based upon quoted market prices and, for other forms of debt, fair value approximates carrying value due to the market based variable nature of the interest rates on those debt facilities.</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5. Leases</w:t>
      </w:r>
    </w:p>
    <w:p>
      <w:pPr>
        <w:spacing w:after="0" w:line="229" w:lineRule="exact"/>
        <w:rPr>
          <w:sz w:val="20"/>
          <w:szCs w:val="20"/>
          <w:color w:val="auto"/>
        </w:rPr>
      </w:pPr>
    </w:p>
    <w:p>
      <w:pPr>
        <w:ind w:left="60" w:right="119" w:firstLine="427"/>
        <w:spacing w:after="0" w:line="259" w:lineRule="auto"/>
        <w:rPr>
          <w:sz w:val="20"/>
          <w:szCs w:val="20"/>
          <w:color w:val="auto"/>
        </w:rPr>
      </w:pPr>
      <w:r>
        <w:rPr>
          <w:rFonts w:ascii="Arial" w:cs="Arial" w:eastAsia="Arial" w:hAnsi="Arial"/>
          <w:sz w:val="18"/>
          <w:szCs w:val="18"/>
          <w:color w:val="auto"/>
        </w:rPr>
        <w:t>Substantially all the Company’s leases are classified as operating leases and are predominately related to real property for distribution centers, office space, and integration facilities with a lease term of up to 16 years. The Company’s equipment leases are primarily for automobiles and equipment and are not material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44" w:right="1440" w:bottom="1440" w:gutter="0" w:footer="0" w:header="0"/>
        </w:sectPr>
      </w:pPr>
    </w:p>
    <w:bookmarkStart w:id="10" w:name="page11"/>
    <w:bookmarkEnd w:id="1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AVNET, INC. AND SUBSIDIARIES</w:t>
      </w:r>
    </w:p>
    <w:p>
      <w:pPr>
        <w:spacing w:after="0" w:line="5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43"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The components of lease cost related to the Company’s operating leases were as follows (in thousands):</w:t>
      </w:r>
    </w:p>
    <w:p>
      <w:pPr>
        <w:spacing w:after="0" w:line="235" w:lineRule="exact"/>
        <w:rPr>
          <w:sz w:val="20"/>
          <w:szCs w:val="20"/>
          <w:color w:val="auto"/>
        </w:rPr>
      </w:pPr>
    </w:p>
    <w:tbl>
      <w:tblPr>
        <w:tblLayout w:type="fixed"/>
        <w:tblInd w:w="40" w:type="dxa"/>
        <w:tblCellMar>
          <w:top w:w="0" w:type="dxa"/>
          <w:left w:w="0" w:type="dxa"/>
          <w:bottom w:w="0" w:type="dxa"/>
          <w:right w:w="0" w:type="dxa"/>
        </w:tblCellMar>
      </w:tblPr>
      <w:tr>
        <w:trPr>
          <w:trHeight w:val="241"/>
        </w:trPr>
        <w:tc>
          <w:tcPr>
            <w:tcW w:w="6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20" w:type="dxa"/>
            <w:vAlign w:val="bottom"/>
            <w:gridSpan w:val="5"/>
          </w:tcPr>
          <w:p>
            <w:pPr>
              <w:ind w:left="180"/>
              <w:spacing w:after="0"/>
              <w:rPr>
                <w:sz w:val="20"/>
                <w:szCs w:val="20"/>
                <w:color w:val="auto"/>
              </w:rPr>
            </w:pPr>
            <w:r>
              <w:rPr>
                <w:rFonts w:ascii="Arial" w:cs="Arial" w:eastAsia="Arial" w:hAnsi="Arial"/>
                <w:sz w:val="18"/>
                <w:szCs w:val="18"/>
                <w:b w:val="1"/>
                <w:bCs w:val="1"/>
                <w:color w:val="auto"/>
              </w:rPr>
              <w:t>First Quarters Ended</w:t>
            </w:r>
          </w:p>
        </w:tc>
      </w:tr>
      <w:tr>
        <w:trPr>
          <w:trHeight w:val="198"/>
        </w:trPr>
        <w:tc>
          <w:tcPr>
            <w:tcW w:w="656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gridSpan w:val="2"/>
          </w:tcPr>
          <w:p>
            <w:pPr>
              <w:ind w:left="20"/>
              <w:spacing w:after="0" w:line="198" w:lineRule="exact"/>
              <w:rPr>
                <w:sz w:val="20"/>
                <w:szCs w:val="20"/>
                <w:color w:val="auto"/>
              </w:rPr>
            </w:pPr>
            <w:r>
              <w:rPr>
                <w:rFonts w:ascii="Arial" w:cs="Arial" w:eastAsia="Arial" w:hAnsi="Arial"/>
                <w:sz w:val="18"/>
                <w:szCs w:val="18"/>
                <w:b w:val="1"/>
                <w:bCs w:val="1"/>
                <w:color w:val="auto"/>
              </w:rPr>
              <w:t>October 1,</w:t>
            </w:r>
          </w:p>
        </w:tc>
        <w:tc>
          <w:tcPr>
            <w:tcW w:w="12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right"/>
              <w:ind w:right="30"/>
              <w:spacing w:after="0" w:line="198" w:lineRule="exact"/>
              <w:rPr>
                <w:sz w:val="20"/>
                <w:szCs w:val="20"/>
                <w:color w:val="auto"/>
              </w:rPr>
            </w:pPr>
            <w:r>
              <w:rPr>
                <w:rFonts w:ascii="Arial" w:cs="Arial" w:eastAsia="Arial" w:hAnsi="Arial"/>
                <w:sz w:val="18"/>
                <w:szCs w:val="18"/>
                <w:b w:val="1"/>
                <w:bCs w:val="1"/>
                <w:color w:val="auto"/>
                <w:w w:val="89"/>
              </w:rPr>
              <w:t>October 2,</w:t>
            </w:r>
          </w:p>
        </w:tc>
        <w:tc>
          <w:tcPr>
            <w:tcW w:w="100" w:type="dxa"/>
            <w:vAlign w:val="bottom"/>
          </w:tcPr>
          <w:p>
            <w:pPr>
              <w:spacing w:after="0"/>
              <w:rPr>
                <w:sz w:val="17"/>
                <w:szCs w:val="17"/>
                <w:color w:val="auto"/>
              </w:rPr>
            </w:pPr>
          </w:p>
        </w:tc>
      </w:tr>
      <w:tr>
        <w:trPr>
          <w:trHeight w:val="241"/>
        </w:trPr>
        <w:tc>
          <w:tcPr>
            <w:tcW w:w="656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2022</w:t>
            </w:r>
          </w:p>
        </w:tc>
        <w:tc>
          <w:tcPr>
            <w:tcW w:w="12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20"/>
                <w:szCs w:val="20"/>
                <w:color w:val="auto"/>
              </w:rPr>
            </w:pPr>
          </w:p>
        </w:tc>
      </w:tr>
      <w:tr>
        <w:trPr>
          <w:trHeight w:val="216"/>
        </w:trPr>
        <w:tc>
          <w:tcPr>
            <w:tcW w:w="6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cost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16,566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17,847</w:t>
            </w:r>
          </w:p>
        </w:tc>
        <w:tc>
          <w:tcPr>
            <w:tcW w:w="100" w:type="dxa"/>
            <w:vAlign w:val="bottom"/>
            <w:shd w:val="clear" w:color="auto" w:fill="CCEEFF"/>
          </w:tcPr>
          <w:p>
            <w:pPr>
              <w:spacing w:after="0"/>
              <w:rPr>
                <w:sz w:val="18"/>
                <w:szCs w:val="18"/>
                <w:color w:val="auto"/>
              </w:rPr>
            </w:pPr>
          </w:p>
        </w:tc>
      </w:tr>
      <w:tr>
        <w:trPr>
          <w:trHeight w:val="223"/>
        </w:trPr>
        <w:tc>
          <w:tcPr>
            <w:tcW w:w="65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Variable lease cost</w:t>
            </w:r>
          </w:p>
        </w:tc>
        <w:tc>
          <w:tcPr>
            <w:tcW w:w="1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6,313</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6,118</w:t>
            </w:r>
          </w:p>
        </w:tc>
        <w:tc>
          <w:tcPr>
            <w:tcW w:w="100" w:type="dxa"/>
            <w:vAlign w:val="bottom"/>
            <w:tcBorders>
              <w:bottom w:val="single" w:sz="8" w:color="CCEEFF"/>
            </w:tcBorders>
          </w:tcPr>
          <w:p>
            <w:pPr>
              <w:spacing w:after="0"/>
              <w:rPr>
                <w:sz w:val="19"/>
                <w:szCs w:val="19"/>
                <w:color w:val="auto"/>
              </w:rPr>
            </w:pPr>
          </w:p>
        </w:tc>
      </w:tr>
      <w:tr>
        <w:trPr>
          <w:trHeight w:val="216"/>
        </w:trPr>
        <w:tc>
          <w:tcPr>
            <w:tcW w:w="65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Total lease cost</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22,879</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23,965</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
        </w:trPr>
        <w:tc>
          <w:tcPr>
            <w:tcW w:w="65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ind w:left="480"/>
        <w:spacing w:after="0"/>
        <w:rPr>
          <w:sz w:val="20"/>
          <w:szCs w:val="20"/>
          <w:color w:val="auto"/>
        </w:rPr>
      </w:pPr>
      <w:r>
        <w:rPr>
          <w:rFonts w:ascii="Arial" w:cs="Arial" w:eastAsia="Arial" w:hAnsi="Arial"/>
          <w:sz w:val="18"/>
          <w:szCs w:val="18"/>
          <w:color w:val="auto"/>
        </w:rPr>
        <w:t>Future minimum operating lease payments as of October 1, 2022, are as follows (in thousands):</w:t>
      </w:r>
    </w:p>
    <w:p>
      <w:pPr>
        <w:spacing w:after="0" w:line="262"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6620" w:type="dxa"/>
            <w:vAlign w:val="bottom"/>
            <w:gridSpan w:val="3"/>
          </w:tcPr>
          <w:p>
            <w:pPr>
              <w:ind w:left="20"/>
              <w:spacing w:after="0"/>
              <w:rPr>
                <w:sz w:val="20"/>
                <w:szCs w:val="20"/>
                <w:color w:val="auto"/>
              </w:rPr>
            </w:pPr>
            <w:r>
              <w:rPr>
                <w:rFonts w:ascii="Arial" w:cs="Arial" w:eastAsia="Arial" w:hAnsi="Arial"/>
                <w:sz w:val="18"/>
                <w:szCs w:val="18"/>
                <w:b w:val="1"/>
                <w:bCs w:val="1"/>
                <w:color w:val="auto"/>
              </w:rPr>
              <w:t>Fiscal Year</w:t>
            </w:r>
          </w:p>
        </w:tc>
        <w:tc>
          <w:tcPr>
            <w:tcW w:w="10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0" w:type="dxa"/>
            <w:vAlign w:val="bottom"/>
            <w:tcBorders>
              <w:top w:val="single" w:sz="8" w:color="auto"/>
            </w:tcBorders>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662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Remainder of fiscal 2023</w:t>
            </w:r>
          </w:p>
        </w:tc>
        <w:tc>
          <w:tcPr>
            <w:tcW w:w="10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48,296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gridSpan w:val="2"/>
          </w:tcPr>
          <w:p>
            <w:pPr>
              <w:ind w:left="20"/>
              <w:spacing w:after="0"/>
              <w:rPr>
                <w:sz w:val="20"/>
                <w:szCs w:val="20"/>
                <w:color w:val="auto"/>
              </w:rPr>
            </w:pPr>
            <w:r>
              <w:rPr>
                <w:rFonts w:ascii="Arial" w:cs="Arial" w:eastAsia="Arial" w:hAnsi="Arial"/>
                <w:sz w:val="18"/>
                <w:szCs w:val="18"/>
                <w:color w:val="auto"/>
              </w:rPr>
              <w:t>2024</w:t>
            </w:r>
          </w:p>
        </w:tc>
        <w:tc>
          <w:tcPr>
            <w:tcW w:w="57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50,028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57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39,406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gridSpan w:val="2"/>
          </w:tcPr>
          <w:p>
            <w:pPr>
              <w:ind w:left="20"/>
              <w:spacing w:after="0"/>
              <w:rPr>
                <w:sz w:val="20"/>
                <w:szCs w:val="20"/>
                <w:color w:val="auto"/>
              </w:rPr>
            </w:pPr>
            <w:r>
              <w:rPr>
                <w:rFonts w:ascii="Arial" w:cs="Arial" w:eastAsia="Arial" w:hAnsi="Arial"/>
                <w:sz w:val="18"/>
                <w:szCs w:val="18"/>
                <w:color w:val="auto"/>
              </w:rPr>
              <w:t>2026</w:t>
            </w:r>
          </w:p>
        </w:tc>
        <w:tc>
          <w:tcPr>
            <w:tcW w:w="57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30,797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2027</w:t>
            </w:r>
          </w:p>
        </w:tc>
        <w:tc>
          <w:tcPr>
            <w:tcW w:w="57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620" w:type="dxa"/>
            <w:vAlign w:val="bottom"/>
            <w:tcBorders>
              <w:bottom w:val="single" w:sz="8" w:color="CCEEFF"/>
            </w:tcBorders>
            <w:gridSpan w:val="3"/>
          </w:tcPr>
          <w:p>
            <w:pPr>
              <w:ind w:left="20"/>
              <w:spacing w:after="0"/>
              <w:rPr>
                <w:sz w:val="20"/>
                <w:szCs w:val="20"/>
                <w:color w:val="auto"/>
              </w:rPr>
            </w:pPr>
            <w:r>
              <w:rPr>
                <w:rFonts w:ascii="Arial" w:cs="Arial" w:eastAsia="Arial" w:hAnsi="Arial"/>
                <w:sz w:val="18"/>
                <w:szCs w:val="18"/>
                <w:color w:val="auto"/>
              </w:rPr>
              <w:t>Thereafter</w:t>
            </w:r>
          </w:p>
        </w:tc>
        <w:tc>
          <w:tcPr>
            <w:tcW w:w="10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110,738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62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Total future operating lease payments</w:t>
            </w:r>
          </w:p>
        </w:tc>
        <w:tc>
          <w:tcPr>
            <w:tcW w:w="10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299,689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620" w:type="dxa"/>
            <w:vAlign w:val="bottom"/>
            <w:tcBorders>
              <w:bottom w:val="single" w:sz="8" w:color="CCEEFF"/>
            </w:tcBorders>
            <w:gridSpan w:val="3"/>
          </w:tcPr>
          <w:p>
            <w:pPr>
              <w:ind w:left="20"/>
              <w:spacing w:after="0"/>
              <w:rPr>
                <w:sz w:val="20"/>
                <w:szCs w:val="20"/>
                <w:color w:val="auto"/>
              </w:rPr>
            </w:pPr>
            <w:r>
              <w:rPr>
                <w:rFonts w:ascii="Arial" w:cs="Arial" w:eastAsia="Arial" w:hAnsi="Arial"/>
                <w:sz w:val="18"/>
                <w:szCs w:val="18"/>
                <w:color w:val="auto"/>
              </w:rPr>
              <w:t>Total imputed interest on operating lease liabilities</w:t>
            </w:r>
          </w:p>
        </w:tc>
        <w:tc>
          <w:tcPr>
            <w:tcW w:w="10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(48,169)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Borders>
              <w:bottom w:val="single" w:sz="8" w:color="CCEEFF"/>
            </w:tcBorders>
            <w:shd w:val="clear" w:color="auto" w:fill="CCEEFF"/>
          </w:tcPr>
          <w:p>
            <w:pPr>
              <w:spacing w:after="0"/>
              <w:rPr>
                <w:sz w:val="18"/>
                <w:szCs w:val="18"/>
                <w:color w:val="auto"/>
              </w:rPr>
            </w:pPr>
          </w:p>
        </w:tc>
        <w:tc>
          <w:tcPr>
            <w:tcW w:w="660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8"/>
                <w:szCs w:val="18"/>
                <w:color w:val="auto"/>
              </w:rPr>
              <w:t>Total operating lease liabilities</w:t>
            </w:r>
          </w:p>
        </w:tc>
        <w:tc>
          <w:tcPr>
            <w:tcW w:w="10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251,520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00" w:type="dxa"/>
            <w:vAlign w:val="bottom"/>
            <w:gridSpan w:val="2"/>
            <w:vMerge w:val="restart"/>
          </w:tcPr>
          <w:p>
            <w:pPr>
              <w:ind w:left="420"/>
              <w:spacing w:after="0"/>
              <w:rPr>
                <w:sz w:val="20"/>
                <w:szCs w:val="20"/>
                <w:color w:val="auto"/>
              </w:rPr>
            </w:pPr>
            <w:r>
              <w:rPr>
                <w:rFonts w:ascii="Arial" w:cs="Arial" w:eastAsia="Arial" w:hAnsi="Arial"/>
                <w:sz w:val="18"/>
                <w:szCs w:val="18"/>
                <w:color w:val="auto"/>
              </w:rPr>
              <w:t>Other information pertaining to operating leases consists of the following:</w:t>
            </w:r>
          </w:p>
        </w:tc>
        <w:tc>
          <w:tcPr>
            <w:tcW w:w="1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20" w:type="dxa"/>
            <w:vAlign w:val="bottom"/>
          </w:tcPr>
          <w:p>
            <w:pPr>
              <w:spacing w:after="0"/>
              <w:rPr>
                <w:sz w:val="24"/>
                <w:szCs w:val="24"/>
                <w:color w:val="auto"/>
              </w:rPr>
            </w:pPr>
          </w:p>
        </w:tc>
        <w:tc>
          <w:tcPr>
            <w:tcW w:w="6600" w:type="dxa"/>
            <w:vAlign w:val="bottom"/>
            <w:gridSpan w:val="2"/>
            <w:vMerge w:val="continue"/>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2"/>
        </w:trPr>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760" w:type="dxa"/>
            <w:vAlign w:val="bottom"/>
          </w:tcPr>
          <w:p>
            <w:pPr>
              <w:spacing w:after="0"/>
              <w:rPr>
                <w:sz w:val="24"/>
                <w:szCs w:val="24"/>
                <w:color w:val="auto"/>
              </w:rPr>
            </w:pPr>
          </w:p>
        </w:tc>
        <w:tc>
          <w:tcPr>
            <w:tcW w:w="2300" w:type="dxa"/>
            <w:vAlign w:val="bottom"/>
            <w:gridSpan w:val="5"/>
          </w:tcPr>
          <w:p>
            <w:pPr>
              <w:jc w:val="center"/>
              <w:spacing w:after="0"/>
              <w:rPr>
                <w:sz w:val="20"/>
                <w:szCs w:val="20"/>
                <w:color w:val="auto"/>
              </w:rPr>
            </w:pPr>
            <w:r>
              <w:rPr>
                <w:rFonts w:ascii="Arial" w:cs="Arial" w:eastAsia="Arial" w:hAnsi="Arial"/>
                <w:sz w:val="18"/>
                <w:szCs w:val="18"/>
                <w:b w:val="1"/>
                <w:bCs w:val="1"/>
                <w:color w:val="auto"/>
                <w:w w:val="92"/>
              </w:rPr>
              <w:t>First Quarters Ended</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760" w:type="dxa"/>
            <w:vAlign w:val="bottom"/>
          </w:tcPr>
          <w:p>
            <w:pPr>
              <w:spacing w:after="0"/>
              <w:rPr>
                <w:sz w:val="17"/>
                <w:szCs w:val="17"/>
                <w:color w:val="auto"/>
              </w:rPr>
            </w:pPr>
          </w:p>
        </w:tc>
        <w:tc>
          <w:tcPr>
            <w:tcW w:w="1100" w:type="dxa"/>
            <w:vAlign w:val="bottom"/>
            <w:tcBorders>
              <w:top w:val="single" w:sz="8" w:color="auto"/>
            </w:tcBorders>
            <w:gridSpan w:val="2"/>
          </w:tcPr>
          <w:p>
            <w:pPr>
              <w:jc w:val="center"/>
              <w:ind w:right="20"/>
              <w:spacing w:after="0" w:line="198" w:lineRule="exact"/>
              <w:rPr>
                <w:sz w:val="20"/>
                <w:szCs w:val="20"/>
                <w:color w:val="auto"/>
              </w:rPr>
            </w:pPr>
            <w:r>
              <w:rPr>
                <w:rFonts w:ascii="Arial" w:cs="Arial" w:eastAsia="Arial" w:hAnsi="Arial"/>
                <w:sz w:val="18"/>
                <w:szCs w:val="18"/>
                <w:b w:val="1"/>
                <w:bCs w:val="1"/>
                <w:color w:val="auto"/>
                <w:w w:val="89"/>
              </w:rPr>
              <w:t>October 1,</w:t>
            </w:r>
          </w:p>
        </w:tc>
        <w:tc>
          <w:tcPr>
            <w:tcW w:w="10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jc w:val="right"/>
              <w:ind w:right="50"/>
              <w:spacing w:after="0" w:line="198" w:lineRule="exact"/>
              <w:rPr>
                <w:sz w:val="20"/>
                <w:szCs w:val="20"/>
                <w:color w:val="auto"/>
              </w:rPr>
            </w:pPr>
            <w:r>
              <w:rPr>
                <w:rFonts w:ascii="Arial" w:cs="Arial" w:eastAsia="Arial" w:hAnsi="Arial"/>
                <w:sz w:val="18"/>
                <w:szCs w:val="18"/>
                <w:b w:val="1"/>
                <w:bCs w:val="1"/>
                <w:color w:val="auto"/>
              </w:rPr>
              <w:t>October 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760" w:type="dxa"/>
            <w:vAlign w:val="bottom"/>
          </w:tcPr>
          <w:p>
            <w:pPr>
              <w:spacing w:after="0"/>
              <w:rPr>
                <w:sz w:val="20"/>
                <w:szCs w:val="20"/>
                <w:color w:val="auto"/>
              </w:rPr>
            </w:pPr>
          </w:p>
        </w:tc>
        <w:tc>
          <w:tcPr>
            <w:tcW w:w="10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2022</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620" w:type="dxa"/>
            <w:vAlign w:val="bottom"/>
            <w:gridSpan w:val="3"/>
          </w:tcPr>
          <w:p>
            <w:pPr>
              <w:ind w:left="20"/>
              <w:spacing w:after="0"/>
              <w:rPr>
                <w:sz w:val="20"/>
                <w:szCs w:val="20"/>
                <w:color w:val="auto"/>
              </w:rPr>
            </w:pPr>
            <w:r>
              <w:rPr>
                <w:rFonts w:ascii="Arial" w:cs="Arial" w:eastAsia="Arial" w:hAnsi="Arial"/>
                <w:sz w:val="18"/>
                <w:szCs w:val="18"/>
                <w:color w:val="auto"/>
              </w:rPr>
              <w:t>Operating Lease Term and Discount Rate</w:t>
            </w: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66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Weighted-average remaining lease term in years</w:t>
            </w:r>
          </w:p>
        </w:tc>
        <w:tc>
          <w:tcPr>
            <w:tcW w:w="1080" w:type="dxa"/>
            <w:vAlign w:val="bottom"/>
            <w:shd w:val="clear" w:color="auto" w:fill="CCEEFF"/>
          </w:tcPr>
          <w:p>
            <w:pPr>
              <w:ind w:left="600"/>
              <w:spacing w:after="0"/>
              <w:rPr>
                <w:sz w:val="20"/>
                <w:szCs w:val="20"/>
                <w:color w:val="auto"/>
              </w:rPr>
            </w:pPr>
            <w:r>
              <w:rPr>
                <w:rFonts w:ascii="Arial" w:cs="Arial" w:eastAsia="Arial" w:hAnsi="Arial"/>
                <w:sz w:val="18"/>
                <w:szCs w:val="18"/>
                <w:color w:val="auto"/>
              </w:rPr>
              <w:t>8.5</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9.0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600" w:type="dxa"/>
            <w:vAlign w:val="bottom"/>
            <w:gridSpan w:val="2"/>
          </w:tcPr>
          <w:p>
            <w:pPr>
              <w:ind w:left="100"/>
              <w:spacing w:after="0"/>
              <w:rPr>
                <w:sz w:val="20"/>
                <w:szCs w:val="20"/>
                <w:color w:val="auto"/>
              </w:rPr>
            </w:pPr>
            <w:r>
              <w:rPr>
                <w:rFonts w:ascii="Arial" w:cs="Arial" w:eastAsia="Arial" w:hAnsi="Arial"/>
                <w:sz w:val="18"/>
                <w:szCs w:val="18"/>
                <w:color w:val="auto"/>
              </w:rPr>
              <w:t>Weighted-average discount rate</w:t>
            </w:r>
          </w:p>
        </w:tc>
        <w:tc>
          <w:tcPr>
            <w:tcW w:w="1080" w:type="dxa"/>
            <w:vAlign w:val="bottom"/>
          </w:tcPr>
          <w:p>
            <w:pPr>
              <w:ind w:left="600"/>
              <w:spacing w:after="0"/>
              <w:rPr>
                <w:sz w:val="20"/>
                <w:szCs w:val="20"/>
                <w:color w:val="auto"/>
              </w:rPr>
            </w:pPr>
            <w:r>
              <w:rPr>
                <w:rFonts w:ascii="Arial" w:cs="Arial" w:eastAsia="Arial" w:hAnsi="Arial"/>
                <w:sz w:val="18"/>
                <w:szCs w:val="18"/>
                <w:color w:val="auto"/>
                <w:w w:val="99"/>
              </w:rPr>
              <w:t>3.9 %</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3.8 %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480"/>
        <w:spacing w:after="0"/>
        <w:rPr>
          <w:sz w:val="20"/>
          <w:szCs w:val="20"/>
          <w:color w:val="auto"/>
        </w:rPr>
      </w:pPr>
      <w:r>
        <w:rPr>
          <w:rFonts w:ascii="Arial" w:cs="Arial" w:eastAsia="Arial" w:hAnsi="Arial"/>
          <w:sz w:val="17"/>
          <w:szCs w:val="17"/>
          <w:color w:val="auto"/>
        </w:rPr>
        <w:t>Supplemental cash flow information related to the Company’s operating leases was as follows (in thousands):</w:t>
      </w:r>
    </w:p>
    <w:p>
      <w:pPr>
        <w:spacing w:after="0" w:line="246" w:lineRule="exact"/>
        <w:rPr>
          <w:sz w:val="20"/>
          <w:szCs w:val="20"/>
          <w:color w:val="auto"/>
        </w:rPr>
      </w:pPr>
    </w:p>
    <w:tbl>
      <w:tblPr>
        <w:tblLayout w:type="fixed"/>
        <w:tblInd w:w="40" w:type="dxa"/>
        <w:tblCellMar>
          <w:top w:w="0" w:type="dxa"/>
          <w:left w:w="0" w:type="dxa"/>
          <w:bottom w:w="0" w:type="dxa"/>
          <w:right w:w="0" w:type="dxa"/>
        </w:tblCellMar>
      </w:tblPr>
      <w:tr>
        <w:trPr>
          <w:trHeight w:val="241"/>
        </w:trPr>
        <w:tc>
          <w:tcPr>
            <w:tcW w:w="6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180" w:type="dxa"/>
            <w:vAlign w:val="bottom"/>
            <w:gridSpan w:val="5"/>
          </w:tcPr>
          <w:p>
            <w:pPr>
              <w:ind w:left="200"/>
              <w:spacing w:after="0"/>
              <w:rPr>
                <w:sz w:val="20"/>
                <w:szCs w:val="20"/>
                <w:color w:val="auto"/>
              </w:rPr>
            </w:pPr>
            <w:r>
              <w:rPr>
                <w:rFonts w:ascii="Arial" w:cs="Arial" w:eastAsia="Arial" w:hAnsi="Arial"/>
                <w:sz w:val="18"/>
                <w:szCs w:val="18"/>
                <w:b w:val="1"/>
                <w:bCs w:val="1"/>
                <w:color w:val="auto"/>
              </w:rPr>
              <w:t>First Quarters Ended</w:t>
            </w:r>
          </w:p>
        </w:tc>
      </w:tr>
      <w:tr>
        <w:trPr>
          <w:trHeight w:val="198"/>
        </w:trPr>
        <w:tc>
          <w:tcPr>
            <w:tcW w:w="66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gridSpan w:val="2"/>
          </w:tcPr>
          <w:p>
            <w:pPr>
              <w:ind w:left="20"/>
              <w:spacing w:after="0" w:line="198" w:lineRule="exact"/>
              <w:rPr>
                <w:sz w:val="20"/>
                <w:szCs w:val="20"/>
                <w:color w:val="auto"/>
              </w:rPr>
            </w:pPr>
            <w:r>
              <w:rPr>
                <w:rFonts w:ascii="Arial" w:cs="Arial" w:eastAsia="Arial" w:hAnsi="Arial"/>
                <w:sz w:val="18"/>
                <w:szCs w:val="18"/>
                <w:b w:val="1"/>
                <w:bCs w:val="1"/>
                <w:color w:val="auto"/>
              </w:rPr>
              <w:t>October 1,</w:t>
            </w:r>
          </w:p>
        </w:tc>
        <w:tc>
          <w:tcPr>
            <w:tcW w:w="12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ind w:right="50"/>
              <w:spacing w:after="0" w:line="198" w:lineRule="exact"/>
              <w:rPr>
                <w:sz w:val="20"/>
                <w:szCs w:val="20"/>
                <w:color w:val="auto"/>
              </w:rPr>
            </w:pPr>
            <w:r>
              <w:rPr>
                <w:rFonts w:ascii="Arial" w:cs="Arial" w:eastAsia="Arial" w:hAnsi="Arial"/>
                <w:sz w:val="18"/>
                <w:szCs w:val="18"/>
                <w:b w:val="1"/>
                <w:bCs w:val="1"/>
                <w:color w:val="auto"/>
                <w:w w:val="89"/>
              </w:rPr>
              <w:t>October 2,</w:t>
            </w:r>
          </w:p>
        </w:tc>
        <w:tc>
          <w:tcPr>
            <w:tcW w:w="20" w:type="dxa"/>
            <w:vAlign w:val="bottom"/>
          </w:tcPr>
          <w:p>
            <w:pPr>
              <w:spacing w:after="0"/>
              <w:rPr>
                <w:sz w:val="17"/>
                <w:szCs w:val="17"/>
                <w:color w:val="auto"/>
              </w:rPr>
            </w:pPr>
          </w:p>
        </w:tc>
      </w:tr>
      <w:tr>
        <w:trPr>
          <w:trHeight w:val="241"/>
        </w:trPr>
        <w:tc>
          <w:tcPr>
            <w:tcW w:w="662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2022</w:t>
            </w:r>
          </w:p>
        </w:tc>
        <w:tc>
          <w:tcPr>
            <w:tcW w:w="12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2021</w:t>
            </w:r>
          </w:p>
        </w:tc>
        <w:tc>
          <w:tcPr>
            <w:tcW w:w="20" w:type="dxa"/>
            <w:vAlign w:val="bottom"/>
          </w:tcPr>
          <w:p>
            <w:pPr>
              <w:spacing w:after="0"/>
              <w:rPr>
                <w:sz w:val="20"/>
                <w:szCs w:val="20"/>
                <w:color w:val="auto"/>
              </w:rPr>
            </w:pPr>
          </w:p>
        </w:tc>
      </w:tr>
      <w:tr>
        <w:trPr>
          <w:trHeight w:val="216"/>
        </w:trPr>
        <w:tc>
          <w:tcPr>
            <w:tcW w:w="6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Supplemental Cash Flow Information:</w:t>
            </w: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6620" w:type="dxa"/>
            <w:vAlign w:val="bottom"/>
          </w:tcPr>
          <w:p>
            <w:pPr>
              <w:ind w:left="120"/>
              <w:spacing w:after="0"/>
              <w:rPr>
                <w:sz w:val="20"/>
                <w:szCs w:val="20"/>
                <w:color w:val="auto"/>
              </w:rPr>
            </w:pPr>
            <w:r>
              <w:rPr>
                <w:rFonts w:ascii="Arial" w:cs="Arial" w:eastAsia="Arial" w:hAnsi="Arial"/>
                <w:sz w:val="18"/>
                <w:szCs w:val="18"/>
                <w:color w:val="auto"/>
              </w:rPr>
              <w:t>Cash paid for operating lease liabilities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14,062</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14,826</w:t>
            </w:r>
          </w:p>
        </w:tc>
        <w:tc>
          <w:tcPr>
            <w:tcW w:w="20" w:type="dxa"/>
            <w:vAlign w:val="bottom"/>
          </w:tcPr>
          <w:p>
            <w:pPr>
              <w:spacing w:after="0"/>
              <w:rPr>
                <w:sz w:val="18"/>
                <w:szCs w:val="18"/>
                <w:color w:val="auto"/>
              </w:rPr>
            </w:pPr>
          </w:p>
        </w:tc>
      </w:tr>
      <w:tr>
        <w:trPr>
          <w:trHeight w:val="216"/>
        </w:trPr>
        <w:tc>
          <w:tcPr>
            <w:tcW w:w="66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Operating lease assets obtained from new operating lease liabilities</w:t>
            </w: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20,796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7,578</w:t>
            </w:r>
          </w:p>
        </w:tc>
        <w:tc>
          <w:tcPr>
            <w:tcW w:w="20" w:type="dxa"/>
            <w:vAlign w:val="bottom"/>
          </w:tcPr>
          <w:p>
            <w:pPr>
              <w:spacing w:after="0"/>
              <w:rPr>
                <w:sz w:val="18"/>
                <w:szCs w:val="18"/>
                <w:color w:val="auto"/>
              </w:rPr>
            </w:pPr>
          </w:p>
        </w:tc>
      </w:tr>
      <w:tr>
        <w:trPr>
          <w:trHeight w:val="675"/>
        </w:trPr>
        <w:tc>
          <w:tcPr>
            <w:tcW w:w="6620" w:type="dxa"/>
            <w:vAlign w:val="bottom"/>
          </w:tcPr>
          <w:p>
            <w:pPr>
              <w:jc w:val="right"/>
              <w:ind w:right="1970"/>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560"/>
        </w:trPr>
        <w:tc>
          <w:tcPr>
            <w:tcW w:w="66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44" w:right="1440" w:bottom="1440" w:gutter="0" w:footer="0" w:header="0"/>
        </w:sectPr>
      </w:pPr>
    </w:p>
    <w:bookmarkStart w:id="11" w:name="page12"/>
    <w:bookmarkEnd w:id="1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AVNET, INC. AND SUBSIDIARIES</w:t>
      </w:r>
    </w:p>
    <w:p>
      <w:pPr>
        <w:spacing w:after="0" w:line="5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9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6. Derivative financial instruments</w:t>
      </w:r>
    </w:p>
    <w:p>
      <w:pPr>
        <w:spacing w:after="0" w:line="229" w:lineRule="exact"/>
        <w:rPr>
          <w:sz w:val="20"/>
          <w:szCs w:val="20"/>
          <w:color w:val="auto"/>
        </w:rPr>
      </w:pPr>
    </w:p>
    <w:p>
      <w:pPr>
        <w:ind w:left="60" w:right="79" w:firstLine="427"/>
        <w:spacing w:after="0" w:line="286" w:lineRule="auto"/>
        <w:rPr>
          <w:sz w:val="20"/>
          <w:szCs w:val="20"/>
          <w:color w:val="auto"/>
        </w:rPr>
      </w:pPr>
      <w:r>
        <w:rPr>
          <w:rFonts w:ascii="Arial" w:cs="Arial" w:eastAsia="Arial" w:hAnsi="Arial"/>
          <w:sz w:val="16"/>
          <w:szCs w:val="16"/>
          <w:color w:val="auto"/>
        </w:rPr>
        <w:t>Many of the Company’s subsidiaries purchase and sell products in currencies other than their functional currencies, which subjects the Company to the risks associated with fluctuations in currency exchange rates. The Company uses economic hedges to reduce this risk utilizing natural hedging (</w:t>
      </w:r>
      <w:r>
        <w:rPr>
          <w:rFonts w:ascii="Arial" w:cs="Arial" w:eastAsia="Arial" w:hAnsi="Arial"/>
          <w:sz w:val="16"/>
          <w:szCs w:val="16"/>
          <w:i w:val="1"/>
          <w:iCs w:val="1"/>
          <w:color w:val="auto"/>
        </w:rPr>
        <w:t>i.e.</w:t>
      </w:r>
      <w:r>
        <w:rPr>
          <w:rFonts w:ascii="Arial" w:cs="Arial" w:eastAsia="Arial" w:hAnsi="Arial"/>
          <w:sz w:val="16"/>
          <w:szCs w:val="16"/>
          <w:color w:val="auto"/>
        </w:rPr>
        <w:t>, offsetting receivables and payables in the same foreign currency) and creating offsetting positions through the use of derivative financial instruments (primarily forward foreign exchange contracts typically with maturities of less than 60 days, but no longer than one year). The Company continues to have exposure to foreign currency risks to the extent they are not economically hedged. The Company adjusts any economic hedges to fair value through the consolidated statements of operations primarily within “Other income (expense), net.” The fair value of forward foreign exchange contracts, which are based upon Level 2 criteria under the ASC 820 fair value hierarchy, are classified in the captions “Prepaid and other current assets” or “Accrued expenses and other,” as applicable, in the accompanying consolidated balance sheets as of October 1, 2022, and July 2, 2022. The Company’s master netting and other similar arrangements with various financial institutions related to derivative financial instruments allow for the right of offset. The Company’s policy is to present derivative financial instruments with the same counterparty as either a net asset or liability when the right of offset exists.</w:t>
      </w:r>
    </w:p>
    <w:p>
      <w:pPr>
        <w:spacing w:after="0" w:line="174" w:lineRule="exact"/>
        <w:rPr>
          <w:sz w:val="20"/>
          <w:szCs w:val="20"/>
          <w:color w:val="auto"/>
        </w:rPr>
      </w:pPr>
    </w:p>
    <w:p>
      <w:pPr>
        <w:ind w:left="60" w:right="179" w:firstLine="427"/>
        <w:spacing w:after="0" w:line="263" w:lineRule="auto"/>
        <w:rPr>
          <w:sz w:val="20"/>
          <w:szCs w:val="20"/>
          <w:color w:val="auto"/>
        </w:rPr>
      </w:pPr>
      <w:r>
        <w:rPr>
          <w:rFonts w:ascii="Arial" w:cs="Arial" w:eastAsia="Arial" w:hAnsi="Arial"/>
          <w:sz w:val="18"/>
          <w:szCs w:val="18"/>
          <w:color w:val="auto"/>
        </w:rPr>
        <w:t>The Company generally does not hedge its investments in its foreign operations. The Company does not enter derivative financial instruments for trading or speculative purposes and monitors the financial stability and credit standing of its counterparties.</w:t>
      </w:r>
    </w:p>
    <w:p>
      <w:pPr>
        <w:spacing w:after="0" w:line="184" w:lineRule="exact"/>
        <w:rPr>
          <w:sz w:val="20"/>
          <w:szCs w:val="20"/>
          <w:color w:val="auto"/>
        </w:rPr>
      </w:pPr>
    </w:p>
    <w:p>
      <w:pPr>
        <w:ind w:left="60" w:right="79" w:firstLine="427"/>
        <w:spacing w:after="0" w:line="275" w:lineRule="auto"/>
        <w:rPr>
          <w:sz w:val="20"/>
          <w:szCs w:val="20"/>
          <w:color w:val="auto"/>
        </w:rPr>
      </w:pPr>
      <w:r>
        <w:rPr>
          <w:rFonts w:ascii="Arial" w:cs="Arial" w:eastAsia="Arial" w:hAnsi="Arial"/>
          <w:sz w:val="17"/>
          <w:szCs w:val="17"/>
          <w:color w:val="auto"/>
        </w:rPr>
        <w:t>The Company’s foreign currency exposure relates primarily to international transactions where the currency collected from customers can be different from the currency used to purchase from suppliers. The Company’s foreign operations transactions are denominated primarily in the following currencies: U.S. Dollar, Euro, British Pound, Japanese Yen, Chinese Yuan, Taiwan Dollar, Canadian Dollar and Mexican Peso. The Company also, to a lesser extent, has foreign operations transactions in other EMEA and Asian foreign currencies.</w:t>
      </w:r>
    </w:p>
    <w:p>
      <w:pPr>
        <w:spacing w:after="0" w:line="176" w:lineRule="exact"/>
        <w:rPr>
          <w:sz w:val="20"/>
          <w:szCs w:val="20"/>
          <w:color w:val="auto"/>
        </w:rPr>
      </w:pPr>
    </w:p>
    <w:p>
      <w:pPr>
        <w:ind w:left="60" w:right="119" w:firstLine="427"/>
        <w:spacing w:after="0" w:line="277" w:lineRule="auto"/>
        <w:rPr>
          <w:sz w:val="20"/>
          <w:szCs w:val="20"/>
          <w:color w:val="auto"/>
        </w:rPr>
      </w:pPr>
      <w:r>
        <w:rPr>
          <w:rFonts w:ascii="Arial" w:cs="Arial" w:eastAsia="Arial" w:hAnsi="Arial"/>
          <w:sz w:val="18"/>
          <w:szCs w:val="18"/>
          <w:color w:val="auto"/>
        </w:rPr>
        <w:t>The fair values of forward foreign currency exchange contracts not receiving hedge accounting treatment recorded in the Company’s consolidated balance sheets are as follows:</w:t>
      </w:r>
    </w:p>
    <w:p>
      <w:pPr>
        <w:spacing w:after="0" w:line="180"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6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spacing w:after="0"/>
              <w:rPr>
                <w:sz w:val="20"/>
                <w:szCs w:val="20"/>
                <w:color w:val="auto"/>
              </w:rPr>
            </w:pPr>
            <w:r>
              <w:rPr>
                <w:rFonts w:ascii="Arial" w:cs="Arial" w:eastAsia="Arial" w:hAnsi="Arial"/>
                <w:sz w:val="18"/>
                <w:szCs w:val="18"/>
                <w:b w:val="1"/>
                <w:bCs w:val="1"/>
                <w:color w:val="auto"/>
              </w:rPr>
              <w:t>October 1,</w:t>
            </w:r>
          </w:p>
        </w:tc>
        <w:tc>
          <w:tcPr>
            <w:tcW w:w="180" w:type="dxa"/>
            <w:vAlign w:val="bottom"/>
          </w:tcPr>
          <w:p>
            <w:pPr>
              <w:spacing w:after="0"/>
              <w:rPr>
                <w:sz w:val="18"/>
                <w:szCs w:val="18"/>
                <w:color w:val="auto"/>
              </w:rPr>
            </w:pPr>
          </w:p>
        </w:tc>
        <w:tc>
          <w:tcPr>
            <w:tcW w:w="860" w:type="dxa"/>
            <w:vAlign w:val="bottom"/>
          </w:tcPr>
          <w:p>
            <w:pPr>
              <w:jc w:val="right"/>
              <w:ind w:right="170"/>
              <w:spacing w:after="0"/>
              <w:rPr>
                <w:sz w:val="20"/>
                <w:szCs w:val="20"/>
                <w:color w:val="auto"/>
              </w:rPr>
            </w:pPr>
            <w:r>
              <w:rPr>
                <w:rFonts w:ascii="Arial" w:cs="Arial" w:eastAsia="Arial" w:hAnsi="Arial"/>
                <w:sz w:val="18"/>
                <w:szCs w:val="18"/>
                <w:b w:val="1"/>
                <w:bCs w:val="1"/>
                <w:color w:val="auto"/>
              </w:rPr>
              <w:t>July 2,</w:t>
            </w:r>
          </w:p>
        </w:tc>
      </w:tr>
      <w:tr>
        <w:trPr>
          <w:trHeight w:val="241"/>
        </w:trPr>
        <w:tc>
          <w:tcPr>
            <w:tcW w:w="668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2022</w:t>
            </w:r>
          </w:p>
        </w:tc>
        <w:tc>
          <w:tcPr>
            <w:tcW w:w="2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2022</w:t>
            </w:r>
          </w:p>
        </w:tc>
      </w:tr>
      <w:tr>
        <w:trPr>
          <w:trHeight w:val="203"/>
        </w:trPr>
        <w:tc>
          <w:tcPr>
            <w:tcW w:w="6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140" w:type="dxa"/>
            <w:vAlign w:val="bottom"/>
            <w:gridSpan w:val="4"/>
          </w:tcPr>
          <w:p>
            <w:pPr>
              <w:jc w:val="right"/>
              <w:ind w:right="530"/>
              <w:spacing w:after="0" w:line="202" w:lineRule="exact"/>
              <w:rPr>
                <w:sz w:val="20"/>
                <w:szCs w:val="20"/>
                <w:color w:val="auto"/>
              </w:rPr>
            </w:pPr>
            <w:r>
              <w:rPr>
                <w:rFonts w:ascii="Arial" w:cs="Arial" w:eastAsia="Arial" w:hAnsi="Arial"/>
                <w:sz w:val="18"/>
                <w:szCs w:val="18"/>
                <w:b w:val="1"/>
                <w:bCs w:val="1"/>
                <w:color w:val="auto"/>
              </w:rPr>
              <w:t>(Thousands)</w:t>
            </w:r>
          </w:p>
        </w:tc>
      </w:tr>
      <w:tr>
        <w:trPr>
          <w:trHeight w:val="216"/>
        </w:trPr>
        <w:tc>
          <w:tcPr>
            <w:tcW w:w="6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Prepaid and other current assets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39,336</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24,907</w:t>
            </w:r>
          </w:p>
        </w:tc>
      </w:tr>
      <w:tr>
        <w:trPr>
          <w:trHeight w:val="230"/>
        </w:trPr>
        <w:tc>
          <w:tcPr>
            <w:tcW w:w="6680" w:type="dxa"/>
            <w:vAlign w:val="bottom"/>
          </w:tcPr>
          <w:p>
            <w:pPr>
              <w:ind w:left="20"/>
              <w:spacing w:after="0"/>
              <w:rPr>
                <w:sz w:val="20"/>
                <w:szCs w:val="20"/>
                <w:color w:val="auto"/>
              </w:rPr>
            </w:pPr>
            <w:r>
              <w:rPr>
                <w:rFonts w:ascii="Arial" w:cs="Arial" w:eastAsia="Arial" w:hAnsi="Arial"/>
                <w:sz w:val="18"/>
                <w:szCs w:val="18"/>
                <w:color w:val="auto"/>
              </w:rPr>
              <w:t>Accrued expenses and other</w:t>
            </w:r>
          </w:p>
        </w:tc>
        <w:tc>
          <w:tcPr>
            <w:tcW w:w="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41,087</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29,663</w:t>
            </w:r>
          </w:p>
        </w:tc>
      </w:tr>
    </w:tbl>
    <w:p>
      <w:pPr>
        <w:spacing w:after="0" w:line="187" w:lineRule="exact"/>
        <w:rPr>
          <w:sz w:val="20"/>
          <w:szCs w:val="20"/>
          <w:color w:val="auto"/>
        </w:rPr>
      </w:pPr>
    </w:p>
    <w:p>
      <w:pPr>
        <w:jc w:val="both"/>
        <w:ind w:left="60" w:right="79" w:firstLine="427"/>
        <w:spacing w:after="0" w:line="277" w:lineRule="auto"/>
        <w:rPr>
          <w:sz w:val="20"/>
          <w:szCs w:val="20"/>
          <w:color w:val="auto"/>
        </w:rPr>
      </w:pPr>
      <w:r>
        <w:rPr>
          <w:rFonts w:ascii="Arial" w:cs="Arial" w:eastAsia="Arial" w:hAnsi="Arial"/>
          <w:sz w:val="18"/>
          <w:szCs w:val="18"/>
          <w:color w:val="auto"/>
        </w:rPr>
        <w:t>The amounts recorded to other (expense) income, net, related to derivative financial instruments for economic hedges are as follows:</w:t>
      </w:r>
    </w:p>
    <w:p>
      <w:pPr>
        <w:spacing w:after="0" w:line="180" w:lineRule="exact"/>
        <w:rPr>
          <w:sz w:val="20"/>
          <w:szCs w:val="20"/>
          <w:color w:val="auto"/>
        </w:rPr>
      </w:pPr>
    </w:p>
    <w:tbl>
      <w:tblPr>
        <w:tblLayout w:type="fixed"/>
        <w:tblInd w:w="40" w:type="dxa"/>
        <w:tblCellMar>
          <w:top w:w="0" w:type="dxa"/>
          <w:left w:w="0" w:type="dxa"/>
          <w:bottom w:w="0" w:type="dxa"/>
          <w:right w:w="0" w:type="dxa"/>
        </w:tblCellMar>
      </w:tblPr>
      <w:tr>
        <w:trPr>
          <w:trHeight w:val="241"/>
        </w:trPr>
        <w:tc>
          <w:tcPr>
            <w:tcW w:w="64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20" w:type="dxa"/>
            <w:vAlign w:val="bottom"/>
            <w:gridSpan w:val="5"/>
          </w:tcPr>
          <w:p>
            <w:pPr>
              <w:jc w:val="center"/>
              <w:ind w:right="200"/>
              <w:spacing w:after="0"/>
              <w:rPr>
                <w:sz w:val="20"/>
                <w:szCs w:val="20"/>
                <w:color w:val="auto"/>
              </w:rPr>
            </w:pPr>
            <w:r>
              <w:rPr>
                <w:rFonts w:ascii="Arial" w:cs="Arial" w:eastAsia="Arial" w:hAnsi="Arial"/>
                <w:sz w:val="18"/>
                <w:szCs w:val="18"/>
                <w:b w:val="1"/>
                <w:bCs w:val="1"/>
                <w:color w:val="auto"/>
                <w:w w:val="92"/>
              </w:rPr>
              <w:t>First Quarters Ended</w:t>
            </w:r>
          </w:p>
        </w:tc>
      </w:tr>
      <w:tr>
        <w:trPr>
          <w:trHeight w:val="198"/>
        </w:trPr>
        <w:tc>
          <w:tcPr>
            <w:tcW w:w="6460" w:type="dxa"/>
            <w:vAlign w:val="bottom"/>
          </w:tcPr>
          <w:p>
            <w:pPr>
              <w:spacing w:after="0"/>
              <w:rPr>
                <w:sz w:val="17"/>
                <w:szCs w:val="17"/>
                <w:color w:val="auto"/>
              </w:rPr>
            </w:pPr>
          </w:p>
        </w:tc>
        <w:tc>
          <w:tcPr>
            <w:tcW w:w="1140" w:type="dxa"/>
            <w:vAlign w:val="bottom"/>
            <w:tcBorders>
              <w:top w:val="single" w:sz="8" w:color="auto"/>
            </w:tcBorders>
            <w:gridSpan w:val="3"/>
          </w:tcPr>
          <w:p>
            <w:pPr>
              <w:jc w:val="center"/>
              <w:ind w:right="180"/>
              <w:spacing w:after="0" w:line="198" w:lineRule="exact"/>
              <w:rPr>
                <w:sz w:val="20"/>
                <w:szCs w:val="20"/>
                <w:color w:val="auto"/>
              </w:rPr>
            </w:pPr>
            <w:r>
              <w:rPr>
                <w:rFonts w:ascii="Arial" w:cs="Arial" w:eastAsia="Arial" w:hAnsi="Arial"/>
                <w:sz w:val="18"/>
                <w:szCs w:val="18"/>
                <w:b w:val="1"/>
                <w:bCs w:val="1"/>
                <w:color w:val="auto"/>
                <w:w w:val="89"/>
              </w:rPr>
              <w:t>October 1,</w:t>
            </w:r>
          </w:p>
        </w:tc>
        <w:tc>
          <w:tcPr>
            <w:tcW w:w="12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center"/>
              <w:ind w:right="30"/>
              <w:spacing w:after="0" w:line="198" w:lineRule="exact"/>
              <w:rPr>
                <w:sz w:val="20"/>
                <w:szCs w:val="20"/>
                <w:color w:val="auto"/>
              </w:rPr>
            </w:pPr>
            <w:r>
              <w:rPr>
                <w:rFonts w:ascii="Arial" w:cs="Arial" w:eastAsia="Arial" w:hAnsi="Arial"/>
                <w:sz w:val="18"/>
                <w:szCs w:val="18"/>
                <w:b w:val="1"/>
                <w:bCs w:val="1"/>
                <w:color w:val="auto"/>
                <w:w w:val="89"/>
              </w:rPr>
              <w:t>October 2,</w:t>
            </w:r>
          </w:p>
        </w:tc>
        <w:tc>
          <w:tcPr>
            <w:tcW w:w="20" w:type="dxa"/>
            <w:vAlign w:val="bottom"/>
          </w:tcPr>
          <w:p>
            <w:pPr>
              <w:spacing w:after="0"/>
              <w:rPr>
                <w:sz w:val="17"/>
                <w:szCs w:val="17"/>
                <w:color w:val="auto"/>
              </w:rPr>
            </w:pPr>
          </w:p>
        </w:tc>
      </w:tr>
      <w:tr>
        <w:trPr>
          <w:trHeight w:val="241"/>
        </w:trPr>
        <w:tc>
          <w:tcPr>
            <w:tcW w:w="64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2022</w:t>
            </w:r>
          </w:p>
        </w:tc>
        <w:tc>
          <w:tcPr>
            <w:tcW w:w="1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2021</w:t>
            </w:r>
          </w:p>
        </w:tc>
        <w:tc>
          <w:tcPr>
            <w:tcW w:w="20" w:type="dxa"/>
            <w:vAlign w:val="bottom"/>
          </w:tcPr>
          <w:p>
            <w:pPr>
              <w:spacing w:after="0"/>
              <w:rPr>
                <w:sz w:val="20"/>
                <w:szCs w:val="20"/>
                <w:color w:val="auto"/>
              </w:rPr>
            </w:pPr>
          </w:p>
        </w:tc>
      </w:tr>
      <w:tr>
        <w:trPr>
          <w:trHeight w:val="203"/>
        </w:trPr>
        <w:tc>
          <w:tcPr>
            <w:tcW w:w="6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0" w:type="dxa"/>
            <w:vAlign w:val="bottom"/>
            <w:gridSpan w:val="4"/>
          </w:tcPr>
          <w:p>
            <w:pPr>
              <w:jc w:val="center"/>
              <w:ind w:right="70"/>
              <w:spacing w:after="0" w:line="202" w:lineRule="exact"/>
              <w:rPr>
                <w:sz w:val="20"/>
                <w:szCs w:val="20"/>
                <w:color w:val="auto"/>
              </w:rPr>
            </w:pPr>
            <w:r>
              <w:rPr>
                <w:rFonts w:ascii="Arial" w:cs="Arial" w:eastAsia="Arial" w:hAnsi="Arial"/>
                <w:sz w:val="18"/>
                <w:szCs w:val="18"/>
                <w:b w:val="1"/>
                <w:bCs w:val="1"/>
                <w:color w:val="auto"/>
                <w:w w:val="88"/>
              </w:rPr>
              <w:t>(Thousands)</w:t>
            </w:r>
          </w:p>
        </w:tc>
        <w:tc>
          <w:tcPr>
            <w:tcW w:w="20" w:type="dxa"/>
            <w:vAlign w:val="bottom"/>
          </w:tcPr>
          <w:p>
            <w:pPr>
              <w:spacing w:after="0"/>
              <w:rPr>
                <w:sz w:val="17"/>
                <w:szCs w:val="17"/>
                <w:color w:val="auto"/>
              </w:rPr>
            </w:pPr>
          </w:p>
        </w:tc>
      </w:tr>
      <w:tr>
        <w:trPr>
          <w:trHeight w:val="216"/>
        </w:trPr>
        <w:tc>
          <w:tcPr>
            <w:tcW w:w="6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derivative financial instrument loss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(359)</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(8,771)</w:t>
            </w:r>
          </w:p>
        </w:tc>
        <w:tc>
          <w:tcPr>
            <w:tcW w:w="20" w:type="dxa"/>
            <w:vAlign w:val="bottom"/>
          </w:tcPr>
          <w:p>
            <w:pPr>
              <w:spacing w:after="0"/>
              <w:rPr>
                <w:sz w:val="18"/>
                <w:szCs w:val="18"/>
                <w:color w:val="auto"/>
              </w:rPr>
            </w:pPr>
          </w:p>
        </w:tc>
      </w:tr>
    </w:tbl>
    <w:p>
      <w:pPr>
        <w:spacing w:after="0" w:line="202" w:lineRule="exact"/>
        <w:rPr>
          <w:sz w:val="20"/>
          <w:szCs w:val="20"/>
          <w:color w:val="auto"/>
        </w:rPr>
      </w:pPr>
    </w:p>
    <w:p>
      <w:pPr>
        <w:ind w:left="60" w:right="339" w:firstLine="427"/>
        <w:spacing w:after="0" w:line="263" w:lineRule="auto"/>
        <w:rPr>
          <w:sz w:val="20"/>
          <w:szCs w:val="20"/>
          <w:color w:val="auto"/>
        </w:rPr>
      </w:pPr>
      <w:r>
        <w:rPr>
          <w:rFonts w:ascii="Arial" w:cs="Arial" w:eastAsia="Arial" w:hAnsi="Arial"/>
          <w:sz w:val="18"/>
          <w:szCs w:val="18"/>
          <w:color w:val="auto"/>
        </w:rPr>
        <w:t>Under the Company’s economic hedging policies, gains and losses on the derivative financial instruments are classified within the same line item in the consolidated statements of operations as the remeasurement of the underlying assets or liabilities being economically hedged.</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44" w:right="1440" w:bottom="1440" w:gutter="0" w:footer="0" w:header="0"/>
        </w:sectPr>
      </w:pPr>
    </w:p>
    <w:bookmarkStart w:id="12" w:name="page13"/>
    <w:bookmarkEnd w:id="1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AVNET, INC. AND SUBSIDIARIES</w:t>
      </w:r>
    </w:p>
    <w:p>
      <w:pPr>
        <w:spacing w:after="0" w:line="5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3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7. Commitments and contingencies</w:t>
      </w:r>
    </w:p>
    <w:p>
      <w:pPr>
        <w:spacing w:after="0" w:line="229" w:lineRule="exact"/>
        <w:rPr>
          <w:sz w:val="20"/>
          <w:szCs w:val="20"/>
          <w:color w:val="auto"/>
        </w:rPr>
      </w:pPr>
    </w:p>
    <w:p>
      <w:pPr>
        <w:ind w:left="60" w:right="179" w:firstLine="427"/>
        <w:spacing w:after="0" w:line="259" w:lineRule="auto"/>
        <w:rPr>
          <w:sz w:val="20"/>
          <w:szCs w:val="20"/>
          <w:color w:val="auto"/>
        </w:rPr>
      </w:pPr>
      <w:r>
        <w:rPr>
          <w:rFonts w:ascii="Arial" w:cs="Arial" w:eastAsia="Arial" w:hAnsi="Arial"/>
          <w:sz w:val="18"/>
          <w:szCs w:val="18"/>
          <w:color w:val="auto"/>
        </w:rPr>
        <w:t>From time to time, the Company may become a party to, or be otherwise involved in, various lawsuits, claims, investigations and other legal proceedings arising in the ordinary course of conducting its business. While litigation is subject to inherent uncertainties, management does not anticipate that any such matters will have a material adverse effect on the Company’s financial condition, liquidity, or results of operations.</w:t>
      </w:r>
    </w:p>
    <w:p>
      <w:pPr>
        <w:spacing w:after="0" w:line="187" w:lineRule="exact"/>
        <w:rPr>
          <w:sz w:val="20"/>
          <w:szCs w:val="20"/>
          <w:color w:val="auto"/>
        </w:rPr>
      </w:pPr>
    </w:p>
    <w:p>
      <w:pPr>
        <w:ind w:left="60" w:right="79" w:firstLine="427"/>
        <w:spacing w:after="0" w:line="255" w:lineRule="auto"/>
        <w:rPr>
          <w:sz w:val="20"/>
          <w:szCs w:val="20"/>
          <w:color w:val="auto"/>
        </w:rPr>
      </w:pPr>
      <w:r>
        <w:rPr>
          <w:rFonts w:ascii="Arial" w:cs="Arial" w:eastAsia="Arial" w:hAnsi="Arial"/>
          <w:sz w:val="18"/>
          <w:szCs w:val="18"/>
          <w:color w:val="auto"/>
        </w:rPr>
        <w:t>The Company is also currently subject to various pending and potential legal matters and investigations relating to compliance with governmental laws and regulations. For certain of these matters, it is not possible to determine the ultimate outcome, and the Company cannot reasonably estimate the maximum potential exposure or the range of possible loss, particularly regarding to matters in early stages. The Company currently believes that the resolution of such matters will not have a material adverse effect on the Company’s financial position or liquidity, but could possibly be material to its results of operations in any single reporting period.</w:t>
      </w:r>
    </w:p>
    <w:p>
      <w:pPr>
        <w:spacing w:after="0" w:line="192" w:lineRule="exact"/>
        <w:rPr>
          <w:sz w:val="20"/>
          <w:szCs w:val="20"/>
          <w:color w:val="auto"/>
        </w:rPr>
      </w:pPr>
    </w:p>
    <w:p>
      <w:pPr>
        <w:ind w:left="60" w:right="179" w:firstLine="427"/>
        <w:spacing w:after="0" w:line="342" w:lineRule="auto"/>
        <w:rPr>
          <w:sz w:val="20"/>
          <w:szCs w:val="20"/>
          <w:color w:val="auto"/>
        </w:rPr>
      </w:pPr>
      <w:r>
        <w:rPr>
          <w:rFonts w:ascii="Arial" w:cs="Arial" w:eastAsia="Arial" w:hAnsi="Arial"/>
          <w:sz w:val="16"/>
          <w:szCs w:val="16"/>
          <w:color w:val="auto"/>
        </w:rPr>
        <w:t>As of October 1, 2022, and July 2, 2022, the Company had aggregate estimated liabilities of $14.7 million classified within accrued expenses and other for such compliance-related matters that were reasonably estimable as of such dates.</w:t>
      </w:r>
    </w:p>
    <w:p>
      <w:pPr>
        <w:spacing w:after="0" w:line="12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8. Income taxes</w:t>
      </w:r>
    </w:p>
    <w:p>
      <w:pPr>
        <w:spacing w:after="0" w:line="229" w:lineRule="exact"/>
        <w:rPr>
          <w:sz w:val="20"/>
          <w:szCs w:val="20"/>
          <w:color w:val="auto"/>
        </w:rPr>
      </w:pPr>
    </w:p>
    <w:p>
      <w:pPr>
        <w:ind w:left="60" w:right="139" w:firstLine="427"/>
        <w:spacing w:after="0" w:line="263" w:lineRule="auto"/>
        <w:rPr>
          <w:sz w:val="20"/>
          <w:szCs w:val="20"/>
          <w:color w:val="auto"/>
        </w:rPr>
      </w:pPr>
      <w:r>
        <w:rPr>
          <w:rFonts w:ascii="Arial" w:cs="Arial" w:eastAsia="Arial" w:hAnsi="Arial"/>
          <w:sz w:val="18"/>
          <w:szCs w:val="18"/>
          <w:color w:val="auto"/>
        </w:rPr>
        <w:t>The Company’s effective tax rate on its income before taxes was 25.0% in the first quarter of fiscal 2023. During the first quarter of fiscal 2023, the Company’s effective tax rate was unfavorably impacted primarily by (i) increases to unrecognized tax benefit reserves and (ii) the mix of income in higher tax jurisdictions.</w:t>
      </w:r>
    </w:p>
    <w:p>
      <w:pPr>
        <w:spacing w:after="0" w:line="184" w:lineRule="exact"/>
        <w:rPr>
          <w:sz w:val="20"/>
          <w:szCs w:val="20"/>
          <w:color w:val="auto"/>
        </w:rPr>
      </w:pPr>
    </w:p>
    <w:p>
      <w:pPr>
        <w:ind w:left="60" w:right="279" w:firstLine="427"/>
        <w:spacing w:after="0" w:line="308" w:lineRule="auto"/>
        <w:rPr>
          <w:sz w:val="20"/>
          <w:szCs w:val="20"/>
          <w:color w:val="auto"/>
        </w:rPr>
      </w:pPr>
      <w:r>
        <w:rPr>
          <w:rFonts w:ascii="Arial" w:cs="Arial" w:eastAsia="Arial" w:hAnsi="Arial"/>
          <w:sz w:val="17"/>
          <w:szCs w:val="17"/>
          <w:color w:val="auto"/>
        </w:rPr>
        <w:t>During the first quarter of fiscal 2022, the Company’s effective tax rate on its income before taxes was 23.2%. The Company’s effective tax rate was unfavorably impacted primarily by increases to valuation allowances.</w:t>
      </w:r>
    </w:p>
    <w:p>
      <w:pPr>
        <w:spacing w:after="0" w:line="14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9. Pension plan</w:t>
      </w:r>
    </w:p>
    <w:p>
      <w:pPr>
        <w:spacing w:after="0" w:line="229" w:lineRule="exact"/>
        <w:rPr>
          <w:sz w:val="20"/>
          <w:szCs w:val="20"/>
          <w:color w:val="auto"/>
        </w:rPr>
      </w:pPr>
    </w:p>
    <w:p>
      <w:pPr>
        <w:ind w:left="480"/>
        <w:spacing w:after="0"/>
        <w:rPr>
          <w:sz w:val="20"/>
          <w:szCs w:val="20"/>
          <w:color w:val="auto"/>
        </w:rPr>
      </w:pPr>
      <w:r>
        <w:rPr>
          <w:rFonts w:ascii="Arial" w:cs="Arial" w:eastAsia="Arial" w:hAnsi="Arial"/>
          <w:sz w:val="16"/>
          <w:szCs w:val="16"/>
          <w:color w:val="auto"/>
        </w:rPr>
        <w:t>The Company has a noncontributory defined benefit pension plan that covers substantially all current or former U.S.</w:t>
      </w:r>
    </w:p>
    <w:p>
      <w:pPr>
        <w:spacing w:after="0" w:line="46" w:lineRule="exact"/>
        <w:rPr>
          <w:sz w:val="20"/>
          <w:szCs w:val="20"/>
          <w:color w:val="auto"/>
        </w:rPr>
      </w:pPr>
    </w:p>
    <w:p>
      <w:pPr>
        <w:ind w:left="60"/>
        <w:spacing w:after="0"/>
        <w:rPr>
          <w:sz w:val="20"/>
          <w:szCs w:val="20"/>
          <w:color w:val="auto"/>
        </w:rPr>
      </w:pPr>
      <w:r>
        <w:rPr>
          <w:rFonts w:ascii="Arial" w:cs="Arial" w:eastAsia="Arial" w:hAnsi="Arial"/>
          <w:sz w:val="18"/>
          <w:szCs w:val="18"/>
          <w:color w:val="auto"/>
        </w:rPr>
        <w:t>employees (the “Plan”). Components of net periodic pension cost for the Plan was as follows:</w:t>
      </w:r>
    </w:p>
    <w:p>
      <w:pPr>
        <w:spacing w:after="0" w:line="220" w:lineRule="exact"/>
        <w:rPr>
          <w:sz w:val="20"/>
          <w:szCs w:val="20"/>
          <w:color w:val="auto"/>
        </w:rPr>
      </w:pPr>
    </w:p>
    <w:tbl>
      <w:tblPr>
        <w:tblLayout w:type="fixed"/>
        <w:tblInd w:w="40" w:type="dxa"/>
        <w:tblCellMar>
          <w:top w:w="0" w:type="dxa"/>
          <w:left w:w="0" w:type="dxa"/>
          <w:bottom w:w="0" w:type="dxa"/>
          <w:right w:w="0" w:type="dxa"/>
        </w:tblCellMar>
      </w:tblPr>
      <w:tr>
        <w:trPr>
          <w:trHeight w:val="241"/>
        </w:trPr>
        <w:tc>
          <w:tcPr>
            <w:tcW w:w="6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40" w:type="dxa"/>
            <w:vAlign w:val="bottom"/>
            <w:gridSpan w:val="5"/>
          </w:tcPr>
          <w:p>
            <w:pPr>
              <w:ind w:left="220"/>
              <w:spacing w:after="0"/>
              <w:rPr>
                <w:sz w:val="20"/>
                <w:szCs w:val="20"/>
                <w:color w:val="auto"/>
              </w:rPr>
            </w:pPr>
            <w:r>
              <w:rPr>
                <w:rFonts w:ascii="Arial" w:cs="Arial" w:eastAsia="Arial" w:hAnsi="Arial"/>
                <w:sz w:val="18"/>
                <w:szCs w:val="18"/>
                <w:b w:val="1"/>
                <w:bCs w:val="1"/>
                <w:color w:val="auto"/>
              </w:rPr>
              <w:t>First Quarters Ended</w:t>
            </w:r>
          </w:p>
        </w:tc>
      </w:tr>
      <w:tr>
        <w:trPr>
          <w:trHeight w:val="198"/>
        </w:trPr>
        <w:tc>
          <w:tcPr>
            <w:tcW w:w="656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gridSpan w:val="2"/>
          </w:tcPr>
          <w:p>
            <w:pPr>
              <w:jc w:val="right"/>
              <w:ind w:right="320"/>
              <w:spacing w:after="0" w:line="198" w:lineRule="exact"/>
              <w:rPr>
                <w:sz w:val="20"/>
                <w:szCs w:val="20"/>
                <w:color w:val="auto"/>
              </w:rPr>
            </w:pPr>
            <w:r>
              <w:rPr>
                <w:rFonts w:ascii="Arial" w:cs="Arial" w:eastAsia="Arial" w:hAnsi="Arial"/>
                <w:sz w:val="18"/>
                <w:szCs w:val="18"/>
                <w:b w:val="1"/>
                <w:bCs w:val="1"/>
                <w:color w:val="auto"/>
                <w:w w:val="89"/>
              </w:rPr>
              <w:t>October 1,</w:t>
            </w:r>
          </w:p>
        </w:tc>
        <w:tc>
          <w:tcPr>
            <w:tcW w:w="12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ind w:right="50"/>
              <w:spacing w:after="0" w:line="198" w:lineRule="exact"/>
              <w:rPr>
                <w:sz w:val="20"/>
                <w:szCs w:val="20"/>
                <w:color w:val="auto"/>
              </w:rPr>
            </w:pPr>
            <w:r>
              <w:rPr>
                <w:rFonts w:ascii="Arial" w:cs="Arial" w:eastAsia="Arial" w:hAnsi="Arial"/>
                <w:sz w:val="18"/>
                <w:szCs w:val="18"/>
                <w:b w:val="1"/>
                <w:bCs w:val="1"/>
                <w:color w:val="auto"/>
                <w:w w:val="89"/>
              </w:rPr>
              <w:t>October 2,</w:t>
            </w:r>
          </w:p>
        </w:tc>
        <w:tc>
          <w:tcPr>
            <w:tcW w:w="20" w:type="dxa"/>
            <w:vAlign w:val="bottom"/>
          </w:tcPr>
          <w:p>
            <w:pPr>
              <w:spacing w:after="0"/>
              <w:rPr>
                <w:sz w:val="17"/>
                <w:szCs w:val="17"/>
                <w:color w:val="auto"/>
              </w:rPr>
            </w:pPr>
          </w:p>
        </w:tc>
      </w:tr>
      <w:tr>
        <w:trPr>
          <w:trHeight w:val="241"/>
        </w:trPr>
        <w:tc>
          <w:tcPr>
            <w:tcW w:w="65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2022</w:t>
            </w:r>
          </w:p>
        </w:tc>
        <w:tc>
          <w:tcPr>
            <w:tcW w:w="2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2021</w:t>
            </w:r>
          </w:p>
        </w:tc>
        <w:tc>
          <w:tcPr>
            <w:tcW w:w="20" w:type="dxa"/>
            <w:vAlign w:val="bottom"/>
          </w:tcPr>
          <w:p>
            <w:pPr>
              <w:spacing w:after="0"/>
              <w:rPr>
                <w:sz w:val="20"/>
                <w:szCs w:val="20"/>
                <w:color w:val="auto"/>
              </w:rPr>
            </w:pPr>
          </w:p>
        </w:tc>
      </w:tr>
      <w:tr>
        <w:trPr>
          <w:trHeight w:val="202"/>
        </w:trPr>
        <w:tc>
          <w:tcPr>
            <w:tcW w:w="6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20" w:type="dxa"/>
            <w:vAlign w:val="bottom"/>
            <w:gridSpan w:val="4"/>
          </w:tcPr>
          <w:p>
            <w:pPr>
              <w:jc w:val="right"/>
              <w:ind w:right="590"/>
              <w:spacing w:after="0" w:line="202" w:lineRule="exact"/>
              <w:rPr>
                <w:sz w:val="20"/>
                <w:szCs w:val="20"/>
                <w:color w:val="auto"/>
              </w:rPr>
            </w:pPr>
            <w:r>
              <w:rPr>
                <w:rFonts w:ascii="Arial" w:cs="Arial" w:eastAsia="Arial" w:hAnsi="Arial"/>
                <w:sz w:val="18"/>
                <w:szCs w:val="18"/>
                <w:b w:val="1"/>
                <w:bCs w:val="1"/>
                <w:color w:val="auto"/>
              </w:rPr>
              <w:t>(Thousands)</w:t>
            </w:r>
          </w:p>
        </w:tc>
        <w:tc>
          <w:tcPr>
            <w:tcW w:w="20" w:type="dxa"/>
            <w:vAlign w:val="bottom"/>
          </w:tcPr>
          <w:p>
            <w:pPr>
              <w:spacing w:after="0"/>
              <w:rPr>
                <w:sz w:val="17"/>
                <w:szCs w:val="17"/>
                <w:color w:val="auto"/>
              </w:rPr>
            </w:pPr>
          </w:p>
        </w:tc>
      </w:tr>
      <w:tr>
        <w:trPr>
          <w:trHeight w:val="236"/>
        </w:trPr>
        <w:tc>
          <w:tcPr>
            <w:tcW w:w="65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Service cost</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3,004</w:t>
            </w:r>
          </w:p>
        </w:tc>
        <w:tc>
          <w:tcPr>
            <w:tcW w:w="2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3,752</w:t>
            </w:r>
          </w:p>
        </w:tc>
        <w:tc>
          <w:tcPr>
            <w:tcW w:w="20" w:type="dxa"/>
            <w:vAlign w:val="bottom"/>
          </w:tcPr>
          <w:p>
            <w:pPr>
              <w:spacing w:after="0"/>
              <w:rPr>
                <w:sz w:val="20"/>
                <w:szCs w:val="20"/>
                <w:color w:val="auto"/>
              </w:rPr>
            </w:pPr>
          </w:p>
        </w:tc>
      </w:tr>
      <w:tr>
        <w:trPr>
          <w:trHeight w:val="203"/>
        </w:trPr>
        <w:tc>
          <w:tcPr>
            <w:tcW w:w="6560" w:type="dxa"/>
            <w:vAlign w:val="bottom"/>
          </w:tcPr>
          <w:p>
            <w:pPr>
              <w:ind w:left="100"/>
              <w:spacing w:after="0" w:line="203" w:lineRule="exact"/>
              <w:rPr>
                <w:sz w:val="20"/>
                <w:szCs w:val="20"/>
                <w:color w:val="auto"/>
              </w:rPr>
            </w:pPr>
            <w:r>
              <w:rPr>
                <w:rFonts w:ascii="Arial" w:cs="Arial" w:eastAsia="Arial" w:hAnsi="Arial"/>
                <w:sz w:val="18"/>
                <w:szCs w:val="18"/>
                <w:color w:val="auto"/>
                <w:w w:val="98"/>
              </w:rPr>
              <w:t>Total net periodic pension cost within selling, general and administrative expenses</w:t>
            </w:r>
          </w:p>
        </w:tc>
        <w:tc>
          <w:tcPr>
            <w:tcW w:w="12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Arial" w:cs="Arial" w:eastAsia="Arial" w:hAnsi="Arial"/>
                <w:sz w:val="18"/>
                <w:szCs w:val="18"/>
                <w:color w:val="auto"/>
              </w:rPr>
              <w:t>3,004</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Arial" w:cs="Arial" w:eastAsia="Arial" w:hAnsi="Arial"/>
                <w:sz w:val="18"/>
                <w:szCs w:val="18"/>
                <w:color w:val="auto"/>
              </w:rPr>
              <w:t>3,752</w:t>
            </w:r>
          </w:p>
        </w:tc>
        <w:tc>
          <w:tcPr>
            <w:tcW w:w="20" w:type="dxa"/>
            <w:vAlign w:val="bottom"/>
          </w:tcPr>
          <w:p>
            <w:pPr>
              <w:spacing w:after="0"/>
              <w:rPr>
                <w:sz w:val="17"/>
                <w:szCs w:val="17"/>
                <w:color w:val="auto"/>
              </w:rPr>
            </w:pPr>
          </w:p>
        </w:tc>
      </w:tr>
      <w:tr>
        <w:trPr>
          <w:trHeight w:val="216"/>
        </w:trPr>
        <w:tc>
          <w:tcPr>
            <w:tcW w:w="6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6560" w:type="dxa"/>
            <w:vAlign w:val="bottom"/>
          </w:tcPr>
          <w:p>
            <w:pPr>
              <w:spacing w:after="0"/>
              <w:rPr>
                <w:sz w:val="20"/>
                <w:szCs w:val="20"/>
                <w:color w:val="auto"/>
              </w:rPr>
            </w:pPr>
            <w:r>
              <w:rPr>
                <w:rFonts w:ascii="Arial" w:cs="Arial" w:eastAsia="Arial" w:hAnsi="Arial"/>
                <w:sz w:val="18"/>
                <w:szCs w:val="18"/>
                <w:color w:val="auto"/>
              </w:rPr>
              <w:t>Interest cost</w:t>
            </w: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6,682</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3,947</w:t>
            </w:r>
          </w:p>
        </w:tc>
        <w:tc>
          <w:tcPr>
            <w:tcW w:w="20" w:type="dxa"/>
            <w:vAlign w:val="bottom"/>
          </w:tcPr>
          <w:p>
            <w:pPr>
              <w:spacing w:after="0"/>
              <w:rPr>
                <w:sz w:val="18"/>
                <w:szCs w:val="18"/>
                <w:color w:val="auto"/>
              </w:rPr>
            </w:pPr>
          </w:p>
        </w:tc>
      </w:tr>
      <w:tr>
        <w:trPr>
          <w:trHeight w:val="216"/>
        </w:trPr>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Expected return on plan assets</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(12,215)</w:t>
            </w: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(12,284)</w:t>
            </w:r>
          </w:p>
        </w:tc>
        <w:tc>
          <w:tcPr>
            <w:tcW w:w="20" w:type="dxa"/>
            <w:vAlign w:val="bottom"/>
          </w:tcPr>
          <w:p>
            <w:pPr>
              <w:spacing w:after="0"/>
              <w:rPr>
                <w:sz w:val="18"/>
                <w:szCs w:val="18"/>
                <w:color w:val="auto"/>
              </w:rPr>
            </w:pPr>
          </w:p>
        </w:tc>
      </w:tr>
      <w:tr>
        <w:trPr>
          <w:trHeight w:val="216"/>
        </w:trPr>
        <w:tc>
          <w:tcPr>
            <w:tcW w:w="6560" w:type="dxa"/>
            <w:vAlign w:val="bottom"/>
          </w:tcPr>
          <w:p>
            <w:pPr>
              <w:spacing w:after="0"/>
              <w:rPr>
                <w:sz w:val="20"/>
                <w:szCs w:val="20"/>
                <w:color w:val="auto"/>
              </w:rPr>
            </w:pPr>
            <w:r>
              <w:rPr>
                <w:rFonts w:ascii="Arial" w:cs="Arial" w:eastAsia="Arial" w:hAnsi="Arial"/>
                <w:sz w:val="18"/>
                <w:szCs w:val="18"/>
                <w:color w:val="auto"/>
              </w:rPr>
              <w:t>Amortization of prior service cost</w:t>
            </w: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8"/>
                <w:szCs w:val="18"/>
                <w:color w:val="auto"/>
              </w:rPr>
            </w:pPr>
          </w:p>
        </w:tc>
      </w:tr>
      <w:tr>
        <w:trPr>
          <w:trHeight w:val="236"/>
        </w:trPr>
        <w:tc>
          <w:tcPr>
            <w:tcW w:w="65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Recognized net actuarial loss</w:t>
            </w:r>
          </w:p>
        </w:tc>
        <w:tc>
          <w:tcPr>
            <w:tcW w:w="12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617</w:t>
            </w:r>
          </w:p>
        </w:tc>
        <w:tc>
          <w:tcPr>
            <w:tcW w:w="2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4,086</w:t>
            </w:r>
          </w:p>
        </w:tc>
        <w:tc>
          <w:tcPr>
            <w:tcW w:w="20" w:type="dxa"/>
            <w:vAlign w:val="bottom"/>
          </w:tcPr>
          <w:p>
            <w:pPr>
              <w:spacing w:after="0"/>
              <w:rPr>
                <w:sz w:val="20"/>
                <w:szCs w:val="20"/>
                <w:color w:val="auto"/>
              </w:rPr>
            </w:pPr>
          </w:p>
        </w:tc>
      </w:tr>
      <w:tr>
        <w:trPr>
          <w:trHeight w:val="203"/>
        </w:trPr>
        <w:tc>
          <w:tcPr>
            <w:tcW w:w="6560" w:type="dxa"/>
            <w:vAlign w:val="bottom"/>
          </w:tcPr>
          <w:p>
            <w:pPr>
              <w:ind w:left="100"/>
              <w:spacing w:after="0" w:line="203" w:lineRule="exact"/>
              <w:rPr>
                <w:sz w:val="20"/>
                <w:szCs w:val="20"/>
                <w:color w:val="auto"/>
              </w:rPr>
            </w:pPr>
            <w:r>
              <w:rPr>
                <w:rFonts w:ascii="Arial" w:cs="Arial" w:eastAsia="Arial" w:hAnsi="Arial"/>
                <w:sz w:val="18"/>
                <w:szCs w:val="18"/>
                <w:color w:val="auto"/>
              </w:rPr>
              <w:t>Total net periodic pension benefit within other income (expense), net</w:t>
            </w:r>
          </w:p>
        </w:tc>
        <w:tc>
          <w:tcPr>
            <w:tcW w:w="12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Arial" w:cs="Arial" w:eastAsia="Arial" w:hAnsi="Arial"/>
                <w:sz w:val="18"/>
                <w:szCs w:val="18"/>
                <w:color w:val="auto"/>
              </w:rPr>
              <w:t>(4,915)</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Arial" w:cs="Arial" w:eastAsia="Arial" w:hAnsi="Arial"/>
                <w:sz w:val="18"/>
                <w:szCs w:val="18"/>
                <w:color w:val="auto"/>
              </w:rPr>
              <w:t>(4,250)</w:t>
            </w:r>
          </w:p>
        </w:tc>
        <w:tc>
          <w:tcPr>
            <w:tcW w:w="20" w:type="dxa"/>
            <w:vAlign w:val="bottom"/>
          </w:tcPr>
          <w:p>
            <w:pPr>
              <w:spacing w:after="0"/>
              <w:rPr>
                <w:sz w:val="17"/>
                <w:szCs w:val="17"/>
                <w:color w:val="auto"/>
              </w:rPr>
            </w:pPr>
          </w:p>
        </w:tc>
      </w:tr>
      <w:tr>
        <w:trPr>
          <w:trHeight w:val="236"/>
        </w:trPr>
        <w:tc>
          <w:tcPr>
            <w:tcW w:w="65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spacing w:after="0"/>
              <w:rPr>
                <w:sz w:val="20"/>
                <w:szCs w:val="20"/>
                <w:color w:val="auto"/>
              </w:rPr>
            </w:pPr>
          </w:p>
        </w:tc>
        <w:tc>
          <w:tcPr>
            <w:tcW w:w="20" w:type="dxa"/>
            <w:vAlign w:val="bottom"/>
          </w:tcPr>
          <w:p>
            <w:pPr>
              <w:spacing w:after="0"/>
              <w:rPr>
                <w:sz w:val="20"/>
                <w:szCs w:val="20"/>
                <w:color w:val="auto"/>
              </w:rPr>
            </w:pPr>
          </w:p>
        </w:tc>
      </w:tr>
      <w:tr>
        <w:trPr>
          <w:trHeight w:val="203"/>
        </w:trPr>
        <w:tc>
          <w:tcPr>
            <w:tcW w:w="6560" w:type="dxa"/>
            <w:vAlign w:val="bottom"/>
          </w:tcPr>
          <w:p>
            <w:pPr>
              <w:ind w:left="100"/>
              <w:spacing w:after="0" w:line="203" w:lineRule="exact"/>
              <w:rPr>
                <w:sz w:val="20"/>
                <w:szCs w:val="20"/>
                <w:color w:val="auto"/>
              </w:rPr>
            </w:pPr>
            <w:r>
              <w:rPr>
                <w:rFonts w:ascii="Arial" w:cs="Arial" w:eastAsia="Arial" w:hAnsi="Arial"/>
                <w:sz w:val="18"/>
                <w:szCs w:val="18"/>
                <w:color w:val="auto"/>
              </w:rPr>
              <w:t>Net periodic pension benefit</w:t>
            </w:r>
          </w:p>
        </w:tc>
        <w:tc>
          <w:tcPr>
            <w:tcW w:w="1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(1,911)</w:t>
            </w:r>
          </w:p>
        </w:tc>
        <w:tc>
          <w:tcPr>
            <w:tcW w:w="200" w:type="dxa"/>
            <w:vAlign w:val="bottom"/>
          </w:tcPr>
          <w:p>
            <w:pPr>
              <w:spacing w:after="0"/>
              <w:rPr>
                <w:sz w:val="17"/>
                <w:szCs w:val="17"/>
                <w:color w:val="auto"/>
              </w:rPr>
            </w:pPr>
          </w:p>
        </w:tc>
        <w:tc>
          <w:tcPr>
            <w:tcW w:w="1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(498)</w:t>
            </w:r>
          </w:p>
        </w:tc>
        <w:tc>
          <w:tcPr>
            <w:tcW w:w="20" w:type="dxa"/>
            <w:vAlign w:val="bottom"/>
            <w:tcBorders>
              <w:bottom w:val="single" w:sz="8" w:color="auto"/>
            </w:tcBorders>
          </w:tcPr>
          <w:p>
            <w:pPr>
              <w:spacing w:after="0"/>
              <w:rPr>
                <w:sz w:val="17"/>
                <w:szCs w:val="17"/>
                <w:color w:val="auto"/>
              </w:rPr>
            </w:pPr>
          </w:p>
        </w:tc>
      </w:tr>
      <w:tr>
        <w:trPr>
          <w:trHeight w:val="20"/>
        </w:trPr>
        <w:tc>
          <w:tcPr>
            <w:tcW w:w="65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88" w:lineRule="exact"/>
        <w:rPr>
          <w:sz w:val="20"/>
          <w:szCs w:val="20"/>
          <w:color w:val="auto"/>
        </w:rPr>
      </w:pPr>
    </w:p>
    <w:p>
      <w:pPr>
        <w:ind w:left="60" w:right="759" w:firstLine="427"/>
        <w:spacing w:after="0" w:line="277" w:lineRule="auto"/>
        <w:rPr>
          <w:sz w:val="20"/>
          <w:szCs w:val="20"/>
          <w:color w:val="auto"/>
        </w:rPr>
      </w:pPr>
      <w:r>
        <w:rPr>
          <w:rFonts w:ascii="Arial" w:cs="Arial" w:eastAsia="Arial" w:hAnsi="Arial"/>
          <w:sz w:val="18"/>
          <w:szCs w:val="18"/>
          <w:color w:val="auto"/>
        </w:rPr>
        <w:t>The Company made $4.0 million of contributions during the first quarter of fiscal 2023 and expects to make additional contributions to the Plan of $4.0 million in the remainder of fiscal 2023.</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44" w:right="1440" w:bottom="1440" w:gutter="0" w:footer="0" w:header="0"/>
        </w:sectPr>
      </w:pPr>
    </w:p>
    <w:bookmarkStart w:id="13" w:name="page14"/>
    <w:bookmarkEnd w:id="1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AVNET, INC. AND SUBSIDIARIES</w:t>
      </w:r>
    </w:p>
    <w:p>
      <w:pPr>
        <w:spacing w:after="0" w:line="5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39" w:lineRule="exact"/>
        <w:rPr>
          <w:sz w:val="20"/>
          <w:szCs w:val="20"/>
          <w:color w:val="auto"/>
        </w:rPr>
      </w:pPr>
    </w:p>
    <w:p>
      <w:pPr>
        <w:ind w:left="480" w:right="6619" w:hanging="430"/>
        <w:spacing w:after="0" w:line="566" w:lineRule="auto"/>
        <w:tabs>
          <w:tab w:leader="none" w:pos="323" w:val="left"/>
        </w:tabs>
        <w:numPr>
          <w:ilvl w:val="0"/>
          <w:numId w:val="4"/>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Shareholders’ equity </w:t>
      </w:r>
      <w:r>
        <w:rPr>
          <w:rFonts w:ascii="Arial" w:cs="Arial" w:eastAsia="Arial" w:hAnsi="Arial"/>
          <w:sz w:val="16"/>
          <w:szCs w:val="16"/>
          <w:i w:val="1"/>
          <w:iCs w:val="1"/>
          <w:color w:val="auto"/>
        </w:rPr>
        <w:t>Share repurchase program</w:t>
      </w:r>
    </w:p>
    <w:p>
      <w:pPr>
        <w:ind w:left="60" w:right="79" w:firstLine="427"/>
        <w:spacing w:after="0" w:line="254" w:lineRule="auto"/>
        <w:rPr>
          <w:sz w:val="20"/>
          <w:szCs w:val="20"/>
          <w:color w:val="auto"/>
        </w:rPr>
      </w:pPr>
      <w:r>
        <w:rPr>
          <w:rFonts w:ascii="Arial" w:cs="Arial" w:eastAsia="Arial" w:hAnsi="Arial"/>
          <w:sz w:val="18"/>
          <w:szCs w:val="18"/>
          <w:color w:val="auto"/>
        </w:rPr>
        <w:t>In May 2022, the Company’s Board of Directors approved a new share repurchase plan with an authorization to repurchase up to an aggregate of $600 million of common stock in the open market or through privately negotiated transactions. The timing and actual number of shares repurchased will depend on a variety of factors such as share price, expected liquidity, expected compliance with financial debt convents, corporate and regulatory requirements, and prevailing market conditions. During the first quarter of fiscal 2023, the Company repurchased 3.4 million shares under this program for a total cost of $147.9 million. As of October 1, 2022, the Company had $383.4 million remaining under its share repurchase authorization.</w:t>
      </w:r>
    </w:p>
    <w:p>
      <w:pPr>
        <w:spacing w:after="0" w:line="195" w:lineRule="exact"/>
        <w:rPr>
          <w:sz w:val="20"/>
          <w:szCs w:val="20"/>
          <w:color w:val="auto"/>
        </w:rPr>
      </w:pPr>
    </w:p>
    <w:p>
      <w:pPr>
        <w:ind w:left="480"/>
        <w:spacing w:after="0"/>
        <w:rPr>
          <w:sz w:val="20"/>
          <w:szCs w:val="20"/>
          <w:color w:val="auto"/>
        </w:rPr>
      </w:pPr>
      <w:r>
        <w:rPr>
          <w:rFonts w:ascii="Arial" w:cs="Arial" w:eastAsia="Arial" w:hAnsi="Arial"/>
          <w:sz w:val="18"/>
          <w:szCs w:val="18"/>
          <w:i w:val="1"/>
          <w:iCs w:val="1"/>
          <w:color w:val="auto"/>
        </w:rPr>
        <w:t>Common stock dividend</w:t>
      </w:r>
    </w:p>
    <w:p>
      <w:pPr>
        <w:spacing w:after="0" w:line="225" w:lineRule="exact"/>
        <w:rPr>
          <w:sz w:val="20"/>
          <w:szCs w:val="20"/>
          <w:color w:val="auto"/>
        </w:rPr>
      </w:pPr>
    </w:p>
    <w:p>
      <w:pPr>
        <w:ind w:left="60" w:right="339" w:firstLine="432"/>
        <w:spacing w:after="0" w:line="277" w:lineRule="auto"/>
        <w:rPr>
          <w:sz w:val="20"/>
          <w:szCs w:val="20"/>
          <w:color w:val="auto"/>
        </w:rPr>
      </w:pPr>
      <w:r>
        <w:rPr>
          <w:rFonts w:ascii="Arial" w:cs="Arial" w:eastAsia="Arial" w:hAnsi="Arial"/>
          <w:sz w:val="18"/>
          <w:szCs w:val="18"/>
          <w:color w:val="auto"/>
        </w:rPr>
        <w:t>In August 2022, the Company’s Board of Directors approved a dividend of $0.29 per common share and dividend payments of $27.0 million were made in September 2022.</w:t>
      </w:r>
    </w:p>
    <w:p>
      <w:pPr>
        <w:sectPr>
          <w:pgSz w:w="11900" w:h="16838" w:orient="portrait"/>
          <w:cols w:equalWidth="0" w:num="1">
            <w:col w:w="9019"/>
          </w:cols>
          <w:pgMar w:left="1440" w:top="544" w:right="1440" w:bottom="1440" w:gutter="0" w:footer="0" w:header="0"/>
        </w:sectPr>
      </w:pP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11. Earnings per share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20"/>
        <w:spacing w:after="0"/>
        <w:rPr>
          <w:sz w:val="20"/>
          <w:szCs w:val="20"/>
          <w:color w:val="auto"/>
        </w:rPr>
      </w:pPr>
      <w:r>
        <w:rPr>
          <w:rFonts w:ascii="Arial" w:cs="Arial" w:eastAsia="Arial" w:hAnsi="Arial"/>
          <w:sz w:val="18"/>
          <w:szCs w:val="18"/>
          <w:color w:val="auto"/>
        </w:rPr>
        <w:t>Numerator: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5700395" cy="1371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700395" cy="137160"/>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Arial" w:cs="Arial" w:eastAsia="Arial" w:hAnsi="Arial"/>
          <w:sz w:val="18"/>
          <w:szCs w:val="18"/>
          <w:color w:val="auto"/>
        </w:rPr>
        <w:t>Net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5700395" cy="1543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700395" cy="154305"/>
                    </a:xfrm>
                    <a:prstGeom prst="rect">
                      <a:avLst/>
                    </a:prstGeom>
                    <a:noFill/>
                  </pic:spPr>
                </pic:pic>
              </a:graphicData>
            </a:graphic>
          </wp:anchor>
        </w:drawing>
      </w:r>
    </w:p>
    <w:p>
      <w:pPr>
        <w:spacing w:after="0" w:line="231" w:lineRule="exact"/>
        <w:rPr>
          <w:sz w:val="20"/>
          <w:szCs w:val="20"/>
          <w:color w:val="auto"/>
        </w:rPr>
      </w:pPr>
    </w:p>
    <w:p>
      <w:pPr>
        <w:ind w:left="20"/>
        <w:spacing w:after="0"/>
        <w:rPr>
          <w:sz w:val="20"/>
          <w:szCs w:val="20"/>
          <w:color w:val="auto"/>
        </w:rPr>
      </w:pPr>
      <w:r>
        <w:rPr>
          <w:rFonts w:ascii="Arial" w:cs="Arial" w:eastAsia="Arial" w:hAnsi="Arial"/>
          <w:sz w:val="18"/>
          <w:szCs w:val="18"/>
          <w:color w:val="auto"/>
        </w:rPr>
        <w:t>Denominator: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5700395" cy="1371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700395" cy="137160"/>
                    </a:xfrm>
                    <a:prstGeom prst="rect">
                      <a:avLst/>
                    </a:prstGeom>
                    <a:noFill/>
                  </pic:spPr>
                </pic:pic>
              </a:graphicData>
            </a:graphic>
          </wp:anchor>
        </w:drawing>
      </w:r>
    </w:p>
    <w:p>
      <w:pPr>
        <w:spacing w:after="0" w:line="3" w:lineRule="exact"/>
        <w:rPr>
          <w:sz w:val="20"/>
          <w:szCs w:val="20"/>
          <w:color w:val="auto"/>
        </w:rPr>
      </w:pPr>
    </w:p>
    <w:p>
      <w:pPr>
        <w:ind w:left="20" w:right="1400"/>
        <w:spacing w:after="0" w:line="298" w:lineRule="auto"/>
        <w:rPr>
          <w:sz w:val="20"/>
          <w:szCs w:val="20"/>
          <w:color w:val="auto"/>
        </w:rPr>
      </w:pPr>
      <w:r>
        <w:rPr>
          <w:rFonts w:ascii="Arial" w:cs="Arial" w:eastAsia="Arial" w:hAnsi="Arial"/>
          <w:sz w:val="16"/>
          <w:szCs w:val="16"/>
          <w:color w:val="auto"/>
        </w:rPr>
        <w:t>Weighted average common shares for basic earnings per share Net effect of dilutive stock-based compensation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5700395" cy="1543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700395" cy="154305"/>
                    </a:xfrm>
                    <a:prstGeom prst="rect">
                      <a:avLst/>
                    </a:prstGeom>
                    <a:noFill/>
                  </pic:spPr>
                </pic:pic>
              </a:graphicData>
            </a:graphic>
          </wp:anchor>
        </w:drawing>
      </w:r>
    </w:p>
    <w:p>
      <w:pPr>
        <w:ind w:left="20"/>
        <w:spacing w:after="0"/>
        <w:rPr>
          <w:sz w:val="20"/>
          <w:szCs w:val="20"/>
          <w:color w:val="auto"/>
        </w:rPr>
      </w:pPr>
      <w:r>
        <w:rPr>
          <w:rFonts w:ascii="Arial" w:cs="Arial" w:eastAsia="Arial" w:hAnsi="Arial"/>
          <w:sz w:val="18"/>
          <w:szCs w:val="18"/>
          <w:color w:val="auto"/>
        </w:rPr>
        <w:t>Weighted average common shares for diluted earnings per share</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8"/>
          <w:szCs w:val="18"/>
          <w:color w:val="auto"/>
        </w:rPr>
        <w:t>Basic earnings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5700395" cy="16319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700395" cy="163195"/>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Arial" w:cs="Arial" w:eastAsia="Arial" w:hAnsi="Arial"/>
          <w:sz w:val="18"/>
          <w:szCs w:val="18"/>
          <w:color w:val="auto"/>
        </w:rPr>
        <w:t>Diluted earnings per share</w:t>
      </w:r>
    </w:p>
    <w:p>
      <w:pPr>
        <w:spacing w:after="0" w:line="23" w:lineRule="exact"/>
        <w:rPr>
          <w:sz w:val="20"/>
          <w:szCs w:val="20"/>
          <w:color w:val="auto"/>
        </w:rPr>
      </w:pPr>
    </w:p>
    <w:p>
      <w:pPr>
        <w:ind w:left="140" w:hanging="128"/>
        <w:spacing w:after="0" w:line="260" w:lineRule="auto"/>
        <w:rPr>
          <w:sz w:val="20"/>
          <w:szCs w:val="20"/>
          <w:color w:val="auto"/>
        </w:rPr>
      </w:pPr>
      <w:r>
        <w:rPr>
          <w:rFonts w:ascii="Arial" w:cs="Arial" w:eastAsia="Arial" w:hAnsi="Arial"/>
          <w:sz w:val="18"/>
          <w:szCs w:val="18"/>
          <w:color w:val="auto"/>
        </w:rPr>
        <w:t>Stock options excluded from earnings per share calculation due to an anti-dilutive effect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First Quarters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17145</wp:posOffset>
            </wp:positionV>
            <wp:extent cx="1722755"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722755" cy="17145"/>
                    </a:xfrm>
                    <a:prstGeom prst="rect">
                      <a:avLst/>
                    </a:prstGeom>
                    <a:noFill/>
                  </pic:spPr>
                </pic:pic>
              </a:graphicData>
            </a:graphic>
          </wp:anchor>
        </w:drawing>
      </w:r>
    </w:p>
    <w:p>
      <w:pPr>
        <w:spacing w:after="0" w:line="16" w:lineRule="exact"/>
        <w:rPr>
          <w:sz w:val="20"/>
          <w:szCs w:val="20"/>
          <w:color w:val="auto"/>
        </w:rPr>
      </w:pPr>
    </w:p>
    <w:p>
      <w:pPr>
        <w:ind w:left="240"/>
        <w:spacing w:after="0"/>
        <w:tabs>
          <w:tab w:leader="none" w:pos="1660" w:val="left"/>
        </w:tabs>
        <w:rPr>
          <w:sz w:val="20"/>
          <w:szCs w:val="20"/>
          <w:color w:val="auto"/>
        </w:rPr>
      </w:pPr>
      <w:r>
        <w:rPr>
          <w:rFonts w:ascii="Arial" w:cs="Arial" w:eastAsia="Arial" w:hAnsi="Arial"/>
          <w:sz w:val="18"/>
          <w:szCs w:val="18"/>
          <w:b w:val="1"/>
          <w:bCs w:val="1"/>
          <w:color w:val="auto"/>
        </w:rPr>
        <w:t>October 1,</w:t>
      </w:r>
      <w:r>
        <w:rPr>
          <w:sz w:val="20"/>
          <w:szCs w:val="20"/>
          <w:color w:val="auto"/>
        </w:rPr>
        <w:tab/>
      </w:r>
      <w:r>
        <w:rPr>
          <w:rFonts w:ascii="Arial" w:cs="Arial" w:eastAsia="Arial" w:hAnsi="Arial"/>
          <w:sz w:val="16"/>
          <w:szCs w:val="16"/>
          <w:b w:val="1"/>
          <w:bCs w:val="1"/>
          <w:color w:val="auto"/>
        </w:rPr>
        <w:t>October 2,</w:t>
      </w:r>
    </w:p>
    <w:p>
      <w:pPr>
        <w:spacing w:after="0" w:line="27" w:lineRule="exact"/>
        <w:rPr>
          <w:sz w:val="20"/>
          <w:szCs w:val="20"/>
          <w:color w:val="auto"/>
        </w:rPr>
      </w:pPr>
    </w:p>
    <w:p>
      <w:pPr>
        <w:ind w:left="460"/>
        <w:spacing w:after="0"/>
        <w:tabs>
          <w:tab w:leader="none" w:pos="1880" w:val="left"/>
        </w:tabs>
        <w:rPr>
          <w:sz w:val="20"/>
          <w:szCs w:val="20"/>
          <w:color w:val="auto"/>
        </w:rPr>
      </w:pPr>
      <w:r>
        <w:rPr>
          <w:rFonts w:ascii="Arial" w:cs="Arial" w:eastAsia="Arial" w:hAnsi="Arial"/>
          <w:sz w:val="18"/>
          <w:szCs w:val="18"/>
          <w:b w:val="1"/>
          <w:bCs w:val="1"/>
          <w:color w:val="auto"/>
        </w:rPr>
        <w:t>2022</w:t>
      </w:r>
      <w:r>
        <w:rPr>
          <w:sz w:val="20"/>
          <w:szCs w:val="20"/>
          <w:color w:val="auto"/>
        </w:rPr>
        <w:tab/>
      </w:r>
      <w:r>
        <w:rPr>
          <w:rFonts w:ascii="Arial" w:cs="Arial" w:eastAsia="Arial" w:hAnsi="Arial"/>
          <w:sz w:val="18"/>
          <w:szCs w:val="18"/>
          <w:b w:val="1"/>
          <w:bCs w:val="1"/>
          <w:color w:val="auto"/>
        </w:rPr>
        <w:t>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5715</wp:posOffset>
            </wp:positionV>
            <wp:extent cx="1722755"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722755" cy="17145"/>
                    </a:xfrm>
                    <a:prstGeom prst="rect">
                      <a:avLst/>
                    </a:prstGeom>
                    <a:noFill/>
                  </pic:spPr>
                </pic:pic>
              </a:graphicData>
            </a:graphic>
          </wp:anchor>
        </w:drawing>
      </w:r>
    </w:p>
    <w:p>
      <w:pPr>
        <w:ind w:left="20"/>
        <w:spacing w:after="0"/>
        <w:rPr>
          <w:sz w:val="20"/>
          <w:szCs w:val="20"/>
          <w:color w:val="auto"/>
        </w:rPr>
      </w:pPr>
      <w:r>
        <w:rPr>
          <w:rFonts w:ascii="Arial" w:cs="Arial" w:eastAsia="Arial" w:hAnsi="Arial"/>
          <w:sz w:val="15"/>
          <w:szCs w:val="15"/>
          <w:b w:val="1"/>
          <w:bCs w:val="1"/>
          <w:color w:val="auto"/>
        </w:rPr>
        <w:t>(Thousands, except per share data)</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80" w:type="dxa"/>
            <w:vAlign w:val="bottom"/>
            <w:tcBorders>
              <w:bottom w:val="single" w:sz="8" w:color="auto"/>
            </w:tcBorders>
          </w:tcPr>
          <w:p>
            <w:pPr>
              <w:jc w:val="right"/>
              <w:ind w:right="227"/>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184,261</w:t>
            </w:r>
          </w:p>
        </w:tc>
        <w:tc>
          <w:tcPr>
            <w:tcW w:w="160" w:type="dxa"/>
            <w:vAlign w:val="bottom"/>
          </w:tcPr>
          <w:p>
            <w:pPr>
              <w:spacing w:after="0"/>
              <w:rPr>
                <w:sz w:val="20"/>
                <w:szCs w:val="20"/>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111,318</w:t>
            </w:r>
          </w:p>
        </w:tc>
      </w:tr>
      <w:tr>
        <w:trPr>
          <w:trHeight w:val="20"/>
        </w:trPr>
        <w:tc>
          <w:tcPr>
            <w:tcW w:w="3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614"/>
        </w:trPr>
        <w:tc>
          <w:tcPr>
            <w:tcW w:w="3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94,051</w:t>
            </w: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99,647</w:t>
            </w:r>
          </w:p>
        </w:tc>
      </w:tr>
      <w:tr>
        <w:trPr>
          <w:trHeight w:val="237"/>
        </w:trPr>
        <w:tc>
          <w:tcPr>
            <w:tcW w:w="3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1,585</w:t>
            </w:r>
          </w:p>
        </w:tc>
        <w:tc>
          <w:tcPr>
            <w:tcW w:w="16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1,469</w:t>
            </w:r>
          </w:p>
        </w:tc>
      </w:tr>
      <w:tr>
        <w:trPr>
          <w:trHeight w:val="216"/>
        </w:trPr>
        <w:tc>
          <w:tcPr>
            <w:tcW w:w="3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95,636</w:t>
            </w:r>
          </w:p>
        </w:tc>
        <w:tc>
          <w:tcPr>
            <w:tcW w:w="16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101,116</w:t>
            </w:r>
          </w:p>
        </w:tc>
      </w:tr>
      <w:tr>
        <w:trPr>
          <w:trHeight w:val="20"/>
        </w:trPr>
        <w:tc>
          <w:tcPr>
            <w:tcW w:w="3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197"/>
        </w:trPr>
        <w:tc>
          <w:tcPr>
            <w:tcW w:w="380" w:type="dxa"/>
            <w:vAlign w:val="bottom"/>
            <w:tcBorders>
              <w:bottom w:val="single" w:sz="8" w:color="auto"/>
            </w:tcBorders>
          </w:tcPr>
          <w:p>
            <w:pPr>
              <w:jc w:val="right"/>
              <w:ind w:right="227"/>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1.96</w:t>
            </w:r>
          </w:p>
        </w:tc>
        <w:tc>
          <w:tcPr>
            <w:tcW w:w="160" w:type="dxa"/>
            <w:vAlign w:val="bottom"/>
          </w:tcPr>
          <w:p>
            <w:pPr>
              <w:spacing w:after="0"/>
              <w:rPr>
                <w:sz w:val="17"/>
                <w:szCs w:val="17"/>
                <w:color w:val="auto"/>
              </w:rPr>
            </w:pPr>
          </w:p>
        </w:tc>
        <w:tc>
          <w:tcPr>
            <w:tcW w:w="360" w:type="dxa"/>
            <w:vAlign w:val="bottom"/>
            <w:tcBorders>
              <w:bottom w:val="single" w:sz="8" w:color="auto"/>
            </w:tcBorders>
          </w:tcPr>
          <w:p>
            <w:pPr>
              <w:jc w:val="right"/>
              <w:ind w:right="170"/>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1.12</w:t>
            </w:r>
          </w:p>
        </w:tc>
      </w:tr>
      <w:tr>
        <w:trPr>
          <w:trHeight w:val="20"/>
        </w:trPr>
        <w:tc>
          <w:tcPr>
            <w:tcW w:w="3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196"/>
        </w:trPr>
        <w:tc>
          <w:tcPr>
            <w:tcW w:w="380" w:type="dxa"/>
            <w:vAlign w:val="bottom"/>
            <w:tcBorders>
              <w:bottom w:val="single" w:sz="8" w:color="auto"/>
            </w:tcBorders>
          </w:tcPr>
          <w:p>
            <w:pPr>
              <w:jc w:val="right"/>
              <w:ind w:right="227"/>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1.93</w:t>
            </w:r>
          </w:p>
        </w:tc>
        <w:tc>
          <w:tcPr>
            <w:tcW w:w="160" w:type="dxa"/>
            <w:vAlign w:val="bottom"/>
          </w:tcPr>
          <w:p>
            <w:pPr>
              <w:spacing w:after="0"/>
              <w:rPr>
                <w:sz w:val="17"/>
                <w:szCs w:val="17"/>
                <w:color w:val="auto"/>
              </w:rPr>
            </w:pPr>
          </w:p>
        </w:tc>
        <w:tc>
          <w:tcPr>
            <w:tcW w:w="360" w:type="dxa"/>
            <w:vAlign w:val="bottom"/>
            <w:tcBorders>
              <w:bottom w:val="single" w:sz="8" w:color="auto"/>
            </w:tcBorders>
          </w:tcPr>
          <w:p>
            <w:pPr>
              <w:jc w:val="right"/>
              <w:ind w:right="170"/>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1.10</w:t>
            </w:r>
          </w:p>
        </w:tc>
      </w:tr>
      <w:tr>
        <w:trPr>
          <w:trHeight w:val="20"/>
        </w:trPr>
        <w:tc>
          <w:tcPr>
            <w:tcW w:w="3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386"/>
        </w:trPr>
        <w:tc>
          <w:tcPr>
            <w:tcW w:w="3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146</w:t>
            </w: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897</w:t>
            </w:r>
          </w:p>
        </w:tc>
      </w:tr>
    </w:tbl>
    <w:p>
      <w:pPr>
        <w:spacing w:after="0" w:line="216" w:lineRule="exact"/>
        <w:rPr>
          <w:sz w:val="20"/>
          <w:szCs w:val="20"/>
          <w:color w:val="auto"/>
        </w:rPr>
      </w:pPr>
    </w:p>
    <w:p>
      <w:pPr>
        <w:sectPr>
          <w:pgSz w:w="11900" w:h="16838" w:orient="portrait"/>
          <w:cols w:equalWidth="0" w:num="2">
            <w:col w:w="5900" w:space="380"/>
            <w:col w:w="2739"/>
          </w:cols>
          <w:pgMar w:left="1440" w:top="544"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44" w:right="1440" w:bottom="1440" w:gutter="0" w:footer="0" w:header="0"/>
          <w:type w:val="continuous"/>
        </w:sectPr>
      </w:pPr>
    </w:p>
    <w:bookmarkStart w:id="14" w:name="page15"/>
    <w:bookmarkEnd w:id="1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AVNET, INC. AND SUBSIDIARIES</w:t>
      </w:r>
    </w:p>
    <w:p>
      <w:pPr>
        <w:spacing w:after="0" w:line="5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3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12. Additional cash flow information</w:t>
      </w:r>
    </w:p>
    <w:p>
      <w:pPr>
        <w:spacing w:after="0" w:line="229" w:lineRule="exact"/>
        <w:rPr>
          <w:sz w:val="20"/>
          <w:szCs w:val="20"/>
          <w:color w:val="auto"/>
        </w:rPr>
      </w:pPr>
    </w:p>
    <w:p>
      <w:pPr>
        <w:ind w:left="480"/>
        <w:spacing w:after="0"/>
        <w:rPr>
          <w:sz w:val="20"/>
          <w:szCs w:val="20"/>
          <w:color w:val="auto"/>
        </w:rPr>
      </w:pPr>
      <w:r>
        <w:rPr>
          <w:rFonts w:ascii="Arial" w:cs="Arial" w:eastAsia="Arial" w:hAnsi="Arial"/>
          <w:sz w:val="18"/>
          <w:szCs w:val="18"/>
          <w:color w:val="auto"/>
        </w:rPr>
        <w:t>Non-cash investing and financing activities and supplemental cash flow information were as follows:</w:t>
      </w:r>
    </w:p>
    <w:p>
      <w:pPr>
        <w:spacing w:after="0" w:line="235" w:lineRule="exact"/>
        <w:rPr>
          <w:sz w:val="20"/>
          <w:szCs w:val="20"/>
          <w:color w:val="auto"/>
        </w:rPr>
      </w:pPr>
    </w:p>
    <w:tbl>
      <w:tblPr>
        <w:tblLayout w:type="fixed"/>
        <w:tblInd w:w="40" w:type="dxa"/>
        <w:tblCellMar>
          <w:top w:w="0" w:type="dxa"/>
          <w:left w:w="0" w:type="dxa"/>
          <w:bottom w:w="0" w:type="dxa"/>
          <w:right w:w="0" w:type="dxa"/>
        </w:tblCellMar>
      </w:tblPr>
      <w:tr>
        <w:trPr>
          <w:trHeight w:val="241"/>
        </w:trPr>
        <w:tc>
          <w:tcPr>
            <w:tcW w:w="488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100" w:type="dxa"/>
            <w:vAlign w:val="bottom"/>
            <w:gridSpan w:val="5"/>
          </w:tcPr>
          <w:p>
            <w:pPr>
              <w:ind w:left="80"/>
              <w:spacing w:after="0"/>
              <w:rPr>
                <w:sz w:val="20"/>
                <w:szCs w:val="20"/>
                <w:color w:val="auto"/>
              </w:rPr>
            </w:pPr>
            <w:r>
              <w:rPr>
                <w:rFonts w:ascii="Arial" w:cs="Arial" w:eastAsia="Arial" w:hAnsi="Arial"/>
                <w:sz w:val="18"/>
                <w:szCs w:val="18"/>
                <w:b w:val="1"/>
                <w:bCs w:val="1"/>
                <w:color w:val="auto"/>
              </w:rPr>
              <w:t>First Quarters Ended</w:t>
            </w:r>
          </w:p>
        </w:tc>
      </w:tr>
      <w:tr>
        <w:trPr>
          <w:trHeight w:val="198"/>
        </w:trPr>
        <w:tc>
          <w:tcPr>
            <w:tcW w:w="488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980" w:type="dxa"/>
            <w:vAlign w:val="bottom"/>
            <w:tcBorders>
              <w:top w:val="single" w:sz="8" w:color="auto"/>
            </w:tcBorders>
            <w:gridSpan w:val="2"/>
          </w:tcPr>
          <w:p>
            <w:pPr>
              <w:jc w:val="right"/>
              <w:ind w:right="10"/>
              <w:spacing w:after="0" w:line="198" w:lineRule="exact"/>
              <w:rPr>
                <w:sz w:val="20"/>
                <w:szCs w:val="20"/>
                <w:color w:val="auto"/>
              </w:rPr>
            </w:pPr>
            <w:r>
              <w:rPr>
                <w:rFonts w:ascii="Arial" w:cs="Arial" w:eastAsia="Arial" w:hAnsi="Arial"/>
                <w:sz w:val="18"/>
                <w:szCs w:val="18"/>
                <w:b w:val="1"/>
                <w:bCs w:val="1"/>
                <w:color w:val="auto"/>
                <w:w w:val="96"/>
              </w:rPr>
              <w:t>October 1,</w:t>
            </w:r>
          </w:p>
        </w:tc>
        <w:tc>
          <w:tcPr>
            <w:tcW w:w="18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ind w:right="30"/>
              <w:spacing w:after="0" w:line="198" w:lineRule="exact"/>
              <w:rPr>
                <w:sz w:val="20"/>
                <w:szCs w:val="20"/>
                <w:color w:val="auto"/>
              </w:rPr>
            </w:pPr>
            <w:r>
              <w:rPr>
                <w:rFonts w:ascii="Arial" w:cs="Arial" w:eastAsia="Arial" w:hAnsi="Arial"/>
                <w:sz w:val="18"/>
                <w:szCs w:val="18"/>
                <w:b w:val="1"/>
                <w:bCs w:val="1"/>
                <w:color w:val="auto"/>
                <w:w w:val="87"/>
              </w:rPr>
              <w:t>October 2,</w:t>
            </w:r>
          </w:p>
        </w:tc>
        <w:tc>
          <w:tcPr>
            <w:tcW w:w="100" w:type="dxa"/>
            <w:vAlign w:val="bottom"/>
          </w:tcPr>
          <w:p>
            <w:pPr>
              <w:spacing w:after="0"/>
              <w:rPr>
                <w:sz w:val="17"/>
                <w:szCs w:val="17"/>
                <w:color w:val="auto"/>
              </w:rPr>
            </w:pPr>
          </w:p>
        </w:tc>
      </w:tr>
      <w:tr>
        <w:trPr>
          <w:trHeight w:val="241"/>
        </w:trPr>
        <w:tc>
          <w:tcPr>
            <w:tcW w:w="488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2022</w:t>
            </w:r>
          </w:p>
        </w:tc>
        <w:tc>
          <w:tcPr>
            <w:tcW w:w="1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20"/>
                <w:szCs w:val="20"/>
                <w:color w:val="auto"/>
              </w:rPr>
            </w:pPr>
          </w:p>
        </w:tc>
      </w:tr>
      <w:tr>
        <w:trPr>
          <w:trHeight w:val="203"/>
        </w:trPr>
        <w:tc>
          <w:tcPr>
            <w:tcW w:w="488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0" w:type="dxa"/>
            <w:vAlign w:val="bottom"/>
            <w:gridSpan w:val="4"/>
          </w:tcPr>
          <w:p>
            <w:pPr>
              <w:jc w:val="right"/>
              <w:ind w:right="530"/>
              <w:spacing w:after="0" w:line="202" w:lineRule="exact"/>
              <w:rPr>
                <w:sz w:val="20"/>
                <w:szCs w:val="20"/>
                <w:color w:val="auto"/>
              </w:rPr>
            </w:pPr>
            <w:r>
              <w:rPr>
                <w:rFonts w:ascii="Arial" w:cs="Arial" w:eastAsia="Arial" w:hAnsi="Arial"/>
                <w:sz w:val="18"/>
                <w:szCs w:val="18"/>
                <w:b w:val="1"/>
                <w:bCs w:val="1"/>
                <w:color w:val="auto"/>
              </w:rPr>
              <w:t>(Thousands)</w:t>
            </w:r>
          </w:p>
        </w:tc>
        <w:tc>
          <w:tcPr>
            <w:tcW w:w="100" w:type="dxa"/>
            <w:vAlign w:val="bottom"/>
          </w:tcPr>
          <w:p>
            <w:pPr>
              <w:spacing w:after="0"/>
              <w:rPr>
                <w:sz w:val="17"/>
                <w:szCs w:val="17"/>
                <w:color w:val="auto"/>
              </w:rPr>
            </w:pPr>
          </w:p>
        </w:tc>
      </w:tr>
      <w:tr>
        <w:trPr>
          <w:trHeight w:val="216"/>
        </w:trPr>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Non-cash Investing Activities:</w:t>
            </w:r>
          </w:p>
        </w:tc>
        <w:tc>
          <w:tcPr>
            <w:tcW w:w="1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880" w:type="dxa"/>
            <w:vAlign w:val="bottom"/>
          </w:tcPr>
          <w:p>
            <w:pPr>
              <w:ind w:left="100"/>
              <w:spacing w:after="0"/>
              <w:rPr>
                <w:sz w:val="20"/>
                <w:szCs w:val="20"/>
                <w:color w:val="auto"/>
              </w:rPr>
            </w:pPr>
            <w:r>
              <w:rPr>
                <w:rFonts w:ascii="Arial" w:cs="Arial" w:eastAsia="Arial" w:hAnsi="Arial"/>
                <w:sz w:val="18"/>
                <w:szCs w:val="18"/>
                <w:color w:val="auto"/>
              </w:rPr>
              <w:t>Capital expenditures incurred but not paid</w:t>
            </w:r>
          </w:p>
        </w:tc>
        <w:tc>
          <w:tcPr>
            <w:tcW w:w="19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11,916</w:t>
            </w: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4,508</w:t>
            </w:r>
          </w:p>
        </w:tc>
        <w:tc>
          <w:tcPr>
            <w:tcW w:w="100" w:type="dxa"/>
            <w:vAlign w:val="bottom"/>
          </w:tcPr>
          <w:p>
            <w:pPr>
              <w:spacing w:after="0"/>
              <w:rPr>
                <w:sz w:val="18"/>
                <w:szCs w:val="18"/>
                <w:color w:val="auto"/>
              </w:rPr>
            </w:pPr>
          </w:p>
        </w:tc>
      </w:tr>
      <w:tr>
        <w:trPr>
          <w:trHeight w:val="216"/>
        </w:trPr>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Non-cash Financing Activities:</w:t>
            </w:r>
          </w:p>
        </w:tc>
        <w:tc>
          <w:tcPr>
            <w:tcW w:w="1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880" w:type="dxa"/>
            <w:vAlign w:val="bottom"/>
          </w:tcPr>
          <w:p>
            <w:pPr>
              <w:ind w:left="100"/>
              <w:spacing w:after="0"/>
              <w:rPr>
                <w:sz w:val="20"/>
                <w:szCs w:val="20"/>
                <w:color w:val="auto"/>
              </w:rPr>
            </w:pPr>
            <w:r>
              <w:rPr>
                <w:rFonts w:ascii="Arial" w:cs="Arial" w:eastAsia="Arial" w:hAnsi="Arial"/>
                <w:sz w:val="18"/>
                <w:szCs w:val="18"/>
                <w:color w:val="auto"/>
              </w:rPr>
              <w:t>Unsettled share repurchases</w:t>
            </w:r>
          </w:p>
        </w:tc>
        <w:tc>
          <w:tcPr>
            <w:tcW w:w="19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4,449</w:t>
            </w: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937</w:t>
            </w:r>
          </w:p>
        </w:tc>
        <w:tc>
          <w:tcPr>
            <w:tcW w:w="100" w:type="dxa"/>
            <w:vAlign w:val="bottom"/>
          </w:tcPr>
          <w:p>
            <w:pPr>
              <w:spacing w:after="0"/>
              <w:rPr>
                <w:sz w:val="18"/>
                <w:szCs w:val="18"/>
                <w:color w:val="auto"/>
              </w:rPr>
            </w:pPr>
          </w:p>
        </w:tc>
      </w:tr>
      <w:tr>
        <w:trPr>
          <w:trHeight w:val="216"/>
        </w:trPr>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Supplemental Cash Flow Information:</w:t>
            </w:r>
          </w:p>
        </w:tc>
        <w:tc>
          <w:tcPr>
            <w:tcW w:w="1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880" w:type="dxa"/>
            <w:vAlign w:val="bottom"/>
          </w:tcPr>
          <w:p>
            <w:pPr>
              <w:ind w:left="100"/>
              <w:spacing w:after="0"/>
              <w:rPr>
                <w:sz w:val="20"/>
                <w:szCs w:val="20"/>
                <w:color w:val="auto"/>
              </w:rPr>
            </w:pPr>
            <w:r>
              <w:rPr>
                <w:rFonts w:ascii="Arial" w:cs="Arial" w:eastAsia="Arial" w:hAnsi="Arial"/>
                <w:sz w:val="18"/>
                <w:szCs w:val="18"/>
                <w:color w:val="auto"/>
              </w:rPr>
              <w:t>Interest</w:t>
            </w:r>
          </w:p>
        </w:tc>
        <w:tc>
          <w:tcPr>
            <w:tcW w:w="19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32,855</w:t>
            </w: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11,636</w:t>
            </w:r>
          </w:p>
        </w:tc>
        <w:tc>
          <w:tcPr>
            <w:tcW w:w="100" w:type="dxa"/>
            <w:vAlign w:val="bottom"/>
          </w:tcPr>
          <w:p>
            <w:pPr>
              <w:spacing w:after="0"/>
              <w:rPr>
                <w:sz w:val="18"/>
                <w:szCs w:val="18"/>
                <w:color w:val="auto"/>
              </w:rPr>
            </w:pPr>
          </w:p>
        </w:tc>
      </w:tr>
      <w:tr>
        <w:trPr>
          <w:trHeight w:val="216"/>
        </w:trPr>
        <w:tc>
          <w:tcPr>
            <w:tcW w:w="48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Income tax net payments</w:t>
            </w:r>
          </w:p>
        </w:tc>
        <w:tc>
          <w:tcPr>
            <w:tcW w:w="1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57,426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27,977</w:t>
            </w:r>
          </w:p>
        </w:tc>
        <w:tc>
          <w:tcPr>
            <w:tcW w:w="10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ind w:left="60" w:right="239" w:firstLine="432"/>
        <w:spacing w:after="0" w:line="263" w:lineRule="auto"/>
        <w:rPr>
          <w:sz w:val="20"/>
          <w:szCs w:val="20"/>
          <w:color w:val="auto"/>
        </w:rPr>
      </w:pPr>
      <w:r>
        <w:rPr>
          <w:rFonts w:ascii="Arial" w:cs="Arial" w:eastAsia="Arial" w:hAnsi="Arial"/>
          <w:sz w:val="18"/>
          <w:szCs w:val="18"/>
          <w:color w:val="auto"/>
        </w:rPr>
        <w:t>Included in cash and cash equivalents as of October 1, 2022, and July 2, 2022, was $4.9 million and $5.4 million, respectively, of cash equivalents, which was primarily comprised of investment grade money market funds and overnight time deposits.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44" w:right="1440" w:bottom="1440" w:gutter="0" w:footer="0" w:header="0"/>
        </w:sectPr>
      </w:pPr>
    </w:p>
    <w:bookmarkStart w:id="15" w:name="page16"/>
    <w:bookmarkEnd w:id="1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AVNET, INC. AND SUBSIDIARIES</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3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13. Segment information</w:t>
      </w:r>
    </w:p>
    <w:p>
      <w:pPr>
        <w:spacing w:after="0" w:line="229" w:lineRule="exact"/>
        <w:rPr>
          <w:sz w:val="20"/>
          <w:szCs w:val="20"/>
          <w:color w:val="auto"/>
        </w:rPr>
      </w:pPr>
    </w:p>
    <w:p>
      <w:pPr>
        <w:ind w:left="60" w:right="139" w:firstLine="427"/>
        <w:spacing w:after="0" w:line="301" w:lineRule="auto"/>
        <w:rPr>
          <w:sz w:val="20"/>
          <w:szCs w:val="20"/>
          <w:color w:val="auto"/>
        </w:rPr>
      </w:pPr>
      <w:r>
        <w:rPr>
          <w:rFonts w:ascii="Arial" w:cs="Arial" w:eastAsia="Arial" w:hAnsi="Arial"/>
          <w:sz w:val="16"/>
          <w:szCs w:val="16"/>
          <w:color w:val="auto"/>
        </w:rPr>
        <w:t>Electronic Components (“EC”) and Farnell (“Farnell”) are the Company’s reportable segments (“operating groups”). EC markets and sells (i) semiconductors, (ii) interconnect, passive and electromechanical devices, and (iii) integrated components, to a diverse customer base serving many end-markets. Farnell distributes electronic components and related products to the electronic system design community utilizing multi-channel sales and marketing resources.</w:t>
      </w:r>
    </w:p>
    <w:p>
      <w:pPr>
        <w:spacing w:after="0" w:line="167" w:lineRule="exact"/>
        <w:rPr>
          <w:sz w:val="20"/>
          <w:szCs w:val="20"/>
          <w:color w:val="auto"/>
        </w:rPr>
      </w:pPr>
    </w:p>
    <w:tbl>
      <w:tblPr>
        <w:tblLayout w:type="fixed"/>
        <w:tblInd w:w="6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528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940" w:type="dxa"/>
            <w:vAlign w:val="bottom"/>
            <w:tcBorders>
              <w:bottom w:val="single" w:sz="8" w:color="auto"/>
            </w:tcBorders>
            <w:gridSpan w:val="5"/>
          </w:tcPr>
          <w:p>
            <w:pPr>
              <w:jc w:val="right"/>
              <w:ind w:right="130"/>
              <w:spacing w:after="0"/>
              <w:rPr>
                <w:sz w:val="20"/>
                <w:szCs w:val="20"/>
                <w:color w:val="auto"/>
              </w:rPr>
            </w:pPr>
            <w:r>
              <w:rPr>
                <w:rFonts w:ascii="Arial" w:cs="Arial" w:eastAsia="Arial" w:hAnsi="Arial"/>
                <w:sz w:val="18"/>
                <w:szCs w:val="18"/>
                <w:b w:val="1"/>
                <w:bCs w:val="1"/>
                <w:color w:val="auto"/>
                <w:w w:val="94"/>
              </w:rPr>
              <w:t>First Quarters Ended</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2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100" w:type="dxa"/>
            <w:vAlign w:val="bottom"/>
            <w:gridSpan w:val="3"/>
          </w:tcPr>
          <w:p>
            <w:pPr>
              <w:ind w:left="40"/>
              <w:spacing w:after="0" w:line="198" w:lineRule="exact"/>
              <w:rPr>
                <w:sz w:val="20"/>
                <w:szCs w:val="20"/>
                <w:color w:val="auto"/>
              </w:rPr>
            </w:pPr>
            <w:r>
              <w:rPr>
                <w:rFonts w:ascii="Arial" w:cs="Arial" w:eastAsia="Arial" w:hAnsi="Arial"/>
                <w:sz w:val="18"/>
                <w:szCs w:val="18"/>
                <w:b w:val="1"/>
                <w:bCs w:val="1"/>
                <w:color w:val="auto"/>
              </w:rPr>
              <w:t>October 1,</w:t>
            </w:r>
          </w:p>
        </w:tc>
        <w:tc>
          <w:tcPr>
            <w:tcW w:w="20" w:type="dxa"/>
            <w:vAlign w:val="bottom"/>
          </w:tcPr>
          <w:p>
            <w:pPr>
              <w:spacing w:after="0"/>
              <w:rPr>
                <w:sz w:val="17"/>
                <w:szCs w:val="17"/>
                <w:color w:val="auto"/>
              </w:rPr>
            </w:pPr>
          </w:p>
        </w:tc>
        <w:tc>
          <w:tcPr>
            <w:tcW w:w="940" w:type="dxa"/>
            <w:vAlign w:val="bottom"/>
            <w:gridSpan w:val="2"/>
          </w:tcPr>
          <w:p>
            <w:pPr>
              <w:jc w:val="right"/>
              <w:spacing w:after="0" w:line="198" w:lineRule="exact"/>
              <w:rPr>
                <w:sz w:val="20"/>
                <w:szCs w:val="20"/>
                <w:color w:val="auto"/>
              </w:rPr>
            </w:pPr>
            <w:r>
              <w:rPr>
                <w:rFonts w:ascii="Arial" w:cs="Arial" w:eastAsia="Arial" w:hAnsi="Arial"/>
                <w:sz w:val="18"/>
                <w:szCs w:val="18"/>
                <w:b w:val="1"/>
                <w:bCs w:val="1"/>
                <w:color w:val="auto"/>
                <w:w w:val="94"/>
              </w:rPr>
              <w:t>October 2,</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528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2022</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2021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2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940" w:type="dxa"/>
            <w:vAlign w:val="bottom"/>
            <w:gridSpan w:val="5"/>
          </w:tcPr>
          <w:p>
            <w:pPr>
              <w:jc w:val="right"/>
              <w:ind w:right="470"/>
              <w:spacing w:after="0" w:line="202" w:lineRule="exact"/>
              <w:rPr>
                <w:sz w:val="20"/>
                <w:szCs w:val="20"/>
                <w:color w:val="auto"/>
              </w:rPr>
            </w:pPr>
            <w:r>
              <w:rPr>
                <w:rFonts w:ascii="Arial" w:cs="Arial" w:eastAsia="Arial" w:hAnsi="Arial"/>
                <w:sz w:val="18"/>
                <w:szCs w:val="18"/>
                <w:b w:val="1"/>
                <w:bCs w:val="1"/>
                <w:color w:val="auto"/>
              </w:rPr>
              <w:t>(Thousands)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Sales:</w:t>
            </w:r>
          </w:p>
        </w:tc>
        <w:tc>
          <w:tcPr>
            <w:tcW w:w="1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Electronic Components</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89"/>
              </w:rPr>
              <w:t>6,324,223</w:t>
            </w:r>
          </w:p>
        </w:tc>
        <w:tc>
          <w:tcPr>
            <w:tcW w:w="180" w:type="dxa"/>
            <w:vAlign w:val="bottom"/>
          </w:tcPr>
          <w:p>
            <w:pPr>
              <w:spacing w:after="0"/>
              <w:rPr>
                <w:sz w:val="18"/>
                <w:szCs w:val="18"/>
                <w:color w:val="auto"/>
              </w:rPr>
            </w:pPr>
          </w:p>
        </w:tc>
        <w:tc>
          <w:tcPr>
            <w:tcW w:w="14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92"/>
              </w:rPr>
              <w:t>5,129,497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Farnell</w:t>
            </w:r>
          </w:p>
        </w:tc>
        <w:tc>
          <w:tcPr>
            <w:tcW w:w="15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425,910</w:t>
            </w:r>
          </w:p>
        </w:tc>
        <w:tc>
          <w:tcPr>
            <w:tcW w:w="18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455,198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9"/>
              </w:rPr>
              <w:t>6,750,133</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2"/>
              </w:rPr>
              <w:t>5,584,695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Electronic Components</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267,253</w:t>
            </w:r>
          </w:p>
        </w:tc>
        <w:tc>
          <w:tcPr>
            <w:tcW w:w="180" w:type="dxa"/>
            <w:vAlign w:val="bottom"/>
          </w:tcPr>
          <w:p>
            <w:pPr>
              <w:spacing w:after="0"/>
              <w:rPr>
                <w:sz w:val="18"/>
                <w:szCs w:val="18"/>
                <w:color w:val="auto"/>
              </w:rPr>
            </w:pPr>
          </w:p>
        </w:tc>
        <w:tc>
          <w:tcPr>
            <w:tcW w:w="14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162,462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Farnell</w:t>
            </w:r>
          </w:p>
        </w:tc>
        <w:tc>
          <w:tcPr>
            <w:tcW w:w="15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51,611</w:t>
            </w:r>
          </w:p>
        </w:tc>
        <w:tc>
          <w:tcPr>
            <w:tcW w:w="18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49,593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318,864</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212,055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Corporate</w:t>
            </w:r>
          </w:p>
        </w:tc>
        <w:tc>
          <w:tcPr>
            <w:tcW w:w="1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(25,568)</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Restructuring, integration and other expenses</w:t>
            </w:r>
          </w:p>
        </w:tc>
        <w:tc>
          <w:tcPr>
            <w:tcW w:w="1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(5,272)</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52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Amortization of acquired intangible assets and other</w:t>
            </w:r>
          </w:p>
        </w:tc>
        <w:tc>
          <w:tcPr>
            <w:tcW w:w="15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(2,759)</w:t>
            </w:r>
          </w:p>
        </w:tc>
        <w:tc>
          <w:tcPr>
            <w:tcW w:w="1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(5,239)</w:t>
            </w:r>
          </w:p>
        </w:tc>
        <w:tc>
          <w:tcPr>
            <w:tcW w:w="0" w:type="dxa"/>
            <w:vAlign w:val="bottom"/>
          </w:tcPr>
          <w:p>
            <w:pPr>
              <w:spacing w:after="0"/>
              <w:rPr>
                <w:sz w:val="1"/>
                <w:szCs w:val="1"/>
                <w:color w:val="auto"/>
              </w:rPr>
            </w:pPr>
          </w:p>
        </w:tc>
      </w:tr>
      <w:tr>
        <w:trPr>
          <w:trHeight w:val="243"/>
        </w:trPr>
        <w:tc>
          <w:tcPr>
            <w:tcW w:w="5300" w:type="dxa"/>
            <w:vAlign w:val="bottom"/>
            <w:gridSpan w:val="2"/>
          </w:tcPr>
          <w:p>
            <w:pPr>
              <w:spacing w:after="0" w:line="203" w:lineRule="exact"/>
              <w:rPr>
                <w:sz w:val="20"/>
                <w:szCs w:val="20"/>
                <w:color w:val="auto"/>
              </w:rPr>
            </w:pPr>
            <w:r>
              <w:rPr>
                <w:rFonts w:ascii="Arial" w:cs="Arial" w:eastAsia="Arial" w:hAnsi="Arial"/>
                <w:sz w:val="18"/>
                <w:szCs w:val="18"/>
                <w:color w:val="auto"/>
              </w:rPr>
              <w:t>Operating income</w:t>
            </w:r>
          </w:p>
        </w:tc>
        <w:tc>
          <w:tcPr>
            <w:tcW w:w="154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290,537</w:t>
            </w: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168,243</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5280" w:type="dxa"/>
            <w:vAlign w:val="bottom"/>
            <w:tcBorders>
              <w:top w:val="single" w:sz="8" w:color="CCEEFF"/>
            </w:tcBorders>
            <w:shd w:val="clear" w:color="auto" w:fill="CCEEFF"/>
          </w:tcPr>
          <w:p>
            <w:pPr>
              <w:spacing w:after="0"/>
              <w:rPr>
                <w:sz w:val="17"/>
                <w:szCs w:val="17"/>
                <w:color w:val="auto"/>
              </w:rPr>
            </w:pPr>
          </w:p>
        </w:tc>
        <w:tc>
          <w:tcPr>
            <w:tcW w:w="15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Sales, by geographic area:</w:t>
            </w:r>
          </w:p>
        </w:tc>
        <w:tc>
          <w:tcPr>
            <w:tcW w:w="1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ind w:left="80"/>
              <w:spacing w:after="0" w:line="216" w:lineRule="exact"/>
              <w:rPr>
                <w:sz w:val="20"/>
                <w:szCs w:val="20"/>
                <w:color w:val="auto"/>
              </w:rPr>
            </w:pPr>
            <w:r>
              <w:rPr>
                <w:rFonts w:ascii="Arial" w:cs="Arial" w:eastAsia="Arial" w:hAnsi="Arial"/>
                <w:sz w:val="17"/>
                <w:szCs w:val="17"/>
                <w:color w:val="auto"/>
              </w:rPr>
              <w:t xml:space="preserve">Americas </w:t>
            </w:r>
            <w:r>
              <w:rPr>
                <w:rFonts w:ascii="Arial" w:cs="Arial" w:eastAsia="Arial" w:hAnsi="Arial"/>
                <w:sz w:val="25"/>
                <w:szCs w:val="25"/>
                <w:color w:val="auto"/>
                <w:vertAlign w:val="superscript"/>
              </w:rPr>
              <w:t>(1)</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1,678,903</w:t>
            </w:r>
          </w:p>
        </w:tc>
        <w:tc>
          <w:tcPr>
            <w:tcW w:w="18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1,258,811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ind w:left="80"/>
              <w:spacing w:after="0" w:line="216" w:lineRule="exact"/>
              <w:rPr>
                <w:sz w:val="20"/>
                <w:szCs w:val="20"/>
                <w:color w:val="auto"/>
              </w:rPr>
            </w:pPr>
            <w:r>
              <w:rPr>
                <w:rFonts w:ascii="Arial" w:cs="Arial" w:eastAsia="Arial" w:hAnsi="Arial"/>
                <w:sz w:val="17"/>
                <w:szCs w:val="17"/>
                <w:color w:val="auto"/>
              </w:rPr>
              <w:t xml:space="preserve">EMEA </w:t>
            </w:r>
            <w:r>
              <w:rPr>
                <w:rFonts w:ascii="Arial" w:cs="Arial" w:eastAsia="Arial" w:hAnsi="Arial"/>
                <w:sz w:val="25"/>
                <w:szCs w:val="25"/>
                <w:color w:val="auto"/>
                <w:vertAlign w:val="superscript"/>
              </w:rPr>
              <w:t>(2)</w:t>
            </w:r>
          </w:p>
        </w:tc>
        <w:tc>
          <w:tcPr>
            <w:tcW w:w="1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9"/>
              </w:rPr>
              <w:t>2,129,539</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2"/>
              </w:rPr>
              <w:t>1,747,579</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5280" w:type="dxa"/>
            <w:vAlign w:val="bottom"/>
            <w:tcBorders>
              <w:bottom w:val="single" w:sz="8" w:color="CCEEFF"/>
            </w:tcBorders>
            <w:shd w:val="clear" w:color="auto" w:fill="CCEEFF"/>
          </w:tcPr>
          <w:p>
            <w:pPr>
              <w:ind w:left="80"/>
              <w:spacing w:after="0" w:line="216" w:lineRule="exact"/>
              <w:rPr>
                <w:sz w:val="20"/>
                <w:szCs w:val="20"/>
                <w:color w:val="auto"/>
              </w:rPr>
            </w:pPr>
            <w:r>
              <w:rPr>
                <w:rFonts w:ascii="Arial" w:cs="Arial" w:eastAsia="Arial" w:hAnsi="Arial"/>
                <w:sz w:val="17"/>
                <w:szCs w:val="17"/>
                <w:color w:val="auto"/>
              </w:rPr>
              <w:t xml:space="preserve">Asia </w:t>
            </w:r>
            <w:r>
              <w:rPr>
                <w:rFonts w:ascii="Arial" w:cs="Arial" w:eastAsia="Arial" w:hAnsi="Arial"/>
                <w:sz w:val="25"/>
                <w:szCs w:val="25"/>
                <w:color w:val="auto"/>
                <w:vertAlign w:val="superscript"/>
              </w:rPr>
              <w:t>(3)</w:t>
            </w:r>
          </w:p>
        </w:tc>
        <w:tc>
          <w:tcPr>
            <w:tcW w:w="15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2,941,691</w:t>
            </w:r>
          </w:p>
        </w:tc>
        <w:tc>
          <w:tcPr>
            <w:tcW w:w="1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2,578,305</w:t>
            </w:r>
          </w:p>
        </w:tc>
        <w:tc>
          <w:tcPr>
            <w:tcW w:w="0" w:type="dxa"/>
            <w:vAlign w:val="bottom"/>
          </w:tcPr>
          <w:p>
            <w:pPr>
              <w:spacing w:after="0"/>
              <w:rPr>
                <w:sz w:val="1"/>
                <w:szCs w:val="1"/>
                <w:color w:val="auto"/>
              </w:rPr>
            </w:pPr>
          </w:p>
        </w:tc>
      </w:tr>
      <w:tr>
        <w:trPr>
          <w:trHeight w:val="203"/>
        </w:trPr>
        <w:tc>
          <w:tcPr>
            <w:tcW w:w="5300" w:type="dxa"/>
            <w:vAlign w:val="bottom"/>
            <w:gridSpan w:val="2"/>
          </w:tcPr>
          <w:p>
            <w:pPr>
              <w:spacing w:after="0" w:line="203" w:lineRule="exact"/>
              <w:rPr>
                <w:sz w:val="20"/>
                <w:szCs w:val="20"/>
                <w:color w:val="auto"/>
              </w:rPr>
            </w:pPr>
            <w:r>
              <w:rPr>
                <w:rFonts w:ascii="Arial" w:cs="Arial" w:eastAsia="Arial" w:hAnsi="Arial"/>
                <w:sz w:val="18"/>
                <w:szCs w:val="18"/>
                <w:color w:val="auto"/>
              </w:rPr>
              <w:t>Sales</w:t>
            </w:r>
          </w:p>
        </w:tc>
        <w:tc>
          <w:tcPr>
            <w:tcW w:w="154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89"/>
              </w:rPr>
              <w:t>6,750,133</w:t>
            </w:r>
          </w:p>
        </w:tc>
        <w:tc>
          <w:tcPr>
            <w:tcW w:w="18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2"/>
              </w:rPr>
              <w:t>5,584,695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146050</wp:posOffset>
            </wp:positionV>
            <wp:extent cx="141414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414145" cy="8255"/>
                    </a:xfrm>
                    <a:prstGeom prst="rect">
                      <a:avLst/>
                    </a:prstGeom>
                    <a:noFill/>
                  </pic:spPr>
                </pic:pic>
              </a:graphicData>
            </a:graphic>
          </wp:anchor>
        </w:drawing>
      </w:r>
    </w:p>
    <w:p>
      <w:pPr>
        <w:spacing w:after="0" w:line="317" w:lineRule="exact"/>
        <w:rPr>
          <w:sz w:val="20"/>
          <w:szCs w:val="20"/>
          <w:color w:val="auto"/>
        </w:rPr>
      </w:pPr>
    </w:p>
    <w:p>
      <w:pPr>
        <w:ind w:left="380" w:right="339" w:hanging="330"/>
        <w:spacing w:after="0" w:line="207" w:lineRule="auto"/>
        <w:tabs>
          <w:tab w:leader="none" w:pos="380" w:val="left"/>
        </w:tabs>
        <w:numPr>
          <w:ilvl w:val="0"/>
          <w:numId w:val="5"/>
        </w:numPr>
        <w:rPr>
          <w:rFonts w:ascii="Arial" w:cs="Arial" w:eastAsia="Arial" w:hAnsi="Arial"/>
          <w:sz w:val="27"/>
          <w:szCs w:val="27"/>
          <w:color w:val="auto"/>
          <w:vertAlign w:val="superscript"/>
        </w:rPr>
      </w:pPr>
      <w:r>
        <w:rPr>
          <w:rFonts w:ascii="Arial" w:cs="Arial" w:eastAsia="Arial" w:hAnsi="Arial"/>
          <w:sz w:val="18"/>
          <w:szCs w:val="18"/>
          <w:color w:val="auto"/>
        </w:rPr>
        <w:t>Includes sales from the United States of $1.57 billion and $1.16 billion for the first quarters ended October 1, 2022, and October 2, 2021, respectively.</w:t>
      </w:r>
    </w:p>
    <w:p>
      <w:pPr>
        <w:spacing w:after="0" w:line="201" w:lineRule="exact"/>
        <w:rPr>
          <w:rFonts w:ascii="Arial" w:cs="Arial" w:eastAsia="Arial" w:hAnsi="Arial"/>
          <w:sz w:val="27"/>
          <w:szCs w:val="27"/>
          <w:color w:val="auto"/>
          <w:vertAlign w:val="superscript"/>
        </w:rPr>
      </w:pPr>
    </w:p>
    <w:p>
      <w:pPr>
        <w:ind w:left="380" w:right="139" w:hanging="330"/>
        <w:spacing w:after="0" w:line="219" w:lineRule="auto"/>
        <w:tabs>
          <w:tab w:leader="none" w:pos="380" w:val="left"/>
        </w:tabs>
        <w:numPr>
          <w:ilvl w:val="0"/>
          <w:numId w:val="5"/>
        </w:numPr>
        <w:rPr>
          <w:rFonts w:ascii="Arial" w:cs="Arial" w:eastAsia="Arial" w:hAnsi="Arial"/>
          <w:sz w:val="27"/>
          <w:szCs w:val="27"/>
          <w:color w:val="auto"/>
          <w:vertAlign w:val="superscript"/>
        </w:rPr>
      </w:pPr>
      <w:r>
        <w:rPr>
          <w:rFonts w:ascii="Arial" w:cs="Arial" w:eastAsia="Arial" w:hAnsi="Arial"/>
          <w:sz w:val="18"/>
          <w:szCs w:val="18"/>
          <w:color w:val="auto"/>
        </w:rPr>
        <w:t>Includes sales from Germany and Belgium of $906.8 million and $352.3 million, respectively, for the first quarter ended October 1, 2022. Includes sales from Germany and Belgium of $697.1 million and $307.6 million, respectively, for the first quarter ended October 2, 2021.</w:t>
      </w:r>
    </w:p>
    <w:p>
      <w:pPr>
        <w:spacing w:after="0" w:line="202" w:lineRule="exact"/>
        <w:rPr>
          <w:rFonts w:ascii="Arial" w:cs="Arial" w:eastAsia="Arial" w:hAnsi="Arial"/>
          <w:sz w:val="27"/>
          <w:szCs w:val="27"/>
          <w:color w:val="auto"/>
          <w:vertAlign w:val="superscript"/>
        </w:rPr>
      </w:pPr>
    </w:p>
    <w:p>
      <w:pPr>
        <w:ind w:left="380" w:right="179" w:hanging="330"/>
        <w:spacing w:after="0" w:line="226" w:lineRule="auto"/>
        <w:tabs>
          <w:tab w:leader="none" w:pos="380" w:val="left"/>
        </w:tabs>
        <w:numPr>
          <w:ilvl w:val="0"/>
          <w:numId w:val="5"/>
        </w:numPr>
        <w:rPr>
          <w:rFonts w:ascii="Arial" w:cs="Arial" w:eastAsia="Arial" w:hAnsi="Arial"/>
          <w:sz w:val="27"/>
          <w:szCs w:val="27"/>
          <w:color w:val="auto"/>
          <w:vertAlign w:val="superscript"/>
        </w:rPr>
      </w:pPr>
      <w:r>
        <w:rPr>
          <w:rFonts w:ascii="Arial" w:cs="Arial" w:eastAsia="Arial" w:hAnsi="Arial"/>
          <w:sz w:val="18"/>
          <w:szCs w:val="18"/>
          <w:color w:val="auto"/>
        </w:rPr>
        <w:t>Includes sales from China (including Hong Kong), Taiwan and Singapore of $959.2 million, $1.27 billion and $394.0 million, respectively, for the first quarter ended October 1, 2022. Includes sales from China (including Hong Kong), Taiwan and Singapore of $826.8 million, $1.20 billion and $264.0 million, respectively, for the first quarter ended October 2, 2021.</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44" w:right="1440" w:bottom="1440" w:gutter="0" w:footer="0" w:header="0"/>
        </w:sectPr>
      </w:pPr>
    </w:p>
    <w:bookmarkStart w:id="16" w:name="page17"/>
    <w:bookmarkEnd w:id="16"/>
    <w:tbl>
      <w:tblPr>
        <w:tblLayout w:type="fixed"/>
        <w:tblInd w:w="60" w:type="dxa"/>
        <w:tblCellMar>
          <w:top w:w="0" w:type="dxa"/>
          <w:left w:w="0" w:type="dxa"/>
          <w:bottom w:w="0" w:type="dxa"/>
          <w:right w:w="0" w:type="dxa"/>
        </w:tblCellMar>
      </w:tblPr>
      <w:tr>
        <w:trPr>
          <w:trHeight w:val="207"/>
        </w:trPr>
        <w:tc>
          <w:tcPr>
            <w:tcW w:w="6300" w:type="dxa"/>
            <w:vAlign w:val="bottom"/>
            <w:gridSpan w:val="2"/>
          </w:tcPr>
          <w:p>
            <w:pPr>
              <w:spacing w:after="0"/>
              <w:rPr>
                <w:sz w:val="20"/>
                <w:szCs w:val="20"/>
                <w:color w:val="auto"/>
              </w:rPr>
            </w:pPr>
            <w:r>
              <w:rPr>
                <w:rFonts w:ascii="Arial" w:cs="Arial" w:eastAsia="Arial" w:hAnsi="Arial"/>
                <w:sz w:val="18"/>
                <w:szCs w:val="18"/>
                <w:color w:val="0000EE"/>
              </w:rPr>
              <w:t>Table of Contents</w:t>
            </w: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817"/>
        </w:trPr>
        <w:tc>
          <w:tcPr>
            <w:tcW w:w="1260" w:type="dxa"/>
            <w:vAlign w:val="bottom"/>
            <w:tcBorders>
              <w:top w:val="single" w:sz="8" w:color="0000EE"/>
            </w:tcBorders>
          </w:tcPr>
          <w:p>
            <w:pPr>
              <w:spacing w:after="0"/>
              <w:rPr>
                <w:sz w:val="24"/>
                <w:szCs w:val="24"/>
                <w:color w:val="auto"/>
              </w:rPr>
            </w:pPr>
          </w:p>
        </w:tc>
        <w:tc>
          <w:tcPr>
            <w:tcW w:w="5040" w:type="dxa"/>
            <w:vAlign w:val="bottom"/>
          </w:tcPr>
          <w:p>
            <w:pPr>
              <w:ind w:left="1780"/>
              <w:spacing w:after="0"/>
              <w:rPr>
                <w:sz w:val="20"/>
                <w:szCs w:val="20"/>
                <w:color w:val="auto"/>
              </w:rPr>
            </w:pPr>
            <w:r>
              <w:rPr>
                <w:rFonts w:ascii="Arial" w:cs="Arial" w:eastAsia="Arial" w:hAnsi="Arial"/>
                <w:sz w:val="18"/>
                <w:szCs w:val="18"/>
                <w:b w:val="1"/>
                <w:bCs w:val="1"/>
                <w:color w:val="auto"/>
              </w:rPr>
              <w:t>AVNET, INC. AND SUBSIDIARIES</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57"/>
        </w:trPr>
        <w:tc>
          <w:tcPr>
            <w:tcW w:w="1260" w:type="dxa"/>
            <w:vAlign w:val="bottom"/>
          </w:tcPr>
          <w:p>
            <w:pPr>
              <w:spacing w:after="0"/>
              <w:rPr>
                <w:sz w:val="22"/>
                <w:szCs w:val="22"/>
                <w:color w:val="auto"/>
              </w:rPr>
            </w:pPr>
          </w:p>
        </w:tc>
        <w:tc>
          <w:tcPr>
            <w:tcW w:w="6540" w:type="dxa"/>
            <w:vAlign w:val="bottom"/>
            <w:gridSpan w:val="4"/>
          </w:tcPr>
          <w:p>
            <w:pPr>
              <w:jc w:val="right"/>
              <w:ind w:right="370"/>
              <w:spacing w:after="0"/>
              <w:rPr>
                <w:sz w:val="20"/>
                <w:szCs w:val="20"/>
                <w:color w:val="auto"/>
              </w:rPr>
            </w:pPr>
            <w:r>
              <w:rPr>
                <w:rFonts w:ascii="Arial" w:cs="Arial" w:eastAsia="Arial" w:hAnsi="Arial"/>
                <w:sz w:val="18"/>
                <w:szCs w:val="18"/>
                <w:b w:val="1"/>
                <w:bCs w:val="1"/>
                <w:color w:val="auto"/>
              </w:rPr>
              <w:t>NOTES TO CONSOLIDATED FINANCIAL STATEMENTS - (Continued)</w:t>
            </w:r>
          </w:p>
        </w:tc>
        <w:tc>
          <w:tcPr>
            <w:tcW w:w="1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80" w:type="dxa"/>
            <w:vAlign w:val="bottom"/>
          </w:tcPr>
          <w:p>
            <w:pPr>
              <w:spacing w:after="0"/>
              <w:rPr>
                <w:sz w:val="22"/>
                <w:szCs w:val="22"/>
                <w:color w:val="auto"/>
              </w:rPr>
            </w:pPr>
          </w:p>
        </w:tc>
      </w:tr>
      <w:tr>
        <w:trPr>
          <w:trHeight w:val="441"/>
        </w:trPr>
        <w:tc>
          <w:tcPr>
            <w:tcW w:w="1260" w:type="dxa"/>
            <w:vAlign w:val="bottom"/>
          </w:tcPr>
          <w:p>
            <w:pPr>
              <w:spacing w:after="0"/>
              <w:rPr>
                <w:sz w:val="24"/>
                <w:szCs w:val="24"/>
                <w:color w:val="auto"/>
              </w:rPr>
            </w:pPr>
          </w:p>
        </w:tc>
        <w:tc>
          <w:tcPr>
            <w:tcW w:w="50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b w:val="1"/>
                <w:bCs w:val="1"/>
                <w:color w:val="auto"/>
                <w:w w:val="89"/>
              </w:rPr>
              <w:t>October 1,</w:t>
            </w: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jc w:val="right"/>
              <w:ind w:right="130"/>
              <w:spacing w:after="0"/>
              <w:rPr>
                <w:sz w:val="20"/>
                <w:szCs w:val="20"/>
                <w:color w:val="auto"/>
              </w:rPr>
            </w:pPr>
            <w:r>
              <w:rPr>
                <w:rFonts w:ascii="Arial" w:cs="Arial" w:eastAsia="Arial" w:hAnsi="Arial"/>
                <w:sz w:val="18"/>
                <w:szCs w:val="18"/>
                <w:b w:val="1"/>
                <w:bCs w:val="1"/>
                <w:color w:val="auto"/>
                <w:w w:val="96"/>
              </w:rPr>
              <w:t>July 2,</w:t>
            </w:r>
          </w:p>
        </w:tc>
      </w:tr>
      <w:tr>
        <w:trPr>
          <w:trHeight w:val="241"/>
        </w:trPr>
        <w:tc>
          <w:tcPr>
            <w:tcW w:w="1260" w:type="dxa"/>
            <w:vAlign w:val="bottom"/>
          </w:tcPr>
          <w:p>
            <w:pPr>
              <w:spacing w:after="0"/>
              <w:rPr>
                <w:sz w:val="20"/>
                <w:szCs w:val="20"/>
                <w:color w:val="auto"/>
              </w:rPr>
            </w:pPr>
          </w:p>
        </w:tc>
        <w:tc>
          <w:tcPr>
            <w:tcW w:w="50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2022</w:t>
            </w:r>
          </w:p>
        </w:tc>
        <w:tc>
          <w:tcPr>
            <w:tcW w:w="1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2022</w:t>
            </w:r>
          </w:p>
        </w:tc>
      </w:tr>
      <w:tr>
        <w:trPr>
          <w:trHeight w:val="203"/>
        </w:trPr>
        <w:tc>
          <w:tcPr>
            <w:tcW w:w="1260" w:type="dxa"/>
            <w:vAlign w:val="bottom"/>
          </w:tcPr>
          <w:p>
            <w:pPr>
              <w:spacing w:after="0"/>
              <w:rPr>
                <w:sz w:val="17"/>
                <w:szCs w:val="17"/>
                <w:color w:val="auto"/>
              </w:rPr>
            </w:pPr>
          </w:p>
        </w:tc>
        <w:tc>
          <w:tcPr>
            <w:tcW w:w="50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40" w:type="dxa"/>
            <w:vAlign w:val="bottom"/>
            <w:gridSpan w:val="4"/>
          </w:tcPr>
          <w:p>
            <w:pPr>
              <w:jc w:val="right"/>
              <w:ind w:right="510"/>
              <w:spacing w:after="0" w:line="202" w:lineRule="exact"/>
              <w:rPr>
                <w:sz w:val="20"/>
                <w:szCs w:val="20"/>
                <w:color w:val="auto"/>
              </w:rPr>
            </w:pPr>
            <w:r>
              <w:rPr>
                <w:rFonts w:ascii="Arial" w:cs="Arial" w:eastAsia="Arial" w:hAnsi="Arial"/>
                <w:sz w:val="18"/>
                <w:szCs w:val="18"/>
                <w:b w:val="1"/>
                <w:bCs w:val="1"/>
                <w:color w:val="auto"/>
              </w:rPr>
              <w:t>(Thousands)</w:t>
            </w:r>
          </w:p>
        </w:tc>
      </w:tr>
      <w:tr>
        <w:trPr>
          <w:trHeight w:val="216"/>
        </w:trPr>
        <w:tc>
          <w:tcPr>
            <w:tcW w:w="6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Property, plant, and equipment, net, by geographic area:</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r>
      <w:tr>
        <w:trPr>
          <w:trHeight w:val="216"/>
        </w:trPr>
        <w:tc>
          <w:tcPr>
            <w:tcW w:w="6300" w:type="dxa"/>
            <w:vAlign w:val="bottom"/>
            <w:gridSpan w:val="2"/>
          </w:tcPr>
          <w:p>
            <w:pPr>
              <w:ind w:left="100"/>
              <w:spacing w:after="0" w:line="216" w:lineRule="exact"/>
              <w:rPr>
                <w:sz w:val="20"/>
                <w:szCs w:val="20"/>
                <w:color w:val="auto"/>
              </w:rPr>
            </w:pPr>
            <w:r>
              <w:rPr>
                <w:rFonts w:ascii="Arial" w:cs="Arial" w:eastAsia="Arial" w:hAnsi="Arial"/>
                <w:sz w:val="17"/>
                <w:szCs w:val="17"/>
                <w:color w:val="auto"/>
              </w:rPr>
              <w:t xml:space="preserve">Americas </w:t>
            </w:r>
            <w:r>
              <w:rPr>
                <w:rFonts w:ascii="Arial" w:cs="Arial" w:eastAsia="Arial" w:hAnsi="Arial"/>
                <w:sz w:val="25"/>
                <w:szCs w:val="25"/>
                <w:color w:val="auto"/>
                <w:vertAlign w:val="superscript"/>
              </w:rPr>
              <w:t>(1)</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113,741</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115,422</w:t>
            </w:r>
          </w:p>
        </w:tc>
      </w:tr>
      <w:tr>
        <w:trPr>
          <w:trHeight w:val="216"/>
        </w:trPr>
        <w:tc>
          <w:tcPr>
            <w:tcW w:w="6300" w:type="dxa"/>
            <w:vAlign w:val="bottom"/>
            <w:gridSpan w:val="2"/>
            <w:shd w:val="clear" w:color="auto" w:fill="CCEEFF"/>
          </w:tcPr>
          <w:p>
            <w:pPr>
              <w:ind w:left="100"/>
              <w:spacing w:after="0" w:line="216" w:lineRule="exact"/>
              <w:rPr>
                <w:sz w:val="20"/>
                <w:szCs w:val="20"/>
                <w:color w:val="auto"/>
              </w:rPr>
            </w:pPr>
            <w:r>
              <w:rPr>
                <w:rFonts w:ascii="Arial" w:cs="Arial" w:eastAsia="Arial" w:hAnsi="Arial"/>
                <w:sz w:val="17"/>
                <w:szCs w:val="17"/>
                <w:color w:val="auto"/>
              </w:rPr>
              <w:t xml:space="preserve">EMEA </w:t>
            </w:r>
            <w:r>
              <w:rPr>
                <w:rFonts w:ascii="Arial" w:cs="Arial" w:eastAsia="Arial" w:hAnsi="Arial"/>
                <w:sz w:val="25"/>
                <w:szCs w:val="25"/>
                <w:color w:val="auto"/>
                <w:vertAlign w:val="superscript"/>
              </w:rPr>
              <w:t>(2)</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158,507</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170,128</w:t>
            </w:r>
          </w:p>
        </w:tc>
      </w:tr>
      <w:tr>
        <w:trPr>
          <w:trHeight w:val="223"/>
        </w:trPr>
        <w:tc>
          <w:tcPr>
            <w:tcW w:w="6300" w:type="dxa"/>
            <w:vAlign w:val="bottom"/>
            <w:tcBorders>
              <w:bottom w:val="single" w:sz="8" w:color="CCEEFF"/>
            </w:tcBorders>
            <w:gridSpan w:val="2"/>
          </w:tcPr>
          <w:p>
            <w:pPr>
              <w:ind w:left="100"/>
              <w:spacing w:after="0"/>
              <w:rPr>
                <w:sz w:val="20"/>
                <w:szCs w:val="20"/>
                <w:color w:val="auto"/>
              </w:rPr>
            </w:pPr>
            <w:r>
              <w:rPr>
                <w:rFonts w:ascii="Arial" w:cs="Arial" w:eastAsia="Arial" w:hAnsi="Arial"/>
                <w:sz w:val="18"/>
                <w:szCs w:val="18"/>
                <w:color w:val="auto"/>
              </w:rPr>
              <w:t>Asia</w:t>
            </w:r>
          </w:p>
        </w:tc>
        <w:tc>
          <w:tcPr>
            <w:tcW w:w="46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27,820</w:t>
            </w:r>
          </w:p>
        </w:tc>
        <w:tc>
          <w:tcPr>
            <w:tcW w:w="1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29,654</w:t>
            </w:r>
          </w:p>
        </w:tc>
      </w:tr>
      <w:tr>
        <w:trPr>
          <w:trHeight w:val="216"/>
        </w:trPr>
        <w:tc>
          <w:tcPr>
            <w:tcW w:w="63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Property, plant, and equipment, net</w:t>
            </w:r>
          </w:p>
        </w:tc>
        <w:tc>
          <w:tcPr>
            <w:tcW w:w="4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300,068</w:t>
            </w:r>
          </w:p>
        </w:tc>
        <w:tc>
          <w:tcPr>
            <w:tcW w:w="1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315,204</w:t>
            </w:r>
          </w:p>
        </w:tc>
      </w:tr>
      <w:tr>
        <w:trPr>
          <w:trHeight w:val="20"/>
        </w:trPr>
        <w:tc>
          <w:tcPr>
            <w:tcW w:w="126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145415</wp:posOffset>
            </wp:positionV>
            <wp:extent cx="141414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414145" cy="8255"/>
                    </a:xfrm>
                    <a:prstGeom prst="rect">
                      <a:avLst/>
                    </a:prstGeom>
                    <a:noFill/>
                  </pic:spPr>
                </pic:pic>
              </a:graphicData>
            </a:graphic>
          </wp:anchor>
        </w:drawing>
      </w:r>
    </w:p>
    <w:p>
      <w:pPr>
        <w:spacing w:after="0" w:line="317" w:lineRule="exact"/>
        <w:rPr>
          <w:sz w:val="20"/>
          <w:szCs w:val="20"/>
          <w:color w:val="auto"/>
        </w:rPr>
      </w:pPr>
    </w:p>
    <w:p>
      <w:pPr>
        <w:ind w:left="380" w:right="319" w:hanging="330"/>
        <w:spacing w:after="0" w:line="207" w:lineRule="auto"/>
        <w:tabs>
          <w:tab w:leader="none" w:pos="380" w:val="left"/>
        </w:tabs>
        <w:numPr>
          <w:ilvl w:val="0"/>
          <w:numId w:val="6"/>
        </w:numPr>
        <w:rPr>
          <w:rFonts w:ascii="Arial" w:cs="Arial" w:eastAsia="Arial" w:hAnsi="Arial"/>
          <w:sz w:val="27"/>
          <w:szCs w:val="27"/>
          <w:color w:val="auto"/>
          <w:vertAlign w:val="superscript"/>
        </w:rPr>
      </w:pPr>
      <w:r>
        <w:rPr>
          <w:rFonts w:ascii="Arial" w:cs="Arial" w:eastAsia="Arial" w:hAnsi="Arial"/>
          <w:sz w:val="18"/>
          <w:szCs w:val="18"/>
          <w:color w:val="auto"/>
        </w:rPr>
        <w:t>Includes property, plant and equipment, net, of $111.0 million and $112.4 million as of October 1, 2022, and July 2, 2022, respectively, in the United States.</w:t>
      </w:r>
    </w:p>
    <w:p>
      <w:pPr>
        <w:spacing w:after="0" w:line="201" w:lineRule="exact"/>
        <w:rPr>
          <w:rFonts w:ascii="Arial" w:cs="Arial" w:eastAsia="Arial" w:hAnsi="Arial"/>
          <w:sz w:val="27"/>
          <w:szCs w:val="27"/>
          <w:color w:val="auto"/>
          <w:vertAlign w:val="superscript"/>
        </w:rPr>
      </w:pPr>
    </w:p>
    <w:p>
      <w:pPr>
        <w:ind w:left="380" w:right="159" w:hanging="330"/>
        <w:spacing w:after="0" w:line="219" w:lineRule="auto"/>
        <w:tabs>
          <w:tab w:leader="none" w:pos="380" w:val="left"/>
        </w:tabs>
        <w:numPr>
          <w:ilvl w:val="0"/>
          <w:numId w:val="6"/>
        </w:numPr>
        <w:rPr>
          <w:rFonts w:ascii="Arial" w:cs="Arial" w:eastAsia="Arial" w:hAnsi="Arial"/>
          <w:sz w:val="27"/>
          <w:szCs w:val="27"/>
          <w:color w:val="auto"/>
          <w:vertAlign w:val="superscript"/>
        </w:rPr>
      </w:pPr>
      <w:r>
        <w:rPr>
          <w:rFonts w:ascii="Arial" w:cs="Arial" w:eastAsia="Arial" w:hAnsi="Arial"/>
          <w:sz w:val="18"/>
          <w:szCs w:val="18"/>
          <w:color w:val="auto"/>
        </w:rPr>
        <w:t>Includes property, plant and equipment, net, of $64.7 million, $72.5 million and $15.1 million in Germany, the United Kingdom and Belgium, respectively, as of October 1, 2022; and $67.6 million, $79.8 million and $16.7 million in Germany, the United Kingdom and Belgium, respectively, as of July 2, 2022.</w:t>
      </w:r>
    </w:p>
    <w:p>
      <w:pPr>
        <w:spacing w:after="0" w:line="19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14. Restructuring expenses</w:t>
      </w:r>
    </w:p>
    <w:p>
      <w:pPr>
        <w:spacing w:after="0" w:line="229" w:lineRule="exact"/>
        <w:rPr>
          <w:sz w:val="20"/>
          <w:szCs w:val="20"/>
          <w:color w:val="auto"/>
        </w:rPr>
      </w:pPr>
    </w:p>
    <w:p>
      <w:pPr>
        <w:ind w:left="480"/>
        <w:spacing w:after="0"/>
        <w:rPr>
          <w:sz w:val="20"/>
          <w:szCs w:val="20"/>
          <w:color w:val="auto"/>
        </w:rPr>
      </w:pPr>
      <w:r>
        <w:rPr>
          <w:rFonts w:ascii="Arial" w:cs="Arial" w:eastAsia="Arial" w:hAnsi="Arial"/>
          <w:sz w:val="16"/>
          <w:szCs w:val="16"/>
          <w:color w:val="auto"/>
        </w:rPr>
        <w:t>During fiscal 2022 and prior, the Company incurred restructuring expenses related to various restructuring actions.</w:t>
      </w:r>
    </w:p>
    <w:p>
      <w:pPr>
        <w:spacing w:after="0" w:line="46" w:lineRule="exact"/>
        <w:rPr>
          <w:sz w:val="20"/>
          <w:szCs w:val="20"/>
          <w:color w:val="auto"/>
        </w:rPr>
      </w:pPr>
    </w:p>
    <w:p>
      <w:pPr>
        <w:ind w:left="60"/>
        <w:spacing w:after="0"/>
        <w:rPr>
          <w:sz w:val="20"/>
          <w:szCs w:val="20"/>
          <w:color w:val="auto"/>
        </w:rPr>
      </w:pPr>
      <w:r>
        <w:rPr>
          <w:rFonts w:ascii="Arial" w:cs="Arial" w:eastAsia="Arial" w:hAnsi="Arial"/>
          <w:sz w:val="17"/>
          <w:szCs w:val="17"/>
          <w:color w:val="auto"/>
        </w:rPr>
        <w:t>The remaining restructuring liabilities established during fiscal 2022 and prior were not material as of October 1,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27" w:right="1440" w:bottom="1440" w:gutter="0" w:footer="0" w:header="0"/>
        </w:sectPr>
      </w:pPr>
    </w:p>
    <w:bookmarkStart w:id="17" w:name="page18"/>
    <w:bookmarkEnd w:id="1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60" w:right="79" w:firstLine="405"/>
        <w:spacing w:after="0" w:line="284" w:lineRule="auto"/>
        <w:rPr>
          <w:sz w:val="20"/>
          <w:szCs w:val="20"/>
          <w:color w:val="auto"/>
        </w:rPr>
      </w:pPr>
      <w:r>
        <w:rPr>
          <w:rFonts w:ascii="Arial" w:cs="Arial" w:eastAsia="Arial" w:hAnsi="Arial"/>
          <w:sz w:val="16"/>
          <w:szCs w:val="16"/>
          <w:color w:val="auto"/>
        </w:rPr>
        <w:t>This Quarterly Report contains forward-looking statements within the meaning of Section 27A of the Securities Act of 1933, as amended (“Securities Act”), and Section 21E of the Securities Exchange Act of 1934, as amended (the “Exchange Act”) with respect to the financial condition, results of operations and business of the Company. You can find many of these statements by looking for words like “believes,” “projected,” “plans,” “expects,” “anticipates,” “should,” “will,” “may,” “estimates,” or similar expressions in this Quarterly Report or in documents incorporated by reference in this Quarterly Report. These forward-looking statements are subject to numerous assumptions, risks, and uncertainties. The following important factors, in addition to those discussed elsewhere in this Quarterly Report, and the Company’s Annual Report on Form 10-K for the fiscal year ended July 2, 2022, and subsequent Quarterly Reports on Form 10-Q and Current Reports on Form 8-K, could affect the Company’s future results of operations, and could cause those results or other outcomes to differ materially from those expressed or implied in the forward-looking statements: geopolitical events and military conflicts; pandemics and other health-related crises, including COVID-19; competitive pressures among distributors of electronic components; an industry down-cycle in semiconductors, including supply shortages; relationships with key suppliers and allocations of products by suppliers, including increased non-cancellable/non-returnable orders; accounts receivable defaults; risks relating to the Company’s international sales and operations, including risks relating to the ability to repatriate cash, foreign currency fluctuations, inflation, duties and taxes, sanctions and trade restrictions, and compliance with international and U.S. laws; risks relating to acquisitions, divestitures and investments; adverse effects on the Company’s supply chain, operations of its distribution centers, shipping costs, third-party service providers, customers and suppliers, including as a result of issues caused by military conflicts, terrorist attacks, natural and weather-related disasters, pandemics and health related crisis, warehouse modernization and relocation efforts; risks related to cyber security attacks, other privacy and security incidents, and information systems failures, including related to current or future implementations, integrations or upgrades; general economic and business conditions (domestic, foreign and global) affecting the Company’s operations and financial performance and, indirectly, the Company’s credit ratings, debt covenant compliance, liquidity, and access to financing; constraints on employee retention and hiring; and legislative or regulatory changes affecting the Company’s businesses.</w:t>
      </w:r>
    </w:p>
    <w:p>
      <w:pPr>
        <w:spacing w:after="0" w:line="175" w:lineRule="exact"/>
        <w:rPr>
          <w:sz w:val="20"/>
          <w:szCs w:val="20"/>
          <w:color w:val="auto"/>
        </w:rPr>
      </w:pPr>
    </w:p>
    <w:p>
      <w:pPr>
        <w:ind w:left="60" w:right="279" w:firstLine="405"/>
        <w:spacing w:after="0" w:line="263" w:lineRule="auto"/>
        <w:rPr>
          <w:sz w:val="20"/>
          <w:szCs w:val="20"/>
          <w:color w:val="auto"/>
        </w:rPr>
      </w:pPr>
      <w:r>
        <w:rPr>
          <w:rFonts w:ascii="Arial" w:cs="Arial" w:eastAsia="Arial" w:hAnsi="Arial"/>
          <w:sz w:val="18"/>
          <w:szCs w:val="18"/>
          <w:color w:val="auto"/>
        </w:rPr>
        <w:t>Any forward-looking statement speaks only as of the date on which that statement is made. Except as required by law, the Company assumes no obligation to update any forward-looking statement to reflect events or circumstances that occur after the date on which the statement is made.</w:t>
      </w:r>
    </w:p>
    <w:p>
      <w:pPr>
        <w:spacing w:after="0" w:line="180" w:lineRule="exact"/>
        <w:rPr>
          <w:sz w:val="20"/>
          <w:szCs w:val="20"/>
          <w:color w:val="auto"/>
        </w:rPr>
      </w:pPr>
    </w:p>
    <w:p>
      <w:pPr>
        <w:ind w:left="60"/>
        <w:spacing w:after="0"/>
        <w:tabs>
          <w:tab w:leader="none" w:pos="10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i w:val="1"/>
          <w:iCs w:val="1"/>
          <w:color w:val="auto"/>
        </w:rPr>
        <w:t>Management’s Discussion and Analysis of Financial Condition and Results of Operations</w:t>
      </w:r>
    </w:p>
    <w:p>
      <w:pPr>
        <w:spacing w:after="0" w:line="229" w:lineRule="exact"/>
        <w:rPr>
          <w:sz w:val="20"/>
          <w:szCs w:val="20"/>
          <w:color w:val="auto"/>
        </w:rPr>
      </w:pPr>
    </w:p>
    <w:p>
      <w:pPr>
        <w:ind w:left="60" w:right="119" w:firstLine="432"/>
        <w:spacing w:after="0" w:line="296" w:lineRule="auto"/>
        <w:rPr>
          <w:sz w:val="20"/>
          <w:szCs w:val="20"/>
          <w:color w:val="auto"/>
        </w:rPr>
      </w:pPr>
      <w:r>
        <w:rPr>
          <w:rFonts w:ascii="Arial" w:cs="Arial" w:eastAsia="Arial" w:hAnsi="Arial"/>
          <w:sz w:val="16"/>
          <w:szCs w:val="16"/>
          <w:color w:val="auto"/>
        </w:rPr>
        <w:t xml:space="preserve">For a description of the Company’s critical accounting policies and an understanding of Avnet and the significant factors that influenced the Company’s performance during the quarter ended October 1, 2022, this </w:t>
      </w:r>
      <w:r>
        <w:rPr>
          <w:rFonts w:ascii="Arial" w:cs="Arial" w:eastAsia="Arial" w:hAnsi="Arial"/>
          <w:sz w:val="16"/>
          <w:szCs w:val="16"/>
          <w:i w:val="1"/>
          <w:iCs w:val="1"/>
          <w:color w:val="auto"/>
        </w:rPr>
        <w:t>Management’s</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Discussion and Analysis of Financial Condition and Results of Operations </w:t>
      </w:r>
      <w:r>
        <w:rPr>
          <w:rFonts w:ascii="Arial" w:cs="Arial" w:eastAsia="Arial" w:hAnsi="Arial"/>
          <w:sz w:val="16"/>
          <w:szCs w:val="16"/>
          <w:color w:val="auto"/>
        </w:rPr>
        <w:t>(“MD&amp;A”) should be read in conjunction with</w:t>
      </w:r>
      <w:r>
        <w:rPr>
          <w:rFonts w:ascii="Arial" w:cs="Arial" w:eastAsia="Arial" w:hAnsi="Arial"/>
          <w:sz w:val="16"/>
          <w:szCs w:val="16"/>
          <w:i w:val="1"/>
          <w:iCs w:val="1"/>
          <w:color w:val="auto"/>
        </w:rPr>
        <w:t xml:space="preserve"> </w:t>
      </w:r>
      <w:r>
        <w:rPr>
          <w:rFonts w:ascii="Arial" w:cs="Arial" w:eastAsia="Arial" w:hAnsi="Arial"/>
          <w:sz w:val="16"/>
          <w:szCs w:val="16"/>
          <w:color w:val="auto"/>
        </w:rPr>
        <w:t>the consolidated financial statements, including the related notes, appearing in Item 1 of this Quarterly Report on Form 10-Q, as well as the Company’s Annual Report on Form 10-K for the fiscal year ended July 2, 2022.</w:t>
      </w:r>
    </w:p>
    <w:p>
      <w:pPr>
        <w:spacing w:after="0" w:line="161" w:lineRule="exact"/>
        <w:rPr>
          <w:sz w:val="20"/>
          <w:szCs w:val="20"/>
          <w:color w:val="auto"/>
        </w:rPr>
      </w:pPr>
    </w:p>
    <w:p>
      <w:pPr>
        <w:ind w:left="60" w:right="139" w:firstLine="432"/>
        <w:spacing w:after="0" w:line="273" w:lineRule="auto"/>
        <w:rPr>
          <w:sz w:val="20"/>
          <w:szCs w:val="20"/>
          <w:color w:val="auto"/>
        </w:rPr>
      </w:pPr>
      <w:r>
        <w:rPr>
          <w:rFonts w:ascii="Arial" w:cs="Arial" w:eastAsia="Arial" w:hAnsi="Arial"/>
          <w:sz w:val="17"/>
          <w:szCs w:val="17"/>
          <w:color w:val="auto"/>
        </w:rPr>
        <w:t>The discussion of the Company’s results of operations includes references to the impact of foreign currency translation. When the U.S. Dollar strengthens and the stronger exchange rates are used to translate the results of operations of Avnet’s subsidiaries denominated in foreign currencies, the result is a decrease in U.S. Dollars of reported results. Conversely, when the U.S. Dollar weakens, the weaker exchange rates result in an increase in U.S. Dollars of reported results. In the discussion that follows, results excluding this impact, primarily for subsidiaries in Europe, the Middle East and Africa (“EMEA”) and Asia/Pacific (“Asia”), are referred to as “constant currency.”</w:t>
      </w:r>
    </w:p>
    <w:p>
      <w:pPr>
        <w:spacing w:after="0" w:line="178" w:lineRule="exact"/>
        <w:rPr>
          <w:sz w:val="20"/>
          <w:szCs w:val="20"/>
          <w:color w:val="auto"/>
        </w:rPr>
      </w:pPr>
    </w:p>
    <w:p>
      <w:pPr>
        <w:ind w:left="60" w:right="539" w:firstLine="432"/>
        <w:spacing w:after="0" w:line="342" w:lineRule="auto"/>
        <w:rPr>
          <w:sz w:val="20"/>
          <w:szCs w:val="20"/>
          <w:color w:val="auto"/>
        </w:rPr>
      </w:pPr>
      <w:r>
        <w:rPr>
          <w:rFonts w:ascii="Arial" w:cs="Arial" w:eastAsia="Arial" w:hAnsi="Arial"/>
          <w:sz w:val="16"/>
          <w:szCs w:val="16"/>
          <w:color w:val="auto"/>
        </w:rPr>
        <w:t>In addition to disclosing financial results that are determined in accordance with generally accepted accounting principles in the U.S. (“GAAP”), the Company also discloses certain non-GAAP financial information, including:</w:t>
      </w:r>
    </w:p>
    <w:p>
      <w:pPr>
        <w:spacing w:after="0" w:line="124" w:lineRule="exact"/>
        <w:rPr>
          <w:sz w:val="20"/>
          <w:szCs w:val="20"/>
          <w:color w:val="auto"/>
        </w:rPr>
      </w:pPr>
    </w:p>
    <w:p>
      <w:pPr>
        <w:ind w:left="720" w:right="299" w:hanging="319"/>
        <w:spacing w:after="0" w:line="259" w:lineRule="auto"/>
        <w:tabs>
          <w:tab w:leader="none" w:pos="720" w:val="left"/>
        </w:tabs>
        <w:numPr>
          <w:ilvl w:val="0"/>
          <w:numId w:val="7"/>
        </w:numPr>
        <w:rPr>
          <w:rFonts w:ascii="Arial" w:cs="Arial" w:eastAsia="Arial" w:hAnsi="Arial"/>
          <w:sz w:val="18"/>
          <w:szCs w:val="18"/>
          <w:color w:val="auto"/>
        </w:rPr>
      </w:pPr>
      <w:r>
        <w:rPr>
          <w:rFonts w:ascii="Arial" w:cs="Arial" w:eastAsia="Arial" w:hAnsi="Arial"/>
          <w:sz w:val="18"/>
          <w:szCs w:val="18"/>
          <w:color w:val="auto"/>
        </w:rPr>
        <w:t>Sales adjusted for certain items that impact the year-over-year analysis, which includes the impact of certain acquisitions by adjusting Avnet’s prior periods to include the sales of acquired businesses, as if the acquisitions had occurred at the beginning of the earliest period presented. Sales taking into account these adjustments are referred to as “organic sales.”</w:t>
      </w:r>
    </w:p>
    <w:p>
      <w:pPr>
        <w:sectPr>
          <w:pgSz w:w="11900" w:h="16838" w:orient="portrait"/>
          <w:cols w:equalWidth="0" w:num="1">
            <w:col w:w="9019"/>
          </w:cols>
          <w:pgMar w:left="1440" w:top="54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44" w:right="1440" w:bottom="1440" w:gutter="0" w:footer="0" w:header="0"/>
          <w:type w:val="continuous"/>
        </w:sectPr>
      </w:pPr>
    </w:p>
    <w:bookmarkStart w:id="18" w:name="page19"/>
    <w:bookmarkEnd w:id="1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720" w:right="159" w:hanging="319"/>
        <w:spacing w:after="0" w:line="263" w:lineRule="auto"/>
        <w:tabs>
          <w:tab w:leader="none" w:pos="720" w:val="left"/>
        </w:tabs>
        <w:numPr>
          <w:ilvl w:val="0"/>
          <w:numId w:val="8"/>
        </w:numPr>
        <w:rPr>
          <w:rFonts w:ascii="Arial" w:cs="Arial" w:eastAsia="Arial" w:hAnsi="Arial"/>
          <w:sz w:val="18"/>
          <w:szCs w:val="18"/>
          <w:color w:val="auto"/>
        </w:rPr>
      </w:pPr>
      <w:r>
        <w:rPr>
          <w:rFonts w:ascii="Arial" w:cs="Arial" w:eastAsia="Arial" w:hAnsi="Arial"/>
          <w:sz w:val="18"/>
          <w:szCs w:val="18"/>
          <w:color w:val="auto"/>
        </w:rPr>
        <w:t xml:space="preserve">Operating income excluding (i) restructuring, integration and other expenses, (see </w:t>
      </w:r>
      <w:r>
        <w:rPr>
          <w:rFonts w:ascii="Arial" w:cs="Arial" w:eastAsia="Arial" w:hAnsi="Arial"/>
          <w:sz w:val="18"/>
          <w:szCs w:val="18"/>
          <w:i w:val="1"/>
          <w:iCs w:val="1"/>
          <w:color w:val="auto"/>
        </w:rPr>
        <w:t>Restructuring, Integration and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Other Expenses </w:t>
      </w:r>
      <w:r>
        <w:rPr>
          <w:rFonts w:ascii="Arial" w:cs="Arial" w:eastAsia="Arial" w:hAnsi="Arial"/>
          <w:sz w:val="18"/>
          <w:szCs w:val="18"/>
          <w:color w:val="auto"/>
        </w:rPr>
        <w:t>in this MD&amp;A) and (ii) amortization of acquired intangible assets is referred to as “adjusted</w:t>
      </w:r>
      <w:r>
        <w:rPr>
          <w:rFonts w:ascii="Arial" w:cs="Arial" w:eastAsia="Arial" w:hAnsi="Arial"/>
          <w:sz w:val="18"/>
          <w:szCs w:val="18"/>
          <w:i w:val="1"/>
          <w:iCs w:val="1"/>
          <w:color w:val="auto"/>
        </w:rPr>
        <w:t xml:space="preserve"> </w:t>
      </w:r>
      <w:r>
        <w:rPr>
          <w:rFonts w:ascii="Arial" w:cs="Arial" w:eastAsia="Arial" w:hAnsi="Arial"/>
          <w:sz w:val="18"/>
          <w:szCs w:val="18"/>
          <w:color w:val="auto"/>
        </w:rPr>
        <w:t>operating income.”</w:t>
      </w:r>
    </w:p>
    <w:p>
      <w:pPr>
        <w:spacing w:after="0" w:line="184"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The reconciliation of operating income to adjusted operating income is presented in the following table:</w:t>
      </w:r>
    </w:p>
    <w:p>
      <w:pPr>
        <w:spacing w:after="0" w:line="248" w:lineRule="exact"/>
        <w:rPr>
          <w:sz w:val="20"/>
          <w:szCs w:val="20"/>
          <w:color w:val="auto"/>
        </w:rPr>
      </w:pPr>
    </w:p>
    <w:tbl>
      <w:tblPr>
        <w:tblLayout w:type="fixed"/>
        <w:tblInd w:w="60" w:type="dxa"/>
        <w:tblCellMar>
          <w:top w:w="0" w:type="dxa"/>
          <w:left w:w="0" w:type="dxa"/>
          <w:bottom w:w="0" w:type="dxa"/>
          <w:right w:w="0" w:type="dxa"/>
        </w:tblCellMar>
      </w:tblPr>
      <w:tr>
        <w:trPr>
          <w:trHeight w:val="241"/>
        </w:trPr>
        <w:tc>
          <w:tcPr>
            <w:tcW w:w="5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440" w:type="dxa"/>
            <w:vAlign w:val="bottom"/>
            <w:tcBorders>
              <w:bottom w:val="single" w:sz="8" w:color="auto"/>
            </w:tcBorders>
            <w:gridSpan w:val="5"/>
          </w:tcPr>
          <w:p>
            <w:pPr>
              <w:jc w:val="right"/>
              <w:ind w:right="350"/>
              <w:spacing w:after="0"/>
              <w:rPr>
                <w:sz w:val="20"/>
                <w:szCs w:val="20"/>
                <w:color w:val="auto"/>
              </w:rPr>
            </w:pPr>
            <w:r>
              <w:rPr>
                <w:rFonts w:ascii="Arial" w:cs="Arial" w:eastAsia="Arial" w:hAnsi="Arial"/>
                <w:sz w:val="18"/>
                <w:szCs w:val="18"/>
                <w:b w:val="1"/>
                <w:bCs w:val="1"/>
                <w:color w:val="auto"/>
              </w:rPr>
              <w:t>First Quarters Ended</w:t>
            </w:r>
          </w:p>
        </w:tc>
      </w:tr>
      <w:tr>
        <w:trPr>
          <w:trHeight w:val="198"/>
        </w:trPr>
        <w:tc>
          <w:tcPr>
            <w:tcW w:w="5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gridSpan w:val="2"/>
          </w:tcPr>
          <w:p>
            <w:pPr>
              <w:ind w:left="20"/>
              <w:spacing w:after="0" w:line="198" w:lineRule="exact"/>
              <w:rPr>
                <w:sz w:val="20"/>
                <w:szCs w:val="20"/>
                <w:color w:val="auto"/>
              </w:rPr>
            </w:pPr>
            <w:r>
              <w:rPr>
                <w:rFonts w:ascii="Arial" w:cs="Arial" w:eastAsia="Arial" w:hAnsi="Arial"/>
                <w:sz w:val="18"/>
                <w:szCs w:val="18"/>
                <w:b w:val="1"/>
                <w:bCs w:val="1"/>
                <w:color w:val="auto"/>
              </w:rPr>
              <w:t>October 1,</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jc w:val="right"/>
              <w:ind w:right="130"/>
              <w:spacing w:after="0" w:line="198" w:lineRule="exact"/>
              <w:rPr>
                <w:sz w:val="20"/>
                <w:szCs w:val="20"/>
                <w:color w:val="auto"/>
              </w:rPr>
            </w:pPr>
            <w:r>
              <w:rPr>
                <w:rFonts w:ascii="Arial" w:cs="Arial" w:eastAsia="Arial" w:hAnsi="Arial"/>
                <w:sz w:val="18"/>
                <w:szCs w:val="18"/>
                <w:b w:val="1"/>
                <w:bCs w:val="1"/>
                <w:color w:val="auto"/>
                <w:w w:val="96"/>
              </w:rPr>
              <w:t>October 2,</w:t>
            </w:r>
          </w:p>
        </w:tc>
      </w:tr>
      <w:tr>
        <w:trPr>
          <w:trHeight w:val="241"/>
        </w:trPr>
        <w:tc>
          <w:tcPr>
            <w:tcW w:w="5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2022</w:t>
            </w: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2021</w:t>
            </w:r>
          </w:p>
        </w:tc>
      </w:tr>
      <w:tr>
        <w:trPr>
          <w:trHeight w:val="203"/>
        </w:trPr>
        <w:tc>
          <w:tcPr>
            <w:tcW w:w="5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40" w:type="dxa"/>
            <w:vAlign w:val="bottom"/>
            <w:gridSpan w:val="5"/>
          </w:tcPr>
          <w:p>
            <w:pPr>
              <w:jc w:val="right"/>
              <w:ind w:right="710"/>
              <w:spacing w:after="0" w:line="202" w:lineRule="exact"/>
              <w:rPr>
                <w:sz w:val="20"/>
                <w:szCs w:val="20"/>
                <w:color w:val="auto"/>
              </w:rPr>
            </w:pPr>
            <w:r>
              <w:rPr>
                <w:rFonts w:ascii="Arial" w:cs="Arial" w:eastAsia="Arial" w:hAnsi="Arial"/>
                <w:sz w:val="18"/>
                <w:szCs w:val="18"/>
                <w:b w:val="1"/>
                <w:bCs w:val="1"/>
                <w:color w:val="auto"/>
              </w:rPr>
              <w:t>(Thousands)</w:t>
            </w:r>
          </w:p>
        </w:tc>
      </w:tr>
      <w:tr>
        <w:trPr>
          <w:trHeight w:val="216"/>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290,537</w:t>
            </w:r>
          </w:p>
        </w:tc>
        <w:tc>
          <w:tcPr>
            <w:tcW w:w="24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ind w:right="9"/>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168,243</w:t>
            </w:r>
          </w:p>
        </w:tc>
      </w:tr>
      <w:tr>
        <w:trPr>
          <w:trHeight w:val="216"/>
        </w:trPr>
        <w:tc>
          <w:tcPr>
            <w:tcW w:w="5120" w:type="dxa"/>
            <w:vAlign w:val="bottom"/>
          </w:tcPr>
          <w:p>
            <w:pPr>
              <w:ind w:left="100"/>
              <w:spacing w:after="0"/>
              <w:rPr>
                <w:sz w:val="20"/>
                <w:szCs w:val="20"/>
                <w:color w:val="auto"/>
              </w:rPr>
            </w:pPr>
            <w:r>
              <w:rPr>
                <w:rFonts w:ascii="Arial" w:cs="Arial" w:eastAsia="Arial" w:hAnsi="Arial"/>
                <w:sz w:val="18"/>
                <w:szCs w:val="18"/>
                <w:color w:val="auto"/>
              </w:rPr>
              <w:t>Restructuring, integration and other expenses</w:t>
            </w: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5,272</w:t>
            </w:r>
          </w:p>
        </w:tc>
      </w:tr>
      <w:tr>
        <w:trPr>
          <w:trHeight w:val="236"/>
        </w:trPr>
        <w:tc>
          <w:tcPr>
            <w:tcW w:w="51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Amortization of acquired intangible assets and other</w:t>
            </w:r>
          </w:p>
        </w:tc>
        <w:tc>
          <w:tcPr>
            <w:tcW w:w="12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2,759</w:t>
            </w:r>
          </w:p>
        </w:tc>
        <w:tc>
          <w:tcPr>
            <w:tcW w:w="24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5,239</w:t>
            </w:r>
          </w:p>
        </w:tc>
      </w:tr>
      <w:tr>
        <w:trPr>
          <w:trHeight w:val="203"/>
        </w:trPr>
        <w:tc>
          <w:tcPr>
            <w:tcW w:w="5120" w:type="dxa"/>
            <w:vAlign w:val="bottom"/>
          </w:tcPr>
          <w:p>
            <w:pPr>
              <w:spacing w:after="0" w:line="203" w:lineRule="exact"/>
              <w:rPr>
                <w:sz w:val="20"/>
                <w:szCs w:val="20"/>
                <w:color w:val="auto"/>
              </w:rPr>
            </w:pPr>
            <w:r>
              <w:rPr>
                <w:rFonts w:ascii="Arial" w:cs="Arial" w:eastAsia="Arial" w:hAnsi="Arial"/>
                <w:sz w:val="18"/>
                <w:szCs w:val="18"/>
                <w:color w:val="auto"/>
              </w:rPr>
              <w:t>Adjusted operating income</w:t>
            </w:r>
          </w:p>
        </w:tc>
        <w:tc>
          <w:tcPr>
            <w:tcW w:w="124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293,296</w:t>
            </w:r>
          </w:p>
        </w:tc>
        <w:tc>
          <w:tcPr>
            <w:tcW w:w="24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jc w:val="right"/>
              <w:ind w:right="9"/>
              <w:spacing w:after="0"/>
              <w:rPr>
                <w:sz w:val="20"/>
                <w:szCs w:val="20"/>
                <w:color w:val="auto"/>
              </w:rPr>
            </w:pPr>
            <w:r>
              <w:rPr>
                <w:rFonts w:ascii="Arial" w:cs="Arial" w:eastAsia="Arial" w:hAnsi="Arial"/>
                <w:sz w:val="10"/>
                <w:szCs w:val="10"/>
                <w:color w:val="auto"/>
                <w:w w:val="71"/>
              </w:rPr>
              <w:t>$</w:t>
            </w:r>
          </w:p>
        </w:tc>
        <w:tc>
          <w:tcPr>
            <w:tcW w:w="11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178,754</w:t>
            </w:r>
          </w:p>
        </w:tc>
      </w:tr>
      <w:tr>
        <w:trPr>
          <w:trHeight w:val="20"/>
        </w:trPr>
        <w:tc>
          <w:tcPr>
            <w:tcW w:w="5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0" w:right="59" w:firstLine="432"/>
        <w:spacing w:after="0" w:line="293" w:lineRule="auto"/>
        <w:rPr>
          <w:sz w:val="20"/>
          <w:szCs w:val="20"/>
          <w:color w:val="auto"/>
        </w:rPr>
      </w:pPr>
      <w:r>
        <w:rPr>
          <w:rFonts w:ascii="Arial" w:cs="Arial" w:eastAsia="Arial" w:hAnsi="Arial"/>
          <w:sz w:val="16"/>
          <w:szCs w:val="16"/>
          <w:color w:val="auto"/>
        </w:rPr>
        <w:t>Management believes that providing this additional information is useful to financial statement users to better assess and understand operating performance, especially when comparing results with prior periods or forecasting performance for future periods, primarily because management typically monitors the business both including and excluding these adjustments to GAAP results. Management also uses these non-GAAP measures to establish operational goals and, in many cases, for measuring performance for compensation purposes. However, any analysis of results on a non-GAAP basis should be used as a complement to, and in conjunction with, results presented in accordance with GAAP.</w:t>
      </w: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left="480"/>
        <w:spacing w:after="0"/>
        <w:rPr>
          <w:sz w:val="20"/>
          <w:szCs w:val="20"/>
          <w:color w:val="auto"/>
        </w:rPr>
      </w:pPr>
      <w:r>
        <w:rPr>
          <w:rFonts w:ascii="Arial" w:cs="Arial" w:eastAsia="Arial" w:hAnsi="Arial"/>
          <w:sz w:val="18"/>
          <w:szCs w:val="18"/>
          <w:b w:val="1"/>
          <w:bCs w:val="1"/>
          <w:i w:val="1"/>
          <w:iCs w:val="1"/>
          <w:color w:val="auto"/>
        </w:rPr>
        <w:t>Organization</w:t>
      </w:r>
    </w:p>
    <w:p>
      <w:pPr>
        <w:spacing w:after="0" w:line="225" w:lineRule="exact"/>
        <w:rPr>
          <w:sz w:val="20"/>
          <w:szCs w:val="20"/>
          <w:color w:val="auto"/>
        </w:rPr>
      </w:pPr>
    </w:p>
    <w:p>
      <w:pPr>
        <w:ind w:left="60" w:right="99" w:firstLine="432"/>
        <w:spacing w:after="0" w:line="272" w:lineRule="auto"/>
        <w:rPr>
          <w:sz w:val="20"/>
          <w:szCs w:val="20"/>
          <w:color w:val="auto"/>
        </w:rPr>
      </w:pPr>
      <w:r>
        <w:rPr>
          <w:rFonts w:ascii="Arial" w:cs="Arial" w:eastAsia="Arial" w:hAnsi="Arial"/>
          <w:sz w:val="17"/>
          <w:szCs w:val="17"/>
          <w:color w:val="auto"/>
        </w:rPr>
        <w:t>Avnet, Inc. and its consolidated subsidiaries (collectively, the “Company” or “Avnet”), is a leading global technology distributor and solutions provider. Avnet has served customers’ evolving needs for an entire century. Avnet supports customers at each stage of a product’s lifecycle, from idea to design and from prototype to production. Avnet’s position at the center of the technology value chain enables it to accelerate the design and supply stages of product development so customers can realize revenue faster. Decade after decade, Avnet helps its customers and suppliers around the world realize the transformative possibilities of technology. Founded in 1921, the Company works with suppliers in every major technology segment to serve customers in more than 140 countries.</w:t>
      </w:r>
    </w:p>
    <w:p>
      <w:pPr>
        <w:spacing w:after="0" w:line="177" w:lineRule="exact"/>
        <w:rPr>
          <w:sz w:val="20"/>
          <w:szCs w:val="20"/>
          <w:color w:val="auto"/>
        </w:rPr>
      </w:pPr>
    </w:p>
    <w:p>
      <w:pPr>
        <w:ind w:left="60" w:right="239" w:firstLine="432"/>
        <w:spacing w:after="0" w:line="259" w:lineRule="auto"/>
        <w:rPr>
          <w:sz w:val="20"/>
          <w:szCs w:val="20"/>
          <w:color w:val="auto"/>
        </w:rPr>
      </w:pPr>
      <w:r>
        <w:rPr>
          <w:rFonts w:ascii="Arial" w:cs="Arial" w:eastAsia="Arial" w:hAnsi="Arial"/>
          <w:sz w:val="18"/>
          <w:szCs w:val="18"/>
          <w:color w:val="auto"/>
        </w:rPr>
        <w:t>Avnet has two primary operating groups — Electronic Components (“EC”) and Farnell (“Farnell”). Both operating groups have operations in each of the three major economic regions of the world: (i) the Americas, (ii) EMEA, and (iii) Asia. A summary of each operating group is provided in Note 13, “Segment information” to the Company’s consolidated financial statements included in this Quarterly Report on Form 10-Q.</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left="480"/>
        <w:spacing w:after="0"/>
        <w:rPr>
          <w:sz w:val="20"/>
          <w:szCs w:val="20"/>
          <w:color w:val="auto"/>
        </w:rPr>
      </w:pPr>
      <w:r>
        <w:rPr>
          <w:rFonts w:ascii="Arial" w:cs="Arial" w:eastAsia="Arial" w:hAnsi="Arial"/>
          <w:sz w:val="18"/>
          <w:szCs w:val="18"/>
          <w:b w:val="1"/>
          <w:bCs w:val="1"/>
          <w:i w:val="1"/>
          <w:iCs w:val="1"/>
          <w:color w:val="auto"/>
        </w:rPr>
        <w:t>Executive Summary</w:t>
      </w:r>
    </w:p>
    <w:p>
      <w:pPr>
        <w:spacing w:after="0" w:line="225" w:lineRule="exact"/>
        <w:rPr>
          <w:sz w:val="20"/>
          <w:szCs w:val="20"/>
          <w:color w:val="auto"/>
        </w:rPr>
      </w:pPr>
    </w:p>
    <w:p>
      <w:pPr>
        <w:ind w:left="480"/>
        <w:spacing w:after="0"/>
        <w:rPr>
          <w:sz w:val="20"/>
          <w:szCs w:val="20"/>
          <w:color w:val="auto"/>
        </w:rPr>
      </w:pPr>
      <w:r>
        <w:rPr>
          <w:rFonts w:ascii="Arial" w:cs="Arial" w:eastAsia="Arial" w:hAnsi="Arial"/>
          <w:sz w:val="17"/>
          <w:szCs w:val="17"/>
          <w:color w:val="auto"/>
        </w:rPr>
        <w:t>Sales of $6.75 billion in the first quarter of fiscal 2023 were 20.9% higher than the prior year first quarter sales of</w:t>
      </w:r>
    </w:p>
    <w:p>
      <w:pPr>
        <w:spacing w:after="0" w:line="35" w:lineRule="exact"/>
        <w:rPr>
          <w:sz w:val="20"/>
          <w:szCs w:val="20"/>
          <w:color w:val="auto"/>
        </w:rPr>
      </w:pPr>
    </w:p>
    <w:p>
      <w:pPr>
        <w:ind w:left="60"/>
        <w:spacing w:after="0"/>
        <w:rPr>
          <w:sz w:val="20"/>
          <w:szCs w:val="20"/>
          <w:color w:val="auto"/>
        </w:rPr>
      </w:pPr>
      <w:r>
        <w:rPr>
          <w:rFonts w:ascii="Arial" w:cs="Arial" w:eastAsia="Arial" w:hAnsi="Arial"/>
          <w:sz w:val="16"/>
          <w:szCs w:val="16"/>
          <w:color w:val="auto"/>
        </w:rPr>
        <w:t>$5.58 billion. Excluding the impact of changes in foreign currency, sales increased 28.9% as compared to sales in the prior</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8"/>
          <w:szCs w:val="18"/>
          <w:color w:val="auto"/>
        </w:rPr>
        <w:t>year first quarter.</w:t>
      </w:r>
    </w:p>
    <w:p>
      <w:pPr>
        <w:spacing w:after="0" w:line="211" w:lineRule="exact"/>
        <w:rPr>
          <w:sz w:val="20"/>
          <w:szCs w:val="20"/>
          <w:color w:val="auto"/>
        </w:rPr>
      </w:pPr>
    </w:p>
    <w:p>
      <w:pPr>
        <w:ind w:left="60" w:right="319" w:firstLine="432"/>
        <w:spacing w:after="0" w:line="277" w:lineRule="auto"/>
        <w:rPr>
          <w:sz w:val="20"/>
          <w:szCs w:val="20"/>
          <w:color w:val="auto"/>
        </w:rPr>
      </w:pPr>
      <w:r>
        <w:rPr>
          <w:rFonts w:ascii="Arial" w:cs="Arial" w:eastAsia="Arial" w:hAnsi="Arial"/>
          <w:sz w:val="18"/>
          <w:szCs w:val="18"/>
          <w:color w:val="auto"/>
        </w:rPr>
        <w:t>Gross profit margin of 11.4% decreased 43 basis points compared to 11.8% in the first quarter of fiscal 2022. This decrease is primarily due to differences in product and customer mix.</w:t>
      </w:r>
    </w:p>
    <w:p>
      <w:pPr>
        <w:spacing w:after="0" w:line="170" w:lineRule="exact"/>
        <w:rPr>
          <w:sz w:val="20"/>
          <w:szCs w:val="20"/>
          <w:color w:val="auto"/>
        </w:rPr>
      </w:pPr>
    </w:p>
    <w:p>
      <w:pPr>
        <w:ind w:left="60" w:right="79" w:firstLine="432"/>
        <w:spacing w:after="0" w:line="342" w:lineRule="auto"/>
        <w:rPr>
          <w:sz w:val="20"/>
          <w:szCs w:val="20"/>
          <w:color w:val="auto"/>
        </w:rPr>
      </w:pPr>
      <w:r>
        <w:rPr>
          <w:rFonts w:ascii="Arial" w:cs="Arial" w:eastAsia="Arial" w:hAnsi="Arial"/>
          <w:sz w:val="16"/>
          <w:szCs w:val="16"/>
          <w:color w:val="auto"/>
        </w:rPr>
        <w:t>Operating income of $290.5 million was $122.3 million higher than the first quarter of fiscal 2022. Operating income margin was 4.3% in the first quarter of fiscal 2023, as compared to 3.0% in the prior year first quarter. Adjusted</w:t>
      </w:r>
    </w:p>
    <w:p>
      <w:pPr>
        <w:sectPr>
          <w:pgSz w:w="11900" w:h="16838" w:orient="portrait"/>
          <w:cols w:equalWidth="0" w:num="1">
            <w:col w:w="9019"/>
          </w:cols>
          <w:pgMar w:left="1440" w:top="544" w:right="1440" w:bottom="1440" w:gutter="0" w:footer="0" w:header="0"/>
        </w:sect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44" w:right="1440" w:bottom="1440" w:gutter="0" w:footer="0" w:header="0"/>
          <w:type w:val="continuous"/>
        </w:sectPr>
      </w:pPr>
    </w:p>
    <w:bookmarkStart w:id="19" w:name="page20"/>
    <w:bookmarkEnd w:id="1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60" w:right="79"/>
        <w:spacing w:after="0" w:line="263" w:lineRule="auto"/>
        <w:rPr>
          <w:sz w:val="20"/>
          <w:szCs w:val="20"/>
          <w:color w:val="auto"/>
        </w:rPr>
      </w:pPr>
      <w:r>
        <w:rPr>
          <w:rFonts w:ascii="Arial" w:cs="Arial" w:eastAsia="Arial" w:hAnsi="Arial"/>
          <w:sz w:val="18"/>
          <w:szCs w:val="18"/>
          <w:color w:val="auto"/>
        </w:rPr>
        <w:t>operating income margin was 4.4% in the first quarter of fiscal 2023 as compared to 3.2% in the first quarter of fiscal 2022, an increase of 115 basis points. The increase in adjusted operating income margin is primarily the result of the increase in sales and the operating leverage realized from those higher sales.</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Sales</w:t>
      </w:r>
    </w:p>
    <w:p>
      <w:pPr>
        <w:spacing w:after="0" w:line="216" w:lineRule="exact"/>
        <w:rPr>
          <w:sz w:val="20"/>
          <w:szCs w:val="20"/>
          <w:color w:val="auto"/>
        </w:rPr>
      </w:pPr>
    </w:p>
    <w:p>
      <w:pPr>
        <w:ind w:left="60" w:right="219" w:firstLine="427"/>
        <w:spacing w:after="0" w:line="248" w:lineRule="auto"/>
        <w:rPr>
          <w:sz w:val="20"/>
          <w:szCs w:val="20"/>
          <w:color w:val="auto"/>
        </w:rPr>
      </w:pPr>
      <w:r>
        <w:rPr>
          <w:rFonts w:ascii="Arial" w:cs="Arial" w:eastAsia="Arial" w:hAnsi="Arial"/>
          <w:sz w:val="18"/>
          <w:szCs w:val="18"/>
          <w:color w:val="auto"/>
        </w:rPr>
        <w:t>Reported sales were the same as organic sales in the first quarter of fiscal 2023 and fiscal 2022. The following table presents sales growth rates for the first quarter of fiscal 2023 as compared to fiscal 2022 by geographic region and by operating group.</w:t>
      </w:r>
    </w:p>
    <w:p>
      <w:pPr>
        <w:spacing w:after="0" w:line="191" w:lineRule="exact"/>
        <w:rPr>
          <w:sz w:val="20"/>
          <w:szCs w:val="20"/>
          <w:color w:val="auto"/>
        </w:rPr>
      </w:pPr>
    </w:p>
    <w:tbl>
      <w:tblPr>
        <w:tblLayout w:type="fixed"/>
        <w:tblInd w:w="40" w:type="dxa"/>
        <w:tblCellMar>
          <w:top w:w="0" w:type="dxa"/>
          <w:left w:w="0" w:type="dxa"/>
          <w:bottom w:w="0" w:type="dxa"/>
          <w:right w:w="0" w:type="dxa"/>
        </w:tblCellMar>
      </w:tblPr>
      <w:tr>
        <w:trPr>
          <w:trHeight w:val="241"/>
        </w:trPr>
        <w:tc>
          <w:tcPr>
            <w:tcW w:w="6540" w:type="dxa"/>
            <w:vAlign w:val="bottom"/>
          </w:tcPr>
          <w:p>
            <w:pPr>
              <w:spacing w:after="0"/>
              <w:rPr>
                <w:sz w:val="20"/>
                <w:szCs w:val="20"/>
                <w:color w:val="auto"/>
              </w:rPr>
            </w:pPr>
          </w:p>
        </w:tc>
        <w:tc>
          <w:tcPr>
            <w:tcW w:w="2100" w:type="dxa"/>
            <w:vAlign w:val="bottom"/>
            <w:tcBorders>
              <w:bottom w:val="single" w:sz="8" w:color="auto"/>
            </w:tcBorders>
            <w:gridSpan w:val="3"/>
          </w:tcPr>
          <w:p>
            <w:pPr>
              <w:jc w:val="right"/>
              <w:ind w:right="370"/>
              <w:spacing w:after="0"/>
              <w:rPr>
                <w:sz w:val="20"/>
                <w:szCs w:val="20"/>
                <w:color w:val="auto"/>
              </w:rPr>
            </w:pPr>
            <w:r>
              <w:rPr>
                <w:rFonts w:ascii="Arial" w:cs="Arial" w:eastAsia="Arial" w:hAnsi="Arial"/>
                <w:sz w:val="18"/>
                <w:szCs w:val="18"/>
                <w:b w:val="1"/>
                <w:bCs w:val="1"/>
                <w:color w:val="auto"/>
              </w:rPr>
              <w:t>Quarter Ended</w:t>
            </w:r>
          </w:p>
        </w:tc>
      </w:tr>
      <w:tr>
        <w:trPr>
          <w:trHeight w:val="198"/>
        </w:trPr>
        <w:tc>
          <w:tcPr>
            <w:tcW w:w="65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jc w:val="center"/>
              <w:spacing w:after="0" w:line="198" w:lineRule="exact"/>
              <w:rPr>
                <w:sz w:val="20"/>
                <w:szCs w:val="20"/>
                <w:color w:val="auto"/>
              </w:rPr>
            </w:pPr>
            <w:r>
              <w:rPr>
                <w:rFonts w:ascii="Arial" w:cs="Arial" w:eastAsia="Arial" w:hAnsi="Arial"/>
                <w:sz w:val="18"/>
                <w:szCs w:val="18"/>
                <w:b w:val="1"/>
                <w:bCs w:val="1"/>
                <w:color w:val="auto"/>
                <w:w w:val="84"/>
              </w:rPr>
              <w:t>Sales</w:t>
            </w:r>
          </w:p>
        </w:tc>
      </w:tr>
      <w:tr>
        <w:trPr>
          <w:trHeight w:val="216"/>
        </w:trPr>
        <w:tc>
          <w:tcPr>
            <w:tcW w:w="65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Arial" w:cs="Arial" w:eastAsia="Arial" w:hAnsi="Arial"/>
                <w:sz w:val="18"/>
                <w:szCs w:val="18"/>
                <w:b w:val="1"/>
                <w:bCs w:val="1"/>
                <w:color w:val="auto"/>
                <w:w w:val="95"/>
              </w:rPr>
              <w:t>Year-Year %</w:t>
            </w:r>
          </w:p>
        </w:tc>
      </w:tr>
      <w:tr>
        <w:trPr>
          <w:trHeight w:val="216"/>
        </w:trPr>
        <w:tc>
          <w:tcPr>
            <w:tcW w:w="6540" w:type="dxa"/>
            <w:vAlign w:val="bottom"/>
          </w:tcPr>
          <w:p>
            <w:pPr>
              <w:spacing w:after="0"/>
              <w:rPr>
                <w:sz w:val="18"/>
                <w:szCs w:val="18"/>
                <w:color w:val="auto"/>
              </w:rPr>
            </w:pPr>
          </w:p>
        </w:tc>
        <w:tc>
          <w:tcPr>
            <w:tcW w:w="106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4"/>
              </w:rPr>
              <w:t>Sales</w:t>
            </w:r>
          </w:p>
        </w:tc>
        <w:tc>
          <w:tcPr>
            <w:tcW w:w="1040" w:type="dxa"/>
            <w:vAlign w:val="bottom"/>
          </w:tcPr>
          <w:p>
            <w:pPr>
              <w:jc w:val="center"/>
              <w:spacing w:after="0"/>
              <w:rPr>
                <w:sz w:val="20"/>
                <w:szCs w:val="20"/>
                <w:color w:val="auto"/>
              </w:rPr>
            </w:pPr>
            <w:r>
              <w:rPr>
                <w:rFonts w:ascii="Arial" w:cs="Arial" w:eastAsia="Arial" w:hAnsi="Arial"/>
                <w:sz w:val="18"/>
                <w:szCs w:val="18"/>
                <w:b w:val="1"/>
                <w:bCs w:val="1"/>
                <w:color w:val="auto"/>
                <w:w w:val="89"/>
              </w:rPr>
              <w:t>Change in</w:t>
            </w:r>
          </w:p>
        </w:tc>
      </w:tr>
      <w:tr>
        <w:trPr>
          <w:trHeight w:val="216"/>
        </w:trPr>
        <w:tc>
          <w:tcPr>
            <w:tcW w:w="6540" w:type="dxa"/>
            <w:vAlign w:val="bottom"/>
          </w:tcPr>
          <w:p>
            <w:pPr>
              <w:spacing w:after="0"/>
              <w:rPr>
                <w:sz w:val="18"/>
                <w:szCs w:val="18"/>
                <w:color w:val="auto"/>
              </w:rPr>
            </w:pPr>
          </w:p>
        </w:tc>
        <w:tc>
          <w:tcPr>
            <w:tcW w:w="106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0"/>
              </w:rPr>
              <w:t>Year-Year</w:t>
            </w:r>
          </w:p>
        </w:tc>
        <w:tc>
          <w:tcPr>
            <w:tcW w:w="1040" w:type="dxa"/>
            <w:vAlign w:val="bottom"/>
          </w:tcPr>
          <w:p>
            <w:pPr>
              <w:jc w:val="center"/>
              <w:spacing w:after="0"/>
              <w:rPr>
                <w:sz w:val="20"/>
                <w:szCs w:val="20"/>
                <w:color w:val="auto"/>
              </w:rPr>
            </w:pPr>
            <w:r>
              <w:rPr>
                <w:rFonts w:ascii="Arial" w:cs="Arial" w:eastAsia="Arial" w:hAnsi="Arial"/>
                <w:sz w:val="18"/>
                <w:szCs w:val="18"/>
                <w:b w:val="1"/>
                <w:bCs w:val="1"/>
                <w:color w:val="auto"/>
                <w:w w:val="89"/>
              </w:rPr>
              <w:t>Constant</w:t>
            </w:r>
          </w:p>
        </w:tc>
      </w:tr>
      <w:tr>
        <w:trPr>
          <w:trHeight w:val="241"/>
        </w:trPr>
        <w:tc>
          <w:tcPr>
            <w:tcW w:w="6540" w:type="dxa"/>
            <w:vAlign w:val="bottom"/>
          </w:tcPr>
          <w:p>
            <w:pPr>
              <w:spacing w:after="0"/>
              <w:rPr>
                <w:sz w:val="20"/>
                <w:szCs w:val="20"/>
                <w:color w:val="auto"/>
              </w:rPr>
            </w:pPr>
          </w:p>
        </w:tc>
        <w:tc>
          <w:tcPr>
            <w:tcW w:w="106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4"/>
              </w:rPr>
              <w:t>% Change</w:t>
            </w:r>
          </w:p>
        </w:tc>
        <w:tc>
          <w:tcPr>
            <w:tcW w:w="1040" w:type="dxa"/>
            <w:vAlign w:val="bottom"/>
          </w:tcPr>
          <w:p>
            <w:pPr>
              <w:jc w:val="center"/>
              <w:spacing w:after="0"/>
              <w:rPr>
                <w:sz w:val="20"/>
                <w:szCs w:val="20"/>
                <w:color w:val="auto"/>
              </w:rPr>
            </w:pPr>
            <w:r>
              <w:rPr>
                <w:rFonts w:ascii="Arial" w:cs="Arial" w:eastAsia="Arial" w:hAnsi="Arial"/>
                <w:sz w:val="18"/>
                <w:szCs w:val="18"/>
                <w:b w:val="1"/>
                <w:bCs w:val="1"/>
                <w:color w:val="auto"/>
                <w:w w:val="93"/>
              </w:rPr>
              <w:t>Currency</w:t>
            </w:r>
          </w:p>
        </w:tc>
      </w:tr>
      <w:tr>
        <w:trPr>
          <w:trHeight w:val="216"/>
        </w:trPr>
        <w:tc>
          <w:tcPr>
            <w:tcW w:w="6540" w:type="dxa"/>
            <w:vAlign w:val="bottom"/>
            <w:tcBorders>
              <w:top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Avnet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20.9 %</w:t>
            </w:r>
          </w:p>
        </w:tc>
        <w:tc>
          <w:tcPr>
            <w:tcW w:w="16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28.9 %</w:t>
            </w:r>
          </w:p>
        </w:tc>
      </w:tr>
      <w:tr>
        <w:trPr>
          <w:trHeight w:val="216"/>
        </w:trPr>
        <w:tc>
          <w:tcPr>
            <w:tcW w:w="6540" w:type="dxa"/>
            <w:vAlign w:val="bottom"/>
          </w:tcPr>
          <w:p>
            <w:pPr>
              <w:ind w:left="20"/>
              <w:spacing w:after="0"/>
              <w:rPr>
                <w:sz w:val="20"/>
                <w:szCs w:val="20"/>
                <w:color w:val="auto"/>
              </w:rPr>
            </w:pPr>
            <w:r>
              <w:rPr>
                <w:rFonts w:ascii="Arial" w:cs="Arial" w:eastAsia="Arial" w:hAnsi="Arial"/>
                <w:sz w:val="18"/>
                <w:szCs w:val="18"/>
                <w:color w:val="auto"/>
              </w:rPr>
              <w:t>Avnet by region</w:t>
            </w: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65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Americas</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33.4 %</w:t>
            </w: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33.4 %</w:t>
            </w:r>
          </w:p>
        </w:tc>
      </w:tr>
      <w:tr>
        <w:trPr>
          <w:trHeight w:val="216"/>
        </w:trPr>
        <w:tc>
          <w:tcPr>
            <w:tcW w:w="6540" w:type="dxa"/>
            <w:vAlign w:val="bottom"/>
          </w:tcPr>
          <w:p>
            <w:pPr>
              <w:ind w:left="120"/>
              <w:spacing w:after="0"/>
              <w:rPr>
                <w:sz w:val="20"/>
                <w:szCs w:val="20"/>
                <w:color w:val="auto"/>
              </w:rPr>
            </w:pPr>
            <w:r>
              <w:rPr>
                <w:rFonts w:ascii="Arial" w:cs="Arial" w:eastAsia="Arial" w:hAnsi="Arial"/>
                <w:sz w:val="18"/>
                <w:szCs w:val="18"/>
                <w:color w:val="auto"/>
              </w:rPr>
              <w:t>EMEA</w:t>
            </w:r>
          </w:p>
        </w:tc>
        <w:tc>
          <w:tcPr>
            <w:tcW w:w="900" w:type="dxa"/>
            <w:vAlign w:val="bottom"/>
          </w:tcPr>
          <w:p>
            <w:pPr>
              <w:jc w:val="right"/>
              <w:ind w:right="110"/>
              <w:spacing w:after="0"/>
              <w:rPr>
                <w:sz w:val="20"/>
                <w:szCs w:val="20"/>
                <w:color w:val="auto"/>
              </w:rPr>
            </w:pPr>
            <w:r>
              <w:rPr>
                <w:rFonts w:ascii="Arial" w:cs="Arial" w:eastAsia="Arial" w:hAnsi="Arial"/>
                <w:sz w:val="18"/>
                <w:szCs w:val="18"/>
                <w:color w:val="auto"/>
              </w:rPr>
              <w:t>21.9</w:t>
            </w:r>
          </w:p>
        </w:tc>
        <w:tc>
          <w:tcPr>
            <w:tcW w:w="160" w:type="dxa"/>
            <w:vAlign w:val="bottom"/>
          </w:tcPr>
          <w:p>
            <w:pPr>
              <w:spacing w:after="0"/>
              <w:rPr>
                <w:sz w:val="18"/>
                <w:szCs w:val="18"/>
                <w:color w:val="auto"/>
              </w:rPr>
            </w:pPr>
          </w:p>
        </w:tc>
        <w:tc>
          <w:tcPr>
            <w:tcW w:w="1040" w:type="dxa"/>
            <w:vAlign w:val="bottom"/>
          </w:tcPr>
          <w:p>
            <w:pPr>
              <w:jc w:val="right"/>
              <w:ind w:right="170"/>
              <w:spacing w:after="0"/>
              <w:rPr>
                <w:sz w:val="20"/>
                <w:szCs w:val="20"/>
                <w:color w:val="auto"/>
              </w:rPr>
            </w:pPr>
            <w:r>
              <w:rPr>
                <w:rFonts w:ascii="Arial" w:cs="Arial" w:eastAsia="Arial" w:hAnsi="Arial"/>
                <w:sz w:val="18"/>
                <w:szCs w:val="18"/>
                <w:color w:val="auto"/>
              </w:rPr>
              <w:t>42.4</w:t>
            </w:r>
          </w:p>
        </w:tc>
      </w:tr>
      <w:tr>
        <w:trPr>
          <w:trHeight w:val="216"/>
        </w:trPr>
        <w:tc>
          <w:tcPr>
            <w:tcW w:w="65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Asia</w:t>
            </w:r>
          </w:p>
        </w:tc>
        <w:tc>
          <w:tcPr>
            <w:tcW w:w="9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14.1</w:t>
            </w: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17.5</w:t>
            </w:r>
          </w:p>
        </w:tc>
      </w:tr>
      <w:tr>
        <w:trPr>
          <w:trHeight w:val="216"/>
        </w:trPr>
        <w:tc>
          <w:tcPr>
            <w:tcW w:w="6540" w:type="dxa"/>
            <w:vAlign w:val="bottom"/>
          </w:tcPr>
          <w:p>
            <w:pPr>
              <w:ind w:left="20"/>
              <w:spacing w:after="0"/>
              <w:rPr>
                <w:sz w:val="20"/>
                <w:szCs w:val="20"/>
                <w:color w:val="auto"/>
              </w:rPr>
            </w:pPr>
            <w:r>
              <w:rPr>
                <w:rFonts w:ascii="Arial" w:cs="Arial" w:eastAsia="Arial" w:hAnsi="Arial"/>
                <w:sz w:val="18"/>
                <w:szCs w:val="18"/>
                <w:color w:val="auto"/>
              </w:rPr>
              <w:t>Avnet by operating group</w:t>
            </w: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65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EC</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23.3 %</w:t>
            </w: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31.4 %</w:t>
            </w:r>
          </w:p>
        </w:tc>
      </w:tr>
      <w:tr>
        <w:trPr>
          <w:trHeight w:val="230"/>
        </w:trPr>
        <w:tc>
          <w:tcPr>
            <w:tcW w:w="6540" w:type="dxa"/>
            <w:vAlign w:val="bottom"/>
          </w:tcPr>
          <w:p>
            <w:pPr>
              <w:ind w:left="120"/>
              <w:spacing w:after="0"/>
              <w:rPr>
                <w:sz w:val="20"/>
                <w:szCs w:val="20"/>
                <w:color w:val="auto"/>
              </w:rPr>
            </w:pPr>
            <w:r>
              <w:rPr>
                <w:rFonts w:ascii="Arial" w:cs="Arial" w:eastAsia="Arial" w:hAnsi="Arial"/>
                <w:sz w:val="18"/>
                <w:szCs w:val="18"/>
                <w:color w:val="auto"/>
              </w:rPr>
              <w:t>Farnell</w:t>
            </w:r>
          </w:p>
        </w:tc>
        <w:tc>
          <w:tcPr>
            <w:tcW w:w="900" w:type="dxa"/>
            <w:vAlign w:val="bottom"/>
          </w:tcPr>
          <w:p>
            <w:pPr>
              <w:jc w:val="right"/>
              <w:ind w:right="70"/>
              <w:spacing w:after="0"/>
              <w:rPr>
                <w:sz w:val="20"/>
                <w:szCs w:val="20"/>
                <w:color w:val="auto"/>
              </w:rPr>
            </w:pPr>
            <w:r>
              <w:rPr>
                <w:rFonts w:ascii="Arial" w:cs="Arial" w:eastAsia="Arial" w:hAnsi="Arial"/>
                <w:sz w:val="18"/>
                <w:szCs w:val="18"/>
                <w:color w:val="auto"/>
              </w:rPr>
              <w:t>(6.4)</w:t>
            </w:r>
          </w:p>
        </w:tc>
        <w:tc>
          <w:tcPr>
            <w:tcW w:w="160" w:type="dxa"/>
            <w:vAlign w:val="bottom"/>
          </w:tcPr>
          <w:p>
            <w:pPr>
              <w:spacing w:after="0"/>
              <w:rPr>
                <w:sz w:val="20"/>
                <w:szCs w:val="20"/>
                <w:color w:val="auto"/>
              </w:rPr>
            </w:pPr>
          </w:p>
        </w:tc>
        <w:tc>
          <w:tcPr>
            <w:tcW w:w="1040" w:type="dxa"/>
            <w:vAlign w:val="bottom"/>
          </w:tcPr>
          <w:p>
            <w:pPr>
              <w:jc w:val="right"/>
              <w:ind w:right="170"/>
              <w:spacing w:after="0"/>
              <w:rPr>
                <w:sz w:val="20"/>
                <w:szCs w:val="20"/>
                <w:color w:val="auto"/>
              </w:rPr>
            </w:pPr>
            <w:r>
              <w:rPr>
                <w:rFonts w:ascii="Arial" w:cs="Arial" w:eastAsia="Arial" w:hAnsi="Arial"/>
                <w:sz w:val="18"/>
                <w:szCs w:val="18"/>
                <w:color w:val="auto"/>
              </w:rPr>
              <w:t>1.6</w:t>
            </w:r>
          </w:p>
        </w:tc>
      </w:tr>
    </w:tbl>
    <w:p>
      <w:pPr>
        <w:spacing w:after="0" w:line="187" w:lineRule="exact"/>
        <w:rPr>
          <w:sz w:val="20"/>
          <w:szCs w:val="20"/>
          <w:color w:val="auto"/>
        </w:rPr>
      </w:pPr>
    </w:p>
    <w:p>
      <w:pPr>
        <w:jc w:val="both"/>
        <w:ind w:left="60" w:right="339" w:firstLine="427"/>
        <w:spacing w:after="0" w:line="311" w:lineRule="auto"/>
        <w:rPr>
          <w:sz w:val="20"/>
          <w:szCs w:val="20"/>
          <w:color w:val="auto"/>
        </w:rPr>
      </w:pPr>
      <w:r>
        <w:rPr>
          <w:rFonts w:ascii="Arial" w:cs="Arial" w:eastAsia="Arial" w:hAnsi="Arial"/>
          <w:sz w:val="16"/>
          <w:szCs w:val="16"/>
          <w:color w:val="auto"/>
        </w:rPr>
        <w:t>Sales of $6.75 billion for the first quarter of fiscal 2023 were up $1.17 billion, or 20.9%, from the prior year first quarter sales of $5.58 billion. Sales in constant currency in the first quarter of fiscal 2023 increased by 28.9% year over year, reflecting sales growth across all regions driven by strong demand and pricing globally for electronic components.</w:t>
      </w:r>
    </w:p>
    <w:p>
      <w:pPr>
        <w:spacing w:after="0" w:line="149" w:lineRule="exact"/>
        <w:rPr>
          <w:sz w:val="20"/>
          <w:szCs w:val="20"/>
          <w:color w:val="auto"/>
        </w:rPr>
      </w:pPr>
    </w:p>
    <w:p>
      <w:pPr>
        <w:ind w:left="60" w:right="239" w:firstLine="427"/>
        <w:spacing w:after="0" w:line="257" w:lineRule="auto"/>
        <w:rPr>
          <w:sz w:val="20"/>
          <w:szCs w:val="20"/>
          <w:color w:val="auto"/>
        </w:rPr>
      </w:pPr>
      <w:r>
        <w:rPr>
          <w:rFonts w:ascii="Arial" w:cs="Arial" w:eastAsia="Arial" w:hAnsi="Arial"/>
          <w:sz w:val="18"/>
          <w:szCs w:val="18"/>
          <w:color w:val="auto"/>
        </w:rPr>
        <w:t>EC sales of $6.32 billion in the first quarter of fiscal 2023 increased $1.19 billion or 23.3% from the prior year first quarter sales of $5.13 billion. EC sales increased 31.4% year over year in constant currency, reflecting sales growth in all three regions. The increase in sales in the Company’s EC operating group is primarily due to overall stronger market demand and pricing for electronic components, especially in the transportation, industrial and aerospace and defense sectors.</w:t>
      </w:r>
    </w:p>
    <w:p>
      <w:pPr>
        <w:spacing w:after="0" w:line="188" w:lineRule="exact"/>
        <w:rPr>
          <w:sz w:val="20"/>
          <w:szCs w:val="20"/>
          <w:color w:val="auto"/>
        </w:rPr>
      </w:pPr>
    </w:p>
    <w:p>
      <w:pPr>
        <w:ind w:left="60" w:right="79" w:firstLine="427"/>
        <w:spacing w:after="0" w:line="263" w:lineRule="auto"/>
        <w:rPr>
          <w:sz w:val="20"/>
          <w:szCs w:val="20"/>
          <w:color w:val="auto"/>
        </w:rPr>
      </w:pPr>
      <w:r>
        <w:rPr>
          <w:rFonts w:ascii="Arial" w:cs="Arial" w:eastAsia="Arial" w:hAnsi="Arial"/>
          <w:sz w:val="18"/>
          <w:szCs w:val="18"/>
          <w:color w:val="auto"/>
        </w:rPr>
        <w:t>Farnell sales for the first quarter of fiscal 2023 were $425.9 million, a decrease of $29.3 million or 6.4% from the prior year first quarter sales of $455.2 million primarily as a result of foreign currency translation from the strengthening of the U.S. Dollar. Farnell sales in constant currency increased 1.6% year over year.</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Gross Profit</w:t>
      </w:r>
    </w:p>
    <w:p>
      <w:pPr>
        <w:spacing w:after="0" w:line="229" w:lineRule="exact"/>
        <w:rPr>
          <w:sz w:val="20"/>
          <w:szCs w:val="20"/>
          <w:color w:val="auto"/>
        </w:rPr>
      </w:pPr>
    </w:p>
    <w:p>
      <w:pPr>
        <w:ind w:left="60" w:right="159" w:firstLine="432"/>
        <w:spacing w:after="0" w:line="311" w:lineRule="auto"/>
        <w:rPr>
          <w:sz w:val="20"/>
          <w:szCs w:val="20"/>
          <w:color w:val="auto"/>
        </w:rPr>
      </w:pPr>
      <w:r>
        <w:rPr>
          <w:rFonts w:ascii="Arial" w:cs="Arial" w:eastAsia="Arial" w:hAnsi="Arial"/>
          <w:sz w:val="16"/>
          <w:szCs w:val="16"/>
          <w:color w:val="auto"/>
        </w:rPr>
        <w:t>Gross profit for the first quarter of fiscal 2023 was $768.2 million, an increase of $108.5 million, or 16.4%, from the first quarter of fiscal 2022 gross profit of $659.7 million. Gross profit margin decreased to 11.4% or 43 basis points from the first quarter of fiscal 2022 gross profit margin of 11.8%, primarily due to differences in product and customer mix.</w:t>
      </w:r>
    </w:p>
    <w:p>
      <w:pPr>
        <w:spacing w:after="0" w:line="14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Selling, General and Administrative Expenses</w:t>
      </w:r>
    </w:p>
    <w:p>
      <w:pPr>
        <w:spacing w:after="0" w:line="229" w:lineRule="exact"/>
        <w:rPr>
          <w:sz w:val="20"/>
          <w:szCs w:val="20"/>
          <w:color w:val="auto"/>
        </w:rPr>
      </w:pPr>
    </w:p>
    <w:p>
      <w:pPr>
        <w:ind w:left="60" w:right="99" w:firstLine="432"/>
        <w:spacing w:after="0" w:line="259" w:lineRule="auto"/>
        <w:rPr>
          <w:sz w:val="20"/>
          <w:szCs w:val="20"/>
          <w:color w:val="auto"/>
        </w:rPr>
      </w:pPr>
      <w:r>
        <w:rPr>
          <w:rFonts w:ascii="Arial" w:cs="Arial" w:eastAsia="Arial" w:hAnsi="Arial"/>
          <w:sz w:val="18"/>
          <w:szCs w:val="18"/>
          <w:color w:val="auto"/>
        </w:rPr>
        <w:t>Selling, general and administrative expenses (“SG&amp;A expenses”) were $477.6 million in the first quarter of fiscal 2023, a decrease of $8.5 million, or 1.8%, from the first quarter of fiscal 2022. The year-over-year decrease in SG&amp;A expenses was primarily a result of foreign currency translation from the strengthening of the U.S. Dollar, partially offset by increases in SG&amp;A primarily to support increased sales volumes.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44" w:right="1440" w:bottom="1440" w:gutter="0" w:footer="0" w:header="0"/>
        </w:sectPr>
      </w:pPr>
    </w:p>
    <w:bookmarkStart w:id="20" w:name="page21"/>
    <w:bookmarkEnd w:id="2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60" w:right="179" w:firstLine="427"/>
        <w:spacing w:after="0" w:line="257" w:lineRule="auto"/>
        <w:rPr>
          <w:sz w:val="20"/>
          <w:szCs w:val="20"/>
          <w:color w:val="auto"/>
        </w:rPr>
      </w:pPr>
      <w:r>
        <w:rPr>
          <w:rFonts w:ascii="Arial" w:cs="Arial" w:eastAsia="Arial" w:hAnsi="Arial"/>
          <w:sz w:val="18"/>
          <w:szCs w:val="18"/>
          <w:color w:val="auto"/>
        </w:rPr>
        <w:t>Metrics that management monitors with respect to its operating expenses are SG&amp;A expenses as a percentage of sales and as a percentage of gross profit. In the first quarter of fiscal 2023, SG&amp;A expenses were 7.1% of sales and 62.2% of gross profit, as compared with 8.7% and 73.7%, respectively, in the first quarter of fiscal 2022. The decrease in SG&amp;A expenses as a percentage of sales and gross profit primarily results from operating leverage created from higher sales without a significant increase in SG&amp;A expenses.</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Operating Income</w:t>
      </w:r>
    </w:p>
    <w:p>
      <w:pPr>
        <w:spacing w:after="0" w:line="229" w:lineRule="exact"/>
        <w:rPr>
          <w:sz w:val="20"/>
          <w:szCs w:val="20"/>
          <w:color w:val="auto"/>
        </w:rPr>
      </w:pPr>
    </w:p>
    <w:p>
      <w:pPr>
        <w:jc w:val="both"/>
        <w:ind w:left="60" w:right="139" w:firstLine="427"/>
        <w:spacing w:after="0" w:line="301" w:lineRule="auto"/>
        <w:rPr>
          <w:sz w:val="20"/>
          <w:szCs w:val="20"/>
          <w:color w:val="auto"/>
        </w:rPr>
      </w:pPr>
      <w:r>
        <w:rPr>
          <w:rFonts w:ascii="Arial" w:cs="Arial" w:eastAsia="Arial" w:hAnsi="Arial"/>
          <w:sz w:val="16"/>
          <w:szCs w:val="16"/>
          <w:color w:val="auto"/>
        </w:rPr>
        <w:t>Operating income for the first quarter of fiscal 2023 was $290.5 million, an increase of $122.3 million, from the first quarter of fiscal 2022 operating income of $168.2 million. The year-over-year increase in operating income was primarily driven by the increase in sales and lower SG&amp;A expenses as a percentage of sales. Adjusted operating income for the first quarter of fiscal 2023 was $293.3 million, an increase of $114.5 million, or 64.1%, from the first quarter of fiscal 2022.</w:t>
      </w:r>
    </w:p>
    <w:p>
      <w:pPr>
        <w:spacing w:after="0" w:line="157" w:lineRule="exact"/>
        <w:rPr>
          <w:sz w:val="20"/>
          <w:szCs w:val="20"/>
          <w:color w:val="auto"/>
        </w:rPr>
      </w:pPr>
    </w:p>
    <w:p>
      <w:pPr>
        <w:ind w:left="60" w:right="139" w:firstLine="427"/>
        <w:spacing w:after="0" w:line="263" w:lineRule="auto"/>
        <w:rPr>
          <w:sz w:val="20"/>
          <w:szCs w:val="20"/>
          <w:color w:val="auto"/>
        </w:rPr>
      </w:pPr>
      <w:r>
        <w:rPr>
          <w:rFonts w:ascii="Arial" w:cs="Arial" w:eastAsia="Arial" w:hAnsi="Arial"/>
          <w:sz w:val="18"/>
          <w:szCs w:val="18"/>
          <w:color w:val="auto"/>
        </w:rPr>
        <w:t>EC operating income margin increased 106 basis points year over year to 4.2% and Farnell operating income margin increased 123 basis points year over year to 12.1%. The improvement in operating income margin is a result of lower overall SG&amp;A expenses year over year.</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Interest and Other Financing Expenses, Net</w:t>
      </w:r>
    </w:p>
    <w:p>
      <w:pPr>
        <w:spacing w:after="0" w:line="229" w:lineRule="exact"/>
        <w:rPr>
          <w:sz w:val="20"/>
          <w:szCs w:val="20"/>
          <w:color w:val="auto"/>
        </w:rPr>
      </w:pPr>
    </w:p>
    <w:p>
      <w:pPr>
        <w:ind w:left="60" w:right="59" w:firstLine="432"/>
        <w:spacing w:after="0" w:line="257" w:lineRule="auto"/>
        <w:rPr>
          <w:sz w:val="20"/>
          <w:szCs w:val="20"/>
          <w:color w:val="auto"/>
        </w:rPr>
      </w:pPr>
      <w:r>
        <w:rPr>
          <w:rFonts w:ascii="Arial" w:cs="Arial" w:eastAsia="Arial" w:hAnsi="Arial"/>
          <w:sz w:val="18"/>
          <w:szCs w:val="18"/>
          <w:color w:val="auto"/>
        </w:rPr>
        <w:t xml:space="preserve">Interest and other financing expenses in the first quarter of fiscal 2023 was $45.1 million, an increase of $22.3 million, as compared with interest and other financing expenses of $22.8 million in the first quarter of fiscal 2022. </w:t>
      </w:r>
      <w:r>
        <w:rPr>
          <w:rFonts w:ascii="Arial" w:cs="Arial" w:eastAsia="Arial" w:hAnsi="Arial"/>
          <w:sz w:val="18"/>
          <w:szCs w:val="18"/>
          <w:color w:val="252525"/>
        </w:rPr>
        <w:t>The</w:t>
      </w:r>
      <w:r>
        <w:rPr>
          <w:rFonts w:ascii="Arial" w:cs="Arial" w:eastAsia="Arial" w:hAnsi="Arial"/>
          <w:sz w:val="18"/>
          <w:szCs w:val="18"/>
          <w:color w:val="auto"/>
        </w:rPr>
        <w:t xml:space="preserve"> </w:t>
      </w:r>
      <w:r>
        <w:rPr>
          <w:rFonts w:ascii="Arial" w:cs="Arial" w:eastAsia="Arial" w:hAnsi="Arial"/>
          <w:sz w:val="18"/>
          <w:szCs w:val="18"/>
          <w:color w:val="252525"/>
        </w:rPr>
        <w:t>increases in interest and other financing expenses in the first quarter of fiscal 2023 compared to the first quarter of fiscal 2022 is primarily a result of higher outstanding borrowings and increases in average borrowing rates during the first quarter of fiscal 2023 as compared to the first quarter of fiscal 2022.</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Income Tax</w:t>
      </w:r>
    </w:p>
    <w:p>
      <w:pPr>
        <w:spacing w:after="0" w:line="229" w:lineRule="exact"/>
        <w:rPr>
          <w:sz w:val="20"/>
          <w:szCs w:val="20"/>
          <w:color w:val="auto"/>
        </w:rPr>
      </w:pPr>
    </w:p>
    <w:p>
      <w:pPr>
        <w:ind w:left="60" w:right="139" w:firstLine="427"/>
        <w:spacing w:after="0" w:line="263" w:lineRule="auto"/>
        <w:rPr>
          <w:sz w:val="20"/>
          <w:szCs w:val="20"/>
          <w:color w:val="auto"/>
        </w:rPr>
      </w:pPr>
      <w:r>
        <w:rPr>
          <w:rFonts w:ascii="Arial" w:cs="Arial" w:eastAsia="Arial" w:hAnsi="Arial"/>
          <w:sz w:val="18"/>
          <w:szCs w:val="18"/>
          <w:color w:val="auto"/>
        </w:rPr>
        <w:t>The Company’s effective tax rate on its income before taxes was 25.0% in the first quarter of fiscal 2023. During the first quarter of fiscal 2023, the Company’s effective tax rate was unfavorably impacted primarily by (i) increases to unrecognized tax benefit reserves and (ii) the mix of income in higher tax jurisdictions.</w:t>
      </w:r>
    </w:p>
    <w:p>
      <w:pPr>
        <w:spacing w:after="0" w:line="184" w:lineRule="exact"/>
        <w:rPr>
          <w:sz w:val="20"/>
          <w:szCs w:val="20"/>
          <w:color w:val="auto"/>
        </w:rPr>
      </w:pPr>
    </w:p>
    <w:p>
      <w:pPr>
        <w:jc w:val="both"/>
        <w:ind w:left="60" w:right="119" w:firstLine="427"/>
        <w:spacing w:after="0" w:line="263" w:lineRule="auto"/>
        <w:rPr>
          <w:sz w:val="20"/>
          <w:szCs w:val="20"/>
          <w:color w:val="auto"/>
        </w:rPr>
      </w:pPr>
      <w:r>
        <w:rPr>
          <w:rFonts w:ascii="Arial" w:cs="Arial" w:eastAsia="Arial" w:hAnsi="Arial"/>
          <w:sz w:val="18"/>
          <w:szCs w:val="18"/>
          <w:color w:val="auto"/>
        </w:rPr>
        <w:t>During the first quarter of fiscal 2022, the Company’s effective tax rate on its income before taxes was 23.2% in the first quarter of fiscal 2022. The Company’s effective tax rate was unfavorably impacted primarily by increases to valuation allowances.</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Net Income</w:t>
      </w:r>
    </w:p>
    <w:p>
      <w:pPr>
        <w:spacing w:after="0" w:line="229" w:lineRule="exact"/>
        <w:rPr>
          <w:sz w:val="20"/>
          <w:szCs w:val="20"/>
          <w:color w:val="auto"/>
        </w:rPr>
      </w:pPr>
    </w:p>
    <w:p>
      <w:pPr>
        <w:jc w:val="both"/>
        <w:ind w:left="60" w:right="159" w:firstLine="427"/>
        <w:spacing w:after="0" w:line="263" w:lineRule="auto"/>
        <w:rPr>
          <w:sz w:val="20"/>
          <w:szCs w:val="20"/>
          <w:color w:val="auto"/>
        </w:rPr>
      </w:pPr>
      <w:r>
        <w:rPr>
          <w:rFonts w:ascii="Arial" w:cs="Arial" w:eastAsia="Arial" w:hAnsi="Arial"/>
          <w:sz w:val="18"/>
          <w:szCs w:val="18"/>
          <w:color w:val="auto"/>
        </w:rPr>
        <w:t>As a result of the factors described in the preceding sections of this MD&amp;A, the Company’s net income for the first quarter of fiscal 2023 was $184.3 million, or $1.93 per share on a diluted basis, as compared with $111.3 million, or $1.10 per share on a diluted basis, in the first quarter of fiscal 2022.</w:t>
      </w: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LIQUIDITY AND CAPITAL RESOURCES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Cash Flow</w:t>
      </w:r>
    </w:p>
    <w:p>
      <w:pPr>
        <w:spacing w:after="0" w:line="229" w:lineRule="exact"/>
        <w:rPr>
          <w:sz w:val="20"/>
          <w:szCs w:val="20"/>
          <w:color w:val="auto"/>
        </w:rPr>
      </w:pPr>
    </w:p>
    <w:p>
      <w:pPr>
        <w:ind w:left="480"/>
        <w:spacing w:after="0"/>
        <w:rPr>
          <w:sz w:val="20"/>
          <w:szCs w:val="20"/>
          <w:color w:val="auto"/>
        </w:rPr>
      </w:pPr>
      <w:r>
        <w:rPr>
          <w:rFonts w:ascii="Arial" w:cs="Arial" w:eastAsia="Arial" w:hAnsi="Arial"/>
          <w:sz w:val="18"/>
          <w:szCs w:val="18"/>
          <w:i w:val="1"/>
          <w:iCs w:val="1"/>
          <w:color w:val="auto"/>
        </w:rPr>
        <w:t>Cash Flow from Operating Activities</w:t>
      </w:r>
    </w:p>
    <w:p>
      <w:pPr>
        <w:spacing w:after="0" w:line="225" w:lineRule="exact"/>
        <w:rPr>
          <w:sz w:val="20"/>
          <w:szCs w:val="20"/>
          <w:color w:val="auto"/>
        </w:rPr>
      </w:pPr>
    </w:p>
    <w:p>
      <w:pPr>
        <w:ind w:left="480"/>
        <w:spacing w:after="0"/>
        <w:rPr>
          <w:sz w:val="20"/>
          <w:szCs w:val="20"/>
          <w:color w:val="auto"/>
        </w:rPr>
      </w:pPr>
      <w:r>
        <w:rPr>
          <w:rFonts w:ascii="Arial" w:cs="Arial" w:eastAsia="Arial" w:hAnsi="Arial"/>
          <w:sz w:val="17"/>
          <w:szCs w:val="17"/>
          <w:color w:val="auto"/>
        </w:rPr>
        <w:t>During the first quarter of fiscal 2023, the Company used $645.1 million of cash flow for operations compared to</w:t>
      </w:r>
    </w:p>
    <w:p>
      <w:pPr>
        <w:spacing w:after="0" w:line="35" w:lineRule="exact"/>
        <w:rPr>
          <w:sz w:val="20"/>
          <w:szCs w:val="20"/>
          <w:color w:val="auto"/>
        </w:rPr>
      </w:pPr>
    </w:p>
    <w:p>
      <w:pPr>
        <w:ind w:left="60"/>
        <w:spacing w:after="0"/>
        <w:rPr>
          <w:sz w:val="20"/>
          <w:szCs w:val="20"/>
          <w:color w:val="auto"/>
        </w:rPr>
      </w:pPr>
      <w:r>
        <w:rPr>
          <w:rFonts w:ascii="Arial" w:cs="Arial" w:eastAsia="Arial" w:hAnsi="Arial"/>
          <w:sz w:val="16"/>
          <w:szCs w:val="16"/>
          <w:color w:val="auto"/>
        </w:rPr>
        <w:t>$31.0 million of cash used for operations in the first quarter of fiscal 2022. These operating cash flows were comprised of:</w:t>
      </w:r>
    </w:p>
    <w:p>
      <w:pPr>
        <w:spacing w:after="0" w:line="32" w:lineRule="exact"/>
        <w:rPr>
          <w:sz w:val="20"/>
          <w:szCs w:val="20"/>
          <w:color w:val="auto"/>
        </w:rPr>
      </w:pPr>
    </w:p>
    <w:p>
      <w:pPr>
        <w:ind w:left="60" w:right="179" w:hanging="10"/>
        <w:spacing w:after="0" w:line="295" w:lineRule="auto"/>
        <w:tabs>
          <w:tab w:leader="none" w:pos="275" w:val="left"/>
        </w:tabs>
        <w:numPr>
          <w:ilvl w:val="0"/>
          <w:numId w:val="9"/>
        </w:numPr>
        <w:rPr>
          <w:rFonts w:ascii="Arial" w:cs="Arial" w:eastAsia="Arial" w:hAnsi="Arial"/>
          <w:sz w:val="16"/>
          <w:szCs w:val="16"/>
          <w:color w:val="auto"/>
        </w:rPr>
      </w:pPr>
      <w:r>
        <w:rPr>
          <w:rFonts w:ascii="Arial" w:cs="Arial" w:eastAsia="Arial" w:hAnsi="Arial"/>
          <w:sz w:val="16"/>
          <w:szCs w:val="16"/>
          <w:color w:val="auto"/>
        </w:rPr>
        <w:t>cash flow generated from net income, adjusted for the impact of non-cash and other items, which includes depreciation and amortization expenses, deferred income taxes, stock-based compensation expense, amortization of operating lease assets, and other non-cash items, and (ii) cash flows used for working capital and other, excluding cash and cash equivalents. Cash used for working capital and other was $874.8 million during the first quarter of fiscal 2023,</w:t>
      </w:r>
    </w:p>
    <w:p>
      <w:pPr>
        <w:sectPr>
          <w:pgSz w:w="11900" w:h="16838" w:orient="portrait"/>
          <w:cols w:equalWidth="0" w:num="1">
            <w:col w:w="9019"/>
          </w:cols>
          <w:pgMar w:left="1440" w:top="544" w:right="1440" w:bottom="1440" w:gutter="0" w:footer="0" w:header="0"/>
        </w:sect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44" w:right="1440" w:bottom="1440" w:gutter="0" w:footer="0" w:header="0"/>
          <w:type w:val="continuous"/>
        </w:sectPr>
      </w:pPr>
    </w:p>
    <w:bookmarkStart w:id="21" w:name="page22"/>
    <w:bookmarkEnd w:id="2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60" w:right="159"/>
        <w:spacing w:after="0" w:line="255" w:lineRule="auto"/>
        <w:rPr>
          <w:sz w:val="20"/>
          <w:szCs w:val="20"/>
          <w:color w:val="auto"/>
        </w:rPr>
      </w:pPr>
      <w:r>
        <w:rPr>
          <w:rFonts w:ascii="Arial" w:cs="Arial" w:eastAsia="Arial" w:hAnsi="Arial"/>
          <w:sz w:val="18"/>
          <w:szCs w:val="18"/>
          <w:color w:val="auto"/>
        </w:rPr>
        <w:t>including increases in accounts receivable of $419.9 million, and in inventories of $559.0 million both to support sales growth in the first quarter of fiscal 2023, and a decrease in accrued expenses and other of $16.8 million, partially offset by an increase in accounts payable of $120.9 million. Comparatively, cash used for working capital and other was $191.6 million during the first quarter of fiscal 2022, including increases in accounts receivable of $170.0 million and in inventories of $74.0 million, and a decrease in accrued expenses and other of $32.9 million, offset by an increase in accounts payable of $85.2 million.</w:t>
      </w:r>
    </w:p>
    <w:p>
      <w:pPr>
        <w:spacing w:after="0" w:line="192" w:lineRule="exact"/>
        <w:rPr>
          <w:sz w:val="20"/>
          <w:szCs w:val="20"/>
          <w:color w:val="auto"/>
        </w:rPr>
      </w:pPr>
    </w:p>
    <w:p>
      <w:pPr>
        <w:ind w:left="480"/>
        <w:spacing w:after="0"/>
        <w:rPr>
          <w:sz w:val="20"/>
          <w:szCs w:val="20"/>
          <w:color w:val="auto"/>
        </w:rPr>
      </w:pPr>
      <w:r>
        <w:rPr>
          <w:rFonts w:ascii="Arial" w:cs="Arial" w:eastAsia="Arial" w:hAnsi="Arial"/>
          <w:sz w:val="18"/>
          <w:szCs w:val="18"/>
          <w:i w:val="1"/>
          <w:iCs w:val="1"/>
          <w:color w:val="auto"/>
        </w:rPr>
        <w:t>Cash Flow from Financing Activities</w:t>
      </w:r>
    </w:p>
    <w:p>
      <w:pPr>
        <w:spacing w:after="0" w:line="225" w:lineRule="exact"/>
        <w:rPr>
          <w:sz w:val="20"/>
          <w:szCs w:val="20"/>
          <w:color w:val="auto"/>
        </w:rPr>
      </w:pPr>
    </w:p>
    <w:p>
      <w:pPr>
        <w:ind w:left="60" w:right="79" w:firstLine="432"/>
        <w:spacing w:after="0" w:line="259" w:lineRule="auto"/>
        <w:rPr>
          <w:sz w:val="20"/>
          <w:szCs w:val="20"/>
          <w:color w:val="auto"/>
        </w:rPr>
      </w:pPr>
      <w:r>
        <w:rPr>
          <w:rFonts w:ascii="Arial" w:cs="Arial" w:eastAsia="Arial" w:hAnsi="Arial"/>
          <w:sz w:val="18"/>
          <w:szCs w:val="18"/>
          <w:color w:val="auto"/>
        </w:rPr>
        <w:t>During the first quarter of fiscal 2023, the Company received net proceeds of $702.0 million and $152.2 million under the Credit Facility and the Securitization Program, respectively, and a repayment of $85.4 million under the other short-term debt. During the first quarter of fiscal 2023, the Company paid dividends on common stock of $27.0 million and repurchased $152.4 million of common stock.</w:t>
      </w:r>
    </w:p>
    <w:p>
      <w:pPr>
        <w:spacing w:after="0" w:line="187" w:lineRule="exact"/>
        <w:rPr>
          <w:sz w:val="20"/>
          <w:szCs w:val="20"/>
          <w:color w:val="auto"/>
        </w:rPr>
      </w:pPr>
    </w:p>
    <w:p>
      <w:pPr>
        <w:ind w:left="60" w:right="439" w:firstLine="432"/>
        <w:spacing w:after="0" w:line="286" w:lineRule="auto"/>
        <w:rPr>
          <w:sz w:val="20"/>
          <w:szCs w:val="20"/>
          <w:color w:val="auto"/>
        </w:rPr>
      </w:pPr>
      <w:r>
        <w:rPr>
          <w:rFonts w:ascii="Arial" w:cs="Arial" w:eastAsia="Arial" w:hAnsi="Arial"/>
          <w:sz w:val="17"/>
          <w:szCs w:val="17"/>
          <w:color w:val="auto"/>
        </w:rPr>
        <w:t>During the first quarter of fiscal 2022, the Company received net proceeds of $118.7 million under the Credit Facility, and $59.3 million under the Securitization Program. During the first quarter of fiscal 2022, the Company paid dividends on common stock of $23.9 million and repurchased $9.6 million of common stock.</w:t>
      </w:r>
    </w:p>
    <w:p>
      <w:pPr>
        <w:spacing w:after="0" w:line="165" w:lineRule="exact"/>
        <w:rPr>
          <w:sz w:val="20"/>
          <w:szCs w:val="20"/>
          <w:color w:val="auto"/>
        </w:rPr>
      </w:pPr>
    </w:p>
    <w:p>
      <w:pPr>
        <w:ind w:left="480"/>
        <w:spacing w:after="0"/>
        <w:rPr>
          <w:sz w:val="20"/>
          <w:szCs w:val="20"/>
          <w:color w:val="auto"/>
        </w:rPr>
      </w:pPr>
      <w:r>
        <w:rPr>
          <w:rFonts w:ascii="Arial" w:cs="Arial" w:eastAsia="Arial" w:hAnsi="Arial"/>
          <w:sz w:val="18"/>
          <w:szCs w:val="18"/>
          <w:i w:val="1"/>
          <w:iCs w:val="1"/>
          <w:color w:val="auto"/>
        </w:rPr>
        <w:t>Cash Flow from Investing Activities</w:t>
      </w:r>
    </w:p>
    <w:p>
      <w:pPr>
        <w:spacing w:after="0" w:line="225" w:lineRule="exact"/>
        <w:rPr>
          <w:sz w:val="20"/>
          <w:szCs w:val="20"/>
          <w:color w:val="auto"/>
        </w:rPr>
      </w:pPr>
    </w:p>
    <w:p>
      <w:pPr>
        <w:ind w:left="60" w:right="259" w:firstLine="432"/>
        <w:spacing w:after="0" w:line="277" w:lineRule="auto"/>
        <w:rPr>
          <w:sz w:val="20"/>
          <w:szCs w:val="20"/>
          <w:color w:val="auto"/>
        </w:rPr>
      </w:pPr>
      <w:r>
        <w:rPr>
          <w:rFonts w:ascii="Arial" w:cs="Arial" w:eastAsia="Arial" w:hAnsi="Arial"/>
          <w:sz w:val="18"/>
          <w:szCs w:val="18"/>
          <w:color w:val="auto"/>
        </w:rPr>
        <w:t>During the first quarter of fiscal 2023, the Company used $28.2 million for capital expenditures compared to $12.0 million for capital expenditures in the first quarter of fiscal 2022.</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Contractual Obligations</w:t>
      </w:r>
    </w:p>
    <w:p>
      <w:pPr>
        <w:spacing w:after="0" w:line="229" w:lineRule="exact"/>
        <w:rPr>
          <w:sz w:val="20"/>
          <w:szCs w:val="20"/>
          <w:color w:val="auto"/>
        </w:rPr>
      </w:pPr>
    </w:p>
    <w:p>
      <w:pPr>
        <w:ind w:left="60" w:right="99" w:firstLine="432"/>
        <w:spacing w:after="0" w:line="296" w:lineRule="auto"/>
        <w:rPr>
          <w:sz w:val="20"/>
          <w:szCs w:val="20"/>
          <w:color w:val="auto"/>
        </w:rPr>
      </w:pPr>
      <w:r>
        <w:rPr>
          <w:rFonts w:ascii="Arial" w:cs="Arial" w:eastAsia="Arial" w:hAnsi="Arial"/>
          <w:sz w:val="16"/>
          <w:szCs w:val="16"/>
          <w:color w:val="auto"/>
        </w:rPr>
        <w:t xml:space="preserve">For a detailed description of the Company’s long-term debt and lease commitments for the next five years and thereafter, see </w:t>
      </w:r>
      <w:r>
        <w:rPr>
          <w:rFonts w:ascii="Arial" w:cs="Arial" w:eastAsia="Arial" w:hAnsi="Arial"/>
          <w:sz w:val="16"/>
          <w:szCs w:val="16"/>
          <w:i w:val="1"/>
          <w:iCs w:val="1"/>
          <w:color w:val="auto"/>
        </w:rPr>
        <w:t>Long-Term Contractual Obligations</w:t>
      </w:r>
      <w:r>
        <w:rPr>
          <w:rFonts w:ascii="Arial" w:cs="Arial" w:eastAsia="Arial" w:hAnsi="Arial"/>
          <w:sz w:val="16"/>
          <w:szCs w:val="16"/>
          <w:color w:val="auto"/>
        </w:rPr>
        <w:t xml:space="preserve"> appearing in Item 7 of the Company’s Annual Report on Form 10-K for the fiscal year ended July 2, 2022. There are no material changes to this information outside of normal borrowings and repayments of long-term debt and operating lease payments. The Company does not currently have any material non-cancellable commitments for capital expenditures or inventory purchases outside of the normal course of business.</w:t>
      </w:r>
    </w:p>
    <w:p>
      <w:pPr>
        <w:spacing w:after="0" w:line="15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Financing Transactions</w:t>
      </w:r>
    </w:p>
    <w:p>
      <w:pPr>
        <w:spacing w:after="0" w:line="229" w:lineRule="exact"/>
        <w:rPr>
          <w:sz w:val="20"/>
          <w:szCs w:val="20"/>
          <w:color w:val="auto"/>
        </w:rPr>
      </w:pPr>
    </w:p>
    <w:p>
      <w:pPr>
        <w:ind w:left="60" w:right="99" w:firstLine="432"/>
        <w:spacing w:after="0" w:line="279" w:lineRule="auto"/>
        <w:rPr>
          <w:sz w:val="20"/>
          <w:szCs w:val="20"/>
          <w:color w:val="auto"/>
        </w:rPr>
      </w:pPr>
      <w:r>
        <w:rPr>
          <w:rFonts w:ascii="Arial" w:cs="Arial" w:eastAsia="Arial" w:hAnsi="Arial"/>
          <w:sz w:val="17"/>
          <w:szCs w:val="17"/>
          <w:color w:val="auto"/>
        </w:rPr>
        <w:t>See Note 4, “Debt” to the Company’s consolidated financial statements included in this Quarterly Report on Form 10-Q for additional information on financing transactions including the Credit Facility, the Securitization Program, and other outstanding debt as of October 1, 2022. The Company was in compliance with all covenants under the Credit Facility and the Securitization Program as of October 1, 2022, and July 2, 2022.</w:t>
      </w:r>
    </w:p>
    <w:p>
      <w:pPr>
        <w:spacing w:after="0" w:line="171" w:lineRule="exact"/>
        <w:rPr>
          <w:sz w:val="20"/>
          <w:szCs w:val="20"/>
          <w:color w:val="auto"/>
        </w:rPr>
      </w:pPr>
    </w:p>
    <w:p>
      <w:pPr>
        <w:ind w:left="60" w:right="239" w:firstLine="427"/>
        <w:spacing w:after="0" w:line="259" w:lineRule="auto"/>
        <w:rPr>
          <w:sz w:val="20"/>
          <w:szCs w:val="20"/>
          <w:color w:val="auto"/>
        </w:rPr>
      </w:pPr>
      <w:r>
        <w:rPr>
          <w:rFonts w:ascii="Arial" w:cs="Arial" w:eastAsia="Arial" w:hAnsi="Arial"/>
          <w:sz w:val="18"/>
          <w:szCs w:val="18"/>
          <w:color w:val="auto"/>
        </w:rPr>
        <w:t>The Company has various lines of credit, financing arrangements, and other forms of bank debt in the U.S. and various foreign locations to fund the short-term working capital, foreign exchange, overdraft, and letter of credit needs of its wholly owned subsidiaries. Outstanding borrowings under such forms of debt at the end of first quarter of fiscal 2023 was $40.1 million.</w:t>
      </w:r>
    </w:p>
    <w:p>
      <w:pPr>
        <w:spacing w:after="0" w:line="187" w:lineRule="exact"/>
        <w:rPr>
          <w:sz w:val="20"/>
          <w:szCs w:val="20"/>
          <w:color w:val="auto"/>
        </w:rPr>
      </w:pPr>
    </w:p>
    <w:p>
      <w:pPr>
        <w:ind w:left="60" w:right="339" w:firstLine="427"/>
        <w:spacing w:after="0" w:line="275" w:lineRule="auto"/>
        <w:rPr>
          <w:sz w:val="20"/>
          <w:szCs w:val="20"/>
          <w:color w:val="auto"/>
        </w:rPr>
      </w:pPr>
      <w:r>
        <w:rPr>
          <w:rFonts w:ascii="Arial" w:cs="Arial" w:eastAsia="Arial" w:hAnsi="Arial"/>
          <w:sz w:val="17"/>
          <w:szCs w:val="17"/>
          <w:color w:val="auto"/>
        </w:rPr>
        <w:t>As an alternative form of financing outside of the United States, the Company sells certain of its trade accounts receivable on a non-recourse basis to financial institutions pursuant to factoring agreements. The Company accounts for these transactions as sales of receivables and presents cash proceeds as cash provided by operating activities in the consolidated statements of cash flows. Factoring fees for the sales of trade accounts receivable are recorded within “Interest and other financing expenses, net” and were not material.</w:t>
      </w:r>
    </w:p>
    <w:p>
      <w:pPr>
        <w:spacing w:after="0" w:line="1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Liquidity</w:t>
      </w:r>
    </w:p>
    <w:p>
      <w:pPr>
        <w:spacing w:after="0" w:line="229" w:lineRule="exact"/>
        <w:rPr>
          <w:sz w:val="20"/>
          <w:szCs w:val="20"/>
          <w:color w:val="auto"/>
        </w:rPr>
      </w:pPr>
    </w:p>
    <w:p>
      <w:pPr>
        <w:ind w:left="60" w:right="79" w:firstLine="432"/>
        <w:spacing w:after="0" w:line="263" w:lineRule="auto"/>
        <w:rPr>
          <w:sz w:val="20"/>
          <w:szCs w:val="20"/>
          <w:color w:val="auto"/>
        </w:rPr>
      </w:pPr>
      <w:r>
        <w:rPr>
          <w:rFonts w:ascii="Arial" w:cs="Arial" w:eastAsia="Arial" w:hAnsi="Arial"/>
          <w:sz w:val="18"/>
          <w:szCs w:val="18"/>
          <w:color w:val="auto"/>
        </w:rPr>
        <w:t>The Company held cash and cash equivalents of $80.9 million as of October 1, 2022, of which none was held outside the United States. As of July 2, 2022, the Company held cash and cash equivalents of $153.7 million, of which $60.4 million was held outside of the United States.</w:t>
      </w:r>
    </w:p>
    <w:p>
      <w:pPr>
        <w:sectPr>
          <w:pgSz w:w="11900" w:h="16838" w:orient="portrait"/>
          <w:cols w:equalWidth="0" w:num="1">
            <w:col w:w="9019"/>
          </w:cols>
          <w:pgMar w:left="1440" w:top="544" w:right="1440" w:bottom="1440" w:gutter="0" w:footer="0" w:header="0"/>
        </w:sect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44" w:right="1440" w:bottom="1440" w:gutter="0" w:footer="0" w:header="0"/>
          <w:type w:val="continuous"/>
        </w:sectPr>
      </w:pPr>
    </w:p>
    <w:bookmarkStart w:id="22" w:name="page23"/>
    <w:bookmarkEnd w:id="2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60" w:right="259" w:firstLine="432"/>
        <w:spacing w:after="0" w:line="259" w:lineRule="auto"/>
        <w:rPr>
          <w:sz w:val="20"/>
          <w:szCs w:val="20"/>
          <w:color w:val="auto"/>
        </w:rPr>
      </w:pPr>
      <w:r>
        <w:rPr>
          <w:rFonts w:ascii="Arial" w:cs="Arial" w:eastAsia="Arial" w:hAnsi="Arial"/>
          <w:sz w:val="18"/>
          <w:szCs w:val="18"/>
          <w:color w:val="auto"/>
        </w:rPr>
        <w:t>During periods of weakening demand in the electronic components industry, the Company typically generates cash from operating activities. Conversely, the Company is more likely to use operating cash flows for working capital requirements during periods of higher growth. The Company used $833.5 million in cash flows for operating activities over the trailing four fiscal quarters ended October 1, 2022.</w:t>
      </w:r>
    </w:p>
    <w:p>
      <w:pPr>
        <w:spacing w:after="0" w:line="187" w:lineRule="exact"/>
        <w:rPr>
          <w:sz w:val="20"/>
          <w:szCs w:val="20"/>
          <w:color w:val="auto"/>
        </w:rPr>
      </w:pPr>
    </w:p>
    <w:p>
      <w:pPr>
        <w:ind w:left="60" w:right="79" w:firstLine="427"/>
        <w:spacing w:after="0" w:line="254" w:lineRule="auto"/>
        <w:rPr>
          <w:sz w:val="20"/>
          <w:szCs w:val="20"/>
          <w:color w:val="auto"/>
        </w:rPr>
      </w:pPr>
      <w:r>
        <w:rPr>
          <w:rFonts w:ascii="Arial" w:cs="Arial" w:eastAsia="Arial" w:hAnsi="Arial"/>
          <w:sz w:val="18"/>
          <w:szCs w:val="18"/>
          <w:color w:val="auto"/>
        </w:rPr>
        <w:t>Liquidity is subject to many factors, such as normal business operations and general economic, financial, competitive, legislative, and regulatory factors that are beyond the Company’s control. To the extent the cash balances held in foreign locations cannot be remitted back to the U.S. in a tax efficient manner, those cash balances are generally used for ongoing working capital, including the need to purchase inventories, capital expenditures and other foreign business needs. In addition, local government regulations may restrict the Company’s ability to move funds among various locations under certain circumstances. Management does not believe such restrictions would limit the Company’s ability to pursue its intended business strategy.</w:t>
      </w:r>
    </w:p>
    <w:p>
      <w:pPr>
        <w:spacing w:after="0" w:line="195" w:lineRule="exact"/>
        <w:rPr>
          <w:sz w:val="20"/>
          <w:szCs w:val="20"/>
          <w:color w:val="auto"/>
        </w:rPr>
      </w:pPr>
    </w:p>
    <w:p>
      <w:pPr>
        <w:ind w:left="60" w:right="159" w:firstLine="427"/>
        <w:spacing w:after="0" w:line="255" w:lineRule="auto"/>
        <w:rPr>
          <w:sz w:val="20"/>
          <w:szCs w:val="20"/>
          <w:color w:val="auto"/>
        </w:rPr>
      </w:pPr>
      <w:r>
        <w:rPr>
          <w:rFonts w:ascii="Arial" w:cs="Arial" w:eastAsia="Arial" w:hAnsi="Arial"/>
          <w:sz w:val="18"/>
          <w:szCs w:val="18"/>
          <w:color w:val="auto"/>
        </w:rPr>
        <w:t>As of the end of the first quarter of fiscal 2023, the Company had a combined total borrowing capacity of $1.70 billion under the Credit Facility and the Securitization Program. There were $685.6 million of borrowings outstanding and $1.1 million in letters of credit issued under the Credit Facility, and $450.0 million outstanding under the Securitization Program, resulting in approximately $563.2 million of total availability as of October 1, 2022. Availability under the Securitization Program is subject to the Company having sufficient eligible trade accounts receivable in the United States to support desired borrowings.</w:t>
      </w:r>
    </w:p>
    <w:p>
      <w:pPr>
        <w:spacing w:after="0" w:line="192" w:lineRule="exact"/>
        <w:rPr>
          <w:sz w:val="20"/>
          <w:szCs w:val="20"/>
          <w:color w:val="auto"/>
        </w:rPr>
      </w:pPr>
    </w:p>
    <w:p>
      <w:pPr>
        <w:ind w:left="60" w:right="499" w:firstLine="432"/>
        <w:spacing w:after="0" w:line="342" w:lineRule="auto"/>
        <w:rPr>
          <w:sz w:val="20"/>
          <w:szCs w:val="20"/>
          <w:color w:val="auto"/>
        </w:rPr>
      </w:pPr>
      <w:r>
        <w:rPr>
          <w:rFonts w:ascii="Arial" w:cs="Arial" w:eastAsia="Arial" w:hAnsi="Arial"/>
          <w:sz w:val="16"/>
          <w:szCs w:val="16"/>
          <w:color w:val="auto"/>
        </w:rPr>
        <w:t>During the first quarter of fiscal 2023, the Company had an average daily balance outstanding of approximately $882.7 million under the Credit Facility and approximately $444.3 million under the Securitization Program.</w:t>
      </w:r>
    </w:p>
    <w:p>
      <w:pPr>
        <w:spacing w:after="0" w:line="124" w:lineRule="exact"/>
        <w:rPr>
          <w:sz w:val="20"/>
          <w:szCs w:val="20"/>
          <w:color w:val="auto"/>
        </w:rPr>
      </w:pPr>
    </w:p>
    <w:p>
      <w:pPr>
        <w:ind w:left="60" w:right="199" w:firstLine="427"/>
        <w:spacing w:after="0" w:line="296" w:lineRule="auto"/>
        <w:rPr>
          <w:sz w:val="20"/>
          <w:szCs w:val="20"/>
          <w:color w:val="auto"/>
        </w:rPr>
      </w:pPr>
      <w:r>
        <w:rPr>
          <w:rFonts w:ascii="Arial" w:cs="Arial" w:eastAsia="Arial" w:hAnsi="Arial"/>
          <w:sz w:val="16"/>
          <w:szCs w:val="16"/>
          <w:color w:val="auto"/>
        </w:rPr>
        <w:t>As of October 1, 2022, the Company may repurchase up to an aggregate of $383.4 million of shares of the Company’s common stock through the share repurchase program approved by the Board of Directors. The Company may repurchase stock from time to time at the discretion of management, subject to strategic considerations, market conditions and other factors. The Company may terminate or limit the share repurchase program at any time without prior notice. During the first quarter of fiscal 2022, the Company repurchased $147.9 million of common stock.</w:t>
      </w:r>
    </w:p>
    <w:p>
      <w:pPr>
        <w:spacing w:after="0" w:line="161" w:lineRule="exact"/>
        <w:rPr>
          <w:sz w:val="20"/>
          <w:szCs w:val="20"/>
          <w:color w:val="auto"/>
        </w:rPr>
      </w:pPr>
    </w:p>
    <w:p>
      <w:pPr>
        <w:ind w:left="60" w:right="159" w:firstLine="427"/>
        <w:spacing w:after="0" w:line="311" w:lineRule="auto"/>
        <w:rPr>
          <w:sz w:val="20"/>
          <w:szCs w:val="20"/>
          <w:color w:val="auto"/>
        </w:rPr>
      </w:pPr>
      <w:r>
        <w:rPr>
          <w:rFonts w:ascii="Arial" w:cs="Arial" w:eastAsia="Arial" w:hAnsi="Arial"/>
          <w:sz w:val="16"/>
          <w:szCs w:val="16"/>
          <w:color w:val="auto"/>
        </w:rPr>
        <w:t>The Company has historically paid quarterly cash dividends on shares of its common stock, and future dividends are subject to approval by the Board of Directors. During the first quarter of fiscal 2023, the Board of Directors approved a dividend of $0.29 per share, which resulted in $27.0 million of dividend payments during the quarter.</w:t>
      </w:r>
    </w:p>
    <w:p>
      <w:pPr>
        <w:spacing w:after="0" w:line="149" w:lineRule="exact"/>
        <w:rPr>
          <w:sz w:val="20"/>
          <w:szCs w:val="20"/>
          <w:color w:val="auto"/>
        </w:rPr>
      </w:pPr>
    </w:p>
    <w:p>
      <w:pPr>
        <w:jc w:val="both"/>
        <w:ind w:left="60" w:right="239" w:firstLine="427"/>
        <w:spacing w:after="0" w:line="286" w:lineRule="auto"/>
        <w:rPr>
          <w:sz w:val="20"/>
          <w:szCs w:val="20"/>
          <w:color w:val="auto"/>
        </w:rPr>
      </w:pPr>
      <w:r>
        <w:rPr>
          <w:rFonts w:ascii="Arial" w:cs="Arial" w:eastAsia="Arial" w:hAnsi="Arial"/>
          <w:sz w:val="17"/>
          <w:szCs w:val="17"/>
          <w:color w:val="auto"/>
        </w:rPr>
        <w:t>The Company continually monitors and reviews its liquidity position and funding needs. Management believes that the Company’s ability to generate operating cash flows in the future and available borrowing capacity, including capacity for the non-recourse sale of trade accounts receivable, will be sufficient to meet its future liquidity needs.</w:t>
      </w:r>
    </w:p>
    <w:p>
      <w:pPr>
        <w:spacing w:after="0" w:line="165" w:lineRule="exact"/>
        <w:rPr>
          <w:sz w:val="20"/>
          <w:szCs w:val="20"/>
          <w:color w:val="auto"/>
        </w:rPr>
      </w:pPr>
    </w:p>
    <w:p>
      <w:pPr>
        <w:ind w:left="480"/>
        <w:spacing w:after="0"/>
        <w:rPr>
          <w:sz w:val="20"/>
          <w:szCs w:val="20"/>
          <w:color w:val="auto"/>
        </w:rPr>
      </w:pPr>
      <w:r>
        <w:rPr>
          <w:rFonts w:ascii="Arial" w:cs="Arial" w:eastAsia="Arial" w:hAnsi="Arial"/>
          <w:sz w:val="18"/>
          <w:szCs w:val="18"/>
          <w:b w:val="1"/>
          <w:bCs w:val="1"/>
          <w:i w:val="1"/>
          <w:iCs w:val="1"/>
          <w:color w:val="auto"/>
        </w:rPr>
        <w:t>Recently Issued Accounting Pronouncements</w:t>
      </w:r>
    </w:p>
    <w:p>
      <w:pPr>
        <w:spacing w:after="0" w:line="225" w:lineRule="exact"/>
        <w:rPr>
          <w:sz w:val="20"/>
          <w:szCs w:val="20"/>
          <w:color w:val="auto"/>
        </w:rPr>
      </w:pPr>
    </w:p>
    <w:p>
      <w:pPr>
        <w:ind w:left="60" w:right="319" w:firstLine="432"/>
        <w:spacing w:after="0" w:line="263" w:lineRule="auto"/>
        <w:rPr>
          <w:sz w:val="20"/>
          <w:szCs w:val="20"/>
          <w:color w:val="auto"/>
        </w:rPr>
      </w:pPr>
      <w:r>
        <w:rPr>
          <w:rFonts w:ascii="Arial" w:cs="Arial" w:eastAsia="Arial" w:hAnsi="Arial"/>
          <w:sz w:val="18"/>
          <w:szCs w:val="18"/>
          <w:color w:val="auto"/>
        </w:rPr>
        <w:t>See Note 1, “Basis of presentation and new accounting pronouncements” to the Company’s consolidated financial statements included in this Quarterly Report on Form 10-Q for a description of recently issued accounting pronouncements.</w:t>
      </w:r>
    </w:p>
    <w:p>
      <w:pPr>
        <w:spacing w:after="0" w:line="180" w:lineRule="exact"/>
        <w:rPr>
          <w:sz w:val="20"/>
          <w:szCs w:val="20"/>
          <w:color w:val="auto"/>
        </w:rPr>
      </w:pPr>
    </w:p>
    <w:p>
      <w:pPr>
        <w:ind w:left="60"/>
        <w:spacing w:after="0"/>
        <w:tabs>
          <w:tab w:leader="none" w:pos="10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i w:val="1"/>
          <w:iCs w:val="1"/>
          <w:color w:val="auto"/>
        </w:rPr>
        <w:t>Quantitative and Qualitative Disclosures About Market Risk</w:t>
      </w:r>
    </w:p>
    <w:p>
      <w:pPr>
        <w:spacing w:after="0" w:line="229" w:lineRule="exact"/>
        <w:rPr>
          <w:sz w:val="20"/>
          <w:szCs w:val="20"/>
          <w:color w:val="auto"/>
        </w:rPr>
      </w:pPr>
    </w:p>
    <w:p>
      <w:pPr>
        <w:ind w:left="60" w:right="399" w:firstLine="432"/>
        <w:spacing w:after="0" w:line="259" w:lineRule="auto"/>
        <w:rPr>
          <w:sz w:val="20"/>
          <w:szCs w:val="20"/>
          <w:color w:val="auto"/>
        </w:rPr>
      </w:pPr>
      <w:r>
        <w:rPr>
          <w:rFonts w:ascii="Arial" w:cs="Arial" w:eastAsia="Arial" w:hAnsi="Arial"/>
          <w:sz w:val="18"/>
          <w:szCs w:val="18"/>
          <w:color w:val="auto"/>
        </w:rPr>
        <w:t>The Company seeks to reduce earnings and cash flow volatility associated with changes in foreign currency exchange rates by entering into financial arrangements that are intended to provide an economic hedge against all or a portion of the risks associated with such volatility. The Company continues to have exposure to such risks to the extent they are not economically hedged.</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44" w:right="1440" w:bottom="1440" w:gutter="0" w:footer="0" w:header="0"/>
        </w:sectPr>
      </w:pPr>
    </w:p>
    <w:bookmarkStart w:id="23" w:name="page24"/>
    <w:bookmarkEnd w:id="2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60" w:right="79" w:firstLine="427"/>
        <w:spacing w:after="0" w:line="291" w:lineRule="auto"/>
        <w:rPr>
          <w:sz w:val="20"/>
          <w:szCs w:val="20"/>
          <w:color w:val="auto"/>
        </w:rPr>
      </w:pPr>
      <w:r>
        <w:rPr>
          <w:rFonts w:ascii="Arial" w:cs="Arial" w:eastAsia="Arial" w:hAnsi="Arial"/>
          <w:sz w:val="16"/>
          <w:szCs w:val="16"/>
          <w:color w:val="auto"/>
        </w:rPr>
        <w:t xml:space="preserve">See Item 7A, </w:t>
      </w:r>
      <w:r>
        <w:rPr>
          <w:rFonts w:ascii="Arial" w:cs="Arial" w:eastAsia="Arial" w:hAnsi="Arial"/>
          <w:sz w:val="16"/>
          <w:szCs w:val="16"/>
          <w:i w:val="1"/>
          <w:iCs w:val="1"/>
          <w:color w:val="auto"/>
        </w:rPr>
        <w:t>Quantitative and Qualitative Disclosures About Market Risk</w:t>
      </w:r>
      <w:r>
        <w:rPr>
          <w:rFonts w:ascii="Arial" w:cs="Arial" w:eastAsia="Arial" w:hAnsi="Arial"/>
          <w:sz w:val="16"/>
          <w:szCs w:val="16"/>
          <w:color w:val="auto"/>
        </w:rPr>
        <w:t>, in the Company’s Annual Report on Form 10-K for the fiscal year ended July 2, 2022, for further discussion of market risks associated with foreign currency exchange rates and interest rates. Avnet’s exposure to such risks has not changed materially since July 2, 2022, as the Company continues to economically hedge the majority of its foreign currency exchange exposures. Thus, any increase or decrease in fair value of the Company’s forward foreign currency exchange contracts is generally offset by an opposite effect on the related economically hedged position. For interest rate risk, the Company continues to maintain a combination of fixed and variable rate debt to mitigate the exposure to fluctuations in market interest rates.</w:t>
      </w:r>
    </w:p>
    <w:p>
      <w:pPr>
        <w:spacing w:after="0" w:line="166" w:lineRule="exact"/>
        <w:rPr>
          <w:sz w:val="20"/>
          <w:szCs w:val="20"/>
          <w:color w:val="auto"/>
        </w:rPr>
      </w:pPr>
    </w:p>
    <w:p>
      <w:pPr>
        <w:ind w:left="60" w:right="59" w:firstLine="427"/>
        <w:spacing w:after="0" w:line="255" w:lineRule="auto"/>
        <w:rPr>
          <w:sz w:val="20"/>
          <w:szCs w:val="20"/>
          <w:color w:val="auto"/>
        </w:rPr>
      </w:pPr>
      <w:r>
        <w:rPr>
          <w:rFonts w:ascii="Arial" w:cs="Arial" w:eastAsia="Arial" w:hAnsi="Arial"/>
          <w:sz w:val="18"/>
          <w:szCs w:val="18"/>
          <w:color w:val="auto"/>
        </w:rPr>
        <w:t xml:space="preserve">See </w:t>
      </w:r>
      <w:r>
        <w:rPr>
          <w:rFonts w:ascii="Arial" w:cs="Arial" w:eastAsia="Arial" w:hAnsi="Arial"/>
          <w:sz w:val="18"/>
          <w:szCs w:val="18"/>
          <w:i w:val="1"/>
          <w:iCs w:val="1"/>
          <w:color w:val="auto"/>
        </w:rPr>
        <w:t>Liquidity and Capital Resources — Financing Transactions</w:t>
      </w:r>
      <w:r>
        <w:rPr>
          <w:rFonts w:ascii="Arial" w:cs="Arial" w:eastAsia="Arial" w:hAnsi="Arial"/>
          <w:sz w:val="18"/>
          <w:szCs w:val="18"/>
          <w:color w:val="auto"/>
        </w:rPr>
        <w:t xml:space="preserve"> appearing in Item 2 of this Quarterly Report on Form 10-Q for further discussion of the Company’s financing transactions and capital structure. As of October 1, 2022, approximately 49% of the Company’s debt bears interest at a fixed rate and 51% of the Company’s debt bears interest at variable rates. Therefore, a hypothetical 1.0% (100 basis points) increase in interest rates would result in a $3.0 million decrease in income before income taxes in the Company’s consolidated statement of operations for the first quarter of fiscal 2023.</w:t>
      </w:r>
    </w:p>
    <w:p>
      <w:pPr>
        <w:spacing w:after="0" w:line="188" w:lineRule="exact"/>
        <w:rPr>
          <w:sz w:val="20"/>
          <w:szCs w:val="20"/>
          <w:color w:val="auto"/>
        </w:rPr>
      </w:pPr>
    </w:p>
    <w:p>
      <w:pPr>
        <w:ind w:left="60"/>
        <w:spacing w:after="0"/>
        <w:tabs>
          <w:tab w:leader="none" w:pos="10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i w:val="1"/>
          <w:iCs w:val="1"/>
          <w:color w:val="auto"/>
        </w:rPr>
        <w:t>Controls and Procedures</w:t>
      </w:r>
    </w:p>
    <w:p>
      <w:pPr>
        <w:spacing w:after="0" w:line="229" w:lineRule="exact"/>
        <w:rPr>
          <w:sz w:val="20"/>
          <w:szCs w:val="20"/>
          <w:color w:val="auto"/>
        </w:rPr>
      </w:pPr>
    </w:p>
    <w:p>
      <w:pPr>
        <w:ind w:left="60" w:right="99" w:firstLine="432"/>
        <w:spacing w:after="0" w:line="269" w:lineRule="auto"/>
        <w:rPr>
          <w:sz w:val="20"/>
          <w:szCs w:val="20"/>
          <w:color w:val="auto"/>
        </w:rPr>
      </w:pPr>
      <w:r>
        <w:rPr>
          <w:rFonts w:ascii="Arial" w:cs="Arial" w:eastAsia="Arial" w:hAnsi="Arial"/>
          <w:sz w:val="17"/>
          <w:szCs w:val="17"/>
          <w:color w:val="auto"/>
        </w:rPr>
        <w:t>The Company’s management, including its Chief Executive Officer and Chief Financial Officer, have evaluated the effectiveness of the Company’s disclosure controls and procedures (as such term is defined in Rules 13a-15(e) and 15d-15(e) under the Securities Exchange Act of 1934 (the “Exchange Act”)) as of the end of the reporting period covered by this Quarterly Report on Form 10-Q. Based on such evaluation, the Chief Executive Officer and Chief Financial Officer have concluded that, as of the end of the period covered by this Quarterly Report on Form 10-Q, the Company’s disclosure controls and procedures are effective such that material information required to be disclosed by the Company in the reports that it files or submits under the Exchange Act is recorded, processed, summarized and reported, within the time periods specified by the Securities and Exchange Commission’s rules and forms and is accumulated and communicated to management, including the Company’s principal executive officer and principal financial officer, as appropriate, to allow timely decisions regarding required disclosure.</w:t>
      </w:r>
    </w:p>
    <w:p>
      <w:pPr>
        <w:spacing w:after="0" w:line="185" w:lineRule="exact"/>
        <w:rPr>
          <w:sz w:val="20"/>
          <w:szCs w:val="20"/>
          <w:color w:val="auto"/>
        </w:rPr>
      </w:pPr>
    </w:p>
    <w:p>
      <w:pPr>
        <w:ind w:left="60" w:right="59" w:firstLine="432"/>
        <w:spacing w:after="0" w:line="263" w:lineRule="auto"/>
        <w:rPr>
          <w:sz w:val="20"/>
          <w:szCs w:val="20"/>
          <w:color w:val="auto"/>
        </w:rPr>
      </w:pPr>
      <w:r>
        <w:rPr>
          <w:rFonts w:ascii="Arial" w:cs="Arial" w:eastAsia="Arial" w:hAnsi="Arial"/>
          <w:sz w:val="18"/>
          <w:szCs w:val="18"/>
          <w:color w:val="auto"/>
        </w:rPr>
        <w:t>During the first quarter of fiscal 2023, there were no changes to the Company’s internal control over financial reporting (as defined in Rules 13a-15(f) and 15d-15(f) of the Exchange Act) that have materially affected, or are reasonably likely to materially affect, the Company’s internal control over financial reporting.</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OTHER INFORMATION</w:t>
      </w:r>
    </w:p>
    <w:p>
      <w:pPr>
        <w:spacing w:after="0" w:line="225" w:lineRule="exact"/>
        <w:rPr>
          <w:sz w:val="20"/>
          <w:szCs w:val="20"/>
          <w:color w:val="auto"/>
        </w:rPr>
      </w:pPr>
    </w:p>
    <w:p>
      <w:pPr>
        <w:ind w:left="60"/>
        <w:spacing w:after="0"/>
        <w:tabs>
          <w:tab w:leader="none" w:pos="10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i w:val="1"/>
          <w:iCs w:val="1"/>
          <w:color w:val="auto"/>
        </w:rPr>
        <w:t>Legal Proceedings</w:t>
      </w:r>
    </w:p>
    <w:p>
      <w:pPr>
        <w:spacing w:after="0" w:line="229" w:lineRule="exact"/>
        <w:rPr>
          <w:sz w:val="20"/>
          <w:szCs w:val="20"/>
          <w:color w:val="auto"/>
        </w:rPr>
      </w:pPr>
    </w:p>
    <w:p>
      <w:pPr>
        <w:ind w:left="60" w:right="239" w:firstLine="432"/>
        <w:spacing w:after="0" w:line="273" w:lineRule="auto"/>
        <w:rPr>
          <w:sz w:val="20"/>
          <w:szCs w:val="20"/>
          <w:color w:val="auto"/>
        </w:rPr>
      </w:pPr>
      <w:r>
        <w:rPr>
          <w:rFonts w:ascii="Arial" w:cs="Arial" w:eastAsia="Arial" w:hAnsi="Arial"/>
          <w:sz w:val="17"/>
          <w:szCs w:val="17"/>
          <w:color w:val="auto"/>
        </w:rPr>
        <w:t>Pursuant to SEC regulations, including but not limited to Item 103 of Regulation S-K, the Company regularly assesses the status of and developments in pending environmental and other legal proceedings to determine whether any such proceedings should be identified specifically in this discussion of legal proceedings, and has concluded that no particular pending legal proceeding requires public disclosure. Based on the information known to date, management believes that the Company has appropriately accrued in its consolidated financial statements for its share of the estimable costs of environmental and other legal proceedings.</w:t>
      </w:r>
    </w:p>
    <w:p>
      <w:pPr>
        <w:spacing w:after="0" w:line="178" w:lineRule="exact"/>
        <w:rPr>
          <w:sz w:val="20"/>
          <w:szCs w:val="20"/>
          <w:color w:val="auto"/>
        </w:rPr>
      </w:pPr>
    </w:p>
    <w:p>
      <w:pPr>
        <w:jc w:val="both"/>
        <w:ind w:left="60" w:right="299" w:firstLine="432"/>
        <w:spacing w:after="0" w:line="301" w:lineRule="auto"/>
        <w:rPr>
          <w:sz w:val="20"/>
          <w:szCs w:val="20"/>
          <w:color w:val="auto"/>
        </w:rPr>
      </w:pPr>
      <w:r>
        <w:rPr>
          <w:rFonts w:ascii="Arial" w:cs="Arial" w:eastAsia="Arial" w:hAnsi="Arial"/>
          <w:sz w:val="16"/>
          <w:szCs w:val="16"/>
          <w:color w:val="auto"/>
        </w:rPr>
        <w:t>The Company is also currently subject to various pending and potential legal matters and investigations relating to compliance with governmental laws and regulations, including import/export and environmental matters. The Company currently believes that the resolution of such matters will not have a material adverse effect on the Company’s financial position or liquidity, but could possibly be material to its results of operations in any single reporting period.</w:t>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44" w:right="1440" w:bottom="1440" w:gutter="0" w:footer="0" w:header="0"/>
        </w:sectPr>
      </w:pPr>
    </w:p>
    <w:bookmarkStart w:id="24" w:name="page25"/>
    <w:bookmarkEnd w:id="2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60"/>
        <w:spacing w:after="0"/>
        <w:tabs>
          <w:tab w:leader="none" w:pos="100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i w:val="1"/>
          <w:iCs w:val="1"/>
          <w:color w:val="auto"/>
        </w:rPr>
        <w:t>Risk Factors</w:t>
      </w:r>
    </w:p>
    <w:p>
      <w:pPr>
        <w:spacing w:after="0" w:line="229" w:lineRule="exact"/>
        <w:rPr>
          <w:sz w:val="20"/>
          <w:szCs w:val="20"/>
          <w:color w:val="auto"/>
        </w:rPr>
      </w:pPr>
    </w:p>
    <w:p>
      <w:pPr>
        <w:ind w:left="60" w:right="99" w:firstLine="432"/>
        <w:spacing w:after="0" w:line="273" w:lineRule="auto"/>
        <w:rPr>
          <w:sz w:val="20"/>
          <w:szCs w:val="20"/>
          <w:color w:val="auto"/>
        </w:rPr>
      </w:pPr>
      <w:r>
        <w:rPr>
          <w:rFonts w:ascii="Arial" w:cs="Arial" w:eastAsia="Arial" w:hAnsi="Arial"/>
          <w:sz w:val="17"/>
          <w:szCs w:val="17"/>
          <w:color w:val="auto"/>
        </w:rPr>
        <w:t>The discussion of the Company’s business and operations should be read together with the risk factors contained in Item 1A of its Annual Report on Form 10-K for the fiscal year ended July 2, 2022, which describe various risks and uncertainties to which the Company is or may become subject. These risks and uncertainties have the potential to affect the Company’s business, financial condition, results of operations, cash flows, strategies or prospects in a material and adverse manner. As of October 1, 2022, there have been no material changes to the risk factors set forth in the Company’s Annual Report on Form 10-K for the fiscal year ended July 2, 2022.</w:t>
      </w:r>
    </w:p>
    <w:p>
      <w:pPr>
        <w:spacing w:after="0" w:line="174" w:lineRule="exact"/>
        <w:rPr>
          <w:sz w:val="20"/>
          <w:szCs w:val="20"/>
          <w:color w:val="auto"/>
        </w:rPr>
      </w:pPr>
    </w:p>
    <w:p>
      <w:pPr>
        <w:ind w:left="60"/>
        <w:spacing w:after="0"/>
        <w:tabs>
          <w:tab w:leader="none" w:pos="10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i w:val="1"/>
          <w:iCs w:val="1"/>
          <w:color w:val="auto"/>
        </w:rPr>
        <w:t>Unregistered Sales of Equity Securities and Use of Proceeds</w:t>
      </w:r>
    </w:p>
    <w:p>
      <w:pPr>
        <w:spacing w:after="0" w:line="229" w:lineRule="exact"/>
        <w:rPr>
          <w:sz w:val="20"/>
          <w:szCs w:val="20"/>
          <w:color w:val="auto"/>
        </w:rPr>
      </w:pPr>
    </w:p>
    <w:p>
      <w:pPr>
        <w:ind w:left="60" w:right="139" w:firstLine="432"/>
        <w:spacing w:after="0" w:line="275" w:lineRule="auto"/>
        <w:rPr>
          <w:sz w:val="20"/>
          <w:szCs w:val="20"/>
          <w:color w:val="auto"/>
        </w:rPr>
      </w:pPr>
      <w:r>
        <w:rPr>
          <w:rFonts w:ascii="Arial" w:cs="Arial" w:eastAsia="Arial" w:hAnsi="Arial"/>
          <w:sz w:val="17"/>
          <w:szCs w:val="17"/>
          <w:color w:val="auto"/>
        </w:rPr>
        <w:t>In May 2022, the Company’s Board of Directors approved a new share repurchase plan with an authorization to repurchase up to an aggregate of $600 million of common stock. The authorization amount includes the amount remaining under the previous share repurchase plan approved in August 2011, as last amended in August 2019. The following table includes the Company’s monthly purchases of the Company’s common stock during the first quarter of fiscal 2023, under the share repurchase program, which is part of a publicly announced plan.</w:t>
      </w:r>
    </w:p>
    <w:p>
      <w:pPr>
        <w:spacing w:after="0" w:line="186"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3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0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2"/>
              </w:rPr>
              <w:t>Total Number of</w:t>
            </w:r>
          </w:p>
        </w:tc>
        <w:tc>
          <w:tcPr>
            <w:tcW w:w="1800" w:type="dxa"/>
            <w:vAlign w:val="bottom"/>
            <w:gridSpan w:val="3"/>
          </w:tcPr>
          <w:p>
            <w:pPr>
              <w:jc w:val="center"/>
              <w:ind w:right="60"/>
              <w:spacing w:after="0"/>
              <w:rPr>
                <w:sz w:val="20"/>
                <w:szCs w:val="20"/>
                <w:color w:val="auto"/>
              </w:rPr>
            </w:pPr>
            <w:r>
              <w:rPr>
                <w:rFonts w:ascii="Arial" w:cs="Arial" w:eastAsia="Arial" w:hAnsi="Arial"/>
                <w:sz w:val="18"/>
                <w:szCs w:val="18"/>
                <w:b w:val="1"/>
                <w:bCs w:val="1"/>
                <w:color w:val="auto"/>
                <w:w w:val="92"/>
              </w:rPr>
              <w:t>Approximate Dollar</w:t>
            </w:r>
          </w:p>
        </w:tc>
      </w:tr>
      <w:tr>
        <w:trPr>
          <w:trHeight w:val="216"/>
        </w:trPr>
        <w:tc>
          <w:tcPr>
            <w:tcW w:w="3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2"/>
              </w:rPr>
              <w:t>Total</w:t>
            </w:r>
          </w:p>
        </w:tc>
        <w:tc>
          <w:tcPr>
            <w:tcW w:w="840" w:type="dxa"/>
            <w:vAlign w:val="bottom"/>
            <w:gridSpan w:val="3"/>
          </w:tcPr>
          <w:p>
            <w:pPr>
              <w:ind w:left="20"/>
              <w:spacing w:after="0"/>
              <w:rPr>
                <w:sz w:val="20"/>
                <w:szCs w:val="20"/>
                <w:color w:val="auto"/>
              </w:rPr>
            </w:pPr>
            <w:r>
              <w:rPr>
                <w:rFonts w:ascii="Arial" w:cs="Arial" w:eastAsia="Arial" w:hAnsi="Arial"/>
                <w:sz w:val="18"/>
                <w:szCs w:val="18"/>
                <w:b w:val="1"/>
                <w:bCs w:val="1"/>
                <w:color w:val="auto"/>
              </w:rPr>
              <w:t>Average</w:t>
            </w:r>
          </w:p>
        </w:tc>
        <w:tc>
          <w:tcPr>
            <w:tcW w:w="170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6"/>
              </w:rPr>
              <w:t>Shares Purchased</w:t>
            </w:r>
          </w:p>
        </w:tc>
        <w:tc>
          <w:tcPr>
            <w:tcW w:w="1800" w:type="dxa"/>
            <w:vAlign w:val="bottom"/>
            <w:gridSpan w:val="3"/>
          </w:tcPr>
          <w:p>
            <w:pPr>
              <w:jc w:val="center"/>
              <w:ind w:right="40"/>
              <w:spacing w:after="0"/>
              <w:rPr>
                <w:sz w:val="20"/>
                <w:szCs w:val="20"/>
                <w:color w:val="auto"/>
              </w:rPr>
            </w:pPr>
            <w:r>
              <w:rPr>
                <w:rFonts w:ascii="Arial" w:cs="Arial" w:eastAsia="Arial" w:hAnsi="Arial"/>
                <w:sz w:val="18"/>
                <w:szCs w:val="18"/>
                <w:b w:val="1"/>
                <w:bCs w:val="1"/>
                <w:color w:val="auto"/>
                <w:w w:val="89"/>
              </w:rPr>
              <w:t>Value of Shares That</w:t>
            </w:r>
          </w:p>
        </w:tc>
      </w:tr>
      <w:tr>
        <w:trPr>
          <w:trHeight w:val="216"/>
        </w:trPr>
        <w:tc>
          <w:tcPr>
            <w:tcW w:w="3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4"/>
              </w:rPr>
              <w:t>Number</w:t>
            </w:r>
          </w:p>
        </w:tc>
        <w:tc>
          <w:tcPr>
            <w:tcW w:w="100" w:type="dxa"/>
            <w:vAlign w:val="bottom"/>
          </w:tcPr>
          <w:p>
            <w:pPr>
              <w:spacing w:after="0"/>
              <w:rPr>
                <w:sz w:val="18"/>
                <w:szCs w:val="18"/>
                <w:color w:val="auto"/>
              </w:rPr>
            </w:pPr>
          </w:p>
        </w:tc>
        <w:tc>
          <w:tcPr>
            <w:tcW w:w="740" w:type="dxa"/>
            <w:vAlign w:val="bottom"/>
            <w:gridSpan w:val="2"/>
          </w:tcPr>
          <w:p>
            <w:pPr>
              <w:ind w:left="20"/>
              <w:spacing w:after="0"/>
              <w:rPr>
                <w:sz w:val="20"/>
                <w:szCs w:val="20"/>
                <w:color w:val="auto"/>
              </w:rPr>
            </w:pPr>
            <w:r>
              <w:rPr>
                <w:rFonts w:ascii="Arial" w:cs="Arial" w:eastAsia="Arial" w:hAnsi="Arial"/>
                <w:sz w:val="18"/>
                <w:szCs w:val="18"/>
                <w:b w:val="1"/>
                <w:bCs w:val="1"/>
                <w:color w:val="auto"/>
              </w:rPr>
              <w:t>Price</w:t>
            </w:r>
          </w:p>
        </w:tc>
        <w:tc>
          <w:tcPr>
            <w:tcW w:w="170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9"/>
              </w:rPr>
              <w:t>as Part of Publicly</w:t>
            </w:r>
          </w:p>
        </w:tc>
        <w:tc>
          <w:tcPr>
            <w:tcW w:w="100" w:type="dxa"/>
            <w:vAlign w:val="bottom"/>
          </w:tcPr>
          <w:p>
            <w:pPr>
              <w:spacing w:after="0"/>
              <w:rPr>
                <w:sz w:val="18"/>
                <w:szCs w:val="18"/>
                <w:color w:val="auto"/>
              </w:rPr>
            </w:pPr>
          </w:p>
        </w:tc>
        <w:tc>
          <w:tcPr>
            <w:tcW w:w="170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1"/>
              </w:rPr>
              <w:t>May Yet Be</w:t>
            </w:r>
          </w:p>
        </w:tc>
      </w:tr>
      <w:tr>
        <w:trPr>
          <w:trHeight w:val="216"/>
        </w:trPr>
        <w:tc>
          <w:tcPr>
            <w:tcW w:w="3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7"/>
              </w:rPr>
              <w:t>of Shares</w:t>
            </w:r>
          </w:p>
        </w:tc>
        <w:tc>
          <w:tcPr>
            <w:tcW w:w="840" w:type="dxa"/>
            <w:vAlign w:val="bottom"/>
            <w:gridSpan w:val="3"/>
          </w:tcPr>
          <w:p>
            <w:pPr>
              <w:spacing w:after="0"/>
              <w:rPr>
                <w:sz w:val="20"/>
                <w:szCs w:val="20"/>
                <w:color w:val="auto"/>
              </w:rPr>
            </w:pPr>
            <w:r>
              <w:rPr>
                <w:rFonts w:ascii="Arial" w:cs="Arial" w:eastAsia="Arial" w:hAnsi="Arial"/>
                <w:sz w:val="18"/>
                <w:szCs w:val="18"/>
                <w:b w:val="1"/>
                <w:bCs w:val="1"/>
                <w:color w:val="auto"/>
              </w:rPr>
              <w:t>Paid per</w:t>
            </w:r>
          </w:p>
        </w:tc>
        <w:tc>
          <w:tcPr>
            <w:tcW w:w="17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8"/>
              </w:rPr>
              <w:t>Announced Plans</w:t>
            </w:r>
          </w:p>
        </w:tc>
        <w:tc>
          <w:tcPr>
            <w:tcW w:w="100" w:type="dxa"/>
            <w:vAlign w:val="bottom"/>
          </w:tcPr>
          <w:p>
            <w:pPr>
              <w:spacing w:after="0"/>
              <w:rPr>
                <w:sz w:val="18"/>
                <w:szCs w:val="18"/>
                <w:color w:val="auto"/>
              </w:rPr>
            </w:pPr>
          </w:p>
        </w:tc>
        <w:tc>
          <w:tcPr>
            <w:tcW w:w="1700" w:type="dxa"/>
            <w:vAlign w:val="bottom"/>
            <w:gridSpan w:val="2"/>
          </w:tcPr>
          <w:p>
            <w:pPr>
              <w:spacing w:after="0"/>
              <w:rPr>
                <w:sz w:val="20"/>
                <w:szCs w:val="20"/>
                <w:color w:val="auto"/>
              </w:rPr>
            </w:pPr>
            <w:r>
              <w:rPr>
                <w:rFonts w:ascii="Arial" w:cs="Arial" w:eastAsia="Arial" w:hAnsi="Arial"/>
                <w:sz w:val="18"/>
                <w:szCs w:val="18"/>
                <w:b w:val="1"/>
                <w:bCs w:val="1"/>
                <w:color w:val="auto"/>
                <w:w w:val="93"/>
              </w:rPr>
              <w:t>Purchased under the</w:t>
            </w:r>
          </w:p>
        </w:tc>
      </w:tr>
      <w:tr>
        <w:trPr>
          <w:trHeight w:val="241"/>
        </w:trPr>
        <w:tc>
          <w:tcPr>
            <w:tcW w:w="3540" w:type="dxa"/>
            <w:vAlign w:val="bottom"/>
            <w:gridSpan w:val="2"/>
          </w:tcPr>
          <w:p>
            <w:pPr>
              <w:ind w:left="20"/>
              <w:spacing w:after="0"/>
              <w:rPr>
                <w:sz w:val="20"/>
                <w:szCs w:val="20"/>
                <w:color w:val="auto"/>
              </w:rPr>
            </w:pPr>
            <w:r>
              <w:rPr>
                <w:rFonts w:ascii="Arial" w:cs="Arial" w:eastAsia="Arial" w:hAnsi="Arial"/>
                <w:sz w:val="18"/>
                <w:szCs w:val="18"/>
                <w:b w:val="1"/>
                <w:bCs w:val="1"/>
                <w:color w:val="auto"/>
              </w:rPr>
              <w:t>Period</w:t>
            </w:r>
          </w:p>
        </w:tc>
        <w:tc>
          <w:tcPr>
            <w:tcW w:w="102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6"/>
              </w:rPr>
              <w:t>Purchased</w:t>
            </w:r>
          </w:p>
        </w:tc>
        <w:tc>
          <w:tcPr>
            <w:tcW w:w="100" w:type="dxa"/>
            <w:vAlign w:val="bottom"/>
          </w:tcPr>
          <w:p>
            <w:pPr>
              <w:spacing w:after="0"/>
              <w:rPr>
                <w:sz w:val="20"/>
                <w:szCs w:val="20"/>
                <w:color w:val="auto"/>
              </w:rPr>
            </w:pPr>
          </w:p>
        </w:tc>
        <w:tc>
          <w:tcPr>
            <w:tcW w:w="740" w:type="dxa"/>
            <w:vAlign w:val="bottom"/>
            <w:gridSpan w:val="2"/>
          </w:tcPr>
          <w:p>
            <w:pPr>
              <w:spacing w:after="0"/>
              <w:rPr>
                <w:sz w:val="20"/>
                <w:szCs w:val="20"/>
                <w:color w:val="auto"/>
              </w:rPr>
            </w:pPr>
            <w:r>
              <w:rPr>
                <w:rFonts w:ascii="Arial" w:cs="Arial" w:eastAsia="Arial" w:hAnsi="Arial"/>
                <w:sz w:val="18"/>
                <w:szCs w:val="18"/>
                <w:b w:val="1"/>
                <w:bCs w:val="1"/>
                <w:color w:val="auto"/>
              </w:rPr>
              <w:t>Share</w:t>
            </w:r>
          </w:p>
        </w:tc>
        <w:tc>
          <w:tcPr>
            <w:tcW w:w="170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9"/>
              </w:rPr>
              <w:t>or Programs</w:t>
            </w:r>
          </w:p>
        </w:tc>
        <w:tc>
          <w:tcPr>
            <w:tcW w:w="100" w:type="dxa"/>
            <w:vAlign w:val="bottom"/>
          </w:tcPr>
          <w:p>
            <w:pPr>
              <w:spacing w:after="0"/>
              <w:rPr>
                <w:sz w:val="20"/>
                <w:szCs w:val="20"/>
                <w:color w:val="auto"/>
              </w:rPr>
            </w:pPr>
          </w:p>
        </w:tc>
        <w:tc>
          <w:tcPr>
            <w:tcW w:w="17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8"/>
              </w:rPr>
              <w:t>Plans or Programs</w:t>
            </w:r>
          </w:p>
        </w:tc>
      </w:tr>
      <w:tr>
        <w:trPr>
          <w:trHeight w:val="216"/>
        </w:trPr>
        <w:tc>
          <w:tcPr>
            <w:tcW w:w="33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July 3 – July 30</w:t>
            </w:r>
          </w:p>
        </w:tc>
        <w:tc>
          <w:tcPr>
            <w:tcW w:w="18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1,177,103</w:t>
            </w: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43.94</w:t>
            </w:r>
          </w:p>
        </w:tc>
        <w:tc>
          <w:tcPr>
            <w:tcW w:w="200" w:type="dxa"/>
            <w:vAlign w:val="bottom"/>
            <w:tcBorders>
              <w:top w:val="single" w:sz="8" w:color="CCEEFF"/>
            </w:tcBorders>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1,177,103</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479,569,000</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3540" w:type="dxa"/>
            <w:vAlign w:val="bottom"/>
            <w:gridSpan w:val="2"/>
          </w:tcPr>
          <w:p>
            <w:pPr>
              <w:ind w:left="20"/>
              <w:spacing w:after="0"/>
              <w:rPr>
                <w:sz w:val="20"/>
                <w:szCs w:val="20"/>
                <w:color w:val="auto"/>
              </w:rPr>
            </w:pPr>
            <w:r>
              <w:rPr>
                <w:rFonts w:ascii="Arial" w:cs="Arial" w:eastAsia="Arial" w:hAnsi="Arial"/>
                <w:sz w:val="18"/>
                <w:szCs w:val="18"/>
                <w:color w:val="auto"/>
              </w:rPr>
              <w:t>July 31 – August 27</w:t>
            </w:r>
          </w:p>
        </w:tc>
        <w:tc>
          <w:tcPr>
            <w:tcW w:w="820" w:type="dxa"/>
            <w:vAlign w:val="bottom"/>
          </w:tcPr>
          <w:p>
            <w:pPr>
              <w:jc w:val="center"/>
              <w:spacing w:after="0"/>
              <w:rPr>
                <w:sz w:val="20"/>
                <w:szCs w:val="20"/>
                <w:color w:val="auto"/>
              </w:rPr>
            </w:pPr>
            <w:r>
              <w:rPr>
                <w:rFonts w:ascii="Arial" w:cs="Arial" w:eastAsia="Arial" w:hAnsi="Arial"/>
                <w:sz w:val="18"/>
                <w:szCs w:val="18"/>
                <w:color w:val="auto"/>
                <w:w w:val="89"/>
              </w:rPr>
              <w:t>1,145,699</w:t>
            </w:r>
          </w:p>
        </w:tc>
        <w:tc>
          <w:tcPr>
            <w:tcW w:w="20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45.56</w:t>
            </w:r>
          </w:p>
        </w:tc>
        <w:tc>
          <w:tcPr>
            <w:tcW w:w="20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1,145,699</w:t>
            </w:r>
          </w:p>
        </w:tc>
        <w:tc>
          <w:tcPr>
            <w:tcW w:w="1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427,368,000</w:t>
            </w:r>
          </w:p>
        </w:tc>
        <w:tc>
          <w:tcPr>
            <w:tcW w:w="60" w:type="dxa"/>
            <w:vAlign w:val="bottom"/>
          </w:tcPr>
          <w:p>
            <w:pPr>
              <w:spacing w:after="0"/>
              <w:rPr>
                <w:sz w:val="18"/>
                <w:szCs w:val="18"/>
                <w:color w:val="auto"/>
              </w:rPr>
            </w:pPr>
          </w:p>
        </w:tc>
      </w:tr>
      <w:tr>
        <w:trPr>
          <w:trHeight w:val="216"/>
        </w:trPr>
        <w:tc>
          <w:tcPr>
            <w:tcW w:w="35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August 28 – October 1</w:t>
            </w:r>
          </w:p>
        </w:tc>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1,121,937</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39.20</w:t>
            </w:r>
          </w:p>
        </w:tc>
        <w:tc>
          <w:tcPr>
            <w:tcW w:w="20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1,121,937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383,384,000</w:t>
            </w:r>
          </w:p>
        </w:tc>
        <w:tc>
          <w:tcPr>
            <w:tcW w:w="60" w:type="dxa"/>
            <w:vAlign w:val="bottom"/>
            <w:shd w:val="clear" w:color="auto" w:fill="CCEEFF"/>
          </w:tcPr>
          <w:p>
            <w:pPr>
              <w:spacing w:after="0"/>
              <w:rPr>
                <w:sz w:val="18"/>
                <w:szCs w:val="18"/>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44" w:right="1440" w:bottom="1440" w:gutter="0" w:footer="0" w:header="0"/>
        </w:sectPr>
      </w:pPr>
    </w:p>
    <w:bookmarkStart w:id="25" w:name="page26"/>
    <w:bookmarkEnd w:id="2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60"/>
        <w:spacing w:after="0"/>
        <w:tabs>
          <w:tab w:leader="none" w:pos="10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5"/>
          <w:szCs w:val="15"/>
          <w:b w:val="1"/>
          <w:bCs w:val="1"/>
          <w:i w:val="1"/>
          <w:iCs w:val="1"/>
          <w:color w:val="auto"/>
        </w:rPr>
        <w:t>Exhibits</w:t>
      </w:r>
    </w:p>
    <w:p>
      <w:pPr>
        <w:spacing w:after="0" w:line="225"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13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3"/>
              </w:rPr>
              <w:t>Exhibit</w:t>
            </w:r>
          </w:p>
        </w:tc>
        <w:tc>
          <w:tcPr>
            <w:tcW w:w="4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3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43"/>
        </w:trPr>
        <w:tc>
          <w:tcPr>
            <w:tcW w:w="13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4"/>
              </w:rPr>
              <w:t>Number</w:t>
            </w:r>
          </w:p>
        </w:tc>
        <w:tc>
          <w:tcPr>
            <w:tcW w:w="40" w:type="dxa"/>
            <w:vAlign w:val="bottom"/>
          </w:tcPr>
          <w:p>
            <w:pPr>
              <w:spacing w:after="0"/>
              <w:rPr>
                <w:sz w:val="21"/>
                <w:szCs w:val="21"/>
                <w:color w:val="auto"/>
              </w:rPr>
            </w:pPr>
          </w:p>
        </w:tc>
        <w:tc>
          <w:tcPr>
            <w:tcW w:w="7540" w:type="dxa"/>
            <w:vAlign w:val="bottom"/>
            <w:gridSpan w:val="8"/>
          </w:tcPr>
          <w:p>
            <w:pPr>
              <w:spacing w:after="0"/>
              <w:rPr>
                <w:sz w:val="20"/>
                <w:szCs w:val="20"/>
                <w:color w:val="auto"/>
              </w:rPr>
            </w:pPr>
            <w:r>
              <w:rPr>
                <w:rFonts w:ascii="Arial" w:cs="Arial" w:eastAsia="Arial" w:hAnsi="Arial"/>
                <w:sz w:val="18"/>
                <w:szCs w:val="18"/>
                <w:b w:val="1"/>
                <w:bCs w:val="1"/>
                <w:color w:val="auto"/>
              </w:rPr>
              <w:t>Exhibit</w:t>
            </w:r>
          </w:p>
        </w:tc>
      </w:tr>
      <w:tr>
        <w:trPr>
          <w:trHeight w:val="27"/>
        </w:trPr>
        <w:tc>
          <w:tcPr>
            <w:tcW w:w="108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8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3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r>
      <w:tr>
        <w:trPr>
          <w:trHeight w:val="398"/>
        </w:trPr>
        <w:tc>
          <w:tcPr>
            <w:tcW w:w="1080" w:type="dxa"/>
            <w:vAlign w:val="bottom"/>
          </w:tcPr>
          <w:p>
            <w:pPr>
              <w:jc w:val="right"/>
              <w:spacing w:after="0"/>
              <w:rPr>
                <w:sz w:val="20"/>
                <w:szCs w:val="20"/>
                <w:color w:val="auto"/>
              </w:rPr>
            </w:pPr>
            <w:r>
              <w:rPr>
                <w:rFonts w:ascii="Arial" w:cs="Arial" w:eastAsia="Arial" w:hAnsi="Arial"/>
                <w:sz w:val="18"/>
                <w:szCs w:val="18"/>
                <w:color w:val="auto"/>
              </w:rPr>
              <w:t>10.1</w:t>
            </w: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540" w:type="dxa"/>
            <w:vAlign w:val="bottom"/>
            <w:gridSpan w:val="8"/>
          </w:tcPr>
          <w:p>
            <w:pPr>
              <w:spacing w:after="0"/>
              <w:rPr>
                <w:rFonts w:ascii="Arial" w:cs="Arial" w:eastAsia="Arial" w:hAnsi="Arial"/>
                <w:sz w:val="18"/>
                <w:szCs w:val="18"/>
                <w:color w:val="0000EE"/>
                <w:w w:val="97"/>
              </w:rPr>
            </w:pPr>
            <w:hyperlink r:id="rId46">
              <w:r>
                <w:rPr>
                  <w:rFonts w:ascii="Arial" w:cs="Arial" w:eastAsia="Arial" w:hAnsi="Arial"/>
                  <w:sz w:val="18"/>
                  <w:szCs w:val="18"/>
                  <w:color w:val="0000EE"/>
                  <w:w w:val="97"/>
                </w:rPr>
                <w:t>Letter Agreement between the Company and Kenneth Jacobson as Chief Financial Officer dated</w:t>
              </w:r>
            </w:hyperlink>
          </w:p>
        </w:tc>
      </w:tr>
      <w:tr>
        <w:trPr>
          <w:trHeight w:val="20"/>
        </w:trPr>
        <w:tc>
          <w:tcPr>
            <w:tcW w:w="10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3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480" w:type="dxa"/>
            <w:vAlign w:val="bottom"/>
            <w:tcBorders>
              <w:bottom w:val="single" w:sz="8" w:color="0000EE"/>
            </w:tcBorders>
            <w:gridSpan w:val="6"/>
          </w:tcPr>
          <w:p>
            <w:pPr>
              <w:spacing w:after="0" w:line="196" w:lineRule="exact"/>
              <w:rPr>
                <w:rFonts w:ascii="Arial" w:cs="Arial" w:eastAsia="Arial" w:hAnsi="Arial"/>
                <w:sz w:val="18"/>
                <w:szCs w:val="18"/>
                <w:color w:val="0000EE"/>
                <w:w w:val="91"/>
              </w:rPr>
            </w:pPr>
            <w:hyperlink r:id="rId46">
              <w:r>
                <w:rPr>
                  <w:rFonts w:ascii="Arial" w:cs="Arial" w:eastAsia="Arial" w:hAnsi="Arial"/>
                  <w:sz w:val="18"/>
                  <w:szCs w:val="18"/>
                  <w:color w:val="0000EE"/>
                  <w:w w:val="91"/>
                </w:rPr>
                <w:t>August 30, 2022 (incorporated herein by reference to Exhibit 10.2 to the Company’s Current Report on</w:t>
              </w:r>
            </w:hyperlink>
          </w:p>
        </w:tc>
        <w:tc>
          <w:tcPr>
            <w:tcW w:w="60" w:type="dxa"/>
            <w:vAlign w:val="bottom"/>
            <w:gridSpan w:val="2"/>
          </w:tcPr>
          <w:p>
            <w:pPr>
              <w:spacing w:after="0"/>
              <w:rPr>
                <w:sz w:val="17"/>
                <w:szCs w:val="17"/>
                <w:color w:val="auto"/>
              </w:rPr>
            </w:pPr>
          </w:p>
        </w:tc>
      </w:tr>
      <w:tr>
        <w:trPr>
          <w:trHeight w:val="196"/>
        </w:trPr>
        <w:tc>
          <w:tcPr>
            <w:tcW w:w="1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20" w:type="dxa"/>
            <w:vAlign w:val="bottom"/>
            <w:tcBorders>
              <w:bottom w:val="single" w:sz="8" w:color="0000EE"/>
            </w:tcBorders>
            <w:gridSpan w:val="2"/>
          </w:tcPr>
          <w:p>
            <w:pPr>
              <w:spacing w:after="0" w:line="196" w:lineRule="exact"/>
              <w:rPr>
                <w:rFonts w:ascii="Arial" w:cs="Arial" w:eastAsia="Arial" w:hAnsi="Arial"/>
                <w:sz w:val="18"/>
                <w:szCs w:val="18"/>
                <w:color w:val="0000EE"/>
                <w:w w:val="91"/>
              </w:rPr>
            </w:pPr>
            <w:hyperlink r:id="rId46">
              <w:r>
                <w:rPr>
                  <w:rFonts w:ascii="Arial" w:cs="Arial" w:eastAsia="Arial" w:hAnsi="Arial"/>
                  <w:sz w:val="18"/>
                  <w:szCs w:val="18"/>
                  <w:color w:val="0000EE"/>
                  <w:w w:val="91"/>
                </w:rPr>
                <w:t>Form 8-K filed on September 6, 2022).</w:t>
              </w:r>
            </w:hyperlink>
          </w:p>
        </w:tc>
        <w:tc>
          <w:tcPr>
            <w:tcW w:w="4720" w:type="dxa"/>
            <w:vAlign w:val="bottom"/>
            <w:gridSpan w:val="6"/>
          </w:tcPr>
          <w:p>
            <w:pPr>
              <w:spacing w:after="0"/>
              <w:rPr>
                <w:sz w:val="17"/>
                <w:szCs w:val="17"/>
                <w:color w:val="auto"/>
              </w:rPr>
            </w:pPr>
          </w:p>
        </w:tc>
      </w:tr>
      <w:tr>
        <w:trPr>
          <w:trHeight w:val="439"/>
        </w:trPr>
        <w:tc>
          <w:tcPr>
            <w:tcW w:w="1080" w:type="dxa"/>
            <w:vAlign w:val="bottom"/>
          </w:tcPr>
          <w:p>
            <w:pPr>
              <w:jc w:val="right"/>
              <w:spacing w:after="0"/>
              <w:rPr>
                <w:sz w:val="20"/>
                <w:szCs w:val="20"/>
                <w:color w:val="auto"/>
              </w:rPr>
            </w:pPr>
            <w:r>
              <w:rPr>
                <w:rFonts w:ascii="Arial" w:cs="Arial" w:eastAsia="Arial" w:hAnsi="Arial"/>
                <w:sz w:val="18"/>
                <w:szCs w:val="18"/>
                <w:color w:val="auto"/>
              </w:rPr>
              <w:t>10.2</w:t>
            </w: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500" w:type="dxa"/>
            <w:vAlign w:val="bottom"/>
            <w:tcBorders>
              <w:bottom w:val="single" w:sz="8" w:color="0000EE"/>
            </w:tcBorders>
            <w:gridSpan w:val="7"/>
          </w:tcPr>
          <w:p>
            <w:pPr>
              <w:spacing w:after="0"/>
              <w:rPr>
                <w:rFonts w:ascii="Arial" w:cs="Arial" w:eastAsia="Arial" w:hAnsi="Arial"/>
                <w:sz w:val="18"/>
                <w:szCs w:val="18"/>
                <w:color w:val="0000EE"/>
                <w:w w:val="90"/>
              </w:rPr>
            </w:pPr>
            <w:hyperlink r:id="rId47">
              <w:r>
                <w:rPr>
                  <w:rFonts w:ascii="Arial" w:cs="Arial" w:eastAsia="Arial" w:hAnsi="Arial"/>
                  <w:sz w:val="18"/>
                  <w:szCs w:val="18"/>
                  <w:color w:val="0000EE"/>
                  <w:w w:val="90"/>
                </w:rPr>
                <w:t>Second Amended and Restated Credit Agreement, dated as of August 2, 2022, among Avnet, Inc., each</w:t>
              </w:r>
            </w:hyperlink>
          </w:p>
        </w:tc>
        <w:tc>
          <w:tcPr>
            <w:tcW w:w="40" w:type="dxa"/>
            <w:vAlign w:val="bottom"/>
          </w:tcPr>
          <w:p>
            <w:pPr>
              <w:spacing w:after="0"/>
              <w:rPr>
                <w:sz w:val="24"/>
                <w:szCs w:val="24"/>
                <w:color w:val="auto"/>
              </w:rPr>
            </w:pPr>
          </w:p>
        </w:tc>
      </w:tr>
      <w:tr>
        <w:trPr>
          <w:trHeight w:val="196"/>
        </w:trPr>
        <w:tc>
          <w:tcPr>
            <w:tcW w:w="1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500" w:type="dxa"/>
            <w:vAlign w:val="bottom"/>
            <w:tcBorders>
              <w:bottom w:val="single" w:sz="8" w:color="0000EE"/>
            </w:tcBorders>
            <w:gridSpan w:val="7"/>
          </w:tcPr>
          <w:p>
            <w:pPr>
              <w:spacing w:after="0" w:line="196" w:lineRule="exact"/>
              <w:rPr>
                <w:rFonts w:ascii="Arial" w:cs="Arial" w:eastAsia="Arial" w:hAnsi="Arial"/>
                <w:sz w:val="18"/>
                <w:szCs w:val="18"/>
                <w:color w:val="0000EE"/>
                <w:w w:val="91"/>
              </w:rPr>
            </w:pPr>
            <w:hyperlink r:id="rId47">
              <w:r>
                <w:rPr>
                  <w:rFonts w:ascii="Arial" w:cs="Arial" w:eastAsia="Arial" w:hAnsi="Arial"/>
                  <w:sz w:val="18"/>
                  <w:szCs w:val="18"/>
                  <w:color w:val="0000EE"/>
                  <w:w w:val="91"/>
                </w:rPr>
                <w:t>subsidiary of the Company party thereto, Bank of America, N.A., as the administrative agent, and each</w:t>
              </w:r>
            </w:hyperlink>
          </w:p>
        </w:tc>
        <w:tc>
          <w:tcPr>
            <w:tcW w:w="40" w:type="dxa"/>
            <w:vAlign w:val="bottom"/>
          </w:tcPr>
          <w:p>
            <w:pPr>
              <w:spacing w:after="0"/>
              <w:rPr>
                <w:sz w:val="17"/>
                <w:szCs w:val="17"/>
                <w:color w:val="auto"/>
              </w:rPr>
            </w:pPr>
          </w:p>
        </w:tc>
      </w:tr>
      <w:tr>
        <w:trPr>
          <w:trHeight w:val="196"/>
        </w:trPr>
        <w:tc>
          <w:tcPr>
            <w:tcW w:w="1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480" w:type="dxa"/>
            <w:vAlign w:val="bottom"/>
            <w:tcBorders>
              <w:bottom w:val="single" w:sz="8" w:color="0000EE"/>
            </w:tcBorders>
            <w:gridSpan w:val="6"/>
          </w:tcPr>
          <w:p>
            <w:pPr>
              <w:spacing w:after="0" w:line="196" w:lineRule="exact"/>
              <w:rPr>
                <w:rFonts w:ascii="Arial" w:cs="Arial" w:eastAsia="Arial" w:hAnsi="Arial"/>
                <w:sz w:val="18"/>
                <w:szCs w:val="18"/>
                <w:color w:val="0000EE"/>
                <w:w w:val="91"/>
              </w:rPr>
            </w:pPr>
            <w:hyperlink r:id="rId47">
              <w:r>
                <w:rPr>
                  <w:rFonts w:ascii="Arial" w:cs="Arial" w:eastAsia="Arial" w:hAnsi="Arial"/>
                  <w:sz w:val="18"/>
                  <w:szCs w:val="18"/>
                  <w:color w:val="0000EE"/>
                  <w:w w:val="91"/>
                </w:rPr>
                <w:t>lender party thereto (incorporated herein by reference to Exhibit 10.1 to the Company’s Current Report</w:t>
              </w:r>
            </w:hyperlink>
          </w:p>
        </w:tc>
        <w:tc>
          <w:tcPr>
            <w:tcW w:w="60" w:type="dxa"/>
            <w:vAlign w:val="bottom"/>
            <w:gridSpan w:val="2"/>
          </w:tcPr>
          <w:p>
            <w:pPr>
              <w:spacing w:after="0"/>
              <w:rPr>
                <w:sz w:val="17"/>
                <w:szCs w:val="17"/>
                <w:color w:val="auto"/>
              </w:rPr>
            </w:pPr>
          </w:p>
        </w:tc>
      </w:tr>
      <w:tr>
        <w:trPr>
          <w:trHeight w:val="196"/>
        </w:trPr>
        <w:tc>
          <w:tcPr>
            <w:tcW w:w="1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0" w:type="dxa"/>
            <w:vAlign w:val="bottom"/>
            <w:tcBorders>
              <w:bottom w:val="single" w:sz="8" w:color="0000EE"/>
            </w:tcBorders>
          </w:tcPr>
          <w:p>
            <w:pPr>
              <w:spacing w:after="0" w:line="196" w:lineRule="exact"/>
              <w:rPr>
                <w:rFonts w:ascii="Arial" w:cs="Arial" w:eastAsia="Arial" w:hAnsi="Arial"/>
                <w:sz w:val="18"/>
                <w:szCs w:val="18"/>
                <w:color w:val="0000EE"/>
                <w:w w:val="92"/>
              </w:rPr>
            </w:pPr>
            <w:hyperlink r:id="rId47">
              <w:r>
                <w:rPr>
                  <w:rFonts w:ascii="Arial" w:cs="Arial" w:eastAsia="Arial" w:hAnsi="Arial"/>
                  <w:sz w:val="18"/>
                  <w:szCs w:val="18"/>
                  <w:color w:val="0000EE"/>
                  <w:w w:val="92"/>
                </w:rPr>
                <w:t>on Form 8-K filed on August 3, 2022).</w:t>
              </w:r>
            </w:hyperlink>
          </w:p>
        </w:tc>
        <w:tc>
          <w:tcPr>
            <w:tcW w:w="4740" w:type="dxa"/>
            <w:vAlign w:val="bottom"/>
            <w:gridSpan w:val="7"/>
          </w:tcPr>
          <w:p>
            <w:pPr>
              <w:spacing w:after="0"/>
              <w:rPr>
                <w:sz w:val="17"/>
                <w:szCs w:val="17"/>
                <w:color w:val="auto"/>
              </w:rPr>
            </w:pPr>
          </w:p>
        </w:tc>
      </w:tr>
      <w:tr>
        <w:trPr>
          <w:trHeight w:val="439"/>
        </w:trPr>
        <w:tc>
          <w:tcPr>
            <w:tcW w:w="1080" w:type="dxa"/>
            <w:vAlign w:val="bottom"/>
          </w:tcPr>
          <w:p>
            <w:pPr>
              <w:jc w:val="right"/>
              <w:spacing w:after="0"/>
              <w:rPr>
                <w:sz w:val="20"/>
                <w:szCs w:val="20"/>
                <w:color w:val="auto"/>
              </w:rPr>
            </w:pPr>
            <w:r>
              <w:rPr>
                <w:rFonts w:ascii="Arial" w:cs="Arial" w:eastAsia="Arial" w:hAnsi="Arial"/>
                <w:sz w:val="18"/>
                <w:szCs w:val="18"/>
                <w:color w:val="auto"/>
              </w:rPr>
              <w:t>31.1*</w:t>
            </w: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540" w:type="dxa"/>
            <w:vAlign w:val="bottom"/>
            <w:gridSpan w:val="8"/>
          </w:tcPr>
          <w:p>
            <w:pPr>
              <w:spacing w:after="0"/>
              <w:rPr>
                <w:sz w:val="20"/>
                <w:szCs w:val="20"/>
                <w:color w:val="auto"/>
              </w:rPr>
            </w:pPr>
            <w:r>
              <w:rPr>
                <w:rFonts w:ascii="Arial" w:cs="Arial" w:eastAsia="Arial" w:hAnsi="Arial"/>
                <w:sz w:val="18"/>
                <w:szCs w:val="18"/>
                <w:color w:val="0000EE"/>
                <w:w w:val="95"/>
              </w:rPr>
              <w:t>Certification of Chief Executive Officer pursuant to Section 302 of the Sarbanes-Oxley Act of 2002.</w:t>
            </w:r>
          </w:p>
        </w:tc>
      </w:tr>
      <w:tr>
        <w:trPr>
          <w:trHeight w:val="425"/>
        </w:trPr>
        <w:tc>
          <w:tcPr>
            <w:tcW w:w="1080" w:type="dxa"/>
            <w:vAlign w:val="bottom"/>
          </w:tcPr>
          <w:p>
            <w:pPr>
              <w:jc w:val="right"/>
              <w:spacing w:after="0"/>
              <w:rPr>
                <w:sz w:val="20"/>
                <w:szCs w:val="20"/>
                <w:color w:val="auto"/>
              </w:rPr>
            </w:pPr>
            <w:r>
              <w:rPr>
                <w:rFonts w:ascii="Arial" w:cs="Arial" w:eastAsia="Arial" w:hAnsi="Arial"/>
                <w:sz w:val="18"/>
                <w:szCs w:val="18"/>
                <w:color w:val="auto"/>
              </w:rPr>
              <w:t>31.2*</w:t>
            </w: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180" w:type="dxa"/>
            <w:vAlign w:val="bottom"/>
            <w:tcBorders>
              <w:top w:val="single" w:sz="8" w:color="0000EE"/>
              <w:bottom w:val="single" w:sz="8" w:color="0000EE"/>
            </w:tcBorders>
            <w:gridSpan w:val="3"/>
          </w:tcPr>
          <w:p>
            <w:pPr>
              <w:spacing w:after="0"/>
              <w:rPr>
                <w:sz w:val="20"/>
                <w:szCs w:val="20"/>
                <w:color w:val="auto"/>
              </w:rPr>
            </w:pPr>
            <w:r>
              <w:rPr>
                <w:rFonts w:ascii="Arial" w:cs="Arial" w:eastAsia="Arial" w:hAnsi="Arial"/>
                <w:sz w:val="18"/>
                <w:szCs w:val="18"/>
                <w:color w:val="0000EE"/>
                <w:w w:val="92"/>
              </w:rPr>
              <w:t>Certification of Chief Financial Officer pursuant to Section 302 of the Sarbanes-Oxley Act of 2002.</w:t>
            </w:r>
          </w:p>
        </w:tc>
        <w:tc>
          <w:tcPr>
            <w:tcW w:w="40" w:type="dxa"/>
            <w:vAlign w:val="bottom"/>
            <w:tcBorders>
              <w:top w:val="single" w:sz="8" w:color="0000EE"/>
            </w:tcBorders>
          </w:tcPr>
          <w:p>
            <w:pPr>
              <w:spacing w:after="0"/>
              <w:rPr>
                <w:sz w:val="24"/>
                <w:szCs w:val="24"/>
                <w:color w:val="auto"/>
              </w:rPr>
            </w:pPr>
          </w:p>
        </w:tc>
        <w:tc>
          <w:tcPr>
            <w:tcW w:w="320" w:type="dxa"/>
            <w:vAlign w:val="bottom"/>
            <w:gridSpan w:val="4"/>
          </w:tcPr>
          <w:p>
            <w:pPr>
              <w:spacing w:after="0"/>
              <w:rPr>
                <w:sz w:val="24"/>
                <w:szCs w:val="24"/>
                <w:color w:val="auto"/>
              </w:rPr>
            </w:pPr>
          </w:p>
        </w:tc>
      </w:tr>
      <w:tr>
        <w:trPr>
          <w:trHeight w:val="426"/>
        </w:trPr>
        <w:tc>
          <w:tcPr>
            <w:tcW w:w="1080" w:type="dxa"/>
            <w:vAlign w:val="bottom"/>
          </w:tcPr>
          <w:p>
            <w:pPr>
              <w:jc w:val="right"/>
              <w:spacing w:after="0"/>
              <w:rPr>
                <w:sz w:val="20"/>
                <w:szCs w:val="20"/>
                <w:color w:val="auto"/>
              </w:rPr>
            </w:pPr>
            <w:r>
              <w:rPr>
                <w:rFonts w:ascii="Arial" w:cs="Arial" w:eastAsia="Arial" w:hAnsi="Arial"/>
                <w:sz w:val="18"/>
                <w:szCs w:val="18"/>
                <w:color w:val="auto"/>
              </w:rPr>
              <w:t>32.1**</w:t>
            </w: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540" w:type="dxa"/>
            <w:vAlign w:val="bottom"/>
            <w:gridSpan w:val="8"/>
          </w:tcPr>
          <w:p>
            <w:pPr>
              <w:spacing w:after="0"/>
              <w:rPr>
                <w:sz w:val="20"/>
                <w:szCs w:val="20"/>
                <w:color w:val="auto"/>
              </w:rPr>
            </w:pPr>
            <w:r>
              <w:rPr>
                <w:rFonts w:ascii="Arial" w:cs="Arial" w:eastAsia="Arial" w:hAnsi="Arial"/>
                <w:sz w:val="18"/>
                <w:szCs w:val="18"/>
                <w:color w:val="0000EE"/>
                <w:w w:val="95"/>
              </w:rPr>
              <w:t>Certification of Chief Executive Officer pursuant to Section 906 of the Sarbanes-Oxley Act of 2002.</w:t>
            </w:r>
          </w:p>
        </w:tc>
      </w:tr>
      <w:tr>
        <w:trPr>
          <w:trHeight w:val="426"/>
        </w:trPr>
        <w:tc>
          <w:tcPr>
            <w:tcW w:w="1080" w:type="dxa"/>
            <w:vAlign w:val="bottom"/>
          </w:tcPr>
          <w:p>
            <w:pPr>
              <w:jc w:val="right"/>
              <w:spacing w:after="0"/>
              <w:rPr>
                <w:sz w:val="20"/>
                <w:szCs w:val="20"/>
                <w:color w:val="auto"/>
              </w:rPr>
            </w:pPr>
            <w:r>
              <w:rPr>
                <w:rFonts w:ascii="Arial" w:cs="Arial" w:eastAsia="Arial" w:hAnsi="Arial"/>
                <w:sz w:val="18"/>
                <w:szCs w:val="18"/>
                <w:color w:val="auto"/>
              </w:rPr>
              <w:t>32.2**</w:t>
            </w: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180" w:type="dxa"/>
            <w:vAlign w:val="bottom"/>
            <w:tcBorders>
              <w:top w:val="single" w:sz="8" w:color="0000EE"/>
              <w:bottom w:val="single" w:sz="8" w:color="0000EE"/>
            </w:tcBorders>
            <w:gridSpan w:val="3"/>
          </w:tcPr>
          <w:p>
            <w:pPr>
              <w:spacing w:after="0"/>
              <w:rPr>
                <w:sz w:val="20"/>
                <w:szCs w:val="20"/>
                <w:color w:val="auto"/>
              </w:rPr>
            </w:pPr>
            <w:r>
              <w:rPr>
                <w:rFonts w:ascii="Arial" w:cs="Arial" w:eastAsia="Arial" w:hAnsi="Arial"/>
                <w:sz w:val="18"/>
                <w:szCs w:val="18"/>
                <w:color w:val="0000EE"/>
                <w:w w:val="92"/>
              </w:rPr>
              <w:t>Certification of Chief Financial Officer pursuant to Section 906 of the Sarbanes-Oxley Act of 2002.</w:t>
            </w:r>
          </w:p>
        </w:tc>
        <w:tc>
          <w:tcPr>
            <w:tcW w:w="40" w:type="dxa"/>
            <w:vAlign w:val="bottom"/>
            <w:tcBorders>
              <w:top w:val="single" w:sz="8" w:color="0000EE"/>
            </w:tcBorders>
          </w:tcPr>
          <w:p>
            <w:pPr>
              <w:spacing w:after="0"/>
              <w:rPr>
                <w:sz w:val="24"/>
                <w:szCs w:val="24"/>
                <w:color w:val="auto"/>
              </w:rPr>
            </w:pPr>
          </w:p>
        </w:tc>
        <w:tc>
          <w:tcPr>
            <w:tcW w:w="320" w:type="dxa"/>
            <w:vAlign w:val="bottom"/>
            <w:gridSpan w:val="4"/>
          </w:tcPr>
          <w:p>
            <w:pPr>
              <w:spacing w:after="0"/>
              <w:rPr>
                <w:sz w:val="24"/>
                <w:szCs w:val="24"/>
                <w:color w:val="auto"/>
              </w:rPr>
            </w:pPr>
          </w:p>
        </w:tc>
      </w:tr>
      <w:tr>
        <w:trPr>
          <w:trHeight w:val="452"/>
        </w:trPr>
        <w:tc>
          <w:tcPr>
            <w:tcW w:w="1320" w:type="dxa"/>
            <w:vAlign w:val="bottom"/>
            <w:gridSpan w:val="2"/>
          </w:tcPr>
          <w:p>
            <w:pPr>
              <w:jc w:val="right"/>
              <w:ind w:right="300"/>
              <w:spacing w:after="0"/>
              <w:rPr>
                <w:sz w:val="20"/>
                <w:szCs w:val="20"/>
                <w:color w:val="auto"/>
              </w:rPr>
            </w:pPr>
            <w:r>
              <w:rPr>
                <w:rFonts w:ascii="Arial" w:cs="Arial" w:eastAsia="Arial" w:hAnsi="Arial"/>
                <w:sz w:val="18"/>
                <w:szCs w:val="18"/>
                <w:color w:val="auto"/>
              </w:rPr>
              <w:t>101.INS*</w:t>
            </w:r>
          </w:p>
        </w:tc>
        <w:tc>
          <w:tcPr>
            <w:tcW w:w="40" w:type="dxa"/>
            <w:vAlign w:val="bottom"/>
          </w:tcPr>
          <w:p>
            <w:pPr>
              <w:spacing w:after="0"/>
              <w:rPr>
                <w:sz w:val="24"/>
                <w:szCs w:val="24"/>
                <w:color w:val="auto"/>
              </w:rPr>
            </w:pPr>
          </w:p>
        </w:tc>
        <w:tc>
          <w:tcPr>
            <w:tcW w:w="7540" w:type="dxa"/>
            <w:vAlign w:val="bottom"/>
            <w:gridSpan w:val="8"/>
          </w:tcPr>
          <w:p>
            <w:pPr>
              <w:spacing w:after="0"/>
              <w:rPr>
                <w:sz w:val="20"/>
                <w:szCs w:val="20"/>
                <w:color w:val="auto"/>
              </w:rPr>
            </w:pPr>
            <w:r>
              <w:rPr>
                <w:rFonts w:ascii="Arial" w:cs="Arial" w:eastAsia="Arial" w:hAnsi="Arial"/>
                <w:sz w:val="18"/>
                <w:szCs w:val="18"/>
                <w:color w:val="auto"/>
                <w:w w:val="92"/>
              </w:rPr>
              <w:t>XBRL - the instance document does not appear in the Interactive Data File because its XBRL tags are</w:t>
            </w:r>
          </w:p>
        </w:tc>
      </w:tr>
      <w:tr>
        <w:trPr>
          <w:trHeight w:val="230"/>
        </w:trPr>
        <w:tc>
          <w:tcPr>
            <w:tcW w:w="10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540" w:type="dxa"/>
            <w:vAlign w:val="bottom"/>
            <w:gridSpan w:val="8"/>
          </w:tcPr>
          <w:p>
            <w:pPr>
              <w:spacing w:after="0"/>
              <w:rPr>
                <w:sz w:val="20"/>
                <w:szCs w:val="20"/>
                <w:color w:val="auto"/>
              </w:rPr>
            </w:pPr>
            <w:r>
              <w:rPr>
                <w:rFonts w:ascii="Arial" w:cs="Arial" w:eastAsia="Arial" w:hAnsi="Arial"/>
                <w:sz w:val="18"/>
                <w:szCs w:val="18"/>
                <w:color w:val="auto"/>
              </w:rPr>
              <w:t>embedded within the Inline XBRL document.</w:t>
            </w:r>
          </w:p>
        </w:tc>
      </w:tr>
      <w:tr>
        <w:trPr>
          <w:trHeight w:val="445"/>
        </w:trPr>
        <w:tc>
          <w:tcPr>
            <w:tcW w:w="1320" w:type="dxa"/>
            <w:vAlign w:val="bottom"/>
            <w:gridSpan w:val="2"/>
          </w:tcPr>
          <w:p>
            <w:pPr>
              <w:jc w:val="right"/>
              <w:ind w:right="300"/>
              <w:spacing w:after="0"/>
              <w:rPr>
                <w:sz w:val="20"/>
                <w:szCs w:val="20"/>
                <w:color w:val="auto"/>
              </w:rPr>
            </w:pPr>
            <w:r>
              <w:rPr>
                <w:rFonts w:ascii="Arial" w:cs="Arial" w:eastAsia="Arial" w:hAnsi="Arial"/>
                <w:sz w:val="18"/>
                <w:szCs w:val="18"/>
                <w:color w:val="auto"/>
              </w:rPr>
              <w:t>101.SCH*</w:t>
            </w:r>
          </w:p>
        </w:tc>
        <w:tc>
          <w:tcPr>
            <w:tcW w:w="40" w:type="dxa"/>
            <w:vAlign w:val="bottom"/>
          </w:tcPr>
          <w:p>
            <w:pPr>
              <w:spacing w:after="0"/>
              <w:rPr>
                <w:sz w:val="24"/>
                <w:szCs w:val="24"/>
                <w:color w:val="auto"/>
              </w:rPr>
            </w:pPr>
          </w:p>
        </w:tc>
        <w:tc>
          <w:tcPr>
            <w:tcW w:w="7540" w:type="dxa"/>
            <w:vAlign w:val="bottom"/>
            <w:gridSpan w:val="8"/>
          </w:tcPr>
          <w:p>
            <w:pPr>
              <w:spacing w:after="0"/>
              <w:rPr>
                <w:sz w:val="20"/>
                <w:szCs w:val="20"/>
                <w:color w:val="auto"/>
              </w:rPr>
            </w:pPr>
            <w:r>
              <w:rPr>
                <w:rFonts w:ascii="Arial" w:cs="Arial" w:eastAsia="Arial" w:hAnsi="Arial"/>
                <w:sz w:val="18"/>
                <w:szCs w:val="18"/>
                <w:color w:val="auto"/>
              </w:rPr>
              <w:t>XBRL Taxonomy Extension Schema Document.</w:t>
            </w:r>
          </w:p>
        </w:tc>
      </w:tr>
      <w:tr>
        <w:trPr>
          <w:trHeight w:val="445"/>
        </w:trPr>
        <w:tc>
          <w:tcPr>
            <w:tcW w:w="1320" w:type="dxa"/>
            <w:vAlign w:val="bottom"/>
            <w:gridSpan w:val="2"/>
          </w:tcPr>
          <w:p>
            <w:pPr>
              <w:jc w:val="right"/>
              <w:ind w:right="300"/>
              <w:spacing w:after="0"/>
              <w:rPr>
                <w:sz w:val="20"/>
                <w:szCs w:val="20"/>
                <w:color w:val="auto"/>
              </w:rPr>
            </w:pPr>
            <w:r>
              <w:rPr>
                <w:rFonts w:ascii="Arial" w:cs="Arial" w:eastAsia="Arial" w:hAnsi="Arial"/>
                <w:sz w:val="18"/>
                <w:szCs w:val="18"/>
                <w:color w:val="auto"/>
              </w:rPr>
              <w:t>101.DEF*</w:t>
            </w:r>
          </w:p>
        </w:tc>
        <w:tc>
          <w:tcPr>
            <w:tcW w:w="40" w:type="dxa"/>
            <w:vAlign w:val="bottom"/>
          </w:tcPr>
          <w:p>
            <w:pPr>
              <w:spacing w:after="0"/>
              <w:rPr>
                <w:sz w:val="24"/>
                <w:szCs w:val="24"/>
                <w:color w:val="auto"/>
              </w:rPr>
            </w:pPr>
          </w:p>
        </w:tc>
        <w:tc>
          <w:tcPr>
            <w:tcW w:w="7540" w:type="dxa"/>
            <w:vAlign w:val="bottom"/>
            <w:gridSpan w:val="8"/>
          </w:tcPr>
          <w:p>
            <w:pPr>
              <w:spacing w:after="0"/>
              <w:rPr>
                <w:sz w:val="20"/>
                <w:szCs w:val="20"/>
                <w:color w:val="auto"/>
              </w:rPr>
            </w:pPr>
            <w:r>
              <w:rPr>
                <w:rFonts w:ascii="Arial" w:cs="Arial" w:eastAsia="Arial" w:hAnsi="Arial"/>
                <w:sz w:val="18"/>
                <w:szCs w:val="18"/>
                <w:color w:val="auto"/>
              </w:rPr>
              <w:t>XBRL Taxonomy Extension Definition Linkbase Document.</w:t>
            </w:r>
          </w:p>
        </w:tc>
      </w:tr>
      <w:tr>
        <w:trPr>
          <w:trHeight w:val="445"/>
        </w:trPr>
        <w:tc>
          <w:tcPr>
            <w:tcW w:w="1320" w:type="dxa"/>
            <w:vAlign w:val="bottom"/>
            <w:gridSpan w:val="2"/>
          </w:tcPr>
          <w:p>
            <w:pPr>
              <w:jc w:val="right"/>
              <w:ind w:right="300"/>
              <w:spacing w:after="0"/>
              <w:rPr>
                <w:sz w:val="20"/>
                <w:szCs w:val="20"/>
                <w:color w:val="auto"/>
              </w:rPr>
            </w:pPr>
            <w:r>
              <w:rPr>
                <w:rFonts w:ascii="Arial" w:cs="Arial" w:eastAsia="Arial" w:hAnsi="Arial"/>
                <w:sz w:val="18"/>
                <w:szCs w:val="18"/>
                <w:color w:val="auto"/>
              </w:rPr>
              <w:t>101.CAL*</w:t>
            </w:r>
          </w:p>
        </w:tc>
        <w:tc>
          <w:tcPr>
            <w:tcW w:w="40" w:type="dxa"/>
            <w:vAlign w:val="bottom"/>
          </w:tcPr>
          <w:p>
            <w:pPr>
              <w:spacing w:after="0"/>
              <w:rPr>
                <w:sz w:val="24"/>
                <w:szCs w:val="24"/>
                <w:color w:val="auto"/>
              </w:rPr>
            </w:pPr>
          </w:p>
        </w:tc>
        <w:tc>
          <w:tcPr>
            <w:tcW w:w="7540" w:type="dxa"/>
            <w:vAlign w:val="bottom"/>
            <w:gridSpan w:val="8"/>
          </w:tcPr>
          <w:p>
            <w:pPr>
              <w:spacing w:after="0"/>
              <w:rPr>
                <w:sz w:val="20"/>
                <w:szCs w:val="20"/>
                <w:color w:val="auto"/>
              </w:rPr>
            </w:pPr>
            <w:r>
              <w:rPr>
                <w:rFonts w:ascii="Arial" w:cs="Arial" w:eastAsia="Arial" w:hAnsi="Arial"/>
                <w:sz w:val="18"/>
                <w:szCs w:val="18"/>
                <w:color w:val="auto"/>
              </w:rPr>
              <w:t>XBRL Taxonomy Extension Calculation Linkbase Document.</w:t>
            </w:r>
          </w:p>
        </w:tc>
      </w:tr>
      <w:tr>
        <w:trPr>
          <w:trHeight w:val="446"/>
        </w:trPr>
        <w:tc>
          <w:tcPr>
            <w:tcW w:w="1320" w:type="dxa"/>
            <w:vAlign w:val="bottom"/>
            <w:gridSpan w:val="2"/>
          </w:tcPr>
          <w:p>
            <w:pPr>
              <w:jc w:val="right"/>
              <w:ind w:right="300"/>
              <w:spacing w:after="0"/>
              <w:rPr>
                <w:sz w:val="20"/>
                <w:szCs w:val="20"/>
                <w:color w:val="auto"/>
              </w:rPr>
            </w:pPr>
            <w:r>
              <w:rPr>
                <w:rFonts w:ascii="Arial" w:cs="Arial" w:eastAsia="Arial" w:hAnsi="Arial"/>
                <w:sz w:val="18"/>
                <w:szCs w:val="18"/>
                <w:color w:val="auto"/>
              </w:rPr>
              <w:t>101.LAB*</w:t>
            </w:r>
          </w:p>
        </w:tc>
        <w:tc>
          <w:tcPr>
            <w:tcW w:w="40" w:type="dxa"/>
            <w:vAlign w:val="bottom"/>
          </w:tcPr>
          <w:p>
            <w:pPr>
              <w:spacing w:after="0"/>
              <w:rPr>
                <w:sz w:val="24"/>
                <w:szCs w:val="24"/>
                <w:color w:val="auto"/>
              </w:rPr>
            </w:pPr>
          </w:p>
        </w:tc>
        <w:tc>
          <w:tcPr>
            <w:tcW w:w="7540" w:type="dxa"/>
            <w:vAlign w:val="bottom"/>
            <w:gridSpan w:val="8"/>
          </w:tcPr>
          <w:p>
            <w:pPr>
              <w:spacing w:after="0"/>
              <w:rPr>
                <w:sz w:val="20"/>
                <w:szCs w:val="20"/>
                <w:color w:val="auto"/>
              </w:rPr>
            </w:pPr>
            <w:r>
              <w:rPr>
                <w:rFonts w:ascii="Arial" w:cs="Arial" w:eastAsia="Arial" w:hAnsi="Arial"/>
                <w:sz w:val="18"/>
                <w:szCs w:val="18"/>
                <w:color w:val="auto"/>
              </w:rPr>
              <w:t>XBRL Taxonomy Extension Label Linkbase Document.</w:t>
            </w:r>
          </w:p>
        </w:tc>
      </w:tr>
      <w:tr>
        <w:trPr>
          <w:trHeight w:val="445"/>
        </w:trPr>
        <w:tc>
          <w:tcPr>
            <w:tcW w:w="1320" w:type="dxa"/>
            <w:vAlign w:val="bottom"/>
            <w:gridSpan w:val="2"/>
          </w:tcPr>
          <w:p>
            <w:pPr>
              <w:jc w:val="right"/>
              <w:ind w:right="300"/>
              <w:spacing w:after="0"/>
              <w:rPr>
                <w:sz w:val="20"/>
                <w:szCs w:val="20"/>
                <w:color w:val="auto"/>
              </w:rPr>
            </w:pPr>
            <w:r>
              <w:rPr>
                <w:rFonts w:ascii="Arial" w:cs="Arial" w:eastAsia="Arial" w:hAnsi="Arial"/>
                <w:sz w:val="18"/>
                <w:szCs w:val="18"/>
                <w:color w:val="auto"/>
              </w:rPr>
              <w:t>101.PRE*</w:t>
            </w:r>
          </w:p>
        </w:tc>
        <w:tc>
          <w:tcPr>
            <w:tcW w:w="40" w:type="dxa"/>
            <w:vAlign w:val="bottom"/>
          </w:tcPr>
          <w:p>
            <w:pPr>
              <w:spacing w:after="0"/>
              <w:rPr>
                <w:sz w:val="24"/>
                <w:szCs w:val="24"/>
                <w:color w:val="auto"/>
              </w:rPr>
            </w:pPr>
          </w:p>
        </w:tc>
        <w:tc>
          <w:tcPr>
            <w:tcW w:w="7540" w:type="dxa"/>
            <w:vAlign w:val="bottom"/>
            <w:gridSpan w:val="8"/>
          </w:tcPr>
          <w:p>
            <w:pPr>
              <w:spacing w:after="0"/>
              <w:rPr>
                <w:sz w:val="20"/>
                <w:szCs w:val="20"/>
                <w:color w:val="auto"/>
              </w:rPr>
            </w:pPr>
            <w:r>
              <w:rPr>
                <w:rFonts w:ascii="Arial" w:cs="Arial" w:eastAsia="Arial" w:hAnsi="Arial"/>
                <w:sz w:val="18"/>
                <w:szCs w:val="18"/>
                <w:color w:val="auto"/>
              </w:rPr>
              <w:t>XBRL Taxonomy Extension Presentation Linkbase Document.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231140</wp:posOffset>
            </wp:positionV>
            <wp:extent cx="141414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8">
                      <a:extLst>
                        <a:ext uri="{28A0092B-C50C-407E-A947-70E740481C1C}"/>
                      </a:extLst>
                    </a:blip>
                    <a:srcRect/>
                    <a:stretch>
                      <a:fillRect/>
                    </a:stretch>
                  </pic:blipFill>
                  <pic:spPr bwMode="auto">
                    <a:xfrm>
                      <a:off x="0" y="0"/>
                      <a:ext cx="1414145" cy="8255"/>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ind w:left="640" w:hanging="530"/>
        <w:spacing w:after="0"/>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36" w:lineRule="exact"/>
        <w:rPr>
          <w:sz w:val="20"/>
          <w:szCs w:val="20"/>
          <w:color w:val="auto"/>
        </w:rPr>
      </w:pPr>
    </w:p>
    <w:p>
      <w:pPr>
        <w:ind w:left="640" w:right="139" w:hanging="530"/>
        <w:spacing w:after="0" w:line="259" w:lineRule="auto"/>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Furnished herewith. The information in these exhibits shall not be deemed to be “filed” for purposes of Section 18 of the Exchange Act, or otherwise subject to liability under that section, and shall not be incorporated by reference into any filing under the Securities Act or the Exchange Act, except to the extent that the registrant specifically incorporates it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44" w:right="1440" w:bottom="1440" w:gutter="0" w:footer="0" w:header="0"/>
        </w:sectPr>
      </w:pPr>
    </w:p>
    <w:bookmarkStart w:id="26" w:name="page27"/>
    <w:bookmarkEnd w:id="2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w:t>
      </w:r>
    </w:p>
    <w:p>
      <w:pPr>
        <w:spacing w:after="0" w:line="202" w:lineRule="exact"/>
        <w:rPr>
          <w:sz w:val="20"/>
          <w:szCs w:val="20"/>
          <w:color w:val="auto"/>
        </w:rPr>
      </w:pPr>
    </w:p>
    <w:p>
      <w:pPr>
        <w:ind w:left="60" w:right="199" w:firstLine="432"/>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color w:val="auto"/>
        </w:rPr>
        <w:t>Date: October 28, 2022</w:t>
      </w:r>
    </w:p>
    <w:p>
      <w:pPr>
        <w:spacing w:after="0" w:line="23"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AVNET, INC.</w:t>
      </w:r>
    </w:p>
    <w:p>
      <w:pPr>
        <w:spacing w:after="0" w:line="200" w:lineRule="exact"/>
        <w:rPr>
          <w:sz w:val="20"/>
          <w:szCs w:val="20"/>
          <w:color w:val="auto"/>
        </w:rPr>
      </w:pPr>
    </w:p>
    <w:p>
      <w:pPr>
        <w:spacing w:after="0" w:line="308" w:lineRule="exact"/>
        <w:rPr>
          <w:sz w:val="20"/>
          <w:szCs w:val="20"/>
          <w:color w:val="auto"/>
        </w:rPr>
      </w:pPr>
    </w:p>
    <w:p>
      <w:pPr>
        <w:ind w:left="4540"/>
        <w:spacing w:after="0"/>
        <w:tabs>
          <w:tab w:leader="none" w:pos="49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KENNETH A. JACOBSON</w:t>
      </w:r>
    </w:p>
    <w:p>
      <w:pPr>
        <w:spacing w:after="0" w:line="50" w:lineRule="exact"/>
        <w:rPr>
          <w:sz w:val="20"/>
          <w:szCs w:val="20"/>
          <w:color w:val="auto"/>
        </w:rPr>
      </w:pPr>
    </w:p>
    <w:p>
      <w:pPr>
        <w:ind w:left="4940"/>
        <w:spacing w:after="0"/>
        <w:rPr>
          <w:sz w:val="20"/>
          <w:szCs w:val="20"/>
          <w:color w:val="auto"/>
        </w:rPr>
      </w:pPr>
      <w:r>
        <w:rPr>
          <w:rFonts w:ascii="Arial" w:cs="Arial" w:eastAsia="Arial" w:hAnsi="Arial"/>
          <w:sz w:val="18"/>
          <w:szCs w:val="18"/>
          <w:color w:val="auto"/>
        </w:rPr>
        <w:t>Kenneth A. Jacobson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3108325</wp:posOffset>
            </wp:positionH>
            <wp:positionV relativeFrom="paragraph">
              <wp:posOffset>-130175</wp:posOffset>
            </wp:positionV>
            <wp:extent cx="258000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0">
                      <a:extLst>
                        <a:ext uri="{28A0092B-C50C-407E-A947-70E740481C1C}"/>
                      </a:extLst>
                    </a:blip>
                    <a:srcRect/>
                    <a:stretch>
                      <a:fillRect/>
                    </a:stretch>
                  </pic:blipFill>
                  <pic:spPr bwMode="auto">
                    <a:xfrm>
                      <a:off x="0" y="0"/>
                      <a:ext cx="2580005" cy="8255"/>
                    </a:xfrm>
                    <a:prstGeom prst="rect">
                      <a:avLst/>
                    </a:prstGeom>
                    <a:noFill/>
                  </pic:spPr>
                </pic:pic>
              </a:graphicData>
            </a:graphic>
          </wp:anchor>
        </w:drawing>
      </w:r>
    </w:p>
    <w:p>
      <w:pPr>
        <w:spacing w:after="0" w:line="16" w:lineRule="exact"/>
        <w:rPr>
          <w:sz w:val="20"/>
          <w:szCs w:val="20"/>
          <w:color w:val="auto"/>
        </w:rPr>
      </w:pPr>
    </w:p>
    <w:p>
      <w:pPr>
        <w:ind w:left="4940"/>
        <w:spacing w:after="0"/>
        <w:rPr>
          <w:sz w:val="20"/>
          <w:szCs w:val="20"/>
          <w:color w:val="auto"/>
        </w:rPr>
      </w:pPr>
      <w:r>
        <w:rPr>
          <w:rFonts w:ascii="Arial" w:cs="Arial" w:eastAsia="Arial" w:hAnsi="Arial"/>
          <w:sz w:val="18"/>
          <w:szCs w:val="18"/>
          <w:i w:val="1"/>
          <w:iCs w:val="1"/>
          <w:color w:val="auto"/>
        </w:rPr>
        <w:t>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44" w:right="1440" w:bottom="1440" w:gutter="0" w:footer="0" w:header="0"/>
        </w:sectPr>
      </w:pPr>
    </w:p>
    <w:bookmarkStart w:id="27" w:name="page28"/>
    <w:bookmarkEnd w:id="27"/>
    <w:p>
      <w:pPr>
        <w:jc w:val="right"/>
        <w:spacing w:after="0"/>
        <w:rPr>
          <w:sz w:val="20"/>
          <w:szCs w:val="20"/>
          <w:color w:val="auto"/>
        </w:rPr>
      </w:pPr>
      <w:r>
        <w:rPr>
          <w:rFonts w:ascii="Arial" w:cs="Arial" w:eastAsia="Arial" w:hAnsi="Arial"/>
          <w:sz w:val="18"/>
          <w:szCs w:val="18"/>
          <w:b w:val="1"/>
          <w:bCs w:val="1"/>
          <w:color w:val="auto"/>
        </w:rPr>
        <w:t>Exhibit 31.1</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I, Philip R. Gallagher, certify that:</w:t>
      </w:r>
    </w:p>
    <w:p>
      <w:pPr>
        <w:spacing w:after="0" w:line="158" w:lineRule="exact"/>
        <w:rPr>
          <w:sz w:val="20"/>
          <w:szCs w:val="20"/>
          <w:color w:val="auto"/>
        </w:rPr>
      </w:pPr>
    </w:p>
    <w:p>
      <w:pPr>
        <w:ind w:left="640" w:hanging="326"/>
        <w:spacing w:after="0"/>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Avnet, Inc.;</w:t>
      </w:r>
    </w:p>
    <w:p>
      <w:pPr>
        <w:spacing w:after="0" w:line="157" w:lineRule="exact"/>
        <w:rPr>
          <w:rFonts w:ascii="Arial" w:cs="Arial" w:eastAsia="Arial" w:hAnsi="Arial"/>
          <w:sz w:val="18"/>
          <w:szCs w:val="18"/>
          <w:color w:val="auto"/>
        </w:rPr>
      </w:pPr>
    </w:p>
    <w:p>
      <w:pPr>
        <w:ind w:left="640" w:right="160" w:hanging="326"/>
        <w:spacing w:after="0" w:line="310" w:lineRule="auto"/>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640" w:right="60" w:hanging="326"/>
        <w:spacing w:after="0" w:line="310" w:lineRule="auto"/>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5" w:lineRule="exact"/>
        <w:rPr>
          <w:rFonts w:ascii="Arial" w:cs="Arial" w:eastAsia="Arial" w:hAnsi="Arial"/>
          <w:sz w:val="18"/>
          <w:szCs w:val="18"/>
          <w:color w:val="auto"/>
        </w:rPr>
      </w:pPr>
    </w:p>
    <w:p>
      <w:pPr>
        <w:ind w:left="640" w:right="160" w:hanging="326"/>
        <w:spacing w:after="0" w:line="310" w:lineRule="auto"/>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ind w:left="960" w:right="60" w:hanging="322"/>
        <w:spacing w:after="0" w:line="336" w:lineRule="auto"/>
        <w:tabs>
          <w:tab w:leader="none" w:pos="960" w:val="left"/>
        </w:tabs>
        <w:numPr>
          <w:ilvl w:val="1"/>
          <w:numId w:val="12"/>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6" w:lineRule="exact"/>
        <w:rPr>
          <w:rFonts w:ascii="Arial" w:cs="Arial" w:eastAsia="Arial" w:hAnsi="Arial"/>
          <w:sz w:val="17"/>
          <w:szCs w:val="17"/>
          <w:color w:val="auto"/>
        </w:rPr>
      </w:pPr>
    </w:p>
    <w:p>
      <w:pPr>
        <w:ind w:left="960" w:right="220" w:hanging="322"/>
        <w:spacing w:after="0" w:line="336" w:lineRule="auto"/>
        <w:tabs>
          <w:tab w:leader="none" w:pos="960" w:val="left"/>
        </w:tabs>
        <w:numPr>
          <w:ilvl w:val="1"/>
          <w:numId w:val="12"/>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6" w:lineRule="exact"/>
        <w:rPr>
          <w:rFonts w:ascii="Arial" w:cs="Arial" w:eastAsia="Arial" w:hAnsi="Arial"/>
          <w:sz w:val="17"/>
          <w:szCs w:val="17"/>
          <w:color w:val="auto"/>
        </w:rPr>
      </w:pPr>
    </w:p>
    <w:p>
      <w:pPr>
        <w:jc w:val="both"/>
        <w:ind w:left="960" w:right="320" w:hanging="322"/>
        <w:spacing w:after="0" w:line="310" w:lineRule="auto"/>
        <w:tabs>
          <w:tab w:leader="none" w:pos="960" w:val="left"/>
        </w:tabs>
        <w:numPr>
          <w:ilvl w:val="1"/>
          <w:numId w:val="12"/>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5" w:lineRule="exact"/>
        <w:rPr>
          <w:rFonts w:ascii="Arial" w:cs="Arial" w:eastAsia="Arial" w:hAnsi="Arial"/>
          <w:sz w:val="18"/>
          <w:szCs w:val="18"/>
          <w:color w:val="auto"/>
        </w:rPr>
      </w:pPr>
    </w:p>
    <w:p>
      <w:pPr>
        <w:ind w:left="960" w:right="340" w:hanging="322"/>
        <w:spacing w:after="0" w:line="364" w:lineRule="auto"/>
        <w:tabs>
          <w:tab w:leader="none" w:pos="960" w:val="left"/>
        </w:tabs>
        <w:numPr>
          <w:ilvl w:val="1"/>
          <w:numId w:val="12"/>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0" w:lineRule="exact"/>
        <w:rPr>
          <w:rFonts w:ascii="Arial" w:cs="Arial" w:eastAsia="Arial" w:hAnsi="Arial"/>
          <w:sz w:val="16"/>
          <w:szCs w:val="16"/>
          <w:color w:val="auto"/>
        </w:rPr>
      </w:pPr>
    </w:p>
    <w:p>
      <w:pPr>
        <w:jc w:val="both"/>
        <w:ind w:left="640" w:right="20" w:hanging="326"/>
        <w:spacing w:after="0" w:line="310" w:lineRule="auto"/>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equivalent functions):</w:t>
      </w:r>
    </w:p>
    <w:p>
      <w:pPr>
        <w:spacing w:after="0" w:line="75" w:lineRule="exact"/>
        <w:rPr>
          <w:rFonts w:ascii="Arial" w:cs="Arial" w:eastAsia="Arial" w:hAnsi="Arial"/>
          <w:sz w:val="18"/>
          <w:szCs w:val="18"/>
          <w:color w:val="auto"/>
        </w:rPr>
      </w:pPr>
    </w:p>
    <w:p>
      <w:pPr>
        <w:ind w:left="960" w:right="80" w:hanging="322"/>
        <w:spacing w:after="0" w:line="310" w:lineRule="auto"/>
        <w:tabs>
          <w:tab w:leader="none" w:pos="960" w:val="left"/>
        </w:tabs>
        <w:numPr>
          <w:ilvl w:val="1"/>
          <w:numId w:val="1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5" w:lineRule="exact"/>
        <w:rPr>
          <w:rFonts w:ascii="Arial" w:cs="Arial" w:eastAsia="Arial" w:hAnsi="Arial"/>
          <w:sz w:val="18"/>
          <w:szCs w:val="18"/>
          <w:color w:val="auto"/>
        </w:rPr>
      </w:pPr>
    </w:p>
    <w:p>
      <w:pPr>
        <w:ind w:left="960" w:right="120" w:hanging="322"/>
        <w:spacing w:after="0" w:line="324" w:lineRule="auto"/>
        <w:tabs>
          <w:tab w:leader="none" w:pos="960" w:val="left"/>
        </w:tabs>
        <w:numPr>
          <w:ilvl w:val="1"/>
          <w:numId w:val="1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October 28, 2022</w:t>
      </w:r>
    </w:p>
    <w:p>
      <w:pPr>
        <w:spacing w:after="0" w:line="279"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/s/ PHILIP R. GALLAGHER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3275330</wp:posOffset>
            </wp:positionH>
            <wp:positionV relativeFrom="paragraph">
              <wp:posOffset>23495</wp:posOffset>
            </wp:positionV>
            <wp:extent cx="321500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2">
                      <a:extLst>
                        <a:ext uri="{28A0092B-C50C-407E-A947-70E740481C1C}"/>
                      </a:extLst>
                    </a:blip>
                    <a:srcRect/>
                    <a:stretch>
                      <a:fillRect/>
                    </a:stretch>
                  </pic:blipFill>
                  <pic:spPr bwMode="auto">
                    <a:xfrm>
                      <a:off x="0" y="0"/>
                      <a:ext cx="3215005" cy="8890"/>
                    </a:xfrm>
                    <a:prstGeom prst="rect">
                      <a:avLst/>
                    </a:prstGeom>
                    <a:noFill/>
                  </pic:spPr>
                </pic:pic>
              </a:graphicData>
            </a:graphic>
          </wp:anchor>
        </w:drawing>
      </w:r>
    </w:p>
    <w:p>
      <w:pPr>
        <w:spacing w:after="0" w:line="30"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Philip R. Gallagher</w:t>
      </w:r>
    </w:p>
    <w:p>
      <w:pPr>
        <w:spacing w:after="0" w:line="43"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670560</wp:posOffset>
            </wp:positionV>
            <wp:extent cx="6497955" cy="254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3">
                      <a:extLst>
                        <a:ext uri="{28A0092B-C50C-407E-A947-70E740481C1C}"/>
                      </a:extLst>
                    </a:blip>
                    <a:srcRect/>
                    <a:stretch>
                      <a:fillRect/>
                    </a:stretch>
                  </pic:blipFill>
                  <pic:spPr bwMode="auto">
                    <a:xfrm>
                      <a:off x="0" y="0"/>
                      <a:ext cx="6497955" cy="25400"/>
                    </a:xfrm>
                    <a:prstGeom prst="rect">
                      <a:avLst/>
                    </a:prstGeom>
                    <a:noFill/>
                  </pic:spPr>
                </pic:pic>
              </a:graphicData>
            </a:graphic>
          </wp:anchor>
        </w:drawing>
      </w:r>
    </w:p>
    <w:p>
      <w:pPr>
        <w:sectPr>
          <w:pgSz w:w="11900" w:h="16838" w:orient="portrait"/>
          <w:cols w:equalWidth="0" w:num="1">
            <w:col w:w="10220"/>
          </w:cols>
          <w:pgMar w:left="840" w:top="405" w:right="839" w:bottom="1440" w:gutter="0" w:footer="0" w:header="0"/>
        </w:sectPr>
      </w:pPr>
    </w:p>
    <w:bookmarkStart w:id="28" w:name="page29"/>
    <w:bookmarkEnd w:id="28"/>
    <w:p>
      <w:pPr>
        <w:jc w:val="right"/>
        <w:spacing w:after="0"/>
        <w:rPr>
          <w:sz w:val="20"/>
          <w:szCs w:val="20"/>
          <w:color w:val="auto"/>
        </w:rPr>
      </w:pPr>
      <w:r>
        <w:rPr>
          <w:rFonts w:ascii="Arial" w:cs="Arial" w:eastAsia="Arial" w:hAnsi="Arial"/>
          <w:sz w:val="18"/>
          <w:szCs w:val="18"/>
          <w:b w:val="1"/>
          <w:bCs w:val="1"/>
          <w:color w:val="auto"/>
        </w:rPr>
        <w:t>Exhibit 31.2</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I, Kenneth A. Jacobson, certify that:</w:t>
      </w:r>
    </w:p>
    <w:p>
      <w:pPr>
        <w:spacing w:after="0" w:line="158" w:lineRule="exact"/>
        <w:rPr>
          <w:sz w:val="20"/>
          <w:szCs w:val="20"/>
          <w:color w:val="auto"/>
        </w:rPr>
      </w:pPr>
    </w:p>
    <w:p>
      <w:pPr>
        <w:ind w:left="640" w:hanging="326"/>
        <w:spacing w:after="0"/>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Avnet, Inc.;</w:t>
      </w:r>
    </w:p>
    <w:p>
      <w:pPr>
        <w:spacing w:after="0" w:line="157" w:lineRule="exact"/>
        <w:rPr>
          <w:rFonts w:ascii="Arial" w:cs="Arial" w:eastAsia="Arial" w:hAnsi="Arial"/>
          <w:sz w:val="18"/>
          <w:szCs w:val="18"/>
          <w:color w:val="auto"/>
        </w:rPr>
      </w:pPr>
    </w:p>
    <w:p>
      <w:pPr>
        <w:ind w:left="640" w:right="160" w:hanging="326"/>
        <w:spacing w:after="0" w:line="310" w:lineRule="auto"/>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640" w:right="60" w:hanging="326"/>
        <w:spacing w:after="0" w:line="310" w:lineRule="auto"/>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5" w:lineRule="exact"/>
        <w:rPr>
          <w:rFonts w:ascii="Arial" w:cs="Arial" w:eastAsia="Arial" w:hAnsi="Arial"/>
          <w:sz w:val="18"/>
          <w:szCs w:val="18"/>
          <w:color w:val="auto"/>
        </w:rPr>
      </w:pPr>
    </w:p>
    <w:p>
      <w:pPr>
        <w:ind w:left="640" w:right="160" w:hanging="326"/>
        <w:spacing w:after="0" w:line="310" w:lineRule="auto"/>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ind w:left="960" w:right="60" w:hanging="322"/>
        <w:spacing w:after="0" w:line="336" w:lineRule="auto"/>
        <w:tabs>
          <w:tab w:leader="none" w:pos="960" w:val="left"/>
        </w:tabs>
        <w:numPr>
          <w:ilvl w:val="1"/>
          <w:numId w:val="13"/>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6" w:lineRule="exact"/>
        <w:rPr>
          <w:rFonts w:ascii="Arial" w:cs="Arial" w:eastAsia="Arial" w:hAnsi="Arial"/>
          <w:sz w:val="17"/>
          <w:szCs w:val="17"/>
          <w:color w:val="auto"/>
        </w:rPr>
      </w:pPr>
    </w:p>
    <w:p>
      <w:pPr>
        <w:ind w:left="960" w:right="220" w:hanging="322"/>
        <w:spacing w:after="0" w:line="336" w:lineRule="auto"/>
        <w:tabs>
          <w:tab w:leader="none" w:pos="960" w:val="left"/>
        </w:tabs>
        <w:numPr>
          <w:ilvl w:val="1"/>
          <w:numId w:val="13"/>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6" w:lineRule="exact"/>
        <w:rPr>
          <w:rFonts w:ascii="Arial" w:cs="Arial" w:eastAsia="Arial" w:hAnsi="Arial"/>
          <w:sz w:val="17"/>
          <w:szCs w:val="17"/>
          <w:color w:val="auto"/>
        </w:rPr>
      </w:pPr>
    </w:p>
    <w:p>
      <w:pPr>
        <w:jc w:val="both"/>
        <w:ind w:left="960" w:right="320" w:hanging="322"/>
        <w:spacing w:after="0" w:line="310" w:lineRule="auto"/>
        <w:tabs>
          <w:tab w:leader="none" w:pos="960" w:val="left"/>
        </w:tabs>
        <w:numPr>
          <w:ilvl w:val="1"/>
          <w:numId w:val="13"/>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5" w:lineRule="exact"/>
        <w:rPr>
          <w:rFonts w:ascii="Arial" w:cs="Arial" w:eastAsia="Arial" w:hAnsi="Arial"/>
          <w:sz w:val="18"/>
          <w:szCs w:val="18"/>
          <w:color w:val="auto"/>
        </w:rPr>
      </w:pPr>
    </w:p>
    <w:p>
      <w:pPr>
        <w:ind w:left="960" w:right="340" w:hanging="322"/>
        <w:spacing w:after="0" w:line="364" w:lineRule="auto"/>
        <w:tabs>
          <w:tab w:leader="none" w:pos="960" w:val="left"/>
        </w:tabs>
        <w:numPr>
          <w:ilvl w:val="1"/>
          <w:numId w:val="13"/>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0" w:lineRule="exact"/>
        <w:rPr>
          <w:rFonts w:ascii="Arial" w:cs="Arial" w:eastAsia="Arial" w:hAnsi="Arial"/>
          <w:sz w:val="16"/>
          <w:szCs w:val="16"/>
          <w:color w:val="auto"/>
        </w:rPr>
      </w:pPr>
    </w:p>
    <w:p>
      <w:pPr>
        <w:jc w:val="both"/>
        <w:ind w:left="640" w:right="20" w:hanging="326"/>
        <w:spacing w:after="0" w:line="310" w:lineRule="auto"/>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equivalent functions):</w:t>
      </w:r>
    </w:p>
    <w:p>
      <w:pPr>
        <w:spacing w:after="0" w:line="75" w:lineRule="exact"/>
        <w:rPr>
          <w:rFonts w:ascii="Arial" w:cs="Arial" w:eastAsia="Arial" w:hAnsi="Arial"/>
          <w:sz w:val="18"/>
          <w:szCs w:val="18"/>
          <w:color w:val="auto"/>
        </w:rPr>
      </w:pPr>
    </w:p>
    <w:p>
      <w:pPr>
        <w:ind w:left="960" w:right="80" w:hanging="322"/>
        <w:spacing w:after="0" w:line="310" w:lineRule="auto"/>
        <w:tabs>
          <w:tab w:leader="none" w:pos="960" w:val="left"/>
        </w:tabs>
        <w:numPr>
          <w:ilvl w:val="1"/>
          <w:numId w:val="1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5" w:lineRule="exact"/>
        <w:rPr>
          <w:rFonts w:ascii="Arial" w:cs="Arial" w:eastAsia="Arial" w:hAnsi="Arial"/>
          <w:sz w:val="18"/>
          <w:szCs w:val="18"/>
          <w:color w:val="auto"/>
        </w:rPr>
      </w:pPr>
    </w:p>
    <w:p>
      <w:pPr>
        <w:ind w:left="960" w:right="120" w:hanging="322"/>
        <w:spacing w:after="0" w:line="324" w:lineRule="auto"/>
        <w:tabs>
          <w:tab w:leader="none" w:pos="960" w:val="left"/>
        </w:tabs>
        <w:numPr>
          <w:ilvl w:val="1"/>
          <w:numId w:val="1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October 28, 2022</w:t>
      </w:r>
    </w:p>
    <w:p>
      <w:pPr>
        <w:spacing w:after="0" w:line="252"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/s/ KENNETH A. JACOBSON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3275330</wp:posOffset>
            </wp:positionH>
            <wp:positionV relativeFrom="paragraph">
              <wp:posOffset>23495</wp:posOffset>
            </wp:positionV>
            <wp:extent cx="321500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4">
                      <a:extLst>
                        <a:ext uri="{28A0092B-C50C-407E-A947-70E740481C1C}"/>
                      </a:extLst>
                    </a:blip>
                    <a:srcRect/>
                    <a:stretch>
                      <a:fillRect/>
                    </a:stretch>
                  </pic:blipFill>
                  <pic:spPr bwMode="auto">
                    <a:xfrm>
                      <a:off x="0" y="0"/>
                      <a:ext cx="3215005" cy="8255"/>
                    </a:xfrm>
                    <a:prstGeom prst="rect">
                      <a:avLst/>
                    </a:prstGeom>
                    <a:noFill/>
                  </pic:spPr>
                </pic:pic>
              </a:graphicData>
            </a:graphic>
          </wp:anchor>
        </w:drawing>
      </w:r>
    </w:p>
    <w:p>
      <w:pPr>
        <w:spacing w:after="0" w:line="30"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Kenneth A. Jacobson</w:t>
      </w:r>
    </w:p>
    <w:p>
      <w:pPr>
        <w:spacing w:after="0" w:line="36"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675005</wp:posOffset>
            </wp:positionV>
            <wp:extent cx="6497955"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5">
                      <a:extLst>
                        <a:ext uri="{28A0092B-C50C-407E-A947-70E740481C1C}"/>
                      </a:extLst>
                    </a:blip>
                    <a:srcRect/>
                    <a:stretch>
                      <a:fillRect/>
                    </a:stretch>
                  </pic:blipFill>
                  <pic:spPr bwMode="auto">
                    <a:xfrm>
                      <a:off x="0" y="0"/>
                      <a:ext cx="6497955" cy="17145"/>
                    </a:xfrm>
                    <a:prstGeom prst="rect">
                      <a:avLst/>
                    </a:prstGeom>
                    <a:noFill/>
                  </pic:spPr>
                </pic:pic>
              </a:graphicData>
            </a:graphic>
          </wp:anchor>
        </w:drawing>
      </w:r>
    </w:p>
    <w:p>
      <w:pPr>
        <w:sectPr>
          <w:pgSz w:w="11900" w:h="16838" w:orient="portrait"/>
          <w:cols w:equalWidth="0" w:num="1">
            <w:col w:w="10220"/>
          </w:cols>
          <w:pgMar w:left="840" w:top="405" w:right="839" w:bottom="1440" w:gutter="0" w:footer="0" w:header="0"/>
        </w:sectPr>
      </w:pPr>
    </w:p>
    <w:bookmarkStart w:id="29" w:name="page30"/>
    <w:bookmarkEnd w:id="29"/>
    <w:p>
      <w:pPr>
        <w:jc w:val="right"/>
        <w:ind w:right="59"/>
        <w:spacing w:after="0"/>
        <w:rPr>
          <w:sz w:val="20"/>
          <w:szCs w:val="20"/>
          <w:color w:val="auto"/>
        </w:rPr>
      </w:pPr>
      <w:r>
        <w:rPr>
          <w:rFonts w:ascii="Arial" w:cs="Arial" w:eastAsia="Arial" w:hAnsi="Arial"/>
          <w:sz w:val="18"/>
          <w:szCs w:val="18"/>
          <w:b w:val="1"/>
          <w:bCs w:val="1"/>
          <w:color w:val="auto"/>
        </w:rPr>
        <w:t>Exhibit 32.1</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Certification of Chief Executive Officer Pursuant to 18 U.S.C. Section 1350</w:t>
      </w:r>
    </w:p>
    <w:p>
      <w:pPr>
        <w:spacing w:after="0" w:line="5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162" w:lineRule="exact"/>
        <w:rPr>
          <w:sz w:val="20"/>
          <w:szCs w:val="20"/>
          <w:color w:val="auto"/>
        </w:rPr>
      </w:pPr>
    </w:p>
    <w:p>
      <w:pPr>
        <w:ind w:left="40"/>
        <w:spacing w:after="0"/>
        <w:rPr>
          <w:sz w:val="20"/>
          <w:szCs w:val="20"/>
          <w:color w:val="auto"/>
        </w:rPr>
      </w:pPr>
      <w:r>
        <w:rPr>
          <w:rFonts w:ascii="Arial" w:cs="Arial" w:eastAsia="Arial" w:hAnsi="Arial"/>
          <w:sz w:val="17"/>
          <w:szCs w:val="17"/>
          <w:color w:val="auto"/>
        </w:rPr>
        <w:t>In connection with the Quarterly Report on Form 10-Q for the period ended October 1, 2022 (the “Report”), I, Philip R.</w:t>
      </w:r>
    </w:p>
    <w:p>
      <w:pPr>
        <w:spacing w:after="0" w:line="61" w:lineRule="exact"/>
        <w:rPr>
          <w:sz w:val="20"/>
          <w:szCs w:val="20"/>
          <w:color w:val="auto"/>
        </w:rPr>
      </w:pPr>
    </w:p>
    <w:p>
      <w:pPr>
        <w:ind w:left="40"/>
        <w:spacing w:after="0"/>
        <w:rPr>
          <w:sz w:val="20"/>
          <w:szCs w:val="20"/>
          <w:color w:val="auto"/>
        </w:rPr>
      </w:pPr>
      <w:r>
        <w:rPr>
          <w:rFonts w:ascii="Arial" w:cs="Arial" w:eastAsia="Arial" w:hAnsi="Arial"/>
          <w:sz w:val="18"/>
          <w:szCs w:val="18"/>
          <w:color w:val="auto"/>
        </w:rPr>
        <w:t>Gallagher, Chief Executive Officer of Avnet, Inc. (the “Company”) hereby certify that:</w:t>
      </w:r>
    </w:p>
    <w:p>
      <w:pPr>
        <w:spacing w:after="0" w:line="158" w:lineRule="exact"/>
        <w:rPr>
          <w:sz w:val="20"/>
          <w:szCs w:val="20"/>
          <w:color w:val="auto"/>
        </w:rPr>
      </w:pPr>
    </w:p>
    <w:p>
      <w:pPr>
        <w:ind w:left="700" w:right="699" w:hanging="332"/>
        <w:spacing w:after="0" w:line="324" w:lineRule="auto"/>
        <w:tabs>
          <w:tab w:leader="none" w:pos="7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as applicable, of the Securities Exchange Act of 1934; and</w:t>
      </w:r>
    </w:p>
    <w:p>
      <w:pPr>
        <w:spacing w:after="0" w:line="62" w:lineRule="exact"/>
        <w:rPr>
          <w:rFonts w:ascii="Arial" w:cs="Arial" w:eastAsia="Arial" w:hAnsi="Arial"/>
          <w:sz w:val="18"/>
          <w:szCs w:val="18"/>
          <w:color w:val="auto"/>
        </w:rPr>
      </w:pPr>
    </w:p>
    <w:p>
      <w:pPr>
        <w:ind w:left="700" w:right="119" w:hanging="332"/>
        <w:spacing w:after="0" w:line="324" w:lineRule="auto"/>
        <w:tabs>
          <w:tab w:leader="none" w:pos="7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11"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 October 28, 2022</w:t>
      </w:r>
    </w:p>
    <w:p>
      <w:pPr>
        <w:spacing w:after="0" w:line="252"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/s/ PHILIP R. GALLAGHER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2902585</wp:posOffset>
            </wp:positionH>
            <wp:positionV relativeFrom="paragraph">
              <wp:posOffset>23495</wp:posOffset>
            </wp:positionV>
            <wp:extent cx="278574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6">
                      <a:extLst>
                        <a:ext uri="{28A0092B-C50C-407E-A947-70E740481C1C}"/>
                      </a:extLst>
                    </a:blip>
                    <a:srcRect/>
                    <a:stretch>
                      <a:fillRect/>
                    </a:stretch>
                  </pic:blipFill>
                  <pic:spPr bwMode="auto">
                    <a:xfrm>
                      <a:off x="0" y="0"/>
                      <a:ext cx="2785745" cy="8890"/>
                    </a:xfrm>
                    <a:prstGeom prst="rect">
                      <a:avLst/>
                    </a:prstGeom>
                    <a:noFill/>
                  </pic:spPr>
                </pic:pic>
              </a:graphicData>
            </a:graphic>
          </wp:anchor>
        </w:drawing>
      </w:r>
    </w:p>
    <w:p>
      <w:pPr>
        <w:spacing w:after="0" w:line="30"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Philip R. Gallagher</w:t>
      </w:r>
    </w:p>
    <w:p>
      <w:pPr>
        <w:spacing w:after="0" w:line="50"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675005</wp:posOffset>
            </wp:positionV>
            <wp:extent cx="565785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405" w:right="1440" w:bottom="1440" w:gutter="0" w:footer="0" w:header="0"/>
        </w:sectPr>
      </w:pPr>
    </w:p>
    <w:bookmarkStart w:id="30" w:name="page31"/>
    <w:bookmarkEnd w:id="30"/>
    <w:p>
      <w:pPr>
        <w:jc w:val="right"/>
        <w:ind w:right="59"/>
        <w:spacing w:after="0"/>
        <w:rPr>
          <w:sz w:val="20"/>
          <w:szCs w:val="20"/>
          <w:color w:val="auto"/>
        </w:rPr>
      </w:pPr>
      <w:r>
        <w:rPr>
          <w:rFonts w:ascii="Arial" w:cs="Arial" w:eastAsia="Arial" w:hAnsi="Arial"/>
          <w:sz w:val="18"/>
          <w:szCs w:val="18"/>
          <w:b w:val="1"/>
          <w:bCs w:val="1"/>
          <w:color w:val="auto"/>
        </w:rPr>
        <w:t>Exhibit 32.2</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Certification of Chief Financial Officer Pursuant to 18 U.S.C. Section 1350</w:t>
      </w:r>
    </w:p>
    <w:p>
      <w:pPr>
        <w:spacing w:after="0" w:line="5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162" w:lineRule="exact"/>
        <w:rPr>
          <w:sz w:val="20"/>
          <w:szCs w:val="20"/>
          <w:color w:val="auto"/>
        </w:rPr>
      </w:pPr>
    </w:p>
    <w:p>
      <w:pPr>
        <w:ind w:left="40"/>
        <w:spacing w:after="0"/>
        <w:rPr>
          <w:sz w:val="20"/>
          <w:szCs w:val="20"/>
          <w:color w:val="auto"/>
        </w:rPr>
      </w:pPr>
      <w:r>
        <w:rPr>
          <w:rFonts w:ascii="Arial" w:cs="Arial" w:eastAsia="Arial" w:hAnsi="Arial"/>
          <w:sz w:val="16"/>
          <w:szCs w:val="16"/>
          <w:color w:val="auto"/>
        </w:rPr>
        <w:t>In connection with the Quarterly Report on Form 10-Q for the period ended October 1, 2022 (the “Report”), I, Kenneth A.</w:t>
      </w:r>
    </w:p>
    <w:p>
      <w:pPr>
        <w:spacing w:after="0" w:line="73" w:lineRule="exact"/>
        <w:rPr>
          <w:sz w:val="20"/>
          <w:szCs w:val="20"/>
          <w:color w:val="auto"/>
        </w:rPr>
      </w:pPr>
    </w:p>
    <w:p>
      <w:pPr>
        <w:ind w:left="40"/>
        <w:spacing w:after="0"/>
        <w:rPr>
          <w:sz w:val="20"/>
          <w:szCs w:val="20"/>
          <w:color w:val="auto"/>
        </w:rPr>
      </w:pPr>
      <w:r>
        <w:rPr>
          <w:rFonts w:ascii="Arial" w:cs="Arial" w:eastAsia="Arial" w:hAnsi="Arial"/>
          <w:sz w:val="18"/>
          <w:szCs w:val="18"/>
          <w:color w:val="auto"/>
        </w:rPr>
        <w:t>Jacobson, Chief Financial Officer of Avnet, Inc. (the “Company”) hereby certify that:</w:t>
      </w:r>
    </w:p>
    <w:p>
      <w:pPr>
        <w:spacing w:after="0" w:line="158" w:lineRule="exact"/>
        <w:rPr>
          <w:sz w:val="20"/>
          <w:szCs w:val="20"/>
          <w:color w:val="auto"/>
        </w:rPr>
      </w:pPr>
    </w:p>
    <w:p>
      <w:pPr>
        <w:ind w:left="700" w:right="699" w:hanging="332"/>
        <w:spacing w:after="0" w:line="324" w:lineRule="auto"/>
        <w:tabs>
          <w:tab w:leader="none" w:pos="7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as applicable, of the Securities Exchange Act of 1934; and</w:t>
      </w:r>
    </w:p>
    <w:p>
      <w:pPr>
        <w:spacing w:after="0" w:line="62" w:lineRule="exact"/>
        <w:rPr>
          <w:rFonts w:ascii="Arial" w:cs="Arial" w:eastAsia="Arial" w:hAnsi="Arial"/>
          <w:sz w:val="18"/>
          <w:szCs w:val="18"/>
          <w:color w:val="auto"/>
        </w:rPr>
      </w:pPr>
    </w:p>
    <w:p>
      <w:pPr>
        <w:ind w:left="700" w:right="119" w:hanging="332"/>
        <w:spacing w:after="0" w:line="324" w:lineRule="auto"/>
        <w:tabs>
          <w:tab w:leader="none" w:pos="7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11"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 October 28, 2022</w:t>
      </w:r>
    </w:p>
    <w:p>
      <w:pPr>
        <w:spacing w:after="0" w:line="252" w:lineRule="exact"/>
        <w:rPr>
          <w:sz w:val="20"/>
          <w:szCs w:val="20"/>
          <w:color w:val="auto"/>
        </w:rPr>
      </w:pPr>
    </w:p>
    <w:p>
      <w:pPr>
        <w:ind w:left="4600"/>
        <w:spacing w:after="0"/>
        <w:rPr>
          <w:sz w:val="20"/>
          <w:szCs w:val="20"/>
          <w:color w:val="auto"/>
        </w:rPr>
      </w:pPr>
      <w:r>
        <w:rPr>
          <w:rFonts w:ascii="Arial" w:cs="Arial" w:eastAsia="Arial" w:hAnsi="Arial"/>
          <w:sz w:val="18"/>
          <w:szCs w:val="18"/>
          <w:color w:val="auto"/>
        </w:rPr>
        <w:t>/s/ KENNETH A. JACOBSON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2885440</wp:posOffset>
            </wp:positionH>
            <wp:positionV relativeFrom="paragraph">
              <wp:posOffset>23495</wp:posOffset>
            </wp:positionV>
            <wp:extent cx="280289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8">
                      <a:extLst>
                        <a:ext uri="{28A0092B-C50C-407E-A947-70E740481C1C}"/>
                      </a:extLst>
                    </a:blip>
                    <a:srcRect/>
                    <a:stretch>
                      <a:fillRect/>
                    </a:stretch>
                  </pic:blipFill>
                  <pic:spPr bwMode="auto">
                    <a:xfrm>
                      <a:off x="0" y="0"/>
                      <a:ext cx="2802890" cy="8890"/>
                    </a:xfrm>
                    <a:prstGeom prst="rect">
                      <a:avLst/>
                    </a:prstGeom>
                    <a:noFill/>
                  </pic:spPr>
                </pic:pic>
              </a:graphicData>
            </a:graphic>
          </wp:anchor>
        </w:drawing>
      </w:r>
    </w:p>
    <w:p>
      <w:pPr>
        <w:spacing w:after="0" w:line="30" w:lineRule="exact"/>
        <w:rPr>
          <w:sz w:val="20"/>
          <w:szCs w:val="20"/>
          <w:color w:val="auto"/>
        </w:rPr>
      </w:pPr>
    </w:p>
    <w:p>
      <w:pPr>
        <w:ind w:left="4600"/>
        <w:spacing w:after="0"/>
        <w:rPr>
          <w:sz w:val="20"/>
          <w:szCs w:val="20"/>
          <w:color w:val="auto"/>
        </w:rPr>
      </w:pPr>
      <w:r>
        <w:rPr>
          <w:rFonts w:ascii="Arial" w:cs="Arial" w:eastAsia="Arial" w:hAnsi="Arial"/>
          <w:sz w:val="18"/>
          <w:szCs w:val="18"/>
          <w:color w:val="auto"/>
        </w:rPr>
        <w:t>Kenneth A. Jacobson</w:t>
      </w:r>
    </w:p>
    <w:p>
      <w:pPr>
        <w:spacing w:after="0" w:line="50" w:lineRule="exact"/>
        <w:rPr>
          <w:sz w:val="20"/>
          <w:szCs w:val="20"/>
          <w:color w:val="auto"/>
        </w:rPr>
      </w:pPr>
    </w:p>
    <w:p>
      <w:pPr>
        <w:ind w:left="4600"/>
        <w:spacing w:after="0"/>
        <w:rPr>
          <w:sz w:val="20"/>
          <w:szCs w:val="20"/>
          <w:color w:val="auto"/>
        </w:rPr>
      </w:pPr>
      <w:r>
        <w:rPr>
          <w:rFonts w:ascii="Arial" w:cs="Arial" w:eastAsia="Arial" w:hAnsi="Arial"/>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675005</wp:posOffset>
            </wp:positionV>
            <wp:extent cx="565785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sectPr>
      <w:pgSz w:w="11900" w:h="16838" w:orient="portrait"/>
      <w:cols w:equalWidth="0" w:num="1">
        <w:col w:w="9019"/>
      </w:cols>
      <w:pgMar w:left="1440" w:top="40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45E146"/>
    <w:multiLevelType w:val="hybridMultilevel"/>
    <w:lvl w:ilvl="0">
      <w:lvlJc w:val="left"/>
      <w:lvlText w:val="☒"/>
      <w:numFmt w:val="bullet"/>
      <w:start w:val="1"/>
    </w:lvl>
  </w:abstractNum>
  <w:abstractNum w:abstractNumId="1">
    <w:nsid w:val="515F007C"/>
    <w:multiLevelType w:val="hybridMultilevel"/>
    <w:lvl w:ilvl="0">
      <w:lvlJc w:val="left"/>
      <w:lvlText w:val="☐"/>
      <w:numFmt w:val="bullet"/>
      <w:start w:val="1"/>
    </w:lvl>
  </w:abstractNum>
  <w:abstractNum w:abstractNumId="2">
    <w:nsid w:val="5BD062C2"/>
    <w:multiLevelType w:val="hybridMultilevel"/>
    <w:lvl w:ilvl="0">
      <w:lvlJc w:val="left"/>
      <w:lvlText w:val="(%1)"/>
      <w:numFmt w:val="decimal"/>
      <w:start w:val="1"/>
    </w:lvl>
  </w:abstractNum>
  <w:abstractNum w:abstractNumId="3">
    <w:nsid w:val="12200854"/>
    <w:multiLevelType w:val="hybridMultilevel"/>
    <w:lvl w:ilvl="0">
      <w:lvlJc w:val="left"/>
      <w:lvlText w:val="%1."/>
      <w:numFmt w:val="decimal"/>
      <w:start w:val="10"/>
    </w:lvl>
  </w:abstractNum>
  <w:abstractNum w:abstractNumId="4">
    <w:nsid w:val="4DB127F8"/>
    <w:multiLevelType w:val="hybridMultilevel"/>
    <w:lvl w:ilvl="0">
      <w:lvlJc w:val="left"/>
      <w:lvlText w:val="(%1)"/>
      <w:numFmt w:val="decimal"/>
      <w:start w:val="1"/>
    </w:lvl>
  </w:abstractNum>
  <w:abstractNum w:abstractNumId="5">
    <w:nsid w:val="216231B"/>
    <w:multiLevelType w:val="hybridMultilevel"/>
    <w:lvl w:ilvl="0">
      <w:lvlJc w:val="left"/>
      <w:lvlText w:val="(%1)"/>
      <w:numFmt w:val="decimal"/>
      <w:start w:val="1"/>
    </w:lvl>
  </w:abstractNum>
  <w:abstractNum w:abstractNumId="6">
    <w:nsid w:val="1F16E9E8"/>
    <w:multiLevelType w:val="hybridMultilevel"/>
    <w:lvl w:ilvl="0">
      <w:lvlJc w:val="left"/>
      <w:lvlText w:val="●"/>
      <w:numFmt w:val="bullet"/>
      <w:start w:val="1"/>
    </w:lvl>
  </w:abstractNum>
  <w:abstractNum w:abstractNumId="7">
    <w:nsid w:val="1190CDE7"/>
    <w:multiLevelType w:val="hybridMultilevel"/>
    <w:lvl w:ilvl="0">
      <w:lvlJc w:val="left"/>
      <w:lvlText w:val="●"/>
      <w:numFmt w:val="bullet"/>
      <w:start w:val="1"/>
    </w:lvl>
  </w:abstractNum>
  <w:abstractNum w:abstractNumId="8">
    <w:nsid w:val="66EF438D"/>
    <w:multiLevelType w:val="hybridMultilevel"/>
    <w:lvl w:ilvl="0">
      <w:lvlJc w:val="left"/>
      <w:lvlText w:val="(%1)"/>
      <w:numFmt w:val="lowerRoman"/>
      <w:start w:val="1"/>
    </w:lvl>
  </w:abstractNum>
  <w:abstractNum w:abstractNumId="9">
    <w:nsid w:val="140E0F76"/>
    <w:multiLevelType w:val="hybridMultilevel"/>
    <w:lvl w:ilvl="0">
      <w:lvlJc w:val="left"/>
      <w:lvlText w:val="*"/>
      <w:numFmt w:val="bullet"/>
      <w:start w:val="1"/>
    </w:lvl>
  </w:abstractNum>
  <w:abstractNum w:abstractNumId="10">
    <w:nsid w:val="3352255A"/>
    <w:multiLevelType w:val="hybridMultilevel"/>
    <w:lvl w:ilvl="0">
      <w:lvlJc w:val="left"/>
      <w:lvlText w:val="**"/>
      <w:numFmt w:val="bullet"/>
      <w:start w:val="1"/>
    </w:lvl>
  </w:abstractNum>
  <w:abstractNum w:abstractNumId="11">
    <w:nsid w:val="109CF92E"/>
    <w:multiLevelType w:val="hybridMultilevel"/>
    <w:lvl w:ilvl="0">
      <w:lvlJc w:val="left"/>
      <w:lvlText w:val="%1."/>
      <w:numFmt w:val="decimal"/>
      <w:start w:val="1"/>
    </w:lvl>
    <w:lvl w:ilvl="1">
      <w:lvlJc w:val="left"/>
      <w:lvlText w:val="%2."/>
      <w:numFmt w:val="lowerLetter"/>
      <w:start w:val="1"/>
    </w:lvl>
  </w:abstractNum>
  <w:abstractNum w:abstractNumId="12">
    <w:nsid w:val="DED7263"/>
    <w:multiLevelType w:val="hybridMultilevel"/>
    <w:lvl w:ilvl="0">
      <w:lvlJc w:val="left"/>
      <w:lvlText w:val="%1."/>
      <w:numFmt w:val="decimal"/>
      <w:start w:val="1"/>
    </w:lvl>
    <w:lvl w:ilvl="1">
      <w:lvlJc w:val="left"/>
      <w:lvlText w:val="%2."/>
      <w:numFmt w:val="lowerLetter"/>
      <w:start w:val="1"/>
    </w:lvl>
  </w:abstractNum>
  <w:abstractNum w:abstractNumId="13">
    <w:nsid w:val="7FDCC233"/>
    <w:multiLevelType w:val="hybridMultilevel"/>
    <w:lvl w:ilvl="0">
      <w:lvlJc w:val="left"/>
      <w:lvlText w:val="%1."/>
      <w:numFmt w:val="decimal"/>
      <w:start w:val="1"/>
    </w:lvl>
  </w:abstractNum>
  <w:abstractNum w:abstractNumId="14">
    <w:nsid w:val="1BEFD79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8" Type="http://schemas.openxmlformats.org/officeDocument/2006/relationships/image" Target="media/image39.png"/><Relationship Id="rId49" Type="http://schemas.openxmlformats.org/officeDocument/2006/relationships/image" Target="media/image40.png"/><Relationship Id="rId50" Type="http://schemas.openxmlformats.org/officeDocument/2006/relationships/image" Target="media/image41.png"/><Relationship Id="rId51" Type="http://schemas.openxmlformats.org/officeDocument/2006/relationships/image" Target="media/image42.png"/><Relationship Id="rId52" Type="http://schemas.openxmlformats.org/officeDocument/2006/relationships/image" Target="media/image43.png"/><Relationship Id="rId53" Type="http://schemas.openxmlformats.org/officeDocument/2006/relationships/image" Target="media/image44.png"/><Relationship Id="rId54" Type="http://schemas.openxmlformats.org/officeDocument/2006/relationships/image" Target="media/image45.png"/><Relationship Id="rId55" Type="http://schemas.openxmlformats.org/officeDocument/2006/relationships/image" Target="media/image46.png"/><Relationship Id="rId56" Type="http://schemas.openxmlformats.org/officeDocument/2006/relationships/image" Target="media/image47.png"/><Relationship Id="rId57" Type="http://schemas.openxmlformats.org/officeDocument/2006/relationships/image" Target="media/image48.png"/><Relationship Id="rId58" Type="http://schemas.openxmlformats.org/officeDocument/2006/relationships/image" Target="media/image49.png"/><Relationship Id="rId59" Type="http://schemas.openxmlformats.org/officeDocument/2006/relationships/image" Target="media/image50.png"/><Relationship Id="rId46" Type="http://schemas.openxmlformats.org/officeDocument/2006/relationships/hyperlink" Target="https://www.sec.gov/Archives/edgar/data/8858/000110465922097851/tm2225127d1_ex10-2.htm" TargetMode="External"/><Relationship Id="rId47" Type="http://schemas.openxmlformats.org/officeDocument/2006/relationships/hyperlink" Target="https://www.sec.gov/Archives/edgar/data/8858/000110465922085620/tm2222423d1_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2022-10-28T05:47:06Z</dcterms:created>
  <dcterms:modified xsi:type="dcterms:W3CDTF">2022-10-28T05:47:06Z</dcterms:modified>
</cp:coreProperties>
</file>