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5779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109220</wp:posOffset>
            </wp:positionV>
            <wp:extent cx="65779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158750</wp:posOffset>
            </wp:positionV>
            <wp:extent cx="16376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92710</wp:posOffset>
            </wp:positionV>
            <wp:extent cx="16376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665"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520" w:hanging="519"/>
        <w:spacing w:after="0"/>
        <w:tabs>
          <w:tab w:leader="none" w:pos="52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29, 2018</w:t>
      </w:r>
    </w:p>
    <w:p>
      <w:pPr>
        <w:spacing w:after="0" w:line="225" w:lineRule="exact"/>
        <w:rPr>
          <w:sz w:val="24"/>
          <w:szCs w:val="24"/>
          <w:color w:val="auto"/>
        </w:rPr>
      </w:pPr>
    </w:p>
    <w:p>
      <w:pPr>
        <w:ind w:left="520" w:hanging="519"/>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36" w:lineRule="exact"/>
        <w:rPr>
          <w:rFonts w:ascii="MS PGothic" w:cs="MS PGothic" w:eastAsia="MS PGothic" w:hAnsi="MS PGothic"/>
          <w:sz w:val="17"/>
          <w:szCs w:val="17"/>
          <w:color w:val="auto"/>
          <w:highlight w:val="black"/>
        </w:rPr>
      </w:pPr>
    </w:p>
    <w:p>
      <w:pPr>
        <w:ind w:left="342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For the transition period from _____ to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85725</wp:posOffset>
            </wp:positionV>
            <wp:extent cx="1637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AVNET,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360"/>
          </w:cols>
          <w:pgMar w:left="780" w:top="233" w:right="759" w:bottom="1440" w:gutter="0" w:footer="0" w:header="0"/>
        </w:sectPr>
      </w:pPr>
    </w:p>
    <w:p>
      <w:pPr>
        <w:spacing w:after="0" w:line="111" w:lineRule="exact"/>
        <w:rPr>
          <w:sz w:val="24"/>
          <w:szCs w:val="24"/>
          <w:color w:val="auto"/>
        </w:rPr>
      </w:pPr>
    </w:p>
    <w:p>
      <w:pPr>
        <w:jc w:val="center"/>
        <w:ind w:right="410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41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jc w:val="center"/>
        <w:ind w:right="41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11-1890605</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2">
            <w:col w:w="7400" w:space="720"/>
            <w:col w:w="2240"/>
          </w:cols>
          <w:pgMar w:left="780" w:top="233" w:right="759" w:bottom="1440" w:gutter="0" w:footer="0" w:header="0"/>
          <w:type w:val="continuous"/>
        </w:sectPr>
      </w:pPr>
    </w:p>
    <w:p>
      <w:pPr>
        <w:spacing w:after="0" w:line="20" w:lineRule="exact"/>
        <w:rPr>
          <w:sz w:val="24"/>
          <w:szCs w:val="24"/>
          <w:color w:val="auto"/>
        </w:rPr>
      </w:pPr>
    </w:p>
    <w:p>
      <w:pPr>
        <w:jc w:val="center"/>
        <w:ind w:right="1680"/>
        <w:spacing w:after="0"/>
        <w:rPr>
          <w:sz w:val="20"/>
          <w:szCs w:val="20"/>
          <w:color w:val="auto"/>
        </w:rPr>
      </w:pPr>
      <w:r>
        <w:rPr>
          <w:rFonts w:ascii="Arial" w:cs="Arial" w:eastAsia="Arial" w:hAnsi="Arial"/>
          <w:sz w:val="16"/>
          <w:szCs w:val="16"/>
          <w:b w:val="1"/>
          <w:bCs w:val="1"/>
          <w:color w:val="auto"/>
        </w:rPr>
        <w:t>2211 South 47th Street, Phoenix, Arizona</w:t>
      </w:r>
    </w:p>
    <w:p>
      <w:pPr>
        <w:spacing w:after="0" w:line="50" w:lineRule="exact"/>
        <w:rPr>
          <w:sz w:val="24"/>
          <w:szCs w:val="24"/>
          <w:color w:val="auto"/>
        </w:rPr>
      </w:pPr>
    </w:p>
    <w:p>
      <w:pPr>
        <w:jc w:val="center"/>
        <w:ind w:right="16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8"/>
          <w:szCs w:val="18"/>
          <w:b w:val="1"/>
          <w:bCs w:val="1"/>
          <w:color w:val="auto"/>
        </w:rPr>
        <w:t>85034</w:t>
      </w:r>
    </w:p>
    <w:p>
      <w:pPr>
        <w:spacing w:after="0" w:line="27" w:lineRule="exact"/>
        <w:rPr>
          <w:sz w:val="24"/>
          <w:szCs w:val="24"/>
          <w:color w:val="auto"/>
        </w:rPr>
      </w:pPr>
    </w:p>
    <w:p>
      <w:pPr>
        <w:jc w:val="center"/>
        <w:ind w:right="2100"/>
        <w:spacing w:after="0"/>
        <w:rPr>
          <w:sz w:val="20"/>
          <w:szCs w:val="20"/>
          <w:color w:val="auto"/>
        </w:rPr>
      </w:pPr>
      <w:r>
        <w:rPr>
          <w:rFonts w:ascii="Arial" w:cs="Arial" w:eastAsia="Arial" w:hAnsi="Arial"/>
          <w:sz w:val="16"/>
          <w:szCs w:val="16"/>
          <w:color w:val="auto"/>
        </w:rPr>
        <w:t>(Zip Code)</w:t>
      </w:r>
    </w:p>
    <w:p>
      <w:pPr>
        <w:spacing w:after="0" w:line="125" w:lineRule="exact"/>
        <w:rPr>
          <w:sz w:val="24"/>
          <w:szCs w:val="24"/>
          <w:color w:val="auto"/>
        </w:rPr>
      </w:pPr>
    </w:p>
    <w:p>
      <w:pPr>
        <w:sectPr>
          <w:pgSz w:w="11900" w:h="16838" w:orient="portrait"/>
          <w:cols w:equalWidth="0" w:num="2">
            <w:col w:w="6740" w:space="720"/>
            <w:col w:w="2900"/>
          </w:cols>
          <w:pgMar w:left="780" w:top="233" w:right="759" w:bottom="1440" w:gutter="0" w:footer="0" w:header="0"/>
          <w:type w:val="continuous"/>
        </w:sectPr>
      </w:pPr>
    </w:p>
    <w:p>
      <w:pPr>
        <w:jc w:val="center"/>
        <w:ind w:right="20"/>
        <w:spacing w:after="0"/>
        <w:rPr>
          <w:sz w:val="20"/>
          <w:szCs w:val="20"/>
          <w:color w:val="auto"/>
        </w:rPr>
      </w:pPr>
      <w:r>
        <w:rPr>
          <w:rFonts w:ascii="Arial" w:cs="Arial" w:eastAsia="Arial" w:hAnsi="Arial"/>
          <w:sz w:val="18"/>
          <w:szCs w:val="18"/>
          <w:color w:val="auto"/>
        </w:rPr>
        <w:t>(480) 643-2000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16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0360"/>
          </w:cols>
          <w:pgMar w:left="780" w:top="233" w:right="759" w:bottom="1440" w:gutter="0" w:footer="0" w:header="0"/>
          <w:type w:val="continuous"/>
        </w:sectPr>
      </w:pP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168910</wp:posOffset>
            </wp:positionV>
            <wp:extent cx="16376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665" cy="17145"/>
                    </a:xfrm>
                    <a:prstGeom prst="rect">
                      <a:avLst/>
                    </a:prstGeom>
                    <a:noFill/>
                  </pic:spPr>
                </pic:pic>
              </a:graphicData>
            </a:graphic>
          </wp:anchor>
        </w:drawing>
      </w:r>
    </w:p>
    <w:p>
      <w:pPr>
        <w:spacing w:after="0" w:line="366" w:lineRule="exact"/>
        <w:rPr>
          <w:sz w:val="24"/>
          <w:szCs w:val="24"/>
          <w:color w:val="auto"/>
        </w:rPr>
      </w:pPr>
    </w:p>
    <w:p>
      <w:pPr>
        <w:jc w:val="both"/>
        <w:ind w:right="20" w:firstLine="427"/>
        <w:spacing w:after="0" w:line="271"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ind w:firstLine="432"/>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4"/>
          <w:szCs w:val="24"/>
          <w:color w:val="auto"/>
        </w:rPr>
      </w:pPr>
    </w:p>
    <w:p>
      <w:pPr>
        <w:jc w:val="both"/>
        <w:ind w:firstLine="427"/>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60"/>
          </w:cols>
          <w:pgMar w:left="780" w:top="233" w:right="759" w:bottom="1440" w:gutter="0" w:footer="0" w:header="0"/>
          <w:type w:val="continuous"/>
        </w:sectPr>
      </w:pPr>
    </w:p>
    <w:p>
      <w:pPr>
        <w:spacing w:after="0" w:line="41"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6120" w:space="720"/>
            <w:col w:w="3520"/>
          </w:cols>
          <w:pgMar w:left="780" w:top="233" w:right="759" w:bottom="1440" w:gutter="0" w:footer="0" w:header="0"/>
          <w:type w:val="continuous"/>
        </w:sectPr>
      </w:pPr>
    </w:p>
    <w:p>
      <w:pPr>
        <w:ind w:left="1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18"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94" w:lineRule="exact"/>
        <w:rPr>
          <w:sz w:val="24"/>
          <w:szCs w:val="24"/>
          <w:color w:val="auto"/>
        </w:rPr>
      </w:pPr>
    </w:p>
    <w:p>
      <w:pPr>
        <w:sectPr>
          <w:pgSz w:w="11900" w:h="16838" w:orient="portrait"/>
          <w:cols w:equalWidth="0" w:num="2">
            <w:col w:w="6120" w:space="720"/>
            <w:col w:w="3520"/>
          </w:cols>
          <w:pgMar w:left="780" w:top="233" w:right="759" w:bottom="1440" w:gutter="0" w:footer="0" w:header="0"/>
          <w:type w:val="continuous"/>
        </w:sectPr>
      </w:pPr>
    </w:p>
    <w:p>
      <w:pPr>
        <w:ind w:right="20" w:firstLine="427"/>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ind w:left="4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1" w:lineRule="exact"/>
        <w:rPr>
          <w:sz w:val="24"/>
          <w:szCs w:val="24"/>
          <w:color w:val="auto"/>
        </w:rPr>
      </w:pPr>
    </w:p>
    <w:p>
      <w:pPr>
        <w:ind w:right="20" w:firstLine="427"/>
        <w:spacing w:after="0" w:line="277" w:lineRule="auto"/>
        <w:rPr>
          <w:sz w:val="20"/>
          <w:szCs w:val="20"/>
          <w:color w:val="auto"/>
        </w:rPr>
      </w:pPr>
      <w:r>
        <w:rPr>
          <w:rFonts w:ascii="Arial" w:cs="Arial" w:eastAsia="Arial" w:hAnsi="Arial"/>
          <w:sz w:val="18"/>
          <w:szCs w:val="18"/>
          <w:color w:val="auto"/>
        </w:rPr>
        <w:t>As of January 17, 2019, the total number of shares outstanding of the registrant’s Common Stock was 108,427,879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5779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91440</wp:posOffset>
            </wp:positionV>
            <wp:extent cx="6577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717550</wp:posOffset>
            </wp:positionV>
            <wp:extent cx="65779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7965" cy="17145"/>
                    </a:xfrm>
                    <a:prstGeom prst="rect">
                      <a:avLst/>
                    </a:prstGeom>
                    <a:noFill/>
                  </pic:spPr>
                </pic:pic>
              </a:graphicData>
            </a:graphic>
          </wp:anchor>
        </w:drawing>
      </w:r>
    </w:p>
    <w:p>
      <w:pPr>
        <w:sectPr>
          <w:pgSz w:w="11900" w:h="16838" w:orient="portrait"/>
          <w:cols w:equalWidth="0" w:num="1">
            <w:col w:w="10360"/>
          </w:cols>
          <w:pgMar w:left="780" w:top="233" w:right="7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140" w:type="dxa"/>
            <w:vAlign w:val="bottom"/>
            <w:gridSpan w:val="26"/>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60" w:type="dxa"/>
            <w:vAlign w:val="bottom"/>
            <w:tcBorders>
              <w:top w:val="single" w:sz="8" w:color="0563C1"/>
            </w:tcBorders>
          </w:tcPr>
          <w:p>
            <w:pPr>
              <w:spacing w:after="0"/>
              <w:rPr>
                <w:sz w:val="24"/>
                <w:szCs w:val="24"/>
                <w:color w:val="auto"/>
              </w:rPr>
            </w:pPr>
          </w:p>
        </w:tc>
        <w:tc>
          <w:tcPr>
            <w:tcW w:w="3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3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gridSpan w:val="12"/>
          </w:tcPr>
          <w:p>
            <w:pPr>
              <w:jc w:val="center"/>
              <w:ind w:right="1840"/>
              <w:spacing w:after="0"/>
              <w:rPr>
                <w:sz w:val="20"/>
                <w:szCs w:val="20"/>
                <w:color w:val="auto"/>
              </w:rPr>
            </w:pPr>
            <w:r>
              <w:rPr>
                <w:rFonts w:ascii="Arial" w:cs="Arial" w:eastAsia="Arial" w:hAnsi="Arial"/>
                <w:sz w:val="18"/>
                <w:szCs w:val="18"/>
                <w:b w:val="1"/>
                <w:bCs w:val="1"/>
                <w:color w:val="auto"/>
                <w:w w:val="99"/>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gridSpan w:val="10"/>
          </w:tcPr>
          <w:p>
            <w:pPr>
              <w:jc w:val="center"/>
              <w:ind w:right="276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8"/>
            <w:vMerge w:val="restart"/>
          </w:tcPr>
          <w:p>
            <w:pPr>
              <w:jc w:val="cente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2640" w:type="dxa"/>
            <w:vAlign w:val="bottom"/>
            <w:gridSpan w:val="5"/>
            <w:vMerge w:val="restart"/>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tcBorders>
              <w:bottom w:val="single" w:sz="8" w:color="0000EE"/>
            </w:tcBorders>
            <w:gridSpan w:val="8"/>
            <w:vMerge w:val="continue"/>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20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020" w:type="dxa"/>
            <w:vAlign w:val="bottom"/>
            <w:gridSpan w:val="16"/>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at December 29, 2018 and June 30, 2018</w:t>
              </w:r>
            </w:hyperlink>
          </w:p>
        </w:tc>
        <w:tc>
          <w:tcPr>
            <w:tcW w:w="268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58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second quarters and six months ended December 29, 2018</w:t>
              </w:r>
            </w:hyperlink>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Borders>
              <w:bottom w:val="single" w:sz="8" w:color="0000EE"/>
            </w:tcBorders>
            <w:gridSpan w:val="8"/>
          </w:tcPr>
          <w:p>
            <w:pPr>
              <w:spacing w:after="0" w:line="182"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and December 30, 2017</w:t>
              </w:r>
            </w:hyperlink>
          </w:p>
        </w:tc>
        <w:tc>
          <w:tcPr>
            <w:tcW w:w="5900" w:type="dxa"/>
            <w:vAlign w:val="bottom"/>
            <w:gridSpan w:val="15"/>
          </w:tcPr>
          <w:p>
            <w:pPr>
              <w:spacing w:after="0"/>
              <w:rPr>
                <w:sz w:val="17"/>
                <w:szCs w:val="17"/>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4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for the second quarters and six months ended</w:t>
              </w:r>
            </w:hyperlink>
          </w:p>
        </w:tc>
        <w:tc>
          <w:tcPr>
            <w:tcW w:w="72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20" w:type="dxa"/>
            <w:vAlign w:val="bottom"/>
            <w:gridSpan w:val="23"/>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December 29, 2018 and December 30, 2017</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52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six months ended December 29, 2018 and December 30,</w:t>
              </w:r>
            </w:hyperlink>
          </w:p>
        </w:tc>
        <w:tc>
          <w:tcPr>
            <w:tcW w:w="24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gridSpan w:val="4"/>
          </w:tcPr>
          <w:p>
            <w:pPr>
              <w:ind w:left="520"/>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2017</w:t>
              </w:r>
            </w:hyperlink>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4600" w:type="dxa"/>
            <w:vAlign w:val="bottom"/>
            <w:gridSpan w:val="1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702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1"/>
              </w:rPr>
              <w:t>Item 2. Management’s Discussion and Analysis of Financial Condition and Results of Operations</w:t>
            </w:r>
          </w:p>
        </w:tc>
        <w:tc>
          <w:tcPr>
            <w:tcW w:w="106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92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Item 3. Quantitative and Qualitative Disclosures About Market Risk</w:t>
              </w:r>
            </w:hyperlink>
          </w:p>
        </w:tc>
        <w:tc>
          <w:tcPr>
            <w:tcW w:w="316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 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EE"/>
            </w:tcBorders>
            <w:gridSpan w:val="5"/>
          </w:tcPr>
          <w:p>
            <w:pPr>
              <w:jc w:val="cente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PART II. OTHER INFORMATION</w:t>
              </w:r>
            </w:hyperlink>
          </w:p>
        </w:tc>
        <w:tc>
          <w:tcPr>
            <w:tcW w:w="280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 Legal Proceedings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880" w:type="dxa"/>
            <w:vAlign w:val="bottom"/>
            <w:tcBorders>
              <w:top w:val="single" w:sz="8" w:color="0000EE"/>
            </w:tcBorders>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6200" w:type="dxa"/>
            <w:vAlign w:val="bottom"/>
            <w:gridSpan w:val="1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 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Item 6. Exhibits</w:t>
              </w:r>
            </w:hyperlink>
          </w:p>
        </w:tc>
        <w:tc>
          <w:tcPr>
            <w:tcW w:w="3740" w:type="dxa"/>
            <w:vAlign w:val="bottom"/>
            <w:tcBorders>
              <w:top w:val="single" w:sz="8" w:color="0000EE"/>
            </w:tcBorders>
            <w:gridSpan w:val="11"/>
          </w:tcPr>
          <w:p>
            <w:pPr>
              <w:spacing w:after="0"/>
              <w:rPr>
                <w:sz w:val="24"/>
                <w:szCs w:val="24"/>
                <w:color w:val="auto"/>
              </w:rPr>
            </w:pPr>
          </w:p>
        </w:tc>
        <w:tc>
          <w:tcPr>
            <w:tcW w:w="318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 Page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600" w:type="dxa"/>
            <w:vAlign w:val="bottom"/>
          </w:tcPr>
          <w:p>
            <w:pPr>
              <w:jc w:val="center"/>
              <w:ind w:left="1170"/>
              <w:spacing w:after="0"/>
              <w:rPr>
                <w:sz w:val="20"/>
                <w:szCs w:val="20"/>
                <w:color w:val="auto"/>
              </w:rPr>
            </w:pPr>
            <w:r>
              <w:rPr>
                <w:rFonts w:ascii="Arial" w:cs="Arial" w:eastAsia="Arial" w:hAnsi="Arial"/>
                <w:sz w:val="18"/>
                <w:szCs w:val="18"/>
                <w:b w:val="1"/>
                <w:bCs w:val="1"/>
                <w:color w:val="auto"/>
                <w:w w:val="98"/>
              </w:rPr>
              <w:t>PART I</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5600" w:type="dxa"/>
            <w:vAlign w:val="bottom"/>
          </w:tcPr>
          <w:p>
            <w:pPr>
              <w:jc w:val="center"/>
              <w:ind w:left="1170"/>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100" w:type="dxa"/>
            <w:vAlign w:val="bottom"/>
            <w:vMerge w:val="continue"/>
          </w:tcPr>
          <w:p>
            <w:pPr>
              <w:spacing w:after="0"/>
              <w:rPr>
                <w:sz w:val="18"/>
                <w:szCs w:val="18"/>
                <w:color w:val="auto"/>
              </w:rPr>
            </w:pPr>
          </w:p>
        </w:tc>
        <w:tc>
          <w:tcPr>
            <w:tcW w:w="5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600" w:type="dxa"/>
            <w:vAlign w:val="bottom"/>
          </w:tcPr>
          <w:p>
            <w:pPr>
              <w:jc w:val="center"/>
              <w:ind w:left="1170"/>
              <w:spacing w:after="0"/>
              <w:rPr>
                <w:sz w:val="20"/>
                <w:szCs w:val="20"/>
                <w:color w:val="auto"/>
              </w:rPr>
            </w:pPr>
            <w:r>
              <w:rPr>
                <w:rFonts w:ascii="Arial" w:cs="Arial" w:eastAsia="Arial" w:hAnsi="Arial"/>
                <w:sz w:val="18"/>
                <w:szCs w:val="18"/>
                <w:b w:val="1"/>
                <w:bCs w:val="1"/>
                <w:color w:val="auto"/>
                <w:w w:val="99"/>
              </w:rPr>
              <w:t>AVNET, INC. AND SUBSIDIARIES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60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600" w:type="dxa"/>
            <w:vAlign w:val="bottom"/>
          </w:tcPr>
          <w:p>
            <w:pPr>
              <w:jc w:val="center"/>
              <w:ind w:left="117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1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December 29,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June 30,</w:t>
            </w:r>
          </w:p>
        </w:tc>
        <w:tc>
          <w:tcPr>
            <w:tcW w:w="0" w:type="dxa"/>
            <w:vAlign w:val="bottom"/>
          </w:tcPr>
          <w:p>
            <w:pPr>
              <w:spacing w:after="0"/>
              <w:rPr>
                <w:sz w:val="1"/>
                <w:szCs w:val="1"/>
                <w:color w:val="auto"/>
              </w:rPr>
            </w:pPr>
          </w:p>
        </w:tc>
      </w:tr>
      <w:tr>
        <w:trPr>
          <w:trHeight w:val="241"/>
        </w:trPr>
        <w:tc>
          <w:tcPr>
            <w:tcW w:w="11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4"/>
          </w:tcPr>
          <w:p>
            <w:pPr>
              <w:jc w:val="right"/>
              <w:ind w:right="70"/>
              <w:spacing w:after="0" w:line="198" w:lineRule="exact"/>
              <w:rPr>
                <w:sz w:val="20"/>
                <w:szCs w:val="20"/>
                <w:color w:val="auto"/>
              </w:rPr>
            </w:pPr>
            <w:r>
              <w:rPr>
                <w:rFonts w:ascii="Arial" w:cs="Arial" w:eastAsia="Arial" w:hAnsi="Arial"/>
                <w:sz w:val="18"/>
                <w:szCs w:val="18"/>
                <w:b w:val="1"/>
                <w:bCs w:val="1"/>
                <w:color w:val="auto"/>
                <w:w w:val="88"/>
              </w:rPr>
              <w:t>(Thousands, except share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600" w:type="dxa"/>
            <w:vAlign w:val="bottom"/>
            <w:shd w:val="clear" w:color="auto" w:fill="CCEEFF"/>
          </w:tcPr>
          <w:p>
            <w:pPr>
              <w:jc w:val="center"/>
              <w:ind w:right="1210"/>
              <w:spacing w:after="0"/>
              <w:rPr>
                <w:sz w:val="20"/>
                <w:szCs w:val="20"/>
                <w:color w:val="auto"/>
              </w:rPr>
            </w:pPr>
            <w:r>
              <w:rPr>
                <w:rFonts w:ascii="Arial" w:cs="Arial" w:eastAsia="Arial" w:hAnsi="Arial"/>
                <w:sz w:val="18"/>
                <w:szCs w:val="18"/>
                <w:b w:val="1"/>
                <w:bCs w:val="1"/>
                <w:color w:val="auto"/>
                <w:w w:val="91"/>
              </w:rPr>
              <w:t>ASSETS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482,166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Receivables, less allowances of $51,668 and $48,959, respectively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3,445,807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3,641,139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3,306,299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156,451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206,513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7,390,723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7,610,599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462,914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522,909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1,010,568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184,979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4"/>
              </w:rPr>
              <w:t>Other assets</w:t>
            </w:r>
          </w:p>
        </w:tc>
        <w:tc>
          <w:tcPr>
            <w:tcW w:w="5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185,515</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262,552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9,234,699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9,596,845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600" w:type="dxa"/>
            <w:vAlign w:val="bottom"/>
            <w:shd w:val="clear" w:color="auto" w:fill="CCEEFF"/>
          </w:tcPr>
          <w:p>
            <w:pPr>
              <w:jc w:val="center"/>
              <w:ind w:right="121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Short-term debt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2,046,571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2,269,478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Accrued expenses and other</w:t>
            </w: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424,350</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534,603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2,472,766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2,969,461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1,961,467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1,489,219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391,729</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453,084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4,825,962</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4,911,764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Commitments and contingencies (Note 7)</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0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4"/>
              </w:rPr>
              <w:t>Common stock $1.00 par; authorized 300,000,000 shares; issued 108,951,222 shares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and 115,825,062 shares, respectively</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108,951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115,825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1,563,633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2,982,937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3,235,894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(246,784)</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(195,351)</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4,408,737</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4,685,081</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9,234,699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9,596,845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6"/>
          </w:tcPr>
          <w:p>
            <w:pPr>
              <w:jc w:val="right"/>
              <w:ind w:right="520"/>
              <w:spacing w:after="0"/>
              <w:rPr>
                <w:sz w:val="20"/>
                <w:szCs w:val="20"/>
                <w:color w:val="auto"/>
              </w:rPr>
            </w:pPr>
            <w:r>
              <w:rPr>
                <w:rFonts w:ascii="Arial" w:cs="Arial" w:eastAsia="Arial" w:hAnsi="Arial"/>
                <w:sz w:val="16"/>
                <w:szCs w:val="16"/>
                <w:b w:val="1"/>
                <w:bCs w:val="1"/>
                <w:color w:val="auto"/>
                <w:w w:val="97"/>
              </w:rPr>
              <w:t>Second Quarters Ended</w:t>
            </w:r>
          </w:p>
        </w:tc>
        <w:tc>
          <w:tcPr>
            <w:tcW w:w="200" w:type="dxa"/>
            <w:vAlign w:val="bottom"/>
          </w:tcPr>
          <w:p>
            <w:pPr>
              <w:spacing w:after="0"/>
              <w:rPr>
                <w:sz w:val="19"/>
                <w:szCs w:val="19"/>
                <w:color w:val="auto"/>
              </w:rPr>
            </w:pPr>
          </w:p>
        </w:tc>
        <w:tc>
          <w:tcPr>
            <w:tcW w:w="2240" w:type="dxa"/>
            <w:vAlign w:val="bottom"/>
            <w:gridSpan w:val="6"/>
          </w:tcPr>
          <w:p>
            <w:pPr>
              <w:ind w:left="380"/>
              <w:spacing w:after="0"/>
              <w:rPr>
                <w:sz w:val="20"/>
                <w:szCs w:val="20"/>
                <w:color w:val="auto"/>
              </w:rPr>
            </w:pPr>
            <w:r>
              <w:rPr>
                <w:rFonts w:ascii="Arial" w:cs="Arial" w:eastAsia="Arial" w:hAnsi="Arial"/>
                <w:sz w:val="16"/>
                <w:szCs w:val="16"/>
                <w:b w:val="1"/>
                <w:bCs w:val="1"/>
                <w:color w:val="auto"/>
              </w:rPr>
              <w:t>Six Months Ended</w:t>
            </w:r>
          </w:p>
        </w:tc>
      </w:tr>
      <w:tr>
        <w:trPr>
          <w:trHeight w:val="189"/>
        </w:trPr>
        <w:tc>
          <w:tcPr>
            <w:tcW w:w="3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96"/>
              </w:rPr>
              <w:t>December 29,</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December 30,</w:t>
            </w:r>
          </w:p>
        </w:tc>
        <w:tc>
          <w:tcPr>
            <w:tcW w:w="160" w:type="dxa"/>
            <w:vAlign w:val="bottom"/>
          </w:tcPr>
          <w:p>
            <w:pPr>
              <w:spacing w:after="0"/>
              <w:rPr>
                <w:sz w:val="16"/>
                <w:szCs w:val="16"/>
                <w:color w:val="auto"/>
              </w:rPr>
            </w:pPr>
          </w:p>
        </w:tc>
        <w:tc>
          <w:tcPr>
            <w:tcW w:w="130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6"/>
                <w:szCs w:val="16"/>
                <w:b w:val="1"/>
                <w:bCs w:val="1"/>
                <w:color w:val="auto"/>
                <w:w w:val="96"/>
              </w:rPr>
              <w:t>December 29,</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December 30,</w:t>
            </w:r>
          </w:p>
        </w:tc>
        <w:tc>
          <w:tcPr>
            <w:tcW w:w="20" w:type="dxa"/>
            <w:vAlign w:val="bottom"/>
          </w:tcPr>
          <w:p>
            <w:pPr>
              <w:spacing w:after="0"/>
              <w:rPr>
                <w:sz w:val="16"/>
                <w:szCs w:val="16"/>
                <w:color w:val="auto"/>
              </w:rPr>
            </w:pPr>
          </w:p>
        </w:tc>
      </w:tr>
      <w:tr>
        <w:trPr>
          <w:trHeight w:val="223"/>
        </w:trPr>
        <w:tc>
          <w:tcPr>
            <w:tcW w:w="3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9"/>
                <w:szCs w:val="19"/>
                <w:color w:val="auto"/>
              </w:rPr>
            </w:pPr>
          </w:p>
        </w:tc>
      </w:tr>
      <w:tr>
        <w:trPr>
          <w:trHeight w:val="203"/>
        </w:trPr>
        <w:tc>
          <w:tcPr>
            <w:tcW w:w="3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gridSpan w:val="7"/>
          </w:tcPr>
          <w:p>
            <w:pPr>
              <w:jc w:val="right"/>
              <w:spacing w:after="0"/>
              <w:rPr>
                <w:sz w:val="20"/>
                <w:szCs w:val="20"/>
                <w:color w:val="auto"/>
              </w:rPr>
            </w:pPr>
            <w:r>
              <w:rPr>
                <w:rFonts w:ascii="Arial" w:cs="Arial" w:eastAsia="Arial" w:hAnsi="Arial"/>
                <w:sz w:val="16"/>
                <w:szCs w:val="16"/>
                <w:b w:val="1"/>
                <w:bCs w:val="1"/>
                <w:color w:val="auto"/>
                <w:w w:val="89"/>
              </w:rPr>
              <w:t>(Thousands, except per share amounts)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Sales</w:t>
            </w:r>
          </w:p>
        </w:tc>
        <w:tc>
          <w:tcPr>
            <w:tcW w:w="72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5,048,980</w:t>
            </w:r>
          </w:p>
        </w:tc>
        <w:tc>
          <w:tcPr>
            <w:tcW w:w="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4,521,636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10,138,859</w:t>
            </w:r>
          </w:p>
        </w:tc>
        <w:tc>
          <w:tcPr>
            <w:tcW w:w="20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9,182,578</w:t>
            </w:r>
          </w:p>
        </w:tc>
        <w:tc>
          <w:tcPr>
            <w:tcW w:w="20" w:type="dxa"/>
            <w:vAlign w:val="bottom"/>
          </w:tcPr>
          <w:p>
            <w:pPr>
              <w:spacing w:after="0"/>
              <w:rPr>
                <w:sz w:val="17"/>
                <w:szCs w:val="17"/>
                <w:color w:val="auto"/>
              </w:rPr>
            </w:pPr>
          </w:p>
        </w:tc>
      </w:tr>
      <w:tr>
        <w:trPr>
          <w:trHeight w:val="210"/>
        </w:trPr>
        <w:tc>
          <w:tcPr>
            <w:tcW w:w="36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sales</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4,418,947</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3,919,175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8,872,077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7,967,563</w:t>
            </w:r>
          </w:p>
        </w:tc>
        <w:tc>
          <w:tcPr>
            <w:tcW w:w="20" w:type="dxa"/>
            <w:vAlign w:val="bottom"/>
          </w:tcPr>
          <w:p>
            <w:pPr>
              <w:spacing w:after="0"/>
              <w:rPr>
                <w:sz w:val="18"/>
                <w:szCs w:val="18"/>
                <w:color w:val="auto"/>
              </w:rPr>
            </w:pP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630,033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602,461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1,266,782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1,215,015</w:t>
            </w:r>
          </w:p>
        </w:tc>
        <w:tc>
          <w:tcPr>
            <w:tcW w:w="20" w:type="dxa"/>
            <w:vAlign w:val="bottom"/>
          </w:tcPr>
          <w:p>
            <w:pPr>
              <w:spacing w:after="0"/>
              <w:rPr>
                <w:sz w:val="17"/>
                <w:szCs w:val="17"/>
                <w:color w:val="auto"/>
              </w:rPr>
            </w:pPr>
          </w:p>
        </w:tc>
      </w:tr>
      <w:tr>
        <w:trPr>
          <w:trHeight w:val="203"/>
        </w:trPr>
        <w:tc>
          <w:tcPr>
            <w:tcW w:w="36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471,723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484,082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946,868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985,674</w:t>
            </w:r>
          </w:p>
        </w:tc>
        <w:tc>
          <w:tcPr>
            <w:tcW w:w="20" w:type="dxa"/>
            <w:vAlign w:val="bottom"/>
          </w:tcPr>
          <w:p>
            <w:pPr>
              <w:spacing w:after="0"/>
              <w:rPr>
                <w:sz w:val="17"/>
                <w:szCs w:val="17"/>
                <w:color w:val="auto"/>
              </w:rPr>
            </w:pPr>
          </w:p>
        </w:tc>
      </w:tr>
      <w:tr>
        <w:trPr>
          <w:trHeight w:val="223"/>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Restructuring, integration and other expenses</w:t>
            </w:r>
          </w:p>
        </w:tc>
        <w:tc>
          <w:tcPr>
            <w:tcW w:w="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62,260</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36,762</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77,048</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83,156</w:t>
            </w:r>
          </w:p>
        </w:tc>
        <w:tc>
          <w:tcPr>
            <w:tcW w:w="20" w:type="dxa"/>
            <w:vAlign w:val="bottom"/>
          </w:tcPr>
          <w:p>
            <w:pPr>
              <w:spacing w:after="0"/>
              <w:rPr>
                <w:sz w:val="19"/>
                <w:szCs w:val="19"/>
                <w:color w:val="auto"/>
              </w:rPr>
            </w:pPr>
          </w:p>
        </w:tc>
      </w:tr>
      <w:tr>
        <w:trPr>
          <w:trHeight w:val="190"/>
        </w:trPr>
        <w:tc>
          <w:tcPr>
            <w:tcW w:w="3600" w:type="dxa"/>
            <w:vAlign w:val="bottom"/>
          </w:tcPr>
          <w:p>
            <w:pPr>
              <w:spacing w:after="0"/>
              <w:rPr>
                <w:sz w:val="20"/>
                <w:szCs w:val="20"/>
                <w:color w:val="auto"/>
              </w:rPr>
            </w:pPr>
            <w:r>
              <w:rPr>
                <w:rFonts w:ascii="Arial" w:cs="Arial" w:eastAsia="Arial" w:hAnsi="Arial"/>
                <w:sz w:val="16"/>
                <w:szCs w:val="16"/>
                <w:color w:val="auto"/>
              </w:rPr>
              <w:t>Operating income</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96,050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81,617</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242,866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146,185</w:t>
            </w:r>
          </w:p>
        </w:tc>
        <w:tc>
          <w:tcPr>
            <w:tcW w:w="20" w:type="dxa"/>
            <w:vAlign w:val="bottom"/>
          </w:tcPr>
          <w:p>
            <w:pPr>
              <w:spacing w:after="0"/>
              <w:rPr>
                <w:sz w:val="16"/>
                <w:szCs w:val="16"/>
                <w:color w:val="auto"/>
              </w:rPr>
            </w:pP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22,270</w:t>
            </w:r>
          </w:p>
        </w:tc>
        <w:tc>
          <w:tcPr>
            <w:tcW w:w="20" w:type="dxa"/>
            <w:vAlign w:val="bottom"/>
          </w:tcPr>
          <w:p>
            <w:pPr>
              <w:spacing w:after="0"/>
              <w:rPr>
                <w:sz w:val="17"/>
                <w:szCs w:val="17"/>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6"/>
                <w:szCs w:val="16"/>
                <w:color w:val="auto"/>
              </w:rPr>
              <w:t>Interest and other financing expenses, net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(33,718)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(22,826)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(63,811)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(44,841)</w:t>
            </w:r>
          </w:p>
        </w:tc>
        <w:tc>
          <w:tcPr>
            <w:tcW w:w="20" w:type="dxa"/>
            <w:vAlign w:val="bottom"/>
          </w:tcPr>
          <w:p>
            <w:pPr>
              <w:spacing w:after="0"/>
              <w:rPr>
                <w:sz w:val="18"/>
                <w:szCs w:val="18"/>
                <w:color w:val="auto"/>
              </w:rPr>
            </w:pPr>
          </w:p>
        </w:tc>
      </w:tr>
      <w:tr>
        <w:trPr>
          <w:trHeight w:val="203"/>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from continuing operations before taxes</w:t>
            </w: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64,916</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62,140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179,747</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123,614</w:t>
            </w:r>
          </w:p>
        </w:tc>
        <w:tc>
          <w:tcPr>
            <w:tcW w:w="20" w:type="dxa"/>
            <w:vAlign w:val="bottom"/>
          </w:tcPr>
          <w:p>
            <w:pPr>
              <w:spacing w:after="0"/>
              <w:rPr>
                <w:sz w:val="17"/>
                <w:szCs w:val="17"/>
                <w:color w:val="auto"/>
              </w:rPr>
            </w:pPr>
          </w:p>
        </w:tc>
      </w:tr>
      <w:tr>
        <w:trPr>
          <w:trHeight w:val="210"/>
        </w:trPr>
        <w:tc>
          <w:tcPr>
            <w:tcW w:w="36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expense</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28,141</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59,443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8,638</w:t>
            </w:r>
          </w:p>
        </w:tc>
        <w:tc>
          <w:tcPr>
            <w:tcW w:w="20" w:type="dxa"/>
            <w:vAlign w:val="bottom"/>
          </w:tcPr>
          <w:p>
            <w:pPr>
              <w:spacing w:after="0"/>
              <w:rPr>
                <w:sz w:val="18"/>
                <w:szCs w:val="18"/>
                <w:color w:val="auto"/>
              </w:rPr>
            </w:pP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Income from continuing operations, net of tax</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36,775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56,794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120,304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114,976</w:t>
            </w:r>
          </w:p>
        </w:tc>
        <w:tc>
          <w:tcPr>
            <w:tcW w:w="20" w:type="dxa"/>
            <w:vAlign w:val="bottom"/>
          </w:tcPr>
          <w:p>
            <w:pPr>
              <w:spacing w:after="0"/>
              <w:rPr>
                <w:sz w:val="17"/>
                <w:szCs w:val="17"/>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6"/>
                <w:szCs w:val="16"/>
                <w:color w:val="auto"/>
              </w:rPr>
              <w:t>Loss from discontinued operations, net of tax</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(10,070)</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(179)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(9,949)</w:t>
            </w:r>
          </w:p>
        </w:tc>
        <w:tc>
          <w:tcPr>
            <w:tcW w:w="20" w:type="dxa"/>
            <w:vAlign w:val="bottom"/>
          </w:tcPr>
          <w:p>
            <w:pPr>
              <w:spacing w:after="0"/>
              <w:rPr>
                <w:sz w:val="18"/>
                <w:szCs w:val="18"/>
                <w:color w:val="auto"/>
              </w:rPr>
            </w:pPr>
          </w:p>
        </w:tc>
      </w:tr>
      <w:tr>
        <w:trPr>
          <w:trHeight w:val="210"/>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36,401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120,125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105,027</w:t>
            </w:r>
          </w:p>
        </w:tc>
        <w:tc>
          <w:tcPr>
            <w:tcW w:w="20" w:type="dxa"/>
            <w:vAlign w:val="bottom"/>
          </w:tcPr>
          <w:p>
            <w:pPr>
              <w:spacing w:after="0"/>
              <w:rPr>
                <w:sz w:val="18"/>
                <w:szCs w:val="18"/>
                <w:color w:val="auto"/>
              </w:rPr>
            </w:pPr>
          </w:p>
        </w:tc>
      </w:tr>
      <w:tr>
        <w:trPr>
          <w:trHeight w:val="203"/>
        </w:trPr>
        <w:tc>
          <w:tcPr>
            <w:tcW w:w="3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Earnings (loss) per share - basic:</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00" w:type="dxa"/>
            <w:vAlign w:val="bottom"/>
          </w:tcPr>
          <w:p>
            <w:pPr>
              <w:ind w:left="120"/>
              <w:spacing w:after="0"/>
              <w:rPr>
                <w:sz w:val="20"/>
                <w:szCs w:val="20"/>
                <w:color w:val="auto"/>
              </w:rPr>
            </w:pPr>
            <w:r>
              <w:rPr>
                <w:rFonts w:ascii="Arial" w:cs="Arial" w:eastAsia="Arial" w:hAnsi="Arial"/>
                <w:sz w:val="16"/>
                <w:szCs w:val="16"/>
                <w:color w:val="auto"/>
              </w:rPr>
              <w:t>Continuing operations</w:t>
            </w:r>
          </w:p>
        </w:tc>
        <w:tc>
          <w:tcPr>
            <w:tcW w:w="72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0.33</w:t>
            </w:r>
          </w:p>
        </w:tc>
        <w:tc>
          <w:tcPr>
            <w:tcW w:w="20" w:type="dxa"/>
            <w:vAlign w:val="bottom"/>
          </w:tcPr>
          <w:p>
            <w:pPr>
              <w:spacing w:after="0"/>
              <w:rPr>
                <w:sz w:val="17"/>
                <w:szCs w:val="17"/>
                <w:color w:val="auto"/>
              </w:rPr>
            </w:pPr>
          </w:p>
        </w:tc>
        <w:tc>
          <w:tcPr>
            <w:tcW w:w="42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0.47</w:t>
            </w:r>
          </w:p>
        </w:tc>
        <w:tc>
          <w:tcPr>
            <w:tcW w:w="16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0.94</w:t>
            </w:r>
          </w:p>
        </w:tc>
        <w:tc>
          <w:tcPr>
            <w:tcW w:w="20" w:type="dxa"/>
            <w:vAlign w:val="bottom"/>
          </w:tcPr>
          <w:p>
            <w:pPr>
              <w:spacing w:after="0"/>
              <w:rPr>
                <w:sz w:val="17"/>
                <w:szCs w:val="17"/>
                <w:color w:val="auto"/>
              </w:rPr>
            </w:pPr>
          </w:p>
        </w:tc>
      </w:tr>
      <w:tr>
        <w:trPr>
          <w:trHeight w:val="223"/>
        </w:trPr>
        <w:tc>
          <w:tcPr>
            <w:tcW w:w="3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Discontinued operations</w:t>
            </w: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(0.08)</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(0.01)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0" w:type="dxa"/>
            <w:vAlign w:val="bottom"/>
          </w:tcPr>
          <w:p>
            <w:pPr>
              <w:spacing w:after="0"/>
              <w:rPr>
                <w:sz w:val="19"/>
                <w:szCs w:val="19"/>
                <w:color w:val="auto"/>
              </w:rPr>
            </w:pPr>
          </w:p>
        </w:tc>
      </w:tr>
      <w:tr>
        <w:trPr>
          <w:trHeight w:val="197"/>
        </w:trPr>
        <w:tc>
          <w:tcPr>
            <w:tcW w:w="3600" w:type="dxa"/>
            <w:vAlign w:val="bottom"/>
            <w:tcBorders>
              <w:top w:val="single" w:sz="8" w:color="CCEEFF"/>
              <w:bottom w:val="single" w:sz="8" w:color="CCEEFF"/>
            </w:tcBorders>
          </w:tcPr>
          <w:p>
            <w:pPr>
              <w:ind w:left="120"/>
              <w:spacing w:after="0"/>
              <w:rPr>
                <w:sz w:val="20"/>
                <w:szCs w:val="20"/>
                <w:color w:val="auto"/>
              </w:rPr>
            </w:pPr>
            <w:r>
              <w:rPr>
                <w:rFonts w:ascii="Arial" w:cs="Arial" w:eastAsia="Arial" w:hAnsi="Arial"/>
                <w:sz w:val="16"/>
                <w:szCs w:val="16"/>
                <w:color w:val="auto"/>
              </w:rPr>
              <w:t>Net income per share basic</w:t>
            </w:r>
          </w:p>
        </w:tc>
        <w:tc>
          <w:tcPr>
            <w:tcW w:w="50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2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16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20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0.86</w:t>
            </w:r>
          </w:p>
        </w:tc>
        <w:tc>
          <w:tcPr>
            <w:tcW w:w="20" w:type="dxa"/>
            <w:vAlign w:val="bottom"/>
          </w:tcPr>
          <w:p>
            <w:pPr>
              <w:spacing w:after="0"/>
              <w:rPr>
                <w:sz w:val="17"/>
                <w:szCs w:val="17"/>
                <w:color w:val="auto"/>
              </w:rPr>
            </w:pPr>
          </w:p>
        </w:tc>
      </w:tr>
      <w:tr>
        <w:trPr>
          <w:trHeight w:val="203"/>
        </w:trPr>
        <w:tc>
          <w:tcPr>
            <w:tcW w:w="3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00" w:type="dxa"/>
            <w:vAlign w:val="bottom"/>
          </w:tcPr>
          <w:p>
            <w:pPr>
              <w:spacing w:after="0"/>
              <w:rPr>
                <w:sz w:val="20"/>
                <w:szCs w:val="20"/>
                <w:color w:val="auto"/>
              </w:rPr>
            </w:pPr>
            <w:r>
              <w:rPr>
                <w:rFonts w:ascii="Arial" w:cs="Arial" w:eastAsia="Arial" w:hAnsi="Arial"/>
                <w:sz w:val="16"/>
                <w:szCs w:val="16"/>
                <w:color w:val="auto"/>
              </w:rPr>
              <w:t>Earnings (loss) per share - diluted:</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Continuing operations</w:t>
            </w:r>
          </w:p>
        </w:tc>
        <w:tc>
          <w:tcPr>
            <w:tcW w:w="72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20" w:type="dxa"/>
            <w:vAlign w:val="bottom"/>
          </w:tcPr>
          <w:p>
            <w:pPr>
              <w:spacing w:after="0"/>
              <w:rPr>
                <w:sz w:val="17"/>
                <w:szCs w:val="17"/>
                <w:color w:val="auto"/>
              </w:rPr>
            </w:pPr>
          </w:p>
        </w:tc>
      </w:tr>
      <w:tr>
        <w:trPr>
          <w:trHeight w:val="210"/>
        </w:trPr>
        <w:tc>
          <w:tcPr>
            <w:tcW w:w="3600" w:type="dxa"/>
            <w:vAlign w:val="bottom"/>
          </w:tcPr>
          <w:p>
            <w:pPr>
              <w:ind w:left="120"/>
              <w:spacing w:after="0"/>
              <w:rPr>
                <w:sz w:val="20"/>
                <w:szCs w:val="20"/>
                <w:color w:val="auto"/>
              </w:rPr>
            </w:pPr>
            <w:r>
              <w:rPr>
                <w:rFonts w:ascii="Arial" w:cs="Arial" w:eastAsia="Arial" w:hAnsi="Arial"/>
                <w:sz w:val="16"/>
                <w:szCs w:val="16"/>
                <w:color w:val="auto"/>
              </w:rPr>
              <w:t>Discontinued operations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(0.08)</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(0.01)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(0.08)</w:t>
            </w:r>
          </w:p>
        </w:tc>
        <w:tc>
          <w:tcPr>
            <w:tcW w:w="20" w:type="dxa"/>
            <w:vAlign w:val="bottom"/>
          </w:tcPr>
          <w:p>
            <w:pPr>
              <w:spacing w:after="0"/>
              <w:rPr>
                <w:sz w:val="18"/>
                <w:szCs w:val="18"/>
                <w:color w:val="auto"/>
              </w:rPr>
            </w:pPr>
          </w:p>
        </w:tc>
      </w:tr>
      <w:tr>
        <w:trPr>
          <w:trHeight w:val="210"/>
        </w:trPr>
        <w:tc>
          <w:tcPr>
            <w:tcW w:w="36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per share diluted</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20" w:type="dxa"/>
            <w:vAlign w:val="bottom"/>
          </w:tcPr>
          <w:p>
            <w:pPr>
              <w:spacing w:after="0"/>
              <w:rPr>
                <w:sz w:val="18"/>
                <w:szCs w:val="18"/>
                <w:color w:val="auto"/>
              </w:rPr>
            </w:pPr>
          </w:p>
        </w:tc>
      </w:tr>
      <w:tr>
        <w:trPr>
          <w:trHeight w:val="203"/>
        </w:trPr>
        <w:tc>
          <w:tcPr>
            <w:tcW w:w="3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Shares used to compute earnings per share:</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36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Basic</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110,332</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120,400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112,796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121,543</w:t>
            </w:r>
          </w:p>
        </w:tc>
        <w:tc>
          <w:tcPr>
            <w:tcW w:w="20" w:type="dxa"/>
            <w:vAlign w:val="bottom"/>
          </w:tcPr>
          <w:p>
            <w:pPr>
              <w:spacing w:after="0"/>
              <w:rPr>
                <w:sz w:val="18"/>
                <w:szCs w:val="18"/>
                <w:color w:val="auto"/>
              </w:rPr>
            </w:pPr>
          </w:p>
        </w:tc>
      </w:tr>
      <w:tr>
        <w:trPr>
          <w:trHeight w:val="223"/>
        </w:trPr>
        <w:tc>
          <w:tcPr>
            <w:tcW w:w="3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111,462</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121,749</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113,967</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122,867</w:t>
            </w:r>
          </w:p>
        </w:tc>
        <w:tc>
          <w:tcPr>
            <w:tcW w:w="20" w:type="dxa"/>
            <w:vAlign w:val="bottom"/>
          </w:tcPr>
          <w:p>
            <w:pPr>
              <w:spacing w:after="0"/>
              <w:rPr>
                <w:sz w:val="19"/>
                <w:szCs w:val="19"/>
                <w:color w:val="auto"/>
              </w:rPr>
            </w:pPr>
          </w:p>
        </w:tc>
      </w:tr>
      <w:tr>
        <w:trPr>
          <w:trHeight w:val="197"/>
        </w:trPr>
        <w:tc>
          <w:tcPr>
            <w:tcW w:w="3600" w:type="dxa"/>
            <w:vAlign w:val="bottom"/>
          </w:tcPr>
          <w:p>
            <w:pPr>
              <w:spacing w:after="0"/>
              <w:rPr>
                <w:sz w:val="20"/>
                <w:szCs w:val="20"/>
                <w:color w:val="auto"/>
              </w:rPr>
            </w:pPr>
            <w:r>
              <w:rPr>
                <w:rFonts w:ascii="Arial" w:cs="Arial" w:eastAsia="Arial" w:hAnsi="Arial"/>
                <w:sz w:val="16"/>
                <w:szCs w:val="16"/>
                <w:color w:val="auto"/>
              </w:rPr>
              <w:t>Cash dividends paid per common share</w:t>
            </w:r>
          </w:p>
        </w:tc>
        <w:tc>
          <w:tcPr>
            <w:tcW w:w="50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20" w:type="dxa"/>
            <w:vAlign w:val="bottom"/>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3"/>
              </w:rPr>
              <w:t>Second Quarters Ended</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gridSpan w:val="5"/>
          </w:tcPr>
          <w:p>
            <w:pPr>
              <w:ind w:left="14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3880" w:type="dxa"/>
            <w:vAlign w:val="bottom"/>
          </w:tcPr>
          <w:p>
            <w:pPr>
              <w:spacing w:after="0"/>
              <w:rPr>
                <w:sz w:val="17"/>
                <w:szCs w:val="17"/>
                <w:color w:val="auto"/>
              </w:rPr>
            </w:pPr>
          </w:p>
        </w:tc>
        <w:tc>
          <w:tcPr>
            <w:tcW w:w="134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December 29,</w:t>
            </w: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30,</w:t>
            </w:r>
          </w:p>
        </w:tc>
        <w:tc>
          <w:tcPr>
            <w:tcW w:w="280" w:type="dxa"/>
            <w:vAlign w:val="bottom"/>
          </w:tcPr>
          <w:p>
            <w:pPr>
              <w:spacing w:after="0"/>
              <w:rPr>
                <w:sz w:val="17"/>
                <w:szCs w:val="17"/>
                <w:color w:val="auto"/>
              </w:rPr>
            </w:pPr>
          </w:p>
        </w:tc>
        <w:tc>
          <w:tcPr>
            <w:tcW w:w="136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December 29,</w:t>
            </w:r>
          </w:p>
        </w:tc>
        <w:tc>
          <w:tcPr>
            <w:tcW w:w="108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90"/>
              </w:rPr>
              <w:t>December 30,</w:t>
            </w:r>
          </w:p>
        </w:tc>
        <w:tc>
          <w:tcPr>
            <w:tcW w:w="40" w:type="dxa"/>
            <w:vAlign w:val="bottom"/>
          </w:tcPr>
          <w:p>
            <w:pPr>
              <w:spacing w:after="0"/>
              <w:rPr>
                <w:sz w:val="17"/>
                <w:szCs w:val="17"/>
                <w:color w:val="auto"/>
              </w:rPr>
            </w:pPr>
          </w:p>
        </w:tc>
      </w:tr>
      <w:tr>
        <w:trPr>
          <w:trHeight w:val="241"/>
        </w:trPr>
        <w:tc>
          <w:tcPr>
            <w:tcW w:w="3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2018</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ind w:left="500"/>
              <w:spacing w:after="0"/>
              <w:rPr>
                <w:sz w:val="20"/>
                <w:szCs w:val="20"/>
                <w:color w:val="auto"/>
              </w:rPr>
            </w:pPr>
            <w:r>
              <w:rPr>
                <w:rFonts w:ascii="Arial" w:cs="Arial" w:eastAsia="Arial" w:hAnsi="Arial"/>
                <w:sz w:val="18"/>
                <w:szCs w:val="18"/>
                <w:b w:val="1"/>
                <w:bCs w:val="1"/>
                <w:color w:val="auto"/>
                <w:w w:val="88"/>
              </w:rPr>
              <w:t>(Thousands)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36,401</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46,724</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120,125</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105,027</w:t>
            </w:r>
          </w:p>
        </w:tc>
        <w:tc>
          <w:tcPr>
            <w:tcW w:w="40" w:type="dxa"/>
            <w:vAlign w:val="bottom"/>
            <w:shd w:val="clear" w:color="auto" w:fill="CCEEFF"/>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and other</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(65,197)</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27,941</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(56,396)</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116,784</w:t>
            </w:r>
          </w:p>
        </w:tc>
        <w:tc>
          <w:tcPr>
            <w:tcW w:w="40" w:type="dxa"/>
            <w:vAlign w:val="bottom"/>
            <w:shd w:val="clear" w:color="auto" w:fill="CCEEFF"/>
          </w:tcPr>
          <w:p>
            <w:pPr>
              <w:spacing w:after="0"/>
              <w:rPr>
                <w:sz w:val="19"/>
                <w:szCs w:val="19"/>
                <w:color w:val="auto"/>
              </w:rPr>
            </w:pPr>
          </w:p>
        </w:tc>
      </w:tr>
      <w:tr>
        <w:trPr>
          <w:trHeight w:val="223"/>
        </w:trPr>
        <w:tc>
          <w:tcPr>
            <w:tcW w:w="3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Pension adjustments, net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c>
          <w:tcPr>
            <w:tcW w:w="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10,189</w:t>
            </w:r>
          </w:p>
        </w:tc>
        <w:tc>
          <w:tcPr>
            <w:tcW w:w="40" w:type="dxa"/>
            <w:vAlign w:val="bottom"/>
            <w:tcBorders>
              <w:bottom w:val="single" w:sz="8" w:color="CCEEFF"/>
            </w:tcBorders>
          </w:tcPr>
          <w:p>
            <w:pPr>
              <w:spacing w:after="0"/>
              <w:rPr>
                <w:sz w:val="19"/>
                <w:szCs w:val="19"/>
                <w:color w:val="auto"/>
              </w:rPr>
            </w:pPr>
          </w:p>
        </w:tc>
      </w:tr>
      <w:tr>
        <w:trPr>
          <w:trHeight w:val="223"/>
        </w:trPr>
        <w:tc>
          <w:tcPr>
            <w:tcW w:w="3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(loss) income</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(24,589)</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83,915</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68,692</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232,000</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6"/>
          </w:tcPr>
          <w:p>
            <w:pPr>
              <w:jc w:val="right"/>
              <w:ind w:right="640"/>
              <w:spacing w:after="0"/>
              <w:rPr>
                <w:sz w:val="20"/>
                <w:szCs w:val="20"/>
                <w:color w:val="auto"/>
              </w:rPr>
            </w:pPr>
            <w:r>
              <w:rPr>
                <w:rFonts w:ascii="Arial" w:cs="Arial" w:eastAsia="Arial" w:hAnsi="Arial"/>
                <w:sz w:val="16"/>
                <w:szCs w:val="16"/>
                <w:b w:val="1"/>
                <w:bCs w:val="1"/>
                <w:color w:val="auto"/>
              </w:rPr>
              <w:t>Six Months Ended</w:t>
            </w:r>
          </w:p>
        </w:tc>
      </w:tr>
      <w:tr>
        <w:trPr>
          <w:trHeight w:val="189"/>
        </w:trPr>
        <w:tc>
          <w:tcPr>
            <w:tcW w:w="6620" w:type="dxa"/>
            <w:vAlign w:val="bottom"/>
          </w:tcPr>
          <w:p>
            <w:pPr>
              <w:spacing w:after="0"/>
              <w:rPr>
                <w:sz w:val="16"/>
                <w:szCs w:val="16"/>
                <w:color w:val="auto"/>
              </w:rPr>
            </w:pPr>
          </w:p>
        </w:tc>
        <w:tc>
          <w:tcPr>
            <w:tcW w:w="116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w w:val="96"/>
              </w:rPr>
              <w:t>December 29,</w:t>
            </w: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December 30,</w:t>
            </w:r>
          </w:p>
        </w:tc>
        <w:tc>
          <w:tcPr>
            <w:tcW w:w="120" w:type="dxa"/>
            <w:vAlign w:val="bottom"/>
          </w:tcPr>
          <w:p>
            <w:pPr>
              <w:spacing w:after="0"/>
              <w:rPr>
                <w:sz w:val="16"/>
                <w:szCs w:val="16"/>
                <w:color w:val="auto"/>
              </w:rPr>
            </w:pPr>
          </w:p>
        </w:tc>
      </w:tr>
      <w:tr>
        <w:trPr>
          <w:trHeight w:val="223"/>
        </w:trPr>
        <w:tc>
          <w:tcPr>
            <w:tcW w:w="6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9"/>
                <w:szCs w:val="19"/>
                <w:color w:val="auto"/>
              </w:rPr>
            </w:pPr>
          </w:p>
        </w:tc>
      </w:tr>
      <w:tr>
        <w:trPr>
          <w:trHeight w:val="402"/>
        </w:trPr>
        <w:tc>
          <w:tcPr>
            <w:tcW w:w="6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(Thousands)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6"/>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120,125</w:t>
            </w:r>
          </w:p>
        </w:tc>
        <w:tc>
          <w:tcPr>
            <w:tcW w:w="80" w:type="dxa"/>
            <w:vAlign w:val="bottom"/>
          </w:tcPr>
          <w:p>
            <w:pPr>
              <w:spacing w:after="0"/>
              <w:rPr>
                <w:sz w:val="17"/>
                <w:szCs w:val="17"/>
                <w:color w:val="auto"/>
              </w:rPr>
            </w:pPr>
          </w:p>
        </w:tc>
        <w:tc>
          <w:tcPr>
            <w:tcW w:w="440" w:type="dxa"/>
            <w:vAlign w:val="bottom"/>
            <w:gridSpan w:val="2"/>
          </w:tcPr>
          <w:p>
            <w:pPr>
              <w:jc w:val="right"/>
              <w:ind w:right="20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105,027</w:t>
            </w:r>
          </w:p>
        </w:tc>
        <w:tc>
          <w:tcPr>
            <w:tcW w:w="120" w:type="dxa"/>
            <w:vAlign w:val="bottom"/>
          </w:tcPr>
          <w:p>
            <w:pPr>
              <w:spacing w:after="0"/>
              <w:rPr>
                <w:sz w:val="17"/>
                <w:szCs w:val="17"/>
                <w:color w:val="auto"/>
              </w:rPr>
            </w:pPr>
          </w:p>
        </w:tc>
      </w:tr>
      <w:tr>
        <w:trPr>
          <w:trHeight w:val="223"/>
        </w:trPr>
        <w:tc>
          <w:tcPr>
            <w:tcW w:w="6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Loss from discontinued operations, net of tax</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(9,949)</w:t>
            </w:r>
          </w:p>
        </w:tc>
      </w:tr>
      <w:tr>
        <w:trPr>
          <w:trHeight w:val="190"/>
        </w:trPr>
        <w:tc>
          <w:tcPr>
            <w:tcW w:w="6620" w:type="dxa"/>
            <w:vAlign w:val="bottom"/>
            <w:tcBorders>
              <w:top w:val="single" w:sz="8" w:color="CCEEFF"/>
            </w:tcBorders>
          </w:tcPr>
          <w:p>
            <w:pPr>
              <w:ind w:left="12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120,304</w:t>
            </w: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114,976</w:t>
            </w:r>
          </w:p>
        </w:tc>
        <w:tc>
          <w:tcPr>
            <w:tcW w:w="120" w:type="dxa"/>
            <w:vAlign w:val="bottom"/>
            <w:tcBorders>
              <w:top w:val="single" w:sz="8" w:color="CCEEFF"/>
            </w:tcBorders>
          </w:tcPr>
          <w:p>
            <w:pPr>
              <w:spacing w:after="0"/>
              <w:rPr>
                <w:sz w:val="16"/>
                <w:szCs w:val="16"/>
                <w:color w:val="auto"/>
              </w:rPr>
            </w:pPr>
          </w:p>
        </w:tc>
      </w:tr>
      <w:tr>
        <w:trPr>
          <w:trHeight w:val="203"/>
        </w:trPr>
        <w:tc>
          <w:tcPr>
            <w:tcW w:w="6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ind w:left="120"/>
              <w:spacing w:after="0"/>
              <w:rPr>
                <w:sz w:val="20"/>
                <w:szCs w:val="20"/>
                <w:color w:val="auto"/>
              </w:rPr>
            </w:pPr>
            <w:r>
              <w:rPr>
                <w:rFonts w:ascii="Arial" w:cs="Arial" w:eastAsia="Arial" w:hAnsi="Arial"/>
                <w:sz w:val="16"/>
                <w:szCs w:val="16"/>
                <w:color w:val="auto"/>
              </w:rPr>
              <w:t>Non-cash and other reconciling items: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48,124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77,510</w:t>
            </w: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Amortization</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41,220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47,256</w:t>
            </w:r>
          </w:p>
        </w:tc>
        <w:tc>
          <w:tcPr>
            <w:tcW w:w="1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(55,921)</w:t>
            </w: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17,077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17,090</w:t>
            </w:r>
          </w:p>
        </w:tc>
        <w:tc>
          <w:tcPr>
            <w:tcW w:w="1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net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77,437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22,386</w:t>
            </w: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ind w:left="120"/>
              <w:spacing w:after="0"/>
              <w:rPr>
                <w:sz w:val="20"/>
                <w:szCs w:val="20"/>
                <w:color w:val="auto"/>
              </w:rPr>
            </w:pPr>
            <w:r>
              <w:rPr>
                <w:rFonts w:ascii="Arial" w:cs="Arial" w:eastAsia="Arial" w:hAnsi="Arial"/>
                <w:sz w:val="16"/>
                <w:szCs w:val="16"/>
                <w:color w:val="auto"/>
              </w:rPr>
              <w:t>Changes in (net of effects from businesses acquired and divested):</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Receivables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193,520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108,459</w:t>
            </w: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(209,582)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(410,361)</w:t>
            </w:r>
          </w:p>
        </w:tc>
      </w:tr>
      <w:tr>
        <w:trPr>
          <w:trHeight w:val="203"/>
        </w:trPr>
        <w:tc>
          <w:tcPr>
            <w:tcW w:w="6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(205,254)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75,342</w:t>
            </w:r>
          </w:p>
        </w:tc>
        <w:tc>
          <w:tcPr>
            <w:tcW w:w="120" w:type="dxa"/>
            <w:vAlign w:val="bottom"/>
            <w:shd w:val="clear" w:color="auto" w:fill="CCEEFF"/>
          </w:tcPr>
          <w:p>
            <w:pPr>
              <w:spacing w:after="0"/>
              <w:rPr>
                <w:sz w:val="17"/>
                <w:szCs w:val="17"/>
                <w:color w:val="auto"/>
              </w:rPr>
            </w:pPr>
          </w:p>
        </w:tc>
      </w:tr>
      <w:tr>
        <w:trPr>
          <w:trHeight w:val="210"/>
        </w:trPr>
        <w:tc>
          <w:tcPr>
            <w:tcW w:w="6620" w:type="dxa"/>
            <w:vAlign w:val="bottom"/>
          </w:tcPr>
          <w:p>
            <w:pPr>
              <w:ind w:left="320"/>
              <w:spacing w:after="0"/>
              <w:rPr>
                <w:sz w:val="20"/>
                <w:szCs w:val="20"/>
                <w:color w:val="auto"/>
              </w:rPr>
            </w:pPr>
            <w:r>
              <w:rPr>
                <w:rFonts w:ascii="Arial" w:cs="Arial" w:eastAsia="Arial" w:hAnsi="Arial"/>
                <w:sz w:val="16"/>
                <w:szCs w:val="16"/>
                <w:color w:val="auto"/>
              </w:rPr>
              <w:t>Accrued expenses and other, net</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(140,495)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(55,955)</w:t>
            </w:r>
          </w:p>
        </w:tc>
      </w:tr>
      <w:tr>
        <w:trPr>
          <w:trHeight w:val="223"/>
        </w:trPr>
        <w:tc>
          <w:tcPr>
            <w:tcW w:w="66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flows used for operating activities - continuing operations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7"/>
        </w:trPr>
        <w:tc>
          <w:tcPr>
            <w:tcW w:w="6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used for operating activities - discontinued operations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(56,284)</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r>
      <w:tr>
        <w:trPr>
          <w:trHeight w:val="210"/>
        </w:trPr>
        <w:tc>
          <w:tcPr>
            <w:tcW w:w="6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flows used for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(69,076)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(59,218)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3"/>
        </w:trPr>
        <w:tc>
          <w:tcPr>
            <w:tcW w:w="6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ind w:left="120"/>
              <w:spacing w:after="0"/>
              <w:rPr>
                <w:sz w:val="20"/>
                <w:szCs w:val="20"/>
                <w:color w:val="auto"/>
              </w:rPr>
            </w:pPr>
            <w:r>
              <w:rPr>
                <w:rFonts w:ascii="Arial" w:cs="Arial" w:eastAsia="Arial" w:hAnsi="Arial"/>
                <w:sz w:val="16"/>
                <w:szCs w:val="16"/>
                <w:color w:val="auto"/>
              </w:rPr>
              <w:t>Borrowings under accounts receivable securitization, net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366,000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78,000</w:t>
            </w:r>
          </w:p>
        </w:tc>
        <w:tc>
          <w:tcPr>
            <w:tcW w:w="120" w:type="dxa"/>
            <w:vAlign w:val="bottom"/>
          </w:tcPr>
          <w:p>
            <w:pPr>
              <w:spacing w:after="0"/>
              <w:rPr>
                <w:sz w:val="17"/>
                <w:szCs w:val="17"/>
                <w:color w:val="auto"/>
              </w:rPr>
            </w:pPr>
          </w:p>
        </w:tc>
      </w:tr>
      <w:tr>
        <w:trPr>
          <w:trHeight w:val="203"/>
        </w:trPr>
        <w:tc>
          <w:tcPr>
            <w:tcW w:w="6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under senior unsecured credit facility, net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(59,420)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(99,971)</w:t>
            </w:r>
          </w:p>
        </w:tc>
      </w:tr>
      <w:tr>
        <w:trPr>
          <w:trHeight w:val="203"/>
        </w:trPr>
        <w:tc>
          <w:tcPr>
            <w:tcW w:w="6620" w:type="dxa"/>
            <w:vAlign w:val="bottom"/>
          </w:tcPr>
          <w:p>
            <w:pPr>
              <w:ind w:left="120"/>
              <w:spacing w:after="0"/>
              <w:rPr>
                <w:sz w:val="20"/>
                <w:szCs w:val="20"/>
                <w:color w:val="auto"/>
              </w:rPr>
            </w:pPr>
            <w:r>
              <w:rPr>
                <w:rFonts w:ascii="Arial" w:cs="Arial" w:eastAsia="Arial" w:hAnsi="Arial"/>
                <w:sz w:val="16"/>
                <w:szCs w:val="16"/>
                <w:color w:val="auto"/>
              </w:rPr>
              <w:t>Repayments under bank credit facilities and other debt, net</w:t>
            </w:r>
          </w:p>
        </w:tc>
        <w:tc>
          <w:tcPr>
            <w:tcW w:w="24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(595)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(27,381)</w:t>
            </w:r>
          </w:p>
        </w:tc>
      </w:tr>
      <w:tr>
        <w:trPr>
          <w:trHeight w:val="203"/>
        </w:trPr>
        <w:tc>
          <w:tcPr>
            <w:tcW w:w="6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Repurchases of common stock</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(335,404)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(135,458)</w:t>
            </w:r>
          </w:p>
        </w:tc>
      </w:tr>
      <w:tr>
        <w:trPr>
          <w:trHeight w:val="203"/>
        </w:trPr>
        <w:tc>
          <w:tcPr>
            <w:tcW w:w="6620" w:type="dxa"/>
            <w:vAlign w:val="bottom"/>
          </w:tcPr>
          <w:p>
            <w:pPr>
              <w:ind w:left="120"/>
              <w:spacing w:after="0"/>
              <w:rPr>
                <w:sz w:val="20"/>
                <w:szCs w:val="20"/>
                <w:color w:val="auto"/>
              </w:rPr>
            </w:pPr>
            <w:r>
              <w:rPr>
                <w:rFonts w:ascii="Arial" w:cs="Arial" w:eastAsia="Arial" w:hAnsi="Arial"/>
                <w:sz w:val="16"/>
                <w:szCs w:val="16"/>
                <w:color w:val="auto"/>
              </w:rPr>
              <w:t>Dividends paid on common stock</w:t>
            </w:r>
          </w:p>
        </w:tc>
        <w:tc>
          <w:tcPr>
            <w:tcW w:w="24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(44,701)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(43,572)</w:t>
            </w:r>
          </w:p>
        </w:tc>
      </w:tr>
      <w:tr>
        <w:trPr>
          <w:trHeight w:val="223"/>
        </w:trPr>
        <w:tc>
          <w:tcPr>
            <w:tcW w:w="6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(1,214)</w:t>
            </w:r>
          </w:p>
        </w:tc>
      </w:tr>
      <w:tr>
        <w:trPr>
          <w:trHeight w:val="197"/>
        </w:trPr>
        <w:tc>
          <w:tcPr>
            <w:tcW w:w="6620" w:type="dxa"/>
            <w:vAlign w:val="bottom"/>
            <w:tcBorders>
              <w:top w:val="single" w:sz="8" w:color="CCEEFF"/>
              <w:bottom w:val="single" w:sz="8" w:color="CCEEFF"/>
            </w:tcBorders>
          </w:tcPr>
          <w:p>
            <w:pPr>
              <w:ind w:left="440"/>
              <w:spacing w:after="0"/>
              <w:rPr>
                <w:sz w:val="20"/>
                <w:szCs w:val="20"/>
                <w:color w:val="auto"/>
              </w:rPr>
            </w:pPr>
            <w:r>
              <w:rPr>
                <w:rFonts w:ascii="Arial" w:cs="Arial" w:eastAsia="Arial" w:hAnsi="Arial"/>
                <w:sz w:val="16"/>
                <w:szCs w:val="16"/>
                <w:color w:val="auto"/>
              </w:rPr>
              <w:t>Net cash flows used for financing activities - continuing operations</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(58,920)</w:t>
            </w:r>
          </w:p>
        </w:tc>
        <w:tc>
          <w:tcPr>
            <w:tcW w:w="8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(229,596)</w:t>
            </w:r>
          </w:p>
        </w:tc>
        <w:tc>
          <w:tcPr>
            <w:tcW w:w="120" w:type="dxa"/>
            <w:vAlign w:val="bottom"/>
            <w:tcBorders>
              <w:top w:val="single" w:sz="8" w:color="CCEEFF"/>
              <w:bottom w:val="single" w:sz="8" w:color="CCEEFF"/>
            </w:tcBorders>
          </w:tcPr>
          <w:p>
            <w:pPr>
              <w:spacing w:after="0"/>
              <w:rPr>
                <w:sz w:val="17"/>
                <w:szCs w:val="17"/>
                <w:color w:val="auto"/>
              </w:rPr>
            </w:pPr>
          </w:p>
        </w:tc>
      </w:tr>
      <w:tr>
        <w:trPr>
          <w:trHeight w:val="210"/>
        </w:trPr>
        <w:tc>
          <w:tcPr>
            <w:tcW w:w="6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flows used for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(58,920)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(229,596)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3"/>
        </w:trPr>
        <w:tc>
          <w:tcPr>
            <w:tcW w:w="6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ind w:left="12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(70,186)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(67,397)</w:t>
            </w:r>
          </w:p>
        </w:tc>
      </w:tr>
      <w:tr>
        <w:trPr>
          <w:trHeight w:val="203"/>
        </w:trPr>
        <w:tc>
          <w:tcPr>
            <w:tcW w:w="6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Acquisitions of businesses, net of cash acquired</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(62,514)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(14,661)</w:t>
            </w:r>
          </w:p>
        </w:tc>
      </w:tr>
      <w:tr>
        <w:trPr>
          <w:trHeight w:val="210"/>
        </w:trPr>
        <w:tc>
          <w:tcPr>
            <w:tcW w:w="66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2,402</w:t>
            </w:r>
          </w:p>
        </w:tc>
        <w:tc>
          <w:tcPr>
            <w:tcW w:w="120" w:type="dxa"/>
            <w:vAlign w:val="bottom"/>
            <w:tcBorders>
              <w:bottom w:val="single" w:sz="8" w:color="CCEEFF"/>
            </w:tcBorders>
          </w:tcPr>
          <w:p>
            <w:pPr>
              <w:spacing w:after="0"/>
              <w:rPr>
                <w:sz w:val="18"/>
                <w:szCs w:val="18"/>
                <w:color w:val="auto"/>
              </w:rPr>
            </w:pPr>
          </w:p>
        </w:tc>
      </w:tr>
      <w:tr>
        <w:trPr>
          <w:trHeight w:val="223"/>
        </w:trPr>
        <w:tc>
          <w:tcPr>
            <w:tcW w:w="6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flows used for investing activities - continuing operations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(131,737)</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(79,656)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97"/>
        </w:trPr>
        <w:tc>
          <w:tcPr>
            <w:tcW w:w="6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provided by investing activities - discontinued operations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123,473</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112,664</w:t>
            </w:r>
          </w:p>
        </w:tc>
        <w:tc>
          <w:tcPr>
            <w:tcW w:w="120" w:type="dxa"/>
            <w:vAlign w:val="bottom"/>
            <w:tcBorders>
              <w:bottom w:val="single" w:sz="8" w:color="CCEEFF"/>
            </w:tcBorders>
          </w:tcPr>
          <w:p>
            <w:pPr>
              <w:spacing w:after="0"/>
              <w:rPr>
                <w:sz w:val="17"/>
                <w:szCs w:val="17"/>
                <w:color w:val="auto"/>
              </w:rPr>
            </w:pPr>
          </w:p>
        </w:tc>
      </w:tr>
      <w:tr>
        <w:trPr>
          <w:trHeight w:val="210"/>
        </w:trPr>
        <w:tc>
          <w:tcPr>
            <w:tcW w:w="6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flows (used) provided by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33,008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3"/>
        </w:trPr>
        <w:tc>
          <w:tcPr>
            <w:tcW w:w="6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Effect of currency exchange rate changes on cash and cash equivalents</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(2,699)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8,940</w:t>
            </w: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 decrease</w:t>
            </w:r>
          </w:p>
        </w:tc>
        <w:tc>
          <w:tcPr>
            <w:tcW w:w="24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(138,959)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(246,866)</w:t>
            </w:r>
          </w:p>
        </w:tc>
      </w:tr>
      <w:tr>
        <w:trPr>
          <w:trHeight w:val="223"/>
        </w:trPr>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621,125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836,384</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97"/>
        </w:trPr>
        <w:tc>
          <w:tcPr>
            <w:tcW w:w="6620" w:type="dxa"/>
            <w:vAlign w:val="bottom"/>
          </w:tcPr>
          <w:p>
            <w:pPr>
              <w:spacing w:after="0"/>
              <w:rPr>
                <w:sz w:val="20"/>
                <w:szCs w:val="20"/>
                <w:color w:val="auto"/>
              </w:rPr>
            </w:pPr>
            <w:r>
              <w:rPr>
                <w:rFonts w:ascii="Arial" w:cs="Arial" w:eastAsia="Arial" w:hAnsi="Arial"/>
                <w:sz w:val="16"/>
                <w:szCs w:val="16"/>
                <w:color w:val="auto"/>
              </w:rPr>
              <w:t>— at end of period</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482,166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ind w:right="202"/>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589,518</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-3810</wp:posOffset>
            </wp:positionV>
            <wp:extent cx="14751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5105"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Inc.’s and its consolidated subsidiaries’ (collectively, the “Company” or “Avnet”) financial position, results of operations, comprehensive income and cash flows. All such adjustments are of a normal recurring nature.</w:t>
      </w:r>
    </w:p>
    <w:p>
      <w:pPr>
        <w:spacing w:after="0" w:line="18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w:t>
      </w:r>
    </w:p>
    <w:p>
      <w:pPr>
        <w:spacing w:after="0" w:line="181"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30, 2018.</w:t>
      </w:r>
    </w:p>
    <w:p>
      <w:pPr>
        <w:spacing w:after="0" w:line="166"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Certain reclassifications have been made in prior periods to conform to the current period presentation including reclassifications as a result of recently adopted accounting pronouncements.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 xml:space="preserve">In May 2014, the Financial Accounting Standards Board (the “FASB”) issued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and collectively with its related subsequent amendments, “Topic 606”). Topic 606 supersedes previous revenue recognition guidance and requires the Company to recognize revenue to depict the transfer of promised goods or services to customers in an amount that reflects the consideration to which the Company expects to be entitled in exchange for such goods or services. The Company adopted Topic 606 on July 1, 2018 using the modified retrospective transition method applied to those contracts which were not completed as of July 1, 2018. Under this transition method, the Company’s results in the consolidated statements of operations for the second quarter and six months ended December 29, 2018 are presented under Topic 606, while the comparative results for the second quarter and six months ended December 30, 2017 were not retrospectively adjusted, as such results were recognized in accordance with the revenue recognition policy discussed under Summary of Significant Accounting Policies in Note 1 of the Company’s Fiscal 2018 Annual Report on Form 10-K.</w:t>
      </w:r>
    </w:p>
    <w:p>
      <w:pPr>
        <w:spacing w:after="0" w:line="173"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adoption of Topic 606 did not have a material impact on the Company’s consolidated financial statements as of the adoption date and as of and for the six months ended December 29, 2018. Substantially all of the Company’s sales continue to be recognized when products are shipped from the Company’s facilities or delivered to customers, depending on the respective contractual terms. For a nominal portion of the Company’s contracts where the accounting did change, the adoption of Topic 606 resulted in an increase to the opening balance of retained earnings of $2.0 million as of July 1, 2018. This impact was primarily due to the acceleration of recognition of net sales and associated gross profit related to certain uncompleted contracts for the manufacture of goods with no alternative use and for which the Company has an enforceable right to payment, including a reasonable profit margin, from the customer for performance completed to date. For these contracts, the Company recognizes revenue over time as control of the goods transfers through the manufacturing process, rather than when the goods are delivered, and title, risk and reward of ownership are passed to the customer, as under previous revenue recognition guidance.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Note 2 herein for further discussion regarding revenue recognition and related accounting policies.</w:t>
      </w:r>
    </w:p>
    <w:p>
      <w:pPr>
        <w:spacing w:after="0" w:line="225"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 xml:space="preserve">In March 2017, the FASB issued Accounting Standards Update No. 2017-07,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715)- Improving the Presentation of Net Periodic Cost and Net Periodic Postretirement Benefit Cost </w:t>
      </w:r>
      <w:r>
        <w:rPr>
          <w:rFonts w:ascii="Arial" w:cs="Arial" w:eastAsia="Arial" w:hAnsi="Arial"/>
          <w:sz w:val="16"/>
          <w:szCs w:val="16"/>
          <w:color w:val="auto"/>
        </w:rPr>
        <w:t>("ASU No. 2017-07"). ASU No. 2017-07 requires that the service cost component of net periodic pension costs be included in the same line item as other compensation costs arising from services rendered by employees during the period, with the other components of the net periodic pension costs reported separately from the service cost component and below operating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The Company adopted this standard effective the first quarter of fiscal year 2019, which required changes to the classification of net periodic pension costs in the consolidated statements of operations for all periods presented. The service cost component of the net periodic pension cost is now included in “Selling, general and administrative expenses” with all other components of net periodic pension costs within “Other income, net” in the consolidated statements of operations. The adoption of ASU No. 2017-07 did not have any impact on the Company’s reported amount of income from continuing operations before taxes.</w:t>
      </w:r>
    </w:p>
    <w:p>
      <w:pPr>
        <w:spacing w:after="0" w:line="193"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 xml:space="preserve">During the first quarter of fiscal 2019, the Company adopted ASU 2016-16 - </w:t>
      </w:r>
      <w:r>
        <w:rPr>
          <w:rFonts w:ascii="Arial" w:cs="Arial" w:eastAsia="Arial" w:hAnsi="Arial"/>
          <w:sz w:val="18"/>
          <w:szCs w:val="18"/>
          <w:i w:val="1"/>
          <w:iCs w:val="1"/>
          <w:color w:val="auto"/>
        </w:rPr>
        <w:t>Income Taxes (Topic 740): Intra-Entity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Transfers of Assets Other Than Inventory. </w:t>
      </w:r>
      <w:r>
        <w:rPr>
          <w:rFonts w:ascii="Arial" w:cs="Arial" w:eastAsia="Arial" w:hAnsi="Arial"/>
          <w:sz w:val="18"/>
          <w:szCs w:val="18"/>
          <w:color w:val="auto"/>
        </w:rPr>
        <w:t>This update addresses the recognition of current and deferred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an intra-entity transfer of any asset other than inventory. This update has been applied on a modified retrospective basis through a cumulative-effect adjustment directly to retained earnings. The adoption of this update resulted in a cumulative reduction to the opening balance of retained earnings of $5.8 million and a reduction to other assets of $5.8 million.</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 xml:space="preserve">In October 2018, the FASB issued Accounting Standards Update No. 2018-16, </w:t>
      </w:r>
      <w:r>
        <w:rPr>
          <w:rFonts w:ascii="Arial" w:cs="Arial" w:eastAsia="Arial" w:hAnsi="Arial"/>
          <w:sz w:val="17"/>
          <w:szCs w:val="17"/>
          <w:i w:val="1"/>
          <w:iCs w:val="1"/>
          <w:color w:val="auto"/>
        </w:rPr>
        <w:t>Derivatives and Hedging (Topic 815):</w:t>
      </w:r>
      <w:r>
        <w:rPr>
          <w:rFonts w:ascii="Arial" w:cs="Arial" w:eastAsia="Arial" w:hAnsi="Arial"/>
          <w:sz w:val="17"/>
          <w:szCs w:val="17"/>
          <w:color w:val="auto"/>
        </w:rPr>
        <w:t xml:space="preserve"> </w:t>
      </w:r>
      <w:r>
        <w:rPr>
          <w:rFonts w:ascii="Arial" w:cs="Arial" w:eastAsia="Arial" w:hAnsi="Arial"/>
          <w:sz w:val="17"/>
          <w:szCs w:val="17"/>
          <w:i w:val="1"/>
          <w:iCs w:val="1"/>
          <w:color w:val="auto"/>
        </w:rPr>
        <w:t>Inclusion of the Secured Overnight Financing Rate (SOFR) Overnight Index Swap (OIS) Rate as a Benchmark Interest Rate for Hedge Accounting Purposes</w:t>
      </w:r>
      <w:r>
        <w:rPr>
          <w:rFonts w:ascii="Arial" w:cs="Arial" w:eastAsia="Arial" w:hAnsi="Arial"/>
          <w:sz w:val="17"/>
          <w:szCs w:val="17"/>
          <w:color w:val="auto"/>
        </w:rPr>
        <w:t>, which permits use of the OIS rate based on SOFR as a U.S. benchmark interest rate for</w:t>
      </w:r>
      <w:r>
        <w:rPr>
          <w:rFonts w:ascii="Arial" w:cs="Arial" w:eastAsia="Arial" w:hAnsi="Arial"/>
          <w:sz w:val="17"/>
          <w:szCs w:val="17"/>
          <w:i w:val="1"/>
          <w:iCs w:val="1"/>
          <w:color w:val="auto"/>
        </w:rPr>
        <w:t xml:space="preserve"> </w:t>
      </w:r>
      <w:r>
        <w:rPr>
          <w:rFonts w:ascii="Arial" w:cs="Arial" w:eastAsia="Arial" w:hAnsi="Arial"/>
          <w:sz w:val="17"/>
          <w:szCs w:val="17"/>
          <w:color w:val="auto"/>
        </w:rPr>
        <w:t>hedge accounting purposes under Topic 815. This update is effective for the Company in the first quarter of fiscal 2020. The Company intends to adopt this update concurrently with ASU 2017-12. The Company does not expect any impact from the adoption of ASU 2018-16 on its consolidated financial statements as the Company does not currently have any interest rate related derivative financial instruments.</w:t>
      </w:r>
    </w:p>
    <w:p>
      <w:pPr>
        <w:spacing w:after="0" w:line="178"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 xml:space="preserve">In August 2018, the FASB issued Accounting Standards Update No. 2018-15,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Internal-Use Software (Subtopic 350-40): Customer’s Accounting for Implementation Costs Incurred in a Cloud Computing Arrangement That Is a Service Contract (a consensus of the FASB Emerging Issues Task Force) </w:t>
      </w:r>
      <w:r>
        <w:rPr>
          <w:rFonts w:ascii="Arial" w:cs="Arial" w:eastAsia="Arial" w:hAnsi="Arial"/>
          <w:sz w:val="18"/>
          <w:szCs w:val="18"/>
          <w:color w:val="auto"/>
        </w:rPr>
        <w:t>("ASU No. 2018-15"). ASU</w:t>
      </w:r>
      <w:r>
        <w:rPr>
          <w:rFonts w:ascii="Arial" w:cs="Arial" w:eastAsia="Arial" w:hAnsi="Arial"/>
          <w:sz w:val="18"/>
          <w:szCs w:val="18"/>
          <w:i w:val="1"/>
          <w:iCs w:val="1"/>
          <w:color w:val="auto"/>
        </w:rPr>
        <w:t xml:space="preserve"> </w:t>
      </w:r>
      <w:r>
        <w:rPr>
          <w:rFonts w:ascii="Arial" w:cs="Arial" w:eastAsia="Arial" w:hAnsi="Arial"/>
          <w:sz w:val="18"/>
          <w:szCs w:val="18"/>
          <w:color w:val="auto"/>
        </w:rPr>
        <w:t>No. 2018-15 aligns the requirements for capitalizing implementation costs incurred in a hosting arrangement that is a service contract with the requirements for capitalizing implementation costs incurred to develop internal-use software. ASU No. 2018-15 is effective for the Company in the first quarter of fiscal 2021, with early adoption permitted, and is to be applied either retrospectively or prospectively. The Company is currently evaluating the potential effects of adopting the provisions of ASU No. 2018-15.</w:t>
      </w:r>
    </w:p>
    <w:p>
      <w:pPr>
        <w:spacing w:after="0" w:line="192"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 xml:space="preserve">In February 2018, the FASB issued Accounting Standards Update 2018-02, </w:t>
      </w:r>
      <w:r>
        <w:rPr>
          <w:rFonts w:ascii="Arial" w:cs="Arial" w:eastAsia="Arial" w:hAnsi="Arial"/>
          <w:sz w:val="16"/>
          <w:szCs w:val="16"/>
          <w:i w:val="1"/>
          <w:iCs w:val="1"/>
          <w:color w:val="auto"/>
        </w:rPr>
        <w:t>Income Statement–Reporting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Income (Topic 220):</w:t>
      </w:r>
      <w:r>
        <w:rPr>
          <w:rFonts w:ascii="Arial" w:cs="Arial" w:eastAsia="Arial" w:hAnsi="Arial"/>
          <w:sz w:val="16"/>
          <w:szCs w:val="16"/>
          <w:color w:val="auto"/>
        </w:rPr>
        <w:t>-</w:t>
      </w:r>
      <w:r>
        <w:rPr>
          <w:rFonts w:ascii="Arial" w:cs="Arial" w:eastAsia="Arial" w:hAnsi="Arial"/>
          <w:sz w:val="16"/>
          <w:szCs w:val="16"/>
          <w:i w:val="1"/>
          <w:iCs w:val="1"/>
          <w:color w:val="auto"/>
        </w:rPr>
        <w:t xml:space="preserve">Reclassification of Certain Tax Effects from Accumulated Other Comprehensive Income </w:t>
      </w:r>
      <w:r>
        <w:rPr>
          <w:rFonts w:ascii="Arial" w:cs="Arial" w:eastAsia="Arial" w:hAnsi="Arial"/>
          <w:sz w:val="16"/>
          <w:szCs w:val="16"/>
          <w:color w:val="auto"/>
        </w:rPr>
        <w:t>(“ASU 2018-02”), which allows entities to reclassify accumulated other comprehensive income to retained earnings for stranded tax effects resulting from the tax legislation enacted by the U.S. federal governments on December 22, 2017 (the “Act”). This update is effective for interim and annual reporting periods beginning after December 15, 2018, with early adoption permitted. The update should be applied either in the period of adoption or retrospectively to each period (or periods) in which the effect of the income tax rate change resulting from the Act is recognized. The Company is currently evaluating the impact of the adoption of ASU 2018-02 on its consolidated financial statements.</w:t>
      </w:r>
    </w:p>
    <w:p>
      <w:pPr>
        <w:spacing w:after="0" w:line="166"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 xml:space="preserve">In August 2017, the FASB issued Accounting Standards Update 2017-12, </w:t>
      </w:r>
      <w:r>
        <w:rPr>
          <w:rFonts w:ascii="Arial" w:cs="Arial" w:eastAsia="Arial" w:hAnsi="Arial"/>
          <w:sz w:val="18"/>
          <w:szCs w:val="18"/>
          <w:i w:val="1"/>
          <w:iCs w:val="1"/>
          <w:color w:val="auto"/>
        </w:rPr>
        <w:t>Derivatives and Hedging (Topic 815)</w:t>
      </w:r>
      <w:r>
        <w:rPr>
          <w:rFonts w:ascii="Arial" w:cs="Arial" w:eastAsia="Arial" w:hAnsi="Arial"/>
          <w:sz w:val="18"/>
          <w:szCs w:val="18"/>
          <w:color w:val="auto"/>
        </w:rPr>
        <w:t xml:space="preserve"> - </w:t>
      </w:r>
      <w:r>
        <w:rPr>
          <w:rFonts w:ascii="Arial" w:cs="Arial" w:eastAsia="Arial" w:hAnsi="Arial"/>
          <w:sz w:val="18"/>
          <w:szCs w:val="18"/>
          <w:i w:val="1"/>
          <w:iCs w:val="1"/>
          <w:color w:val="auto"/>
        </w:rPr>
        <w:t xml:space="preserve">Targeted Improvements to Accounting for Hedging Activities </w:t>
      </w:r>
      <w:r>
        <w:rPr>
          <w:rFonts w:ascii="Arial" w:cs="Arial" w:eastAsia="Arial" w:hAnsi="Arial"/>
          <w:sz w:val="18"/>
          <w:szCs w:val="18"/>
          <w:color w:val="auto"/>
        </w:rPr>
        <w:t>(“ASU 2017-12”), which improves the financial reporting of</w:t>
      </w:r>
      <w:r>
        <w:rPr>
          <w:rFonts w:ascii="Arial" w:cs="Arial" w:eastAsia="Arial" w:hAnsi="Arial"/>
          <w:sz w:val="18"/>
          <w:szCs w:val="18"/>
          <w:i w:val="1"/>
          <w:iCs w:val="1"/>
          <w:color w:val="auto"/>
        </w:rPr>
        <w:t xml:space="preserve"> </w:t>
      </w:r>
      <w:r>
        <w:rPr>
          <w:rFonts w:ascii="Arial" w:cs="Arial" w:eastAsia="Arial" w:hAnsi="Arial"/>
          <w:sz w:val="18"/>
          <w:szCs w:val="18"/>
          <w:color w:val="auto"/>
        </w:rPr>
        <w:t>hedging relationships to better portray the economic results of an entity’s risk management activities in its financial statements and makes certain targeted improvements to simplify the qualification and application of hedge accounting compared to current GAAP. This update is effective for fiscal years beginning after December 15, 2018, with early adoption permitted. The Company is currently evaluating the impact of the adoption of ASU 2017-12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 xml:space="preserve">In February 2016, the FASB issued Accounting Standards Update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and issued subsequent amendments to the initial guidance: ASU 2017-13, ASU 2018-10, ASU 2018-11 and ASU 2018-20 (collectively, Topic 842). Topic 842 requires companies to generally recognize operating and financing lease liabilities on the balance sheet and corresponding right-of-use assets created by those leases with lease terms of more than 12 months. The Company will adopt Topic 842 when it becomes effective in the first quarter of fiscal 2020 using the retrospective cumulative effect adjustment transition method and record a cumulative effect adjustment as of the adoption date. The Company is currently evaluating the impact of its pending adoption of Topic 842 on its consolidated financial statements, including assessing certain available practical expedients, and expects that most operating lease commitments related to the Company’s real estate, vehicle and equipment leases will be subject to the new standard and recognized as operating lease liabilities and right-of-use assets upon adoption, which will materially increase total assets and total liabilities relative to such amounts prior to adoption. The Company does not expect the adoption to have a material impact on the consolidated statements of operations or consolidated statements of cash flows. The Company has established an implementation team inclusive of external advisors and is in the process of gathering information specific to its operating lease portfolio. The Company’s information gathering, analysis and evaluation of the new standard will continue through its effective date in the first quarter of fiscal 2020.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 xml:space="preserve">Prior to the adoption of Topic 606, the Company’s revenue recognition policy was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Effective July 1, 2018, the Company adopted Topic 606 using the modified retrospective transition</w:t>
      </w:r>
      <w:r>
        <w:rPr>
          <w:rFonts w:ascii="Arial" w:cs="Arial" w:eastAsia="Arial" w:hAnsi="Arial"/>
          <w:sz w:val="16"/>
          <w:szCs w:val="16"/>
          <w:i w:val="1"/>
          <w:iCs w:val="1"/>
          <w:color w:val="auto"/>
        </w:rPr>
        <w:t xml:space="preserve"> </w:t>
      </w:r>
      <w:r>
        <w:rPr>
          <w:rFonts w:ascii="Arial" w:cs="Arial" w:eastAsia="Arial" w:hAnsi="Arial"/>
          <w:sz w:val="16"/>
          <w:szCs w:val="16"/>
          <w:color w:val="auto"/>
        </w:rPr>
        <w:t>method, resulting in accounting policy changes surrounding revenue recognition which replace revenue recognition policies discussed in the Summary of Significant Accounting Policies in Note 1 of the Company’s Fiscal 2018 Annual Report on Form 10-K. The adoption of Topic 606 did not have a material impact on the Company’s consolidated financial statements.</w:t>
      </w:r>
    </w:p>
    <w:p>
      <w:pPr>
        <w:spacing w:after="0" w:line="158"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Company’s revenues are generated from the distribution and sale of electronic components including semiconductors, interconnect, passive and electromechanical (“IP&amp;E”) devices and other integrated electronic components from the world’s leading electronic component manufacturers. The Company’s expertise in design, supply chain and logistics enable it to sell to customers of all sizes from startups and mid-sized businesses to enterprise-level original equipment manufacturers (“OEMs”), electronic manufacturing services (“EMS”) providers and original design manufacturers (“ODMs”). The Company sells to a variety of markets ranging from automotive to medical to defense and aerospace. The Company also sells integrated solutions including the assembly or manufacture of embedded electronic component products and systems, touch and passive displays, and standard or specialized boards. The Company’s revenue arrangements primarily consist of performance obligations related to the transfer of promised products. The Company considers customer purchase orders, which in some cases are governed by master agreements, to be the contracts with a customer. All revenue is generated from contracts with customers.</w:t>
      </w:r>
    </w:p>
    <w:p>
      <w:pPr>
        <w:spacing w:after="0" w:line="183"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Revenue is recognized at the point at which control of the underlying products are transferred to the customer, which includes determining whether products are distinct and separate performance obligations. For electronic component and related product sales, this generally occurs upon shipment of the products, however, this may occur at a later date depending on the agreed upon sales terms, such as delivery at the customer's designated location, or when products that are consigned at customer locations are consumed. In limited instances, where products are not in stock and delivery times are critical, product is purchased from the supplier and drop-shipped to the customer. The Company typically takes control of the products when shipped by the manufacturer and then recognizes revenue when control of the product transfers to the customer. The Company does not have material product warranty obligations as the assurance type product warranties provided by the component manufacturers are passed through to the Company’s customers.</w:t>
      </w:r>
    </w:p>
    <w:p>
      <w:pPr>
        <w:spacing w:after="0" w:line="167"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For contracts related to the specialized manufacture of products for customers with no alternative use and for which the Company has an enforceable right to payment, including a reasonable profit margin, the Company recognizes revenue over time as control of the products transfer through the manufacturing process. The contract assets associated with such specialized manufacturing products are not material as these contracts represent less than 2% of the Company’s total sales.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Revenue is measured as the amount of consideration the Company expects to receive in exchange for transferring products. The Company estimates different forms of variable consideration at the time of sale based on historical experience, current conditions and contractual obligations. Revenue is recorded net of customer discounts and rebates. When the Company offers the right or has a history of accepting returns of product, historical experience is utilized to establish a liability for the estimate of expected returns and an asset for the right to recover the product expected to be returned. These adjustments are made in the same period as the underlying sales transactions.</w:t>
      </w:r>
    </w:p>
    <w:p>
      <w:pPr>
        <w:spacing w:after="0" w:line="178"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considers the following indicators amongst others when determining whether it is acting as a principal in the contract and recording revenue on a gross basis: (i) the Company is primarily responsible for fulfilling the promise to provide the specified products or services, (ii) the Company has inventory risk before the specified products have been transferred to a customer or after transfer of control to the customer and (iii) the Company has discretion in establishing the price for the specified products or services. If a transaction does not meet the Company's indicators of being a principal in the transaction, then the Company is acting as an agent in the transaction and the associated revenues are recognized on a net basis.</w:t>
      </w:r>
    </w:p>
    <w:p>
      <w:pPr>
        <w:spacing w:after="0" w:line="189"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Sales and other tax amounts collected from customers for remittance to governmental authorities are excluded from revenue. The Company has elected to treat shipping and handling of product as a fulfillment activity. The practical expedient not to disclose information about remaining performance obligations has also been elected as these contacts have an original duration of one year or less. The Company does not have any payment terms that exceed one year from the point it has satisfied the related performance obligations.</w:t>
      </w:r>
    </w:p>
    <w:p>
      <w:pPr>
        <w:spacing w:after="0" w:line="184" w:lineRule="exact"/>
        <w:rPr>
          <w:sz w:val="20"/>
          <w:szCs w:val="20"/>
          <w:color w:val="auto"/>
        </w:rPr>
      </w:pPr>
    </w:p>
    <w:p>
      <w:pPr>
        <w:ind w:left="440" w:right="5680" w:hanging="437"/>
        <w:spacing w:after="0" w:line="604" w:lineRule="auto"/>
        <w:tabs>
          <w:tab w:leader="none" w:pos="192"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Discontinued operations </w:t>
      </w:r>
      <w:r>
        <w:rPr>
          <w:rFonts w:ascii="Arial" w:cs="Arial" w:eastAsia="Arial" w:hAnsi="Arial"/>
          <w:sz w:val="15"/>
          <w:szCs w:val="15"/>
          <w:i w:val="1"/>
          <w:iCs w:val="1"/>
          <w:color w:val="auto"/>
        </w:rPr>
        <w:t>Acquisition of Softweb Solutions</w:t>
      </w:r>
    </w:p>
    <w:p>
      <w:pPr>
        <w:jc w:val="both"/>
        <w:ind w:firstLine="428"/>
        <w:spacing w:after="0" w:line="276" w:lineRule="auto"/>
        <w:rPr>
          <w:sz w:val="20"/>
          <w:szCs w:val="20"/>
          <w:color w:val="auto"/>
        </w:rPr>
      </w:pPr>
      <w:r>
        <w:rPr>
          <w:rFonts w:ascii="Arial" w:cs="Arial" w:eastAsia="Arial" w:hAnsi="Arial"/>
          <w:sz w:val="17"/>
          <w:szCs w:val="17"/>
          <w:color w:val="auto"/>
        </w:rPr>
        <w:t>In December 2018, the Company acquired Softweb Solutions (“Softweb”) a privately held software and artificial intelligence company that delivers software solutions for Internet of Things (IoT) applications and systems designed to increase efficiency, speed time to market, and help businesses transform. The impact of this acquisition was not material to the Company’s consolidated balance sheets or statements of operations and as a result, the Company has not disclosed the preliminary allocation of purchase price or the pro-forma impact of the acquisition.</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In February 2017, the Company completed the sale of its Technology Solutions business (“TS business”) to Tech Data Corporation (the “Buyer”). The TS business and the financial impacts of the divestiture are classified as discontinued operations in all periods presented. In August 2018, the Company executed a settlement agreement with the Buyer resulting in a final adjustment of $120.0 million and a final geographic allocation of the TS business sales price for tax reporting purposes. This incremental consideration received from the sale of the TS business as well as cash settlements from the resolution of indemnification claims and other cash reimbursements have been classified as cash flow from discontinued operations investing activities. Income tax payments related to the gain on sale of the TS business have been classified as cash flow from discontinued operations operating activities.</w:t>
      </w:r>
    </w:p>
    <w:p>
      <w:pPr>
        <w:spacing w:after="0" w:line="179"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In connection with the sale of the TS business, the Company entered into a Transition Services Agreement (“TSA”), pursuant to which the Buyer will pay the Company to provide certain information technology, distribution, facilities, finance and human resources related services for various periods of time depending upon the services not to exceed approximately two years from the closing date. Expenses incurred by the Company to provide such services under the TSA are classified within selling, general and administrative expenses and amounts billed to the Buyer to provide such services are classified as a reduction of such expenses. As of December 29, 2018, the Buyer has formally terminated all TSA services.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Under the contractual terms of the sale of the TS business, the Company has indemnified the Buyer for certain liabilities including income and other tax related matters, which may result in future indemnification payments to the Buyer depending upon the outcome of those matters subject to indemnification.</w:t>
      </w:r>
    </w:p>
    <w:p>
      <w:pPr>
        <w:spacing w:after="0" w:line="191" w:lineRule="exact"/>
        <w:rPr>
          <w:sz w:val="20"/>
          <w:szCs w:val="20"/>
          <w:color w:val="auto"/>
        </w:rPr>
      </w:pPr>
    </w:p>
    <w:p>
      <w:pPr>
        <w:ind w:left="440" w:right="6560" w:hanging="437"/>
        <w:spacing w:after="0" w:line="503" w:lineRule="auto"/>
        <w:tabs>
          <w:tab w:leader="none" w:pos="18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long-lived assets </w:t>
      </w:r>
      <w:r>
        <w:rPr>
          <w:rFonts w:ascii="Arial" w:cs="Arial" w:eastAsia="Arial" w:hAnsi="Arial"/>
          <w:sz w:val="18"/>
          <w:szCs w:val="18"/>
          <w:i w:val="1"/>
          <w:iCs w:val="1"/>
          <w:color w:val="auto"/>
        </w:rPr>
        <w:t>Goodwill</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change in goodwill by reportable segment for the six months ended December 29,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Electronic</w:t>
            </w: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Premier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1"/>
        </w:trPr>
        <w:tc>
          <w:tcPr>
            <w:tcW w:w="2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87"/>
              </w:rPr>
              <w:t>Components</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4"/>
              </w:rPr>
              <w:t>Farnell</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16"/>
        </w:trPr>
        <w:tc>
          <w:tcPr>
            <w:tcW w:w="2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(Thousands)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Carrying value at June 30, 2018 </w:t>
            </w:r>
            <w:r>
              <w:rPr>
                <w:rFonts w:ascii="Arial" w:cs="Arial" w:eastAsia="Arial" w:hAnsi="Arial"/>
                <w:sz w:val="8"/>
                <w:szCs w:val="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501,173</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980,872</w:t>
            </w:r>
          </w:p>
        </w:tc>
      </w:tr>
      <w:tr>
        <w:trPr>
          <w:trHeight w:val="216"/>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Additions from acquisitions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49,412</w:t>
            </w:r>
          </w:p>
        </w:tc>
      </w:tr>
      <w:tr>
        <w:trPr>
          <w:trHeight w:val="236"/>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(3,454)</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(16,262)</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(19,716)</w:t>
            </w:r>
          </w:p>
        </w:tc>
      </w:tr>
      <w:tr>
        <w:trPr>
          <w:trHeight w:val="210"/>
        </w:trPr>
        <w:tc>
          <w:tcPr>
            <w:tcW w:w="50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 xml:space="preserve">Carrying value at December 29, 2018 </w:t>
            </w:r>
            <w:r>
              <w:rPr>
                <w:rFonts w:ascii="Arial" w:cs="Arial" w:eastAsia="Arial" w:hAnsi="Arial"/>
                <w:sz w:val="8"/>
                <w:szCs w:val="8"/>
                <w:color w:val="auto"/>
              </w:rPr>
              <w:t>(1)</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525,657</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484,911</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1,010,568</w:t>
            </w:r>
          </w:p>
        </w:tc>
      </w:tr>
      <w:tr>
        <w:trPr>
          <w:trHeight w:val="108"/>
        </w:trPr>
        <w:tc>
          <w:tcPr>
            <w:tcW w:w="2280" w:type="dxa"/>
            <w:vAlign w:val="bottom"/>
            <w:tcBorders>
              <w:bottom w:val="single" w:sz="8" w:color="0D0D0D"/>
            </w:tcBorders>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r>
    </w:tbl>
    <w:p>
      <w:pPr>
        <w:ind w:left="700" w:hanging="697"/>
        <w:spacing w:after="0" w:line="233" w:lineRule="auto"/>
        <w:tabs>
          <w:tab w:leader="none" w:pos="700" w:val="left"/>
        </w:tabs>
        <w:numPr>
          <w:ilvl w:val="0"/>
          <w:numId w:val="5"/>
        </w:numPr>
        <w:rPr>
          <w:rFonts w:ascii="Arial" w:cs="Arial" w:eastAsia="Arial" w:hAnsi="Arial"/>
          <w:sz w:val="32"/>
          <w:szCs w:val="32"/>
          <w:color w:val="auto"/>
          <w:vertAlign w:val="superscript"/>
        </w:rPr>
      </w:pPr>
      <w:r>
        <w:rPr>
          <w:rFonts w:ascii="Arial" w:cs="Arial" w:eastAsia="Arial" w:hAnsi="Arial"/>
          <w:sz w:val="16"/>
          <w:szCs w:val="16"/>
          <w:color w:val="auto"/>
        </w:rPr>
        <w:t>Includes accumulated impairment of $1,045,110 from fiscal 2009 and $181,440 from fiscal 2018</w:t>
      </w:r>
    </w:p>
    <w:p>
      <w:pPr>
        <w:spacing w:after="0" w:line="182"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The Company evaluates each quarter if facts and circumstances indicate that it is more likely than not that the fair value of reporting units is less than its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as of any fiscal quarter end, (ii) changes in the macroeconomic or industry environments, (iii) the results of and the amount of time passed since the last goodwill impairment test and (iv) the long-term expected financial performance of its reporting units. During the second quarter of fiscal 2019, the Company concluded that an interim goodwill impairment test was not required.</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480" w:firstLine="428"/>
        <w:spacing w:after="0" w:line="277" w:lineRule="auto"/>
        <w:rPr>
          <w:sz w:val="20"/>
          <w:szCs w:val="20"/>
          <w:color w:val="auto"/>
        </w:rPr>
      </w:pPr>
      <w:r>
        <w:rPr>
          <w:rFonts w:ascii="Arial" w:cs="Arial" w:eastAsia="Arial" w:hAnsi="Arial"/>
          <w:sz w:val="18"/>
          <w:szCs w:val="18"/>
          <w:color w:val="auto"/>
        </w:rPr>
        <w:t>The following table presents the Company’s acquired intangible assets at December 29, 2018, and June 30, 2018,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00" w:type="dxa"/>
            <w:vAlign w:val="bottom"/>
          </w:tcPr>
          <w:p>
            <w:pPr>
              <w:spacing w:after="0"/>
              <w:rPr>
                <w:sz w:val="20"/>
                <w:szCs w:val="20"/>
                <w:color w:val="auto"/>
              </w:rPr>
            </w:pPr>
          </w:p>
        </w:tc>
        <w:tc>
          <w:tcPr>
            <w:tcW w:w="3100" w:type="dxa"/>
            <w:vAlign w:val="bottom"/>
            <w:gridSpan w:val="8"/>
          </w:tcPr>
          <w:p>
            <w:pPr>
              <w:ind w:left="740"/>
              <w:spacing w:after="0"/>
              <w:rPr>
                <w:sz w:val="20"/>
                <w:szCs w:val="20"/>
                <w:color w:val="auto"/>
              </w:rPr>
            </w:pPr>
            <w:r>
              <w:rPr>
                <w:rFonts w:ascii="Arial" w:cs="Arial" w:eastAsia="Arial" w:hAnsi="Arial"/>
                <w:sz w:val="18"/>
                <w:szCs w:val="18"/>
                <w:b w:val="1"/>
                <w:bCs w:val="1"/>
                <w:color w:val="auto"/>
              </w:rPr>
              <w:t>December 29, 2018</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 2018</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2800" w:type="dxa"/>
            <w:vAlign w:val="bottom"/>
          </w:tcPr>
          <w:p>
            <w:pPr>
              <w:spacing w:after="0"/>
              <w:rPr>
                <w:sz w:val="17"/>
                <w:szCs w:val="17"/>
                <w:color w:val="auto"/>
              </w:rPr>
            </w:pPr>
          </w:p>
        </w:tc>
        <w:tc>
          <w:tcPr>
            <w:tcW w:w="940" w:type="dxa"/>
            <w:vAlign w:val="bottom"/>
            <w:tcBorders>
              <w:top w:val="single" w:sz="8" w:color="auto"/>
            </w:tcBorders>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2"/>
              </w:rPr>
              <w:t>Acquired</w:t>
            </w:r>
          </w:p>
        </w:tc>
        <w:tc>
          <w:tcPr>
            <w:tcW w:w="112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7"/>
              </w:rPr>
              <w:t>Accumulated</w:t>
            </w: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Net Book</w:t>
            </w:r>
          </w:p>
        </w:tc>
        <w:tc>
          <w:tcPr>
            <w:tcW w:w="180" w:type="dxa"/>
            <w:vAlign w:val="bottom"/>
          </w:tcPr>
          <w:p>
            <w:pPr>
              <w:spacing w:after="0"/>
              <w:rPr>
                <w:sz w:val="17"/>
                <w:szCs w:val="17"/>
                <w:color w:val="auto"/>
              </w:rPr>
            </w:pPr>
          </w:p>
        </w:tc>
        <w:tc>
          <w:tcPr>
            <w:tcW w:w="1000" w:type="dxa"/>
            <w:vAlign w:val="bottom"/>
            <w:tcBorders>
              <w:top w:val="single" w:sz="8" w:color="auto"/>
            </w:tcBorders>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2"/>
              </w:rPr>
              <w:t>Acquired</w:t>
            </w:r>
          </w:p>
        </w:tc>
        <w:tc>
          <w:tcPr>
            <w:tcW w:w="1280" w:type="dxa"/>
            <w:vAlign w:val="bottom"/>
            <w:tcBorders>
              <w:top w:val="single" w:sz="8" w:color="auto"/>
            </w:tcBorders>
            <w:gridSpan w:val="3"/>
          </w:tcPr>
          <w:p>
            <w:pPr>
              <w:ind w:left="40"/>
              <w:spacing w:after="0" w:line="198" w:lineRule="exact"/>
              <w:rPr>
                <w:sz w:val="20"/>
                <w:szCs w:val="20"/>
                <w:color w:val="auto"/>
              </w:rPr>
            </w:pPr>
            <w:r>
              <w:rPr>
                <w:rFonts w:ascii="Arial" w:cs="Arial" w:eastAsia="Arial" w:hAnsi="Arial"/>
                <w:sz w:val="18"/>
                <w:szCs w:val="18"/>
                <w:b w:val="1"/>
                <w:bCs w:val="1"/>
                <w:color w:val="auto"/>
              </w:rPr>
              <w:t>Accumulated</w:t>
            </w:r>
          </w:p>
        </w:tc>
        <w:tc>
          <w:tcPr>
            <w:tcW w:w="8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Net Book</w:t>
            </w:r>
          </w:p>
        </w:tc>
        <w:tc>
          <w:tcPr>
            <w:tcW w:w="80" w:type="dxa"/>
            <w:vAlign w:val="bottom"/>
          </w:tcPr>
          <w:p>
            <w:pPr>
              <w:spacing w:after="0"/>
              <w:rPr>
                <w:sz w:val="17"/>
                <w:szCs w:val="17"/>
                <w:color w:val="auto"/>
              </w:rPr>
            </w:pPr>
          </w:p>
        </w:tc>
      </w:tr>
      <w:tr>
        <w:trPr>
          <w:trHeight w:val="241"/>
        </w:trPr>
        <w:tc>
          <w:tcPr>
            <w:tcW w:w="280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Amount</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Amount</w:t>
            </w: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8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rPr>
              <w:t>(Thousands)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$ 291,979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(176,415)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$ 115,564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$ 300,126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(148,416)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$ 151,710</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Trade name</w:t>
            </w:r>
          </w:p>
        </w:tc>
        <w:tc>
          <w:tcPr>
            <w:tcW w:w="760" w:type="dxa"/>
            <w:vAlign w:val="bottom"/>
          </w:tcPr>
          <w:p>
            <w:pPr>
              <w:jc w:val="right"/>
              <w:spacing w:after="0"/>
              <w:rPr>
                <w:sz w:val="20"/>
                <w:szCs w:val="20"/>
                <w:color w:val="auto"/>
              </w:rPr>
            </w:pPr>
            <w:r>
              <w:rPr>
                <w:rFonts w:ascii="Arial" w:cs="Arial" w:eastAsia="Arial" w:hAnsi="Arial"/>
                <w:sz w:val="18"/>
                <w:szCs w:val="18"/>
                <w:color w:val="auto"/>
              </w:rPr>
              <w:t>52,680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(20,473)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32,207</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54,391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(16,711)</w:t>
            </w:r>
          </w:p>
        </w:tc>
        <w:tc>
          <w:tcPr>
            <w:tcW w:w="800" w:type="dxa"/>
            <w:vAlign w:val="bottom"/>
          </w:tcPr>
          <w:p>
            <w:pPr>
              <w:jc w:val="right"/>
              <w:spacing w:after="0"/>
              <w:rPr>
                <w:sz w:val="20"/>
                <w:szCs w:val="20"/>
                <w:color w:val="auto"/>
              </w:rPr>
            </w:pPr>
            <w:r>
              <w:rPr>
                <w:rFonts w:ascii="Arial" w:cs="Arial" w:eastAsia="Arial" w:hAnsi="Arial"/>
                <w:sz w:val="18"/>
                <w:szCs w:val="18"/>
                <w:color w:val="auto"/>
              </w:rPr>
              <w:t>37,680</w:t>
            </w:r>
          </w:p>
        </w:tc>
        <w:tc>
          <w:tcPr>
            <w:tcW w:w="80" w:type="dxa"/>
            <w:vAlign w:val="bottom"/>
          </w:tcPr>
          <w:p>
            <w:pPr>
              <w:spacing w:after="0"/>
              <w:rPr>
                <w:sz w:val="18"/>
                <w:szCs w:val="18"/>
                <w:color w:val="auto"/>
              </w:rPr>
            </w:pPr>
          </w:p>
        </w:tc>
      </w:tr>
      <w:tr>
        <w:trPr>
          <w:trHeight w:val="23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63,765</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(26,557)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37,208</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52,793</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(22,270)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30,523</w:t>
            </w:r>
          </w:p>
        </w:tc>
        <w:tc>
          <w:tcPr>
            <w:tcW w:w="80" w:type="dxa"/>
            <w:vAlign w:val="bottom"/>
            <w:shd w:val="clear" w:color="auto" w:fill="CCEEFF"/>
          </w:tcPr>
          <w:p>
            <w:pPr>
              <w:spacing w:after="0"/>
              <w:rPr>
                <w:sz w:val="20"/>
                <w:szCs w:val="20"/>
                <w:color w:val="auto"/>
              </w:rPr>
            </w:pPr>
          </w:p>
        </w:tc>
      </w:tr>
      <w:tr>
        <w:trPr>
          <w:trHeight w:val="210"/>
        </w:trPr>
        <w:tc>
          <w:tcPr>
            <w:tcW w:w="280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4"/>
              </w:rPr>
              <w:t>$ 408,424</w:t>
            </w: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(223,445)</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4"/>
              </w:rPr>
              <w:t>$ 184,979</w:t>
            </w: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$ 407,310</w:t>
            </w: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(187,397)</w:t>
            </w: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$ 219,913</w:t>
            </w:r>
          </w:p>
        </w:tc>
        <w:tc>
          <w:tcPr>
            <w:tcW w:w="80" w:type="dxa"/>
            <w:vAlign w:val="bottom"/>
            <w:tcBorders>
              <w:top w:val="single" w:sz="8" w:color="CCEEFF"/>
            </w:tcBorders>
          </w:tcPr>
          <w:p>
            <w:pPr>
              <w:spacing w:after="0"/>
              <w:rPr>
                <w:sz w:val="18"/>
                <w:szCs w:val="18"/>
                <w:color w:val="auto"/>
              </w:rPr>
            </w:pPr>
          </w:p>
        </w:tc>
      </w:tr>
      <w:tr>
        <w:trPr>
          <w:trHeight w:val="864"/>
        </w:trPr>
        <w:tc>
          <w:tcPr>
            <w:tcW w:w="2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28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Intangible asset amortization expense from continuing operations was, and $20.4 million and $21.8 million for the second quarters of fiscal 2019 and 2018, respectively, and $41.2 million and $47.3 million for the first six months of fiscal 2019 and 2018, respectively. Intangible assets have a weighted average remaining useful life of approximately 3 years. The following table presents the estimated future amortization expense for the remainder of fiscal 2019 and the next five fiscal years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2019</w:t>
            </w:r>
          </w:p>
        </w:tc>
        <w:tc>
          <w:tcPr>
            <w:tcW w:w="3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41,719</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2020</w:t>
            </w:r>
          </w:p>
        </w:tc>
        <w:tc>
          <w:tcPr>
            <w:tcW w:w="4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81,132</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40,358</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2022</w:t>
            </w:r>
          </w:p>
        </w:tc>
        <w:tc>
          <w:tcPr>
            <w:tcW w:w="4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14,435</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r>
      <w:tr>
        <w:trPr>
          <w:trHeight w:val="223"/>
        </w:trPr>
        <w:tc>
          <w:tcPr>
            <w:tcW w:w="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w:t>
            </w:r>
          </w:p>
        </w:tc>
        <w:tc>
          <w:tcPr>
            <w:tcW w:w="4040" w:type="dxa"/>
            <w:vAlign w:val="bottom"/>
            <w:tcBorders>
              <w:bottom w:val="single" w:sz="8" w:color="CCEEFF"/>
            </w:tcBorders>
          </w:tcPr>
          <w:p>
            <w:pPr>
              <w:spacing w:after="0"/>
              <w:rPr>
                <w:sz w:val="19"/>
                <w:szCs w:val="19"/>
                <w:color w:val="auto"/>
              </w:rPr>
            </w:pPr>
          </w:p>
        </w:tc>
        <w:tc>
          <w:tcPr>
            <w:tcW w:w="3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r>
      <w:tr>
        <w:trPr>
          <w:trHeight w:val="223"/>
        </w:trPr>
        <w:tc>
          <w:tcPr>
            <w:tcW w:w="4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184,979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debt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8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December 29, 2018</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9"/>
              </w:rPr>
              <w:t>June 30, 2018</w:t>
            </w:r>
          </w:p>
        </w:tc>
        <w:tc>
          <w:tcPr>
            <w:tcW w:w="2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29, 2018</w:t>
            </w:r>
          </w:p>
        </w:tc>
        <w:tc>
          <w:tcPr>
            <w:tcW w:w="200" w:type="dxa"/>
            <w:vAlign w:val="bottom"/>
          </w:tcPr>
          <w:p>
            <w:pPr>
              <w:spacing w:after="0"/>
              <w:rPr>
                <w:sz w:val="20"/>
                <w:szCs w:val="20"/>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June 30, 2018</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CCEEFF"/>
            </w:tcBorders>
          </w:tcPr>
          <w:p>
            <w:pPr>
              <w:spacing w:after="0"/>
              <w:rPr>
                <w:sz w:val="19"/>
                <w:szCs w:val="19"/>
                <w:color w:val="auto"/>
              </w:rPr>
            </w:pPr>
          </w:p>
        </w:tc>
        <w:tc>
          <w:tcPr>
            <w:tcW w:w="2800" w:type="dxa"/>
            <w:vAlign w:val="bottom"/>
            <w:tcBorders>
              <w:top w:val="single" w:sz="8" w:color="auto"/>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Interest Rate</w:t>
            </w:r>
          </w:p>
        </w:tc>
        <w:tc>
          <w:tcPr>
            <w:tcW w:w="2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w w:val="94"/>
              </w:rPr>
              <w:t>Carrying Balance</w:t>
            </w:r>
          </w:p>
        </w:tc>
        <w:tc>
          <w:tcPr>
            <w:tcW w:w="68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16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2.86 %</w:t>
            </w:r>
          </w:p>
        </w:tc>
        <w:tc>
          <w:tcPr>
            <w:tcW w:w="1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2.91 %</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140"/>
              <w:spacing w:after="0" w:line="201" w:lineRule="exact"/>
              <w:rPr>
                <w:sz w:val="20"/>
                <w:szCs w:val="20"/>
                <w:color w:val="auto"/>
              </w:rPr>
            </w:pPr>
            <w:r>
              <w:rPr>
                <w:rFonts w:ascii="Arial" w:cs="Arial" w:eastAsia="Arial" w:hAnsi="Arial"/>
                <w:sz w:val="18"/>
                <w:szCs w:val="18"/>
                <w:color w:val="auto"/>
              </w:rPr>
              <w:t>Accounts receivable securitization</w:t>
            </w:r>
          </w:p>
        </w:tc>
        <w:tc>
          <w:tcPr>
            <w:tcW w:w="1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105,000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program</w:t>
            </w:r>
          </w:p>
        </w:tc>
        <w:tc>
          <w:tcPr>
            <w:tcW w:w="1620" w:type="dxa"/>
            <w:vAlign w:val="bottom"/>
            <w:tcBorders>
              <w:bottom w:val="single" w:sz="8" w:color="CCEEFF"/>
            </w:tcBorders>
          </w:tcPr>
          <w:p>
            <w:pPr>
              <w:jc w:val="right"/>
              <w:ind w:right="9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ind w:right="350"/>
              <w:spacing w:after="0"/>
              <w:rPr>
                <w:sz w:val="20"/>
                <w:szCs w:val="20"/>
                <w:color w:val="auto"/>
              </w:rPr>
            </w:pPr>
            <w:r>
              <w:rPr>
                <w:rFonts w:ascii="Arial" w:cs="Arial" w:eastAsia="Arial" w:hAnsi="Arial"/>
                <w:sz w:val="18"/>
                <w:szCs w:val="18"/>
                <w:color w:val="auto"/>
              </w:rPr>
              <w:t>2.63 %</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Short-term debt</w:t>
            </w:r>
          </w:p>
        </w:tc>
        <w:tc>
          <w:tcPr>
            <w:tcW w:w="16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165,380</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w w:val="90"/>
              </w:rPr>
              <w:t>December 29, 2018</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w w:val="97"/>
              </w:rPr>
              <w:t>June 30, 2018</w:t>
            </w:r>
          </w:p>
        </w:tc>
        <w:tc>
          <w:tcPr>
            <w:tcW w:w="16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0"/>
              </w:rPr>
              <w:t>December 29, 2018</w:t>
            </w: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June 30, 2018</w:t>
            </w:r>
          </w:p>
        </w:tc>
      </w:tr>
      <w:tr>
        <w:trPr>
          <w:trHeight w:val="183"/>
        </w:trPr>
        <w:tc>
          <w:tcPr>
            <w:tcW w:w="3900" w:type="dxa"/>
            <w:vAlign w:val="bottom"/>
            <w:tcBorders>
              <w:bottom w:val="single" w:sz="8" w:color="CCEEFF"/>
            </w:tcBorders>
          </w:tcPr>
          <w:p>
            <w:pPr>
              <w:spacing w:after="0"/>
              <w:rPr>
                <w:sz w:val="15"/>
                <w:szCs w:val="15"/>
                <w:color w:val="auto"/>
              </w:rPr>
            </w:pPr>
          </w:p>
        </w:tc>
        <w:tc>
          <w:tcPr>
            <w:tcW w:w="2440" w:type="dxa"/>
            <w:vAlign w:val="bottom"/>
            <w:tcBorders>
              <w:top w:val="single" w:sz="8" w:color="auto"/>
              <w:bottom w:val="single" w:sz="8" w:color="auto"/>
            </w:tcBorders>
            <w:gridSpan w:val="2"/>
          </w:tcPr>
          <w:p>
            <w:pPr>
              <w:jc w:val="right"/>
              <w:ind w:right="699"/>
              <w:spacing w:after="0" w:line="176" w:lineRule="exact"/>
              <w:rPr>
                <w:sz w:val="20"/>
                <w:szCs w:val="20"/>
                <w:color w:val="auto"/>
              </w:rPr>
            </w:pPr>
            <w:r>
              <w:rPr>
                <w:rFonts w:ascii="Arial" w:cs="Arial" w:eastAsia="Arial" w:hAnsi="Arial"/>
                <w:sz w:val="16"/>
                <w:szCs w:val="16"/>
                <w:b w:val="1"/>
                <w:bCs w:val="1"/>
                <w:color w:val="auto"/>
              </w:rPr>
              <w:t>Interest Rate</w:t>
            </w:r>
          </w:p>
        </w:tc>
        <w:tc>
          <w:tcPr>
            <w:tcW w:w="16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2140" w:type="dxa"/>
            <w:vAlign w:val="bottom"/>
            <w:tcBorders>
              <w:top w:val="single" w:sz="8" w:color="auto"/>
              <w:bottom w:val="single" w:sz="8" w:color="auto"/>
            </w:tcBorders>
            <w:gridSpan w:val="4"/>
          </w:tcPr>
          <w:p>
            <w:pPr>
              <w:jc w:val="right"/>
              <w:ind w:right="559"/>
              <w:spacing w:after="0" w:line="176" w:lineRule="exact"/>
              <w:rPr>
                <w:sz w:val="20"/>
                <w:szCs w:val="20"/>
                <w:color w:val="auto"/>
              </w:rPr>
            </w:pPr>
            <w:r>
              <w:rPr>
                <w:rFonts w:ascii="Arial" w:cs="Arial" w:eastAsia="Arial" w:hAnsi="Arial"/>
                <w:sz w:val="16"/>
                <w:szCs w:val="16"/>
                <w:b w:val="1"/>
                <w:bCs w:val="1"/>
                <w:color w:val="auto"/>
              </w:rPr>
              <w:t>Carrying Balance</w:t>
            </w:r>
          </w:p>
        </w:tc>
        <w:tc>
          <w:tcPr>
            <w:tcW w:w="60" w:type="dxa"/>
            <w:vAlign w:val="bottom"/>
            <w:tcBorders>
              <w:bottom w:val="single" w:sz="8" w:color="CCEEFF"/>
            </w:tcBorders>
          </w:tcPr>
          <w:p>
            <w:pPr>
              <w:spacing w:after="0"/>
              <w:rPr>
                <w:sz w:val="15"/>
                <w:szCs w:val="15"/>
                <w:color w:val="auto"/>
              </w:rPr>
            </w:pPr>
          </w:p>
        </w:tc>
      </w:tr>
      <w:tr>
        <w:trPr>
          <w:trHeight w:val="176"/>
        </w:trPr>
        <w:tc>
          <w:tcPr>
            <w:tcW w:w="39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Revolving credit facilities:</w:t>
            </w:r>
          </w:p>
        </w:tc>
        <w:tc>
          <w:tcPr>
            <w:tcW w:w="1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76"/>
        </w:trPr>
        <w:tc>
          <w:tcPr>
            <w:tcW w:w="3900" w:type="dxa"/>
            <w:vAlign w:val="bottom"/>
          </w:tcPr>
          <w:p>
            <w:pPr>
              <w:ind w:left="120"/>
              <w:spacing w:after="0" w:line="176" w:lineRule="exact"/>
              <w:rPr>
                <w:sz w:val="20"/>
                <w:szCs w:val="20"/>
                <w:color w:val="auto"/>
              </w:rPr>
            </w:pPr>
            <w:r>
              <w:rPr>
                <w:rFonts w:ascii="Arial" w:cs="Arial" w:eastAsia="Arial" w:hAnsi="Arial"/>
                <w:sz w:val="16"/>
                <w:szCs w:val="16"/>
                <w:color w:val="auto"/>
              </w:rPr>
              <w:t>Accounts receivable securitization program</w:t>
            </w:r>
          </w:p>
        </w:tc>
        <w:tc>
          <w:tcPr>
            <w:tcW w:w="1400" w:type="dxa"/>
            <w:vAlign w:val="bottom"/>
          </w:tcPr>
          <w:p>
            <w:pPr>
              <w:jc w:val="right"/>
              <w:ind w:right="639"/>
              <w:spacing w:after="0" w:line="176" w:lineRule="exact"/>
              <w:rPr>
                <w:sz w:val="20"/>
                <w:szCs w:val="20"/>
                <w:color w:val="auto"/>
              </w:rPr>
            </w:pPr>
            <w:r>
              <w:rPr>
                <w:rFonts w:ascii="Arial" w:cs="Arial" w:eastAsia="Arial" w:hAnsi="Arial"/>
                <w:sz w:val="16"/>
                <w:szCs w:val="16"/>
                <w:color w:val="auto"/>
              </w:rPr>
              <w:t>3.26 %</w:t>
            </w:r>
          </w:p>
        </w:tc>
        <w:tc>
          <w:tcPr>
            <w:tcW w:w="1040" w:type="dxa"/>
            <w:vAlign w:val="bottom"/>
          </w:tcPr>
          <w:p>
            <w:pPr>
              <w:jc w:val="right"/>
              <w:ind w:right="399"/>
              <w:spacing w:after="0" w:line="176" w:lineRule="exact"/>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02"/>
              <w:spacing w:after="0" w:line="176"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471,000</w:t>
            </w:r>
          </w:p>
        </w:tc>
        <w:tc>
          <w:tcPr>
            <w:tcW w:w="180" w:type="dxa"/>
            <w:vAlign w:val="bottom"/>
          </w:tcPr>
          <w:p>
            <w:pPr>
              <w:spacing w:after="0"/>
              <w:rPr>
                <w:sz w:val="15"/>
                <w:szCs w:val="15"/>
                <w:color w:val="auto"/>
              </w:rPr>
            </w:pPr>
          </w:p>
        </w:tc>
        <w:tc>
          <w:tcPr>
            <w:tcW w:w="18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w:t>
            </w:r>
          </w:p>
        </w:tc>
      </w:tr>
      <w:tr>
        <w:trPr>
          <w:trHeight w:val="176"/>
        </w:trPr>
        <w:tc>
          <w:tcPr>
            <w:tcW w:w="39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Public notes due:</w:t>
            </w:r>
          </w:p>
        </w:tc>
        <w:tc>
          <w:tcPr>
            <w:tcW w:w="1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76"/>
        </w:trPr>
        <w:tc>
          <w:tcPr>
            <w:tcW w:w="3900" w:type="dxa"/>
            <w:vAlign w:val="bottom"/>
          </w:tcPr>
          <w:p>
            <w:pPr>
              <w:ind w:left="120"/>
              <w:spacing w:after="0" w:line="176" w:lineRule="exact"/>
              <w:rPr>
                <w:sz w:val="20"/>
                <w:szCs w:val="20"/>
                <w:color w:val="auto"/>
              </w:rPr>
            </w:pPr>
            <w:r>
              <w:rPr>
                <w:rFonts w:ascii="Arial" w:cs="Arial" w:eastAsia="Arial" w:hAnsi="Arial"/>
                <w:sz w:val="16"/>
                <w:szCs w:val="16"/>
                <w:color w:val="auto"/>
              </w:rPr>
              <w:t>June 2020</w:t>
            </w:r>
          </w:p>
        </w:tc>
        <w:tc>
          <w:tcPr>
            <w:tcW w:w="1400" w:type="dxa"/>
            <w:vAlign w:val="bottom"/>
          </w:tcPr>
          <w:p>
            <w:pPr>
              <w:jc w:val="right"/>
              <w:ind w:right="639"/>
              <w:spacing w:after="0" w:line="176" w:lineRule="exact"/>
              <w:rPr>
                <w:sz w:val="20"/>
                <w:szCs w:val="20"/>
                <w:color w:val="auto"/>
              </w:rPr>
            </w:pPr>
            <w:r>
              <w:rPr>
                <w:rFonts w:ascii="Arial" w:cs="Arial" w:eastAsia="Arial" w:hAnsi="Arial"/>
                <w:sz w:val="16"/>
                <w:szCs w:val="16"/>
                <w:color w:val="auto"/>
              </w:rPr>
              <w:t>5.88 %</w:t>
            </w:r>
          </w:p>
        </w:tc>
        <w:tc>
          <w:tcPr>
            <w:tcW w:w="104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5.88 %</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300,000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300,000</w:t>
            </w:r>
          </w:p>
        </w:tc>
        <w:tc>
          <w:tcPr>
            <w:tcW w:w="60" w:type="dxa"/>
            <w:vAlign w:val="bottom"/>
          </w:tcPr>
          <w:p>
            <w:pPr>
              <w:spacing w:after="0"/>
              <w:rPr>
                <w:sz w:val="15"/>
                <w:szCs w:val="15"/>
                <w:color w:val="auto"/>
              </w:rPr>
            </w:pPr>
          </w:p>
        </w:tc>
      </w:tr>
      <w:tr>
        <w:trPr>
          <w:trHeight w:val="176"/>
        </w:trPr>
        <w:tc>
          <w:tcPr>
            <w:tcW w:w="3900" w:type="dxa"/>
            <w:vAlign w:val="bottom"/>
            <w:shd w:val="clear" w:color="auto" w:fill="CCEEFF"/>
          </w:tcPr>
          <w:p>
            <w:pPr>
              <w:ind w:left="120"/>
              <w:spacing w:after="0" w:line="176" w:lineRule="exact"/>
              <w:rPr>
                <w:sz w:val="20"/>
                <w:szCs w:val="20"/>
                <w:color w:val="auto"/>
              </w:rPr>
            </w:pPr>
            <w:r>
              <w:rPr>
                <w:rFonts w:ascii="Arial" w:cs="Arial" w:eastAsia="Arial" w:hAnsi="Arial"/>
                <w:sz w:val="16"/>
                <w:szCs w:val="16"/>
                <w:color w:val="auto"/>
              </w:rPr>
              <w:t>December 2021</w:t>
            </w:r>
          </w:p>
        </w:tc>
        <w:tc>
          <w:tcPr>
            <w:tcW w:w="1400" w:type="dxa"/>
            <w:vAlign w:val="bottom"/>
            <w:shd w:val="clear" w:color="auto" w:fill="CCEEFF"/>
          </w:tcPr>
          <w:p>
            <w:pPr>
              <w:jc w:val="right"/>
              <w:ind w:right="639"/>
              <w:spacing w:after="0" w:line="176" w:lineRule="exact"/>
              <w:rPr>
                <w:sz w:val="20"/>
                <w:szCs w:val="20"/>
                <w:color w:val="auto"/>
              </w:rPr>
            </w:pPr>
            <w:r>
              <w:rPr>
                <w:rFonts w:ascii="Arial" w:cs="Arial" w:eastAsia="Arial" w:hAnsi="Arial"/>
                <w:sz w:val="16"/>
                <w:szCs w:val="16"/>
                <w:color w:val="auto"/>
              </w:rPr>
              <w:t>3.75 %</w:t>
            </w:r>
          </w:p>
        </w:tc>
        <w:tc>
          <w:tcPr>
            <w:tcW w:w="1040" w:type="dxa"/>
            <w:vAlign w:val="bottom"/>
            <w:shd w:val="clear" w:color="auto" w:fill="CCEEFF"/>
          </w:tcPr>
          <w:p>
            <w:pPr>
              <w:jc w:val="right"/>
              <w:ind w:right="199"/>
              <w:spacing w:after="0" w:line="176" w:lineRule="exact"/>
              <w:rPr>
                <w:sz w:val="20"/>
                <w:szCs w:val="20"/>
                <w:color w:val="auto"/>
              </w:rPr>
            </w:pPr>
            <w:r>
              <w:rPr>
                <w:rFonts w:ascii="Arial" w:cs="Arial" w:eastAsia="Arial" w:hAnsi="Arial"/>
                <w:sz w:val="16"/>
                <w:szCs w:val="16"/>
                <w:color w:val="auto"/>
              </w:rPr>
              <w:t>3.75 %</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300,000</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300,000</w:t>
            </w:r>
          </w:p>
        </w:tc>
        <w:tc>
          <w:tcPr>
            <w:tcW w:w="60" w:type="dxa"/>
            <w:vAlign w:val="bottom"/>
            <w:shd w:val="clear" w:color="auto" w:fill="CCEEFF"/>
          </w:tcPr>
          <w:p>
            <w:pPr>
              <w:spacing w:after="0"/>
              <w:rPr>
                <w:sz w:val="15"/>
                <w:szCs w:val="15"/>
                <w:color w:val="auto"/>
              </w:rPr>
            </w:pPr>
          </w:p>
        </w:tc>
      </w:tr>
      <w:tr>
        <w:trPr>
          <w:trHeight w:val="176"/>
        </w:trPr>
        <w:tc>
          <w:tcPr>
            <w:tcW w:w="3900" w:type="dxa"/>
            <w:vAlign w:val="bottom"/>
          </w:tcPr>
          <w:p>
            <w:pPr>
              <w:ind w:left="120"/>
              <w:spacing w:after="0" w:line="176" w:lineRule="exact"/>
              <w:rPr>
                <w:sz w:val="20"/>
                <w:szCs w:val="20"/>
                <w:color w:val="auto"/>
              </w:rPr>
            </w:pPr>
            <w:r>
              <w:rPr>
                <w:rFonts w:ascii="Arial" w:cs="Arial" w:eastAsia="Arial" w:hAnsi="Arial"/>
                <w:sz w:val="16"/>
                <w:szCs w:val="16"/>
                <w:color w:val="auto"/>
              </w:rPr>
              <w:t>December 2022</w:t>
            </w:r>
          </w:p>
        </w:tc>
        <w:tc>
          <w:tcPr>
            <w:tcW w:w="1400" w:type="dxa"/>
            <w:vAlign w:val="bottom"/>
          </w:tcPr>
          <w:p>
            <w:pPr>
              <w:jc w:val="right"/>
              <w:ind w:right="639"/>
              <w:spacing w:after="0" w:line="176" w:lineRule="exact"/>
              <w:rPr>
                <w:sz w:val="20"/>
                <w:szCs w:val="20"/>
                <w:color w:val="auto"/>
              </w:rPr>
            </w:pPr>
            <w:r>
              <w:rPr>
                <w:rFonts w:ascii="Arial" w:cs="Arial" w:eastAsia="Arial" w:hAnsi="Arial"/>
                <w:sz w:val="16"/>
                <w:szCs w:val="16"/>
                <w:color w:val="auto"/>
              </w:rPr>
              <w:t>4.88 %</w:t>
            </w:r>
          </w:p>
        </w:tc>
        <w:tc>
          <w:tcPr>
            <w:tcW w:w="104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4.88 %</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350,000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350,000</w:t>
            </w:r>
          </w:p>
        </w:tc>
        <w:tc>
          <w:tcPr>
            <w:tcW w:w="60" w:type="dxa"/>
            <w:vAlign w:val="bottom"/>
          </w:tcPr>
          <w:p>
            <w:pPr>
              <w:spacing w:after="0"/>
              <w:rPr>
                <w:sz w:val="15"/>
                <w:szCs w:val="15"/>
                <w:color w:val="auto"/>
              </w:rPr>
            </w:pPr>
          </w:p>
        </w:tc>
      </w:tr>
      <w:tr>
        <w:trPr>
          <w:trHeight w:val="176"/>
        </w:trPr>
        <w:tc>
          <w:tcPr>
            <w:tcW w:w="3900" w:type="dxa"/>
            <w:vAlign w:val="bottom"/>
            <w:shd w:val="clear" w:color="auto" w:fill="CCEEFF"/>
          </w:tcPr>
          <w:p>
            <w:pPr>
              <w:ind w:left="120"/>
              <w:spacing w:after="0" w:line="176" w:lineRule="exact"/>
              <w:rPr>
                <w:sz w:val="20"/>
                <w:szCs w:val="20"/>
                <w:color w:val="auto"/>
              </w:rPr>
            </w:pPr>
            <w:r>
              <w:rPr>
                <w:rFonts w:ascii="Arial" w:cs="Arial" w:eastAsia="Arial" w:hAnsi="Arial"/>
                <w:sz w:val="16"/>
                <w:szCs w:val="16"/>
                <w:color w:val="auto"/>
              </w:rPr>
              <w:t>April 2026</w:t>
            </w:r>
          </w:p>
        </w:tc>
        <w:tc>
          <w:tcPr>
            <w:tcW w:w="1400" w:type="dxa"/>
            <w:vAlign w:val="bottom"/>
            <w:shd w:val="clear" w:color="auto" w:fill="CCEEFF"/>
          </w:tcPr>
          <w:p>
            <w:pPr>
              <w:jc w:val="right"/>
              <w:ind w:right="639"/>
              <w:spacing w:after="0" w:line="176" w:lineRule="exact"/>
              <w:rPr>
                <w:sz w:val="20"/>
                <w:szCs w:val="20"/>
                <w:color w:val="auto"/>
              </w:rPr>
            </w:pPr>
            <w:r>
              <w:rPr>
                <w:rFonts w:ascii="Arial" w:cs="Arial" w:eastAsia="Arial" w:hAnsi="Arial"/>
                <w:sz w:val="16"/>
                <w:szCs w:val="16"/>
                <w:color w:val="auto"/>
              </w:rPr>
              <w:t>4.63 %</w:t>
            </w:r>
          </w:p>
        </w:tc>
        <w:tc>
          <w:tcPr>
            <w:tcW w:w="1040" w:type="dxa"/>
            <w:vAlign w:val="bottom"/>
            <w:shd w:val="clear" w:color="auto" w:fill="CCEEFF"/>
          </w:tcPr>
          <w:p>
            <w:pPr>
              <w:jc w:val="right"/>
              <w:ind w:right="199"/>
              <w:spacing w:after="0" w:line="176" w:lineRule="exact"/>
              <w:rPr>
                <w:sz w:val="20"/>
                <w:szCs w:val="20"/>
                <w:color w:val="auto"/>
              </w:rPr>
            </w:pPr>
            <w:r>
              <w:rPr>
                <w:rFonts w:ascii="Arial" w:cs="Arial" w:eastAsia="Arial" w:hAnsi="Arial"/>
                <w:sz w:val="16"/>
                <w:szCs w:val="16"/>
                <w:color w:val="auto"/>
              </w:rPr>
              <w:t>4.63 %</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550,000</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550,000</w:t>
            </w:r>
          </w:p>
        </w:tc>
        <w:tc>
          <w:tcPr>
            <w:tcW w:w="60" w:type="dxa"/>
            <w:vAlign w:val="bottom"/>
            <w:shd w:val="clear" w:color="auto" w:fill="CCEEFF"/>
          </w:tcPr>
          <w:p>
            <w:pPr>
              <w:spacing w:after="0"/>
              <w:rPr>
                <w:sz w:val="15"/>
                <w:szCs w:val="15"/>
                <w:color w:val="auto"/>
              </w:rPr>
            </w:pPr>
          </w:p>
        </w:tc>
      </w:tr>
      <w:tr>
        <w:trPr>
          <w:trHeight w:val="183"/>
        </w:trPr>
        <w:tc>
          <w:tcPr>
            <w:tcW w:w="390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Other long-term debt</w:t>
            </w:r>
          </w:p>
        </w:tc>
        <w:tc>
          <w:tcPr>
            <w:tcW w:w="1400" w:type="dxa"/>
            <w:vAlign w:val="bottom"/>
            <w:tcBorders>
              <w:bottom w:val="single" w:sz="8" w:color="CCEEFF"/>
            </w:tcBorders>
          </w:tcPr>
          <w:p>
            <w:pPr>
              <w:jc w:val="right"/>
              <w:ind w:right="639"/>
              <w:spacing w:after="0" w:line="176" w:lineRule="exact"/>
              <w:rPr>
                <w:sz w:val="20"/>
                <w:szCs w:val="20"/>
                <w:color w:val="auto"/>
              </w:rPr>
            </w:pPr>
            <w:r>
              <w:rPr>
                <w:rFonts w:ascii="Arial" w:cs="Arial" w:eastAsia="Arial" w:hAnsi="Arial"/>
                <w:sz w:val="16"/>
                <w:szCs w:val="16"/>
                <w:color w:val="auto"/>
              </w:rPr>
              <w:t>1.11 %</w:t>
            </w:r>
          </w:p>
        </w:tc>
        <w:tc>
          <w:tcPr>
            <w:tcW w:w="1040" w:type="dxa"/>
            <w:vAlign w:val="bottom"/>
            <w:tcBorders>
              <w:bottom w:val="single" w:sz="8" w:color="CCEEFF"/>
            </w:tcBorders>
          </w:tcPr>
          <w:p>
            <w:pPr>
              <w:jc w:val="right"/>
              <w:ind w:right="199"/>
              <w:spacing w:after="0" w:line="176" w:lineRule="exact"/>
              <w:rPr>
                <w:sz w:val="20"/>
                <w:szCs w:val="20"/>
                <w:color w:val="auto"/>
              </w:rPr>
            </w:pPr>
            <w:r>
              <w:rPr>
                <w:rFonts w:ascii="Arial" w:cs="Arial" w:eastAsia="Arial" w:hAnsi="Arial"/>
                <w:sz w:val="16"/>
                <w:szCs w:val="16"/>
                <w:color w:val="auto"/>
              </w:rPr>
              <w:t>1.26 %</w:t>
            </w: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503</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383</w:t>
            </w:r>
          </w:p>
        </w:tc>
        <w:tc>
          <w:tcPr>
            <w:tcW w:w="60" w:type="dxa"/>
            <w:vAlign w:val="bottom"/>
            <w:tcBorders>
              <w:bottom w:val="single" w:sz="8" w:color="CCEEFF"/>
            </w:tcBorders>
          </w:tcPr>
          <w:p>
            <w:pPr>
              <w:spacing w:after="0"/>
              <w:rPr>
                <w:sz w:val="15"/>
                <w:szCs w:val="15"/>
                <w:color w:val="auto"/>
              </w:rPr>
            </w:pPr>
          </w:p>
        </w:tc>
      </w:tr>
      <w:tr>
        <w:trPr>
          <w:trHeight w:val="176"/>
        </w:trPr>
        <w:tc>
          <w:tcPr>
            <w:tcW w:w="39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w w:val="97"/>
              </w:rPr>
              <w:t>Long-term debt before discount and debt issuance costs</w:t>
            </w:r>
          </w:p>
        </w:tc>
        <w:tc>
          <w:tcPr>
            <w:tcW w:w="1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1,971,503</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1,500,383</w:t>
            </w:r>
          </w:p>
        </w:tc>
        <w:tc>
          <w:tcPr>
            <w:tcW w:w="60" w:type="dxa"/>
            <w:vAlign w:val="bottom"/>
            <w:shd w:val="clear" w:color="auto" w:fill="CCEEFF"/>
          </w:tcPr>
          <w:p>
            <w:pPr>
              <w:spacing w:after="0"/>
              <w:rPr>
                <w:sz w:val="15"/>
                <w:szCs w:val="15"/>
                <w:color w:val="auto"/>
              </w:rPr>
            </w:pPr>
          </w:p>
        </w:tc>
      </w:tr>
      <w:tr>
        <w:trPr>
          <w:trHeight w:val="183"/>
        </w:trPr>
        <w:tc>
          <w:tcPr>
            <w:tcW w:w="3900" w:type="dxa"/>
            <w:vAlign w:val="bottom"/>
          </w:tcPr>
          <w:p>
            <w:pPr>
              <w:spacing w:after="0" w:line="176" w:lineRule="exact"/>
              <w:rPr>
                <w:sz w:val="20"/>
                <w:szCs w:val="20"/>
                <w:color w:val="auto"/>
              </w:rPr>
            </w:pPr>
            <w:r>
              <w:rPr>
                <w:rFonts w:ascii="Arial" w:cs="Arial" w:eastAsia="Arial" w:hAnsi="Arial"/>
                <w:sz w:val="16"/>
                <w:szCs w:val="16"/>
                <w:color w:val="auto"/>
              </w:rPr>
              <w:t>Discount and debt issuance costs – unamortized</w:t>
            </w: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2"/>
          </w:tcPr>
          <w:p>
            <w:pPr>
              <w:jc w:val="right"/>
              <w:ind w:right="180"/>
              <w:spacing w:after="0" w:line="176" w:lineRule="exact"/>
              <w:rPr>
                <w:sz w:val="20"/>
                <w:szCs w:val="20"/>
                <w:color w:val="auto"/>
              </w:rPr>
            </w:pPr>
            <w:r>
              <w:rPr>
                <w:rFonts w:ascii="Arial" w:cs="Arial" w:eastAsia="Arial" w:hAnsi="Arial"/>
                <w:sz w:val="16"/>
                <w:szCs w:val="16"/>
                <w:color w:val="auto"/>
              </w:rPr>
              <w:t>(10,036)</w:t>
            </w:r>
          </w:p>
        </w:tc>
        <w:tc>
          <w:tcPr>
            <w:tcW w:w="1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(11,164)</w:t>
            </w:r>
          </w:p>
        </w:tc>
        <w:tc>
          <w:tcPr>
            <w:tcW w:w="60" w:type="dxa"/>
            <w:vAlign w:val="bottom"/>
          </w:tcPr>
          <w:p>
            <w:pPr>
              <w:spacing w:after="0"/>
              <w:rPr>
                <w:sz w:val="15"/>
                <w:szCs w:val="15"/>
                <w:color w:val="auto"/>
              </w:rPr>
            </w:pPr>
          </w:p>
        </w:tc>
      </w:tr>
      <w:tr>
        <w:trPr>
          <w:trHeight w:val="183"/>
        </w:trPr>
        <w:tc>
          <w:tcPr>
            <w:tcW w:w="3900" w:type="dxa"/>
            <w:vAlign w:val="bottom"/>
            <w:tcBorders>
              <w:top w:val="single" w:sz="8" w:color="CCEEFF"/>
              <w:bottom w:val="single" w:sz="8" w:color="CCEEFF"/>
            </w:tcBorders>
            <w:shd w:val="clear" w:color="auto" w:fill="CCEEFF"/>
          </w:tcPr>
          <w:p>
            <w:pPr>
              <w:ind w:left="320"/>
              <w:spacing w:after="0" w:line="176" w:lineRule="exact"/>
              <w:rPr>
                <w:sz w:val="20"/>
                <w:szCs w:val="20"/>
                <w:color w:val="auto"/>
              </w:rPr>
            </w:pPr>
            <w:r>
              <w:rPr>
                <w:rFonts w:ascii="Arial" w:cs="Arial" w:eastAsia="Arial" w:hAnsi="Arial"/>
                <w:sz w:val="16"/>
                <w:szCs w:val="16"/>
                <w:color w:val="auto"/>
              </w:rPr>
              <w:t>Long-term debt</w:t>
            </w:r>
          </w:p>
        </w:tc>
        <w:tc>
          <w:tcPr>
            <w:tcW w:w="14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1,961,467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1,489,219</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The Company has an accounts receivable securitization program (the “Securitization Program”) in the United States with a group of financial institutions to allow the Company to transfer, on an ongoing revolving basis, an undivided interest in a designated pool of trade accounts receivable, to provide security or collateral for borrowings up to a maximum of $500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$814.6 million and $790.5 million at December 29, 2018, and June 30, 2018, respectively. The Securitization Program contains certain covenants relating to the quality of the receivables sold. The Securitization Program also requires the Company to maintain certain minimum interest coverage and leverage ratios, which the Company was in compliance with as of December 29, 2018, and June 30, 2018. The Securitization Program expires in August 2020 and as a result the Company has classified outstanding balances as long-term debt as of December 29, 2018. Interest on borrowings is calculated using a one-month LIBOR rate plus a spread of 0.75%. The facility fee on the unused balance of the facility is up to 0.35%.</w:t>
      </w:r>
    </w:p>
    <w:p>
      <w:pPr>
        <w:spacing w:after="0" w:line="185"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Company has a five-year $1.25 billion senior unsecured revolving credit facility (the “Credit Facility”) with a syndicate of banks, consisting of revolving credit facilities and the issuance of up to $200.0 million of letters of credit and up to $300.0 million of loans in certain approved currencies, which expires in June 2023.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December 29, 2018, and June 30, 2018. As of December 29, 2018, and June 30, 2018, there were $3.0 million and $2.0 million, respectively, in letters of credit issued under the Credit Facility.</w:t>
      </w:r>
    </w:p>
    <w:p>
      <w:pPr>
        <w:spacing w:after="0" w:line="167"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As of December 29, 2018, the carrying value and fair value of the Company’s total debt was $1.96 billion and $1.97 billion, respectively. At June 30, 2018, the carrying value and fair value of the Company’s total debt was $1.65 billion and $1.67 billion, respectively. Fair value for the public notes was estimated based upon quoted market prices and for other forms of debt fair value approximates carrying value due to the market based variable nature of the interest rates on those debt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229"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(e.g., offsetting receivables and payables in the same foreign currency) as well as by creating offsetting positions through the use of derivative financial instruments, primarily forward foreign exchange contracts typically with maturities of less than 60 days (“economic hedges”), but no longer than one year. The Company continues to have exposure to foreign currency risks to the extent they are not economically hedged. The Company adjusts any economic hedges to fair value through the consolidated statements of operations primarily within “other income,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December 29, 2018, and June 30, 2018.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88"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right="40" w:firstLine="428"/>
        <w:spacing w:after="0" w:line="257" w:lineRule="auto"/>
        <w:rPr>
          <w:sz w:val="20"/>
          <w:szCs w:val="20"/>
          <w:color w:val="auto"/>
        </w:rPr>
      </w:pPr>
      <w:r>
        <w:rPr>
          <w:rFonts w:ascii="Arial" w:cs="Arial" w:eastAsia="Arial" w:hAnsi="Arial"/>
          <w:sz w:val="18"/>
          <w:szCs w:val="18"/>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Canadian Dollar, Japanese Yen, Chinese Yuan, Taiwan Dollar and Mexican Peso. The Company also, to a lesser extent, has foreign operations transactions in other European and Asia/Pacific foreign currencies.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values of derivative financial instruments in the Company’s consolidated balance sheets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2"/>
              </w:rPr>
              <w:t>December 29,</w:t>
            </w:r>
          </w:p>
        </w:tc>
        <w:tc>
          <w:tcPr>
            <w:tcW w:w="32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5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8"/>
                <w:szCs w:val="18"/>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Forward foreign currency exchange contracts not receiving hedge accounting</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treatment recorded in:</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6,857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2,259</w:t>
            </w:r>
          </w:p>
        </w:tc>
        <w:tc>
          <w:tcPr>
            <w:tcW w:w="4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5,741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40" w:firstLine="428"/>
        <w:spacing w:after="0" w:line="277" w:lineRule="auto"/>
        <w:rPr>
          <w:sz w:val="20"/>
          <w:szCs w:val="20"/>
          <w:color w:val="auto"/>
        </w:rPr>
      </w:pPr>
      <w:r>
        <w:rPr>
          <w:rFonts w:ascii="Arial" w:cs="Arial" w:eastAsia="Arial" w:hAnsi="Arial"/>
          <w:sz w:val="18"/>
          <w:szCs w:val="18"/>
          <w:color w:val="auto"/>
        </w:rPr>
        <w:t>The amounts recorded to other income, net, related to derivative financial instruments for economic hedges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w w:val="92"/>
              </w:rPr>
              <w:t>Second Quarters Ended</w:t>
            </w:r>
          </w:p>
        </w:tc>
        <w:tc>
          <w:tcPr>
            <w:tcW w:w="214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3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97"/>
              </w:rPr>
              <w:t>December 29,</w:t>
            </w:r>
          </w:p>
        </w:tc>
        <w:tc>
          <w:tcPr>
            <w:tcW w:w="116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w w:val="88"/>
              </w:rPr>
              <w:t>December 30,</w:t>
            </w:r>
          </w:p>
        </w:tc>
        <w:tc>
          <w:tcPr>
            <w:tcW w:w="60" w:type="dxa"/>
            <w:vAlign w:val="bottom"/>
          </w:tcPr>
          <w:p>
            <w:pPr>
              <w:spacing w:after="0"/>
              <w:rPr>
                <w:sz w:val="17"/>
                <w:szCs w:val="17"/>
                <w:color w:val="auto"/>
              </w:rPr>
            </w:pPr>
          </w:p>
        </w:tc>
        <w:tc>
          <w:tcPr>
            <w:tcW w:w="116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December 29,</w:t>
            </w:r>
          </w:p>
        </w:tc>
        <w:tc>
          <w:tcPr>
            <w:tcW w:w="1200" w:type="dxa"/>
            <w:vAlign w:val="bottom"/>
            <w:tcBorders>
              <w:top w:val="single" w:sz="8" w:color="auto"/>
            </w:tcBorders>
            <w:gridSpan w:val="2"/>
          </w:tcPr>
          <w:p>
            <w:pPr>
              <w:ind w:left="120"/>
              <w:spacing w:after="0" w:line="198" w:lineRule="exact"/>
              <w:rPr>
                <w:sz w:val="20"/>
                <w:szCs w:val="20"/>
                <w:color w:val="auto"/>
              </w:rPr>
            </w:pPr>
            <w:r>
              <w:rPr>
                <w:rFonts w:ascii="Arial" w:cs="Arial" w:eastAsia="Arial" w:hAnsi="Arial"/>
                <w:sz w:val="18"/>
                <w:szCs w:val="18"/>
                <w:b w:val="1"/>
                <w:bCs w:val="1"/>
                <w:color w:val="auto"/>
                <w:w w:val="90"/>
              </w:rPr>
              <w:t>December 30,</w:t>
            </w:r>
          </w:p>
        </w:tc>
      </w:tr>
      <w:tr>
        <w:trPr>
          <w:trHeight w:val="241"/>
        </w:trPr>
        <w:tc>
          <w:tcPr>
            <w:tcW w:w="3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16"/>
        </w:trPr>
        <w:tc>
          <w:tcPr>
            <w:tcW w:w="3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(Thousands)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derivative financial instrument gain (loss)</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(2,417)</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(1,361) $</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376</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r>
    </w:tbl>
    <w:p>
      <w:pPr>
        <w:spacing w:after="0" w:line="202" w:lineRule="exact"/>
        <w:rPr>
          <w:sz w:val="20"/>
          <w:szCs w:val="20"/>
          <w:color w:val="auto"/>
        </w:rPr>
      </w:pPr>
    </w:p>
    <w:p>
      <w:pPr>
        <w:jc w:val="both"/>
        <w:ind w:right="40" w:firstLine="428"/>
        <w:spacing w:after="0" w:line="264" w:lineRule="auto"/>
        <w:rPr>
          <w:sz w:val="20"/>
          <w:szCs w:val="20"/>
          <w:color w:val="auto"/>
        </w:rPr>
      </w:pPr>
      <w:r>
        <w:rPr>
          <w:rFonts w:ascii="Arial" w:cs="Arial" w:eastAsia="Arial" w:hAnsi="Arial"/>
          <w:sz w:val="18"/>
          <w:szCs w:val="18"/>
          <w:color w:val="auto"/>
        </w:rPr>
        <w:t>Under the Company’s economic hedging policies, gains and losses on the derivative financial instruments are classified within the same line item in the consolidated statements of operations and as the underlying assets or liabilities being economically hedged.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jc w:val="both"/>
        <w:ind w:right="40" w:firstLine="428"/>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7" w:lineRule="exact"/>
        <w:rPr>
          <w:sz w:val="20"/>
          <w:szCs w:val="20"/>
          <w:color w:val="auto"/>
        </w:rPr>
      </w:pPr>
    </w:p>
    <w:p>
      <w:pPr>
        <w:jc w:val="both"/>
        <w:ind w:right="40" w:firstLine="428"/>
        <w:spacing w:after="0" w:line="255"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early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89" w:lineRule="exact"/>
        <w:rPr>
          <w:sz w:val="20"/>
          <w:szCs w:val="20"/>
          <w:color w:val="auto"/>
        </w:rPr>
      </w:pPr>
    </w:p>
    <w:p>
      <w:pPr>
        <w:jc w:val="both"/>
        <w:ind w:right="40" w:firstLine="428"/>
        <w:spacing w:after="0" w:line="264" w:lineRule="auto"/>
        <w:rPr>
          <w:sz w:val="20"/>
          <w:szCs w:val="20"/>
          <w:color w:val="auto"/>
        </w:rPr>
      </w:pPr>
      <w:r>
        <w:rPr>
          <w:rFonts w:ascii="Arial" w:cs="Arial" w:eastAsia="Arial" w:hAnsi="Arial"/>
          <w:sz w:val="18"/>
          <w:szCs w:val="18"/>
          <w:color w:val="auto"/>
        </w:rPr>
        <w:t>As of December 29, 2018 and June 30, 2018, the Company had aggregate estimated liabilities of $14.7 million and $14.2 million, respectively, classified within accrued expenses and other for such compliance-related matters that were reasonably estimable as of such dates.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effective tax rate on its income before income taxes from continuing operations was 43.3% in the second quarter of fiscal 2019. During the second quarter of fiscal 2019, the Company’s effective tax rate was unfavorably impacted primarily by (i) an adjustment to the one-time mandatory deemed repatriation tax liability recorded under the requirements of the Act and (ii) increases in unrecognized tax benefits, partially offset by (iii) the mix of income in lower tax jurisdictions, and (iv) the release of valuation allowances against deferred tax assets that were deemed to be realizable.</w:t>
      </w:r>
    </w:p>
    <w:p>
      <w:pPr>
        <w:spacing w:after="0" w:line="1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second quarter of fiscal 2018, the Company’s effective tax rate of 8.6% was favorably impacted primarily by the mix of income in lower tax jurisdictions, partially offset by the tax expense created from remeasuring net deferred tax assets as a result of applying the requirements of the Act.</w:t>
      </w:r>
    </w:p>
    <w:p>
      <w:pPr>
        <w:spacing w:after="0" w:line="181"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For the first six months of fiscal 2019, the Company’s effective tax rate on its income before income taxes from continuing operations was 33.1%. The effective tax rate for the first six months of fiscal 2019 was unfavorably impacted primarily by (i) an adjustment to the one-time mandatory deemed repatriation tax liability recorded under the requirements of the Act and (ii) increases in unrecognized tax benefits, partially offset by (iii) an adjustment to the provisional deferred tax impacts of the Act, (iv) the mix of income in lower tax jurisdictions, and (v) the release of valuation allowances against deferred tax assets that were deemed to be realizable.</w:t>
      </w:r>
    </w:p>
    <w:p>
      <w:pPr>
        <w:spacing w:after="0" w:line="193"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The Company’s effective tax rate is based on our interpretation of the changes under US tax reform including the computation of Global Intangible Low Taxed Income (“GILTI”). The Company has made a policy election to account for any impacts of the GILTI tax as a period expense. The Company’s FY19 effective tax rate may change in future periods due to changes in US tax law and the issuance of additional guidance related to US Tax Reform.</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first six months of fiscal 2018, the Company’s effective tax rate of 7.0% was favorably impacted primarily by (i) the mix of income in lower tax jurisdictions and (ii) the release of unrecognized tax benefit reserves primarily due to the negotiation of a favorable outcome in a foreign jurisdiction, partially offset by (iii) the tax expense created from remeasuring net deferred tax assets as a result of applying the requirements of the Act.</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second quarter of fiscal 2019, which corresponds to the end of the measurement period allowed for under Staff Accounting Bulletin 118 (“SAB 118”), the Company finalized its estimate of the one-time mandatory deemed repatriation tax liability (the “transition tax”), resulting in an increase to the tax liability of $10.8 million due to additional analysis performed on foreign tax pools and earnings and profits computations. The total transition tax recorded as a result of the Act is estimated to be $257.5 million as of December 29, 2018. The transition tax may change in the future due to changes in tax law as enacted by the US Government, new guidance from federal and state regulators and related interpretations of the Act.</w:t>
      </w:r>
    </w:p>
    <w:p>
      <w:pPr>
        <w:spacing w:after="0" w:line="18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As of the first quarter of fiscal year 2019, the Company had recorded a provisional benefit of $2.4 million to account for the deferred tax impacts of the Act, which was increased by $1.3 million in the second quarter of fiscal 2019 as a result of the Company refining its estimate of the fiscal year 2018 federal net operating loss. This amount may be further refined as the Company finalizes its income tax computations on its US income tax returns which are due in April 2019.</w:t>
      </w:r>
    </w:p>
    <w:p>
      <w:pPr>
        <w:spacing w:after="0" w:line="1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continues to evaluate the impact of the Act including the Company’s historical assertion related to ASC 740 unremitted earnings. The Company has not changed its historical assertion as of December 29, 2018 that its ASC 740 unremitted earnings are permanently reinvested.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plan</w:t>
      </w:r>
    </w:p>
    <w:p>
      <w:pPr>
        <w:spacing w:after="0" w:line="229" w:lineRule="exact"/>
        <w:rPr>
          <w:sz w:val="20"/>
          <w:szCs w:val="20"/>
          <w:color w:val="auto"/>
        </w:rPr>
      </w:pPr>
    </w:p>
    <w:p>
      <w:pPr>
        <w:jc w:val="both"/>
        <w:ind w:right="40" w:firstLine="428"/>
        <w:spacing w:after="0" w:line="279" w:lineRule="auto"/>
        <w:rPr>
          <w:sz w:val="20"/>
          <w:szCs w:val="20"/>
          <w:color w:val="auto"/>
        </w:rPr>
      </w:pPr>
      <w:r>
        <w:rPr>
          <w:rFonts w:ascii="Arial" w:cs="Arial" w:eastAsia="Arial" w:hAnsi="Arial"/>
          <w:sz w:val="17"/>
          <w:szCs w:val="17"/>
          <w:color w:val="auto"/>
        </w:rPr>
        <w:t>The Company has a noncontributory defined benefit pension plan that covers substantially all U.S. employees and an acquired closed noncontributory defined benefit pension plan covering certain current or former Premier Farnell U.S. employees (the “Plans”). Components of net periodic pension cost from continuing operations for the Plans were as follows, which reflect the adoption of ASU 2017-07 as discussed further in Note 1:</w:t>
      </w:r>
    </w:p>
    <w:p>
      <w:pPr>
        <w:sectPr>
          <w:pgSz w:w="11900" w:h="16838" w:orient="portrait"/>
          <w:cols w:equalWidth="0" w:num="1">
            <w:col w:w="9100"/>
          </w:cols>
          <w:pgMar w:left="1420" w:top="125"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Service cost</w:t>
      </w:r>
    </w:p>
    <w:p>
      <w:pPr>
        <w:spacing w:after="0" w:line="23"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color w:val="auto"/>
        </w:rPr>
        <w:t>Total net periodic pension cost within selling, general and administrative expenses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7"/>
              </w:rPr>
              <w:t>Second Quarters Ended</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11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3"/>
              </w:rPr>
              <w:t>December 29,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88"/>
              </w:rPr>
              <w:t>December 30,</w:t>
            </w:r>
          </w:p>
        </w:tc>
        <w:tc>
          <w:tcPr>
            <w:tcW w:w="200" w:type="dxa"/>
            <w:vAlign w:val="bottom"/>
          </w:tcPr>
          <w:p>
            <w:pPr>
              <w:spacing w:after="0"/>
              <w:rPr>
                <w:sz w:val="17"/>
                <w:szCs w:val="17"/>
                <w:color w:val="auto"/>
              </w:rPr>
            </w:pP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29,</w:t>
            </w:r>
          </w:p>
        </w:tc>
        <w:tc>
          <w:tcPr>
            <w:tcW w:w="240" w:type="dxa"/>
            <w:vAlign w:val="bottom"/>
          </w:tcPr>
          <w:p>
            <w:pPr>
              <w:spacing w:after="0"/>
              <w:rPr>
                <w:sz w:val="17"/>
                <w:szCs w:val="17"/>
                <w:color w:val="auto"/>
              </w:rPr>
            </w:pPr>
          </w:p>
        </w:tc>
        <w:tc>
          <w:tcPr>
            <w:tcW w:w="108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30,</w:t>
            </w:r>
          </w:p>
        </w:tc>
      </w:tr>
      <w:tr>
        <w:trPr>
          <w:trHeight w:val="241"/>
        </w:trPr>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02"/>
        </w:trPr>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right"/>
              <w:spacing w:after="0" w:line="201" w:lineRule="exact"/>
              <w:rPr>
                <w:sz w:val="20"/>
                <w:szCs w:val="20"/>
                <w:color w:val="auto"/>
              </w:rPr>
            </w:pPr>
            <w:r>
              <w:rPr>
                <w:rFonts w:ascii="Arial" w:cs="Arial" w:eastAsia="Arial" w:hAnsi="Arial"/>
                <w:sz w:val="18"/>
                <w:szCs w:val="18"/>
                <w:b w:val="1"/>
                <w:bCs w:val="1"/>
                <w:color w:val="auto"/>
              </w:rPr>
              <w:t>(Thousands)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7"/>
        </w:trPr>
        <w:tc>
          <w:tcPr>
            <w:tcW w:w="240" w:type="dxa"/>
            <w:vAlign w:val="bottom"/>
          </w:tcPr>
          <w:p>
            <w:pPr>
              <w:jc w:val="right"/>
              <w:ind w:right="7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3,734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3,867</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7,468</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7,735</w:t>
            </w:r>
          </w:p>
        </w:tc>
      </w:tr>
      <w:tr>
        <w:trPr>
          <w:trHeight w:val="419"/>
        </w:trPr>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7,468</w:t>
            </w: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-419735</wp:posOffset>
            </wp:positionV>
            <wp:extent cx="577151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71515" cy="14605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3400" w:space="280"/>
            <w:col w:w="5420"/>
          </w:cols>
          <w:pgMar w:left="1420" w:top="125" w:right="137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13,228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11,566</w:t>
            </w:r>
          </w:p>
        </w:tc>
        <w:tc>
          <w:tcPr>
            <w:tcW w:w="100" w:type="dxa"/>
            <w:vAlign w:val="bottom"/>
          </w:tcPr>
          <w:p>
            <w:pPr>
              <w:spacing w:after="0"/>
              <w:rPr>
                <w:sz w:val="19"/>
                <w:szCs w:val="19"/>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(26,602)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(27,514)</w:t>
            </w:r>
          </w:p>
        </w:tc>
        <w:tc>
          <w:tcPr>
            <w:tcW w:w="100" w:type="dxa"/>
            <w:vAlign w:val="bottom"/>
            <w:shd w:val="clear" w:color="auto" w:fill="CCEEFF"/>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Amortization of prior service credits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r>
      <w:tr>
        <w:trPr>
          <w:trHeight w:val="236"/>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75"/>
        </w:trPr>
        <w:tc>
          <w:tcPr>
            <w:tcW w:w="3560" w:type="dxa"/>
            <w:vAlign w:val="bottom"/>
          </w:tcPr>
          <w:p>
            <w:pPr>
              <w:ind w:left="120"/>
              <w:spacing w:after="0" w:line="176" w:lineRule="exact"/>
              <w:rPr>
                <w:sz w:val="20"/>
                <w:szCs w:val="20"/>
                <w:color w:val="auto"/>
              </w:rPr>
            </w:pPr>
            <w:r>
              <w:rPr>
                <w:rFonts w:ascii="Arial" w:cs="Arial" w:eastAsia="Arial" w:hAnsi="Arial"/>
                <w:sz w:val="18"/>
                <w:szCs w:val="18"/>
                <w:color w:val="auto"/>
                <w:w w:val="94"/>
              </w:rPr>
              <w:t>Total net periodic pension benefit within other</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3560" w:type="dxa"/>
            <w:vAlign w:val="bottom"/>
          </w:tcPr>
          <w:p>
            <w:pPr>
              <w:ind w:left="120"/>
              <w:spacing w:after="0"/>
              <w:rPr>
                <w:sz w:val="20"/>
                <w:szCs w:val="20"/>
                <w:color w:val="auto"/>
              </w:rPr>
            </w:pPr>
            <w:r>
              <w:rPr>
                <w:rFonts w:ascii="Arial" w:cs="Arial" w:eastAsia="Arial" w:hAnsi="Arial"/>
                <w:sz w:val="18"/>
                <w:szCs w:val="18"/>
                <w:color w:val="auto"/>
              </w:rPr>
              <w:t>income, net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(9,090)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(9,242)</w:t>
            </w:r>
          </w:p>
        </w:tc>
        <w:tc>
          <w:tcPr>
            <w:tcW w:w="100" w:type="dxa"/>
            <w:vAlign w:val="bottom"/>
          </w:tcPr>
          <w:p>
            <w:pPr>
              <w:spacing w:after="0"/>
              <w:rPr>
                <w:sz w:val="20"/>
                <w:szCs w:val="20"/>
                <w:color w:val="auto"/>
              </w:rPr>
            </w:pPr>
          </w:p>
        </w:tc>
      </w:tr>
      <w:tr>
        <w:trPr>
          <w:trHeight w:val="236"/>
        </w:trPr>
        <w:tc>
          <w:tcPr>
            <w:tcW w:w="3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3560" w:type="dxa"/>
            <w:vAlign w:val="bottom"/>
          </w:tcPr>
          <w:p>
            <w:pPr>
              <w:ind w:left="120"/>
              <w:spacing w:after="0" w:line="203" w:lineRule="exact"/>
              <w:rPr>
                <w:sz w:val="20"/>
                <w:szCs w:val="20"/>
                <w:color w:val="auto"/>
              </w:rPr>
            </w:pPr>
            <w:r>
              <w:rPr>
                <w:rFonts w:ascii="Arial" w:cs="Arial" w:eastAsia="Arial" w:hAnsi="Arial"/>
                <w:sz w:val="18"/>
                <w:szCs w:val="18"/>
                <w:color w:val="auto"/>
              </w:rPr>
              <w:t>Net periodic pension benefit</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(811)</w:t>
            </w: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(1,622)</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(1,507)</w:t>
            </w:r>
          </w:p>
        </w:tc>
        <w:tc>
          <w:tcPr>
            <w:tcW w:w="100" w:type="dxa"/>
            <w:vAlign w:val="bottom"/>
          </w:tcPr>
          <w:p>
            <w:pPr>
              <w:spacing w:after="0"/>
              <w:rPr>
                <w:sz w:val="18"/>
                <w:szCs w:val="18"/>
                <w:color w:val="auto"/>
              </w:rPr>
            </w:pPr>
          </w:p>
        </w:tc>
      </w:tr>
    </w:tbl>
    <w:p>
      <w:pPr>
        <w:spacing w:after="0" w:line="269" w:lineRule="exact"/>
        <w:rPr>
          <w:sz w:val="20"/>
          <w:szCs w:val="20"/>
          <w:color w:val="auto"/>
        </w:rPr>
      </w:pPr>
    </w:p>
    <w:p>
      <w:pPr>
        <w:jc w:val="both"/>
        <w:ind w:right="40" w:firstLine="428"/>
        <w:spacing w:after="0" w:line="259" w:lineRule="auto"/>
        <w:rPr>
          <w:sz w:val="20"/>
          <w:szCs w:val="20"/>
          <w:color w:val="auto"/>
        </w:rPr>
      </w:pPr>
      <w:r>
        <w:rPr>
          <w:rFonts w:ascii="Arial" w:cs="Arial" w:eastAsia="Arial" w:hAnsi="Arial"/>
          <w:sz w:val="18"/>
          <w:szCs w:val="18"/>
          <w:color w:val="auto"/>
        </w:rPr>
        <w:t>In connection with the adoption of ASU No. 2017-07, the Company now classifies service cost as a component of selling, general and administrative expenses and other components of net periodic pension costs within other income, net. The Company contributed $8.0 million to the Plans during the first six months of fiscal 2019 and expects to make an additional contribution to the Plans of $8.0 million in the remainder of fiscal 2019.</w:t>
      </w:r>
    </w:p>
    <w:p>
      <w:pPr>
        <w:spacing w:after="0" w:line="187"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Amounts reclassified out of accumulated other comprehensive income, net of tax, to other income, net during the second quarters and first six months of fiscal 2019 and fiscal 2018 were not material and substantially all related to net periodic pension costs including recognition of actuarial losses and amortization of prior service credits.</w:t>
      </w:r>
    </w:p>
    <w:p>
      <w:pPr>
        <w:spacing w:after="0" w:line="166" w:lineRule="exact"/>
        <w:rPr>
          <w:sz w:val="20"/>
          <w:szCs w:val="20"/>
          <w:color w:val="auto"/>
        </w:rPr>
      </w:pPr>
    </w:p>
    <w:p>
      <w:pPr>
        <w:jc w:val="both"/>
        <w:ind w:right="40" w:firstLine="432"/>
        <w:spacing w:after="0" w:line="276" w:lineRule="auto"/>
        <w:rPr>
          <w:sz w:val="20"/>
          <w:szCs w:val="20"/>
          <w:color w:val="auto"/>
        </w:rPr>
      </w:pPr>
      <w:r>
        <w:rPr>
          <w:rFonts w:ascii="Arial" w:cs="Arial" w:eastAsia="Arial" w:hAnsi="Arial"/>
          <w:sz w:val="17"/>
          <w:szCs w:val="17"/>
          <w:color w:val="auto"/>
        </w:rPr>
        <w:t>In connection with the sale of the TS business, a significant number of former employees became terminated vested employees under the Plan. During fiscal 2018, the aggregate amount of former employee withdrawals from the Plan exceeded the pension accounting settlement threshold for fiscal 2018, which required a settlement expense under ASC 715 pension accounting. As a result, the Company recorded a pension settlement expense of $14.0 million in the second quarter of fiscal 2018, which was classified as a component of loss from discontinued operations.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type w:val="continuous"/>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ind w:left="440" w:right="6780" w:hanging="437"/>
        <w:spacing w:after="0" w:line="566" w:lineRule="auto"/>
        <w:tabs>
          <w:tab w:leader="none" w:pos="28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i w:val="1"/>
          <w:iCs w:val="1"/>
          <w:color w:val="auto"/>
        </w:rPr>
        <w:t>Share repurchase program</w:t>
      </w:r>
    </w:p>
    <w:p>
      <w:pPr>
        <w:spacing w:after="0" w:line="1" w:lineRule="exact"/>
        <w:rPr>
          <w:sz w:val="20"/>
          <w:szCs w:val="20"/>
          <w:color w:val="auto"/>
        </w:rPr>
      </w:pPr>
    </w:p>
    <w:p>
      <w:pPr>
        <w:jc w:val="both"/>
        <w:ind w:right="80" w:firstLine="428"/>
        <w:spacing w:after="0" w:line="255" w:lineRule="auto"/>
        <w:rPr>
          <w:sz w:val="20"/>
          <w:szCs w:val="20"/>
          <w:color w:val="auto"/>
        </w:rPr>
      </w:pPr>
      <w:r>
        <w:rPr>
          <w:rFonts w:ascii="Arial" w:cs="Arial" w:eastAsia="Arial" w:hAnsi="Arial"/>
          <w:sz w:val="18"/>
          <w:szCs w:val="18"/>
          <w:color w:val="auto"/>
        </w:rPr>
        <w:t>In August 2018, the Company’s Board of Directors amended the Company’s existing share repurchase program to authorize the repurchase of up to $2.45 billion of common stock in the open market or through privately negotiated transactions. The timing and actual number of shares repurchased will depend on a variety of factors such as share price, corporate and regulatory requirements, and prevailing market conditions. During the second quarter and six months ended December 29, 2018, the Company repurchased 4.1 million and 7.4 million shares, respectively, under this program for a total cost of $175.1 million and $332.0 million, respectively. As of December 29, 2018, the Company had $440.1 million remaining under its share repurchase authorization.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In November 2018, the Company’s Board of Directors approved a dividend of $0.20 per common share and dividend payments of $21.8 million were made in December 2018. During the six months ended December 29, 2018, the Company paid dividends of $0.40 per common share and $44.7 million in total.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11. Earnings per share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Second Quarters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ind w:left="2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29,</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90"/>
              </w:rPr>
              <w:t>December 29,</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88"/>
              </w:rPr>
              <w:t>December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10"/>
          </w:tcPr>
          <w:p>
            <w:pPr>
              <w:jc w:val="right"/>
              <w:ind w:right="122"/>
              <w:spacing w:after="0"/>
              <w:rPr>
                <w:sz w:val="20"/>
                <w:szCs w:val="20"/>
                <w:color w:val="auto"/>
              </w:rPr>
            </w:pPr>
            <w:r>
              <w:rPr>
                <w:rFonts w:ascii="Arial" w:cs="Arial" w:eastAsia="Arial" w:hAnsi="Arial"/>
                <w:sz w:val="18"/>
                <w:szCs w:val="18"/>
                <w:b w:val="1"/>
                <w:bCs w:val="1"/>
                <w:color w:val="auto"/>
              </w:rPr>
              <w:t>(Thousands, except per share data)</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36,775</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56,794</w:t>
            </w:r>
          </w:p>
        </w:tc>
        <w:tc>
          <w:tcPr>
            <w:tcW w:w="8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120,304</w:t>
            </w:r>
          </w:p>
        </w:tc>
        <w:tc>
          <w:tcPr>
            <w:tcW w:w="38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tcPr>
          <w:p>
            <w:pPr>
              <w:spacing w:after="0" w:line="203" w:lineRule="exact"/>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36,401</w:t>
            </w:r>
          </w:p>
        </w:tc>
        <w:tc>
          <w:tcPr>
            <w:tcW w:w="160" w:type="dxa"/>
            <w:vAlign w:val="bottom"/>
          </w:tcPr>
          <w:p>
            <w:pPr>
              <w:spacing w:after="0"/>
              <w:rPr>
                <w:sz w:val="18"/>
                <w:szCs w:val="18"/>
                <w:color w:val="auto"/>
              </w:rPr>
            </w:pPr>
          </w:p>
        </w:tc>
        <w:tc>
          <w:tcPr>
            <w:tcW w:w="2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46,724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120,125</w:t>
            </w:r>
          </w:p>
        </w:tc>
        <w:tc>
          <w:tcPr>
            <w:tcW w:w="16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105,027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Weighted average common shares for basic earnings per</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110,332</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112,796</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4"/>
              </w:rPr>
              <w:t>Net effect of dilutive stock based compensation awards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5"/>
              </w:rPr>
              <w:t>Weighted average common shares for diluted earnings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111,462</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121,749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113,967</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122,867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line="203" w:lineRule="exact"/>
              <w:rPr>
                <w:sz w:val="20"/>
                <w:szCs w:val="20"/>
                <w:color w:val="auto"/>
              </w:rPr>
            </w:pPr>
            <w:r>
              <w:rPr>
                <w:rFonts w:ascii="Arial" w:cs="Arial" w:eastAsia="Arial" w:hAnsi="Arial"/>
                <w:sz w:val="18"/>
                <w:szCs w:val="18"/>
                <w:color w:val="auto"/>
              </w:rPr>
              <w:t>Basic earnings per share - continuing operations</w:t>
            </w:r>
          </w:p>
        </w:tc>
        <w:tc>
          <w:tcPr>
            <w:tcW w:w="120" w:type="dxa"/>
            <w:vAlign w:val="bottom"/>
          </w:tcPr>
          <w:p>
            <w:pPr>
              <w:spacing w:after="0"/>
              <w:rPr>
                <w:sz w:val="17"/>
                <w:szCs w:val="17"/>
                <w:color w:val="auto"/>
              </w:rPr>
            </w:pPr>
          </w:p>
        </w:tc>
        <w:tc>
          <w:tcPr>
            <w:tcW w:w="1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0.33</w:t>
            </w:r>
          </w:p>
        </w:tc>
        <w:tc>
          <w:tcPr>
            <w:tcW w:w="160" w:type="dxa"/>
            <w:vAlign w:val="bottom"/>
          </w:tcPr>
          <w:p>
            <w:pPr>
              <w:spacing w:after="0"/>
              <w:rPr>
                <w:sz w:val="17"/>
                <w:szCs w:val="17"/>
                <w:color w:val="auto"/>
              </w:rPr>
            </w:pPr>
          </w:p>
        </w:tc>
        <w:tc>
          <w:tcPr>
            <w:tcW w:w="2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0.47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1.07</w:t>
            </w:r>
          </w:p>
        </w:tc>
        <w:tc>
          <w:tcPr>
            <w:tcW w:w="16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0.94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 - discontinued operations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tcPr>
          <w:p>
            <w:pPr>
              <w:spacing w:after="0" w:line="203" w:lineRule="exact"/>
              <w:rPr>
                <w:sz w:val="20"/>
                <w:szCs w:val="20"/>
                <w:color w:val="auto"/>
              </w:rPr>
            </w:pPr>
            <w:r>
              <w:rPr>
                <w:rFonts w:ascii="Arial" w:cs="Arial" w:eastAsia="Arial" w:hAnsi="Arial"/>
                <w:sz w:val="18"/>
                <w:szCs w:val="18"/>
                <w:color w:val="auto"/>
              </w:rPr>
              <w:t>Basic earnings per share</w:t>
            </w:r>
          </w:p>
        </w:tc>
        <w:tc>
          <w:tcPr>
            <w:tcW w:w="120" w:type="dxa"/>
            <w:vAlign w:val="bottom"/>
          </w:tcPr>
          <w:p>
            <w:pPr>
              <w:spacing w:after="0"/>
              <w:rPr>
                <w:sz w:val="18"/>
                <w:szCs w:val="18"/>
                <w:color w:val="auto"/>
              </w:rPr>
            </w:pPr>
          </w:p>
        </w:tc>
        <w:tc>
          <w:tcPr>
            <w:tcW w:w="1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0.33</w:t>
            </w:r>
          </w:p>
        </w:tc>
        <w:tc>
          <w:tcPr>
            <w:tcW w:w="160" w:type="dxa"/>
            <w:vAlign w:val="bottom"/>
          </w:tcPr>
          <w:p>
            <w:pPr>
              <w:spacing w:after="0"/>
              <w:rPr>
                <w:sz w:val="18"/>
                <w:szCs w:val="18"/>
                <w:color w:val="auto"/>
              </w:rPr>
            </w:pPr>
          </w:p>
        </w:tc>
        <w:tc>
          <w:tcPr>
            <w:tcW w:w="2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0.39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share - continuing operations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Diluted loss per share - discontinued operations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80" w:type="dxa"/>
            <w:vAlign w:val="bottom"/>
          </w:tcPr>
          <w:p>
            <w:pPr>
              <w:spacing w:after="0" w:line="176" w:lineRule="exact"/>
              <w:rPr>
                <w:sz w:val="20"/>
                <w:szCs w:val="20"/>
                <w:color w:val="auto"/>
              </w:rPr>
            </w:pPr>
            <w:r>
              <w:rPr>
                <w:rFonts w:ascii="Arial" w:cs="Arial" w:eastAsia="Arial" w:hAnsi="Arial"/>
                <w:sz w:val="18"/>
                <w:szCs w:val="18"/>
                <w:color w:val="auto"/>
              </w:rPr>
              <w:t>Stock options excluded from earnings per share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calculation due to anti-dilutive effect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125" w:right="13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Additional cash flow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4"/>
          </w:tcPr>
          <w:p>
            <w:pPr>
              <w:ind w:left="24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97"/>
              </w:rPr>
              <w:t>December 29,</w:t>
            </w:r>
          </w:p>
        </w:tc>
        <w:tc>
          <w:tcPr>
            <w:tcW w:w="1180" w:type="dxa"/>
            <w:vAlign w:val="bottom"/>
            <w:tcBorders>
              <w:top w:val="single" w:sz="8" w:color="auto"/>
            </w:tcBorders>
            <w:gridSpan w:val="2"/>
          </w:tcPr>
          <w:p>
            <w:pPr>
              <w:ind w:left="120"/>
              <w:spacing w:after="0" w:line="198" w:lineRule="exact"/>
              <w:rPr>
                <w:sz w:val="20"/>
                <w:szCs w:val="20"/>
                <w:color w:val="auto"/>
              </w:rPr>
            </w:pPr>
            <w:r>
              <w:rPr>
                <w:rFonts w:ascii="Arial" w:cs="Arial" w:eastAsia="Arial" w:hAnsi="Arial"/>
                <w:sz w:val="18"/>
                <w:szCs w:val="18"/>
                <w:b w:val="1"/>
                <w:bCs w:val="1"/>
                <w:color w:val="auto"/>
                <w:w w:val="88"/>
              </w:rPr>
              <w:t>December 30,</w:t>
            </w:r>
          </w:p>
        </w:tc>
        <w:tc>
          <w:tcPr>
            <w:tcW w:w="180" w:type="dxa"/>
            <w:vAlign w:val="bottom"/>
          </w:tcPr>
          <w:p>
            <w:pPr>
              <w:spacing w:after="0"/>
              <w:rPr>
                <w:sz w:val="17"/>
                <w:szCs w:val="17"/>
                <w:color w:val="auto"/>
              </w:rPr>
            </w:pPr>
          </w:p>
        </w:tc>
      </w:tr>
      <w:tr>
        <w:trPr>
          <w:trHeight w:val="241"/>
        </w:trPr>
        <w:tc>
          <w:tcPr>
            <w:tcW w:w="5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r>
      <w:tr>
        <w:trPr>
          <w:trHeight w:val="216"/>
        </w:trPr>
        <w:tc>
          <w:tcPr>
            <w:tcW w:w="5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Capital expenditures incurred but not paid</w:t>
            </w: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16,257</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17,765</w:t>
            </w:r>
          </w:p>
        </w:tc>
        <w:tc>
          <w:tcPr>
            <w:tcW w:w="1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Unsettled share repurchases</w:t>
            </w: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3,971</w:t>
            </w:r>
          </w:p>
        </w:tc>
        <w:tc>
          <w:tcPr>
            <w:tcW w:w="1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Interest</w:t>
            </w: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67,467</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48,061</w:t>
            </w:r>
          </w:p>
        </w:tc>
        <w:tc>
          <w:tcPr>
            <w:tcW w:w="180" w:type="dxa"/>
            <w:vAlign w:val="bottom"/>
          </w:tcPr>
          <w:p>
            <w:pPr>
              <w:spacing w:after="0"/>
              <w:rPr>
                <w:sz w:val="18"/>
                <w:szCs w:val="18"/>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 continuing and discontinued operations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125,797</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65,245</w:t>
            </w:r>
          </w:p>
        </w:tc>
        <w:tc>
          <w:tcPr>
            <w:tcW w:w="1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Included in cash and cash equivalents as of December 29, 2018 and June 30, 2018 was $11.7 million and $6.1 million, respectively, of cash equivalents, which was primarily comprised of investment grade money market funds and overnight time deposits.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Electronic Components (“EC”) and Premier Farnell (“PF”) are the Company’s reportable segments (“operating groups”). EC markets and sells semiconductors and interconnect, passive and electromechanical devices and integrated components to a diverse customer base serving many end-markets. PF distributes electronic components and related products to the electronic system design community utilizing multi-channel sales and marketing resources.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426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58"/>
        </w:trPr>
        <w:tc>
          <w:tcPr>
            <w:tcW w:w="1280" w:type="dxa"/>
            <w:vAlign w:val="bottom"/>
            <w:tcBorders>
              <w:top w:val="single" w:sz="8" w:color="0563C1"/>
            </w:tcBorders>
          </w:tcPr>
          <w:p>
            <w:pPr>
              <w:spacing w:after="0"/>
              <w:rPr>
                <w:sz w:val="24"/>
                <w:szCs w:val="24"/>
                <w:color w:val="auto"/>
              </w:rPr>
            </w:pPr>
          </w:p>
        </w:tc>
        <w:tc>
          <w:tcPr>
            <w:tcW w:w="5340" w:type="dxa"/>
            <w:vAlign w:val="bottom"/>
            <w:gridSpan w:val="7"/>
          </w:tcPr>
          <w:p>
            <w:pPr>
              <w:jc w:val="center"/>
              <w:ind w:left="1070"/>
              <w:spacing w:after="0"/>
              <w:rPr>
                <w:sz w:val="20"/>
                <w:szCs w:val="20"/>
                <w:color w:val="auto"/>
              </w:rPr>
            </w:pPr>
            <w:r>
              <w:rPr>
                <w:rFonts w:ascii="Arial" w:cs="Arial" w:eastAsia="Arial" w:hAnsi="Arial"/>
                <w:sz w:val="18"/>
                <w:szCs w:val="18"/>
                <w:b w:val="1"/>
                <w:bCs w:val="1"/>
                <w:color w:val="auto"/>
                <w:w w:val="99"/>
              </w:rPr>
              <w:t>AVNET, INC. AND SUBSIDIARIES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740" w:type="dxa"/>
            <w:vAlign w:val="bottom"/>
            <w:gridSpan w:val="11"/>
          </w:tcPr>
          <w:p>
            <w:pPr>
              <w:jc w:val="center"/>
              <w:ind w:right="22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0"/>
        </w:trPr>
        <w:tc>
          <w:tcPr>
            <w:tcW w:w="12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2"/>
              </w:rPr>
              <w:t>Second Quarters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12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2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December 29,</w:t>
            </w:r>
          </w:p>
        </w:tc>
        <w:tc>
          <w:tcPr>
            <w:tcW w:w="104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7"/>
              </w:rPr>
              <w:t>December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December 29,</w:t>
            </w:r>
          </w:p>
        </w:tc>
        <w:tc>
          <w:tcPr>
            <w:tcW w:w="104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7"/>
              </w:rPr>
              <w:t>December 30,</w:t>
            </w:r>
          </w:p>
        </w:tc>
        <w:tc>
          <w:tcPr>
            <w:tcW w:w="20" w:type="dxa"/>
            <w:vAlign w:val="bottom"/>
          </w:tcPr>
          <w:p>
            <w:pPr>
              <w:spacing w:after="0"/>
              <w:rPr>
                <w:sz w:val="17"/>
                <w:szCs w:val="17"/>
                <w:color w:val="auto"/>
              </w:rPr>
            </w:pPr>
          </w:p>
        </w:tc>
      </w:tr>
      <w:tr>
        <w:trPr>
          <w:trHeight w:val="241"/>
        </w:trPr>
        <w:tc>
          <w:tcPr>
            <w:tcW w:w="1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6"/>
          </w:tcPr>
          <w:p>
            <w:pPr>
              <w:ind w:left="52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Electronic Components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4,680,714</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4,163,519</w:t>
            </w:r>
          </w:p>
        </w:tc>
        <w:tc>
          <w:tcPr>
            <w:tcW w:w="10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9,391,540</w:t>
            </w: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8,470,769</w:t>
            </w:r>
          </w:p>
        </w:tc>
        <w:tc>
          <w:tcPr>
            <w:tcW w:w="20" w:type="dxa"/>
            <w:vAlign w:val="bottom"/>
          </w:tcPr>
          <w:p>
            <w:pPr>
              <w:spacing w:after="0"/>
              <w:rPr>
                <w:sz w:val="18"/>
                <w:szCs w:val="18"/>
                <w:color w:val="auto"/>
              </w:rPr>
            </w:pPr>
          </w:p>
        </w:tc>
      </w:tr>
      <w:tr>
        <w:trPr>
          <w:trHeight w:val="223"/>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Premier Farnell</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368,266</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358,117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747,319</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711,809</w:t>
            </w:r>
          </w:p>
        </w:tc>
        <w:tc>
          <w:tcPr>
            <w:tcW w:w="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5,048,980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4,521,636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10,138,859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9,182,578</w:t>
            </w:r>
          </w:p>
        </w:tc>
        <w:tc>
          <w:tcPr>
            <w:tcW w:w="2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Electronic Components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158,551</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129,848</w:t>
            </w:r>
          </w:p>
        </w:tc>
        <w:tc>
          <w:tcPr>
            <w:tcW w:w="10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320,464</w:t>
            </w: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269,449</w:t>
            </w:r>
          </w:p>
        </w:tc>
        <w:tc>
          <w:tcPr>
            <w:tcW w:w="20" w:type="dxa"/>
            <w:vAlign w:val="bottom"/>
          </w:tcPr>
          <w:p>
            <w:pPr>
              <w:spacing w:after="0"/>
              <w:rPr>
                <w:sz w:val="18"/>
                <w:szCs w:val="18"/>
                <w:color w:val="auto"/>
              </w:rPr>
            </w:pPr>
          </w:p>
        </w:tc>
      </w:tr>
      <w:tr>
        <w:trPr>
          <w:trHeight w:val="223"/>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Premier Farnell</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39,644</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80,436</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66,083</w:t>
            </w:r>
          </w:p>
        </w:tc>
        <w:tc>
          <w:tcPr>
            <w:tcW w:w="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198,195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163,299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400,900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335,532</w:t>
            </w:r>
          </w:p>
        </w:tc>
        <w:tc>
          <w:tcPr>
            <w:tcW w:w="2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(19,372)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(39,546)</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(58,729)</w:t>
            </w:r>
          </w:p>
        </w:tc>
        <w:tc>
          <w:tcPr>
            <w:tcW w:w="20" w:type="dxa"/>
            <w:vAlign w:val="bottom"/>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Restructuring, integration and other expenses</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(62,260)</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(36,762)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(77,048)</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(83,156)</w:t>
            </w:r>
          </w:p>
        </w:tc>
        <w:tc>
          <w:tcPr>
            <w:tcW w:w="20" w:type="dxa"/>
            <w:vAlign w:val="bottom"/>
          </w:tcPr>
          <w:p>
            <w:pPr>
              <w:spacing w:after="0"/>
              <w:rPr>
                <w:sz w:val="18"/>
                <w:szCs w:val="18"/>
                <w:color w:val="auto"/>
              </w:rPr>
            </w:pPr>
          </w:p>
        </w:tc>
      </w:tr>
      <w:tr>
        <w:trPr>
          <w:trHeight w:val="23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acquired intangible assets and other</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(20,513)</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(41,440)</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(47,462)</w:t>
            </w:r>
          </w:p>
        </w:tc>
        <w:tc>
          <w:tcPr>
            <w:tcW w:w="20" w:type="dxa"/>
            <w:vAlign w:val="bottom"/>
          </w:tcPr>
          <w:p>
            <w:pPr>
              <w:spacing w:after="0"/>
              <w:rPr>
                <w:sz w:val="20"/>
                <w:szCs w:val="20"/>
                <w:color w:val="auto"/>
              </w:rPr>
            </w:pPr>
          </w:p>
        </w:tc>
      </w:tr>
      <w:tr>
        <w:trPr>
          <w:trHeight w:val="210"/>
        </w:trPr>
        <w:tc>
          <w:tcPr>
            <w:tcW w:w="426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96,050</w:t>
            </w:r>
          </w:p>
        </w:tc>
        <w:tc>
          <w:tcPr>
            <w:tcW w:w="1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81,617</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242,866</w:t>
            </w:r>
          </w:p>
        </w:tc>
        <w:tc>
          <w:tcPr>
            <w:tcW w:w="2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146,185</w:t>
            </w:r>
          </w:p>
        </w:tc>
        <w:tc>
          <w:tcPr>
            <w:tcW w:w="2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Sales, by geographic area:</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1,300,423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1,210,251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2,572,216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2,395,735</w:t>
            </w:r>
          </w:p>
        </w:tc>
        <w:tc>
          <w:tcPr>
            <w:tcW w:w="20" w:type="dxa"/>
            <w:vAlign w:val="bottom"/>
          </w:tcPr>
          <w:p>
            <w:pPr>
              <w:spacing w:after="0"/>
              <w:rPr>
                <w:sz w:val="18"/>
                <w:szCs w:val="18"/>
                <w:color w:val="auto"/>
              </w:rPr>
            </w:pPr>
          </w:p>
        </w:tc>
      </w:tr>
      <w:tr>
        <w:trPr>
          <w:trHeight w:val="216"/>
        </w:trPr>
        <w:tc>
          <w:tcPr>
            <w:tcW w:w="4260" w:type="dxa"/>
            <w:vAlign w:val="bottom"/>
            <w:gridSpan w:val="2"/>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1,668,575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1,506,015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3,383,492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3,199,000</w:t>
            </w:r>
          </w:p>
        </w:tc>
        <w:tc>
          <w:tcPr>
            <w:tcW w:w="20" w:type="dxa"/>
            <w:vAlign w:val="bottom"/>
          </w:tcPr>
          <w:p>
            <w:pPr>
              <w:spacing w:after="0"/>
              <w:rPr>
                <w:sz w:val="18"/>
                <w:szCs w:val="18"/>
                <w:color w:val="auto"/>
              </w:rPr>
            </w:pPr>
          </w:p>
        </w:tc>
      </w:tr>
      <w:tr>
        <w:trPr>
          <w:trHeight w:val="236"/>
        </w:trPr>
        <w:tc>
          <w:tcPr>
            <w:tcW w:w="4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Asia/Pacific </w:t>
            </w:r>
            <w:r>
              <w:rPr>
                <w:rFonts w:ascii="Arial" w:cs="Arial" w:eastAsia="Arial" w:hAnsi="Arial"/>
                <w:sz w:val="8"/>
                <w:szCs w:val="8"/>
                <w:color w:val="auto"/>
              </w:rPr>
              <w:t>(4)</w:t>
            </w: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2,079,982</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1,805,370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4,183,151</w:t>
            </w: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3,587,843</w:t>
            </w:r>
          </w:p>
        </w:tc>
        <w:tc>
          <w:tcPr>
            <w:tcW w:w="20" w:type="dxa"/>
            <w:vAlign w:val="bottom"/>
          </w:tcPr>
          <w:p>
            <w:pPr>
              <w:spacing w:after="0"/>
              <w:rPr>
                <w:sz w:val="20"/>
                <w:szCs w:val="20"/>
                <w:color w:val="auto"/>
              </w:rPr>
            </w:pPr>
          </w:p>
        </w:tc>
      </w:tr>
      <w:tr>
        <w:trPr>
          <w:trHeight w:val="210"/>
        </w:trPr>
        <w:tc>
          <w:tcPr>
            <w:tcW w:w="4260" w:type="dxa"/>
            <w:vAlign w:val="bottom"/>
            <w:gridSpan w:val="2"/>
          </w:tcPr>
          <w:p>
            <w:pPr>
              <w:spacing w:after="0" w:line="203" w:lineRule="exact"/>
              <w:rPr>
                <w:sz w:val="20"/>
                <w:szCs w:val="20"/>
                <w:color w:val="auto"/>
              </w:rPr>
            </w:pPr>
            <w:r>
              <w:rPr>
                <w:rFonts w:ascii="Arial" w:cs="Arial" w:eastAsia="Arial" w:hAnsi="Arial"/>
                <w:sz w:val="18"/>
                <w:szCs w:val="18"/>
                <w:color w:val="auto"/>
              </w:rPr>
              <w:t>Sales</w:t>
            </w: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5,048,980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4,521,636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10,138,859</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9,182,578</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4408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44" w:lineRule="exact"/>
        <w:rPr>
          <w:sz w:val="20"/>
          <w:szCs w:val="20"/>
          <w:color w:val="auto"/>
        </w:rPr>
      </w:pPr>
    </w:p>
    <w:p>
      <w:pPr>
        <w:jc w:val="both"/>
        <w:ind w:left="320" w:right="20" w:hanging="317"/>
        <w:spacing w:after="0" w:line="312" w:lineRule="auto"/>
        <w:tabs>
          <w:tab w:leader="none" w:pos="263" w:val="left"/>
        </w:tabs>
        <w:numPr>
          <w:ilvl w:val="0"/>
          <w:numId w:val="7"/>
        </w:numPr>
        <w:rPr>
          <w:rFonts w:ascii="Arial" w:cs="Arial" w:eastAsia="Arial" w:hAnsi="Arial"/>
          <w:sz w:val="8"/>
          <w:szCs w:val="8"/>
          <w:color w:val="auto"/>
        </w:rPr>
      </w:pPr>
      <w:r>
        <w:rPr>
          <w:rFonts w:ascii="Arial" w:cs="Arial" w:eastAsia="Arial" w:hAnsi="Arial"/>
          <w:sz w:val="16"/>
          <w:szCs w:val="16"/>
          <w:color w:val="auto"/>
        </w:rPr>
        <w:t>Corporate is not a reportable segment and represents certain centrally incurred overhead expenses and assets that are not included in the EC and PF measures of profitability or assets. Corporate amounts represent a reconciling item between segment measures of profitability or assets and total Avnet amounts reported in the consolidated financial statements.</w:t>
      </w:r>
    </w:p>
    <w:p>
      <w:pPr>
        <w:spacing w:after="0" w:line="146" w:lineRule="exact"/>
        <w:rPr>
          <w:rFonts w:ascii="Arial" w:cs="Arial" w:eastAsia="Arial" w:hAnsi="Arial"/>
          <w:sz w:val="8"/>
          <w:szCs w:val="8"/>
          <w:color w:val="auto"/>
        </w:rPr>
      </w:pPr>
    </w:p>
    <w:p>
      <w:pPr>
        <w:jc w:val="both"/>
        <w:ind w:left="320" w:right="20" w:hanging="317"/>
        <w:spacing w:after="0" w:line="264" w:lineRule="auto"/>
        <w:tabs>
          <w:tab w:leader="none" w:pos="263" w:val="left"/>
        </w:tabs>
        <w:numPr>
          <w:ilvl w:val="0"/>
          <w:numId w:val="7"/>
        </w:numPr>
        <w:rPr>
          <w:rFonts w:ascii="Arial" w:cs="Arial" w:eastAsia="Arial" w:hAnsi="Arial"/>
          <w:sz w:val="9"/>
          <w:szCs w:val="9"/>
          <w:color w:val="auto"/>
        </w:rPr>
      </w:pPr>
      <w:r>
        <w:rPr>
          <w:rFonts w:ascii="Arial" w:cs="Arial" w:eastAsia="Arial" w:hAnsi="Arial"/>
          <w:sz w:val="18"/>
          <w:szCs w:val="18"/>
          <w:color w:val="auto"/>
        </w:rPr>
        <w:t>Includes sales from the United States of $1.21 billion and $1.12 billion for the second quarters ended December 29, 2018 and December 30, 2017, respectively. Includes sales from the United States of $2.39 billion and $2.21 billion for the first six months of fiscal 2019 and 2018, respectively.</w:t>
      </w:r>
    </w:p>
    <w:p>
      <w:pPr>
        <w:spacing w:after="0" w:line="181" w:lineRule="exact"/>
        <w:rPr>
          <w:rFonts w:ascii="Arial" w:cs="Arial" w:eastAsia="Arial" w:hAnsi="Arial"/>
          <w:sz w:val="9"/>
          <w:szCs w:val="9"/>
          <w:color w:val="auto"/>
        </w:rPr>
      </w:pPr>
    </w:p>
    <w:p>
      <w:pPr>
        <w:jc w:val="both"/>
        <w:ind w:left="320" w:right="20" w:hanging="317"/>
        <w:spacing w:after="0" w:line="279" w:lineRule="auto"/>
        <w:tabs>
          <w:tab w:leader="none" w:pos="263" w:val="left"/>
        </w:tabs>
        <w:numPr>
          <w:ilvl w:val="0"/>
          <w:numId w:val="7"/>
        </w:numPr>
        <w:rPr>
          <w:rFonts w:ascii="Arial" w:cs="Arial" w:eastAsia="Arial" w:hAnsi="Arial"/>
          <w:sz w:val="9"/>
          <w:szCs w:val="9"/>
          <w:color w:val="auto"/>
        </w:rPr>
      </w:pPr>
      <w:r>
        <w:rPr>
          <w:rFonts w:ascii="Arial" w:cs="Arial" w:eastAsia="Arial" w:hAnsi="Arial"/>
          <w:sz w:val="17"/>
          <w:szCs w:val="17"/>
          <w:color w:val="auto"/>
        </w:rPr>
        <w:t>Includes sales from Germany and Belgium of $648.5 million and $276.2 million, respectively, for the second quarter ended December 29, 2018, and $1.33 billion and $556.3 million, respectively, for the first six months of fiscal 2019. Includes sales from Germany and Belgium of $577.5 million and $242.4 million, respectively, for the second quarter ended December 30, 2017, and $1.27 billion and $504.9 million, respectively, for the first six months of fiscal 2018.</w:t>
      </w:r>
    </w:p>
    <w:p>
      <w:pPr>
        <w:spacing w:after="0" w:line="171" w:lineRule="exact"/>
        <w:rPr>
          <w:rFonts w:ascii="Arial" w:cs="Arial" w:eastAsia="Arial" w:hAnsi="Arial"/>
          <w:sz w:val="9"/>
          <w:szCs w:val="9"/>
          <w:color w:val="auto"/>
        </w:rPr>
      </w:pPr>
    </w:p>
    <w:p>
      <w:pPr>
        <w:jc w:val="both"/>
        <w:ind w:left="320" w:right="20" w:hanging="317"/>
        <w:spacing w:after="0" w:line="255" w:lineRule="auto"/>
        <w:tabs>
          <w:tab w:leader="none" w:pos="263" w:val="left"/>
        </w:tabs>
        <w:numPr>
          <w:ilvl w:val="0"/>
          <w:numId w:val="7"/>
        </w:numPr>
        <w:rPr>
          <w:rFonts w:ascii="Arial" w:cs="Arial" w:eastAsia="Arial" w:hAnsi="Arial"/>
          <w:sz w:val="9"/>
          <w:szCs w:val="9"/>
          <w:color w:val="auto"/>
        </w:rPr>
      </w:pPr>
      <w:r>
        <w:rPr>
          <w:rFonts w:ascii="Arial" w:cs="Arial" w:eastAsia="Arial" w:hAnsi="Arial"/>
          <w:sz w:val="18"/>
          <w:szCs w:val="18"/>
          <w:color w:val="auto"/>
        </w:rPr>
        <w:t>Includes sales from China (including Hong Kong), Taiwan and Singapore of $668.4 million, $926.1 million and $261.9 million, respectively, for the second quarter ended December 29, 2018, and $1.36 billion, $1.81 billion and $542.3 million, respectively, for the first six months of fiscal 2019. Includes sales from China (including Hong Kong), Taiwan and Singapore of $633.6 million, $715.3 million and $217.3 million, respectively, for the second quarter ended December 30, 2017, and $1.28 billion, $1.37 billion and $446.2 million, respectively, for the first six months of fiscal 2018.</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08" w:right="13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758"/>
        </w:trPr>
        <w:tc>
          <w:tcPr>
            <w:tcW w:w="1280" w:type="dxa"/>
            <w:vAlign w:val="bottom"/>
            <w:tcBorders>
              <w:top w:val="single" w:sz="8" w:color="0563C1"/>
            </w:tcBorders>
          </w:tcPr>
          <w:p>
            <w:pPr>
              <w:spacing w:after="0"/>
              <w:rPr>
                <w:sz w:val="24"/>
                <w:szCs w:val="24"/>
                <w:color w:val="auto"/>
              </w:rPr>
            </w:pPr>
          </w:p>
        </w:tc>
        <w:tc>
          <w:tcPr>
            <w:tcW w:w="5360" w:type="dxa"/>
            <w:vAlign w:val="bottom"/>
          </w:tcPr>
          <w:p>
            <w:pPr>
              <w:ind w:left="1840"/>
              <w:spacing w:after="0"/>
              <w:rPr>
                <w:sz w:val="20"/>
                <w:szCs w:val="20"/>
                <w:color w:val="auto"/>
              </w:rPr>
            </w:pPr>
            <w:r>
              <w:rPr>
                <w:rFonts w:ascii="Arial" w:cs="Arial" w:eastAsia="Arial" w:hAnsi="Arial"/>
                <w:sz w:val="18"/>
                <w:szCs w:val="18"/>
                <w:b w:val="1"/>
                <w:bCs w:val="1"/>
                <w:color w:val="auto"/>
              </w:rPr>
              <w:t>AVNET, INC. AND SUBSIDIARIES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5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643"/>
        </w:trPr>
        <w:tc>
          <w:tcPr>
            <w:tcW w:w="1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29,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June 30,</w:t>
            </w:r>
          </w:p>
        </w:tc>
      </w:tr>
      <w:tr>
        <w:trPr>
          <w:trHeight w:val="241"/>
        </w:trPr>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 by geographic area: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ind w:left="12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230,544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276,156</w:t>
            </w:r>
          </w:p>
        </w:tc>
        <w:tc>
          <w:tcPr>
            <w:tcW w:w="1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204,797</w:t>
            </w:r>
          </w:p>
        </w:tc>
        <w:tc>
          <w:tcPr>
            <w:tcW w:w="180" w:type="dxa"/>
            <w:vAlign w:val="bottom"/>
            <w:shd w:val="clear" w:color="auto" w:fill="CCEEFF"/>
          </w:tcPr>
          <w:p>
            <w:pPr>
              <w:spacing w:after="0"/>
              <w:rPr>
                <w:sz w:val="18"/>
                <w:szCs w:val="18"/>
                <w:color w:val="auto"/>
              </w:rPr>
            </w:pPr>
          </w:p>
        </w:tc>
      </w:tr>
      <w:tr>
        <w:trPr>
          <w:trHeight w:val="223"/>
        </w:trPr>
        <w:tc>
          <w:tcPr>
            <w:tcW w:w="6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40,059</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41,956</w:t>
            </w:r>
          </w:p>
        </w:tc>
        <w:tc>
          <w:tcPr>
            <w:tcW w:w="180" w:type="dxa"/>
            <w:vAlign w:val="bottom"/>
            <w:tcBorders>
              <w:bottom w:val="single" w:sz="8" w:color="CCEEFF"/>
            </w:tcBorders>
          </w:tcPr>
          <w:p>
            <w:pPr>
              <w:spacing w:after="0"/>
              <w:rPr>
                <w:sz w:val="19"/>
                <w:szCs w:val="19"/>
                <w:color w:val="auto"/>
              </w:rPr>
            </w:pPr>
          </w:p>
        </w:tc>
      </w:tr>
      <w:tr>
        <w:trPr>
          <w:trHeight w:val="223"/>
        </w:trPr>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462,914</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522,909</w:t>
            </w:r>
          </w:p>
        </w:tc>
        <w:tc>
          <w:tcPr>
            <w:tcW w:w="18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90" w:lineRule="exact"/>
        <w:rPr>
          <w:sz w:val="20"/>
          <w:szCs w:val="20"/>
          <w:color w:val="auto"/>
        </w:rPr>
      </w:pPr>
    </w:p>
    <w:p>
      <w:pPr>
        <w:ind w:left="320" w:right="200" w:hanging="317"/>
        <w:spacing w:after="0" w:line="277" w:lineRule="auto"/>
        <w:tabs>
          <w:tab w:leader="none" w:pos="263" w:val="left"/>
        </w:tabs>
        <w:numPr>
          <w:ilvl w:val="0"/>
          <w:numId w:val="8"/>
        </w:numPr>
        <w:rPr>
          <w:rFonts w:ascii="Arial" w:cs="Arial" w:eastAsia="Arial" w:hAnsi="Arial"/>
          <w:sz w:val="9"/>
          <w:szCs w:val="9"/>
          <w:color w:val="auto"/>
        </w:rPr>
      </w:pPr>
      <w:r>
        <w:rPr>
          <w:rFonts w:ascii="Arial" w:cs="Arial" w:eastAsia="Arial" w:hAnsi="Arial"/>
          <w:sz w:val="18"/>
          <w:szCs w:val="18"/>
          <w:color w:val="auto"/>
        </w:rPr>
        <w:t>Includes property, plant and equipment, net, of $224.6 million and $271.4 million as of December 29, 2018, and June 30, 2018, respectively, in the United States.</w:t>
      </w:r>
    </w:p>
    <w:p>
      <w:pPr>
        <w:spacing w:after="0" w:line="170" w:lineRule="exact"/>
        <w:rPr>
          <w:rFonts w:ascii="Arial" w:cs="Arial" w:eastAsia="Arial" w:hAnsi="Arial"/>
          <w:sz w:val="9"/>
          <w:szCs w:val="9"/>
          <w:color w:val="auto"/>
        </w:rPr>
      </w:pPr>
    </w:p>
    <w:p>
      <w:pPr>
        <w:jc w:val="both"/>
        <w:ind w:left="320" w:right="200" w:hanging="317"/>
        <w:spacing w:after="0" w:line="264" w:lineRule="auto"/>
        <w:tabs>
          <w:tab w:leader="none" w:pos="263" w:val="left"/>
        </w:tabs>
        <w:numPr>
          <w:ilvl w:val="0"/>
          <w:numId w:val="8"/>
        </w:numPr>
        <w:rPr>
          <w:rFonts w:ascii="Arial" w:cs="Arial" w:eastAsia="Arial" w:hAnsi="Arial"/>
          <w:sz w:val="9"/>
          <w:szCs w:val="9"/>
          <w:color w:val="auto"/>
        </w:rPr>
      </w:pPr>
      <w:r>
        <w:rPr>
          <w:rFonts w:ascii="Arial" w:cs="Arial" w:eastAsia="Arial" w:hAnsi="Arial"/>
          <w:sz w:val="18"/>
          <w:szCs w:val="18"/>
          <w:color w:val="auto"/>
        </w:rPr>
        <w:t>Includes property, plant and equipment, net, of $97.2 million, $58.3 million and $27.3 million in Germany, UK and Belgium, respectively, as of December 29, 2018; and $99.4 million, $52.5 million and $43.4 million in Germany, UK and Belgium, respectively, as of June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expenses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2019</w:t>
      </w:r>
    </w:p>
    <w:p>
      <w:pPr>
        <w:spacing w:after="0" w:line="225" w:lineRule="exact"/>
        <w:rPr>
          <w:sz w:val="20"/>
          <w:szCs w:val="20"/>
          <w:color w:val="auto"/>
        </w:rPr>
      </w:pPr>
    </w:p>
    <w:p>
      <w:pPr>
        <w:jc w:val="both"/>
        <w:ind w:right="200" w:firstLine="432"/>
        <w:spacing w:after="0" w:line="273" w:lineRule="auto"/>
        <w:rPr>
          <w:sz w:val="20"/>
          <w:szCs w:val="20"/>
          <w:color w:val="auto"/>
        </w:rPr>
      </w:pPr>
      <w:r>
        <w:rPr>
          <w:rFonts w:ascii="Arial" w:cs="Arial" w:eastAsia="Arial" w:hAnsi="Arial"/>
          <w:sz w:val="17"/>
          <w:szCs w:val="17"/>
          <w:color w:val="auto"/>
        </w:rPr>
        <w:t>During fiscal 2019, the Company undertook restructuring actions in order to improve operating efficiencies and further integrate the acquisition of PF. These restructuring actions included certain costs associated with the continued transformation of the Company’s information technology, distribution center footprint and business operations including the re-prioritization of its information technology initiatives and resources. Restructuring expenses are included as a component of restructuring, integration and other expenses in the Consolidated Statements of Operations. The activity related to the restructuring liabilities and assets established during fiscal 2019 is presented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Facility</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and Contract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2"/>
              </w:rPr>
              <w:t>Asset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restart"/>
          </w:tcPr>
          <w:p>
            <w:pPr>
              <w:jc w:val="right"/>
              <w:ind w:right="297"/>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7"/>
              </w:rPr>
              <w:t>Severance</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Exit Costs</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4"/>
              </w:rPr>
              <w:t>Impairments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5"/>
          </w:tcPr>
          <w:p>
            <w:pPr>
              <w:ind w:left="720"/>
              <w:spacing w:after="0"/>
              <w:rPr>
                <w:sz w:val="20"/>
                <w:szCs w:val="20"/>
                <w:color w:val="auto"/>
              </w:rPr>
            </w:pPr>
            <w:r>
              <w:rPr>
                <w:rFonts w:ascii="Arial" w:cs="Arial" w:eastAsia="Arial" w:hAnsi="Arial"/>
                <w:sz w:val="16"/>
                <w:szCs w:val="16"/>
                <w:b w:val="1"/>
                <w:bCs w:val="1"/>
                <w:color w:val="auto"/>
              </w:rPr>
              <w:t>(Thousands)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6"/>
                <w:szCs w:val="16"/>
                <w:color w:val="auto"/>
              </w:rPr>
              <w:t>Fiscal 2019 restructuring expenses</w:t>
            </w:r>
          </w:p>
        </w:tc>
        <w:tc>
          <w:tcPr>
            <w:tcW w:w="52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15,832</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350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46,990</w:t>
            </w:r>
          </w:p>
        </w:tc>
        <w:tc>
          <w:tcPr>
            <w:tcW w:w="200" w:type="dxa"/>
            <w:vAlign w:val="bottom"/>
          </w:tcPr>
          <w:p>
            <w:pPr>
              <w:spacing w:after="0"/>
              <w:rPr>
                <w:sz w:val="18"/>
                <w:szCs w:val="18"/>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63,172</w:t>
            </w: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payments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(4,268)</w:t>
            </w:r>
          </w:p>
        </w:tc>
        <w:tc>
          <w:tcPr>
            <w:tcW w:w="0" w:type="dxa"/>
            <w:vAlign w:val="bottom"/>
          </w:tcPr>
          <w:p>
            <w:pPr>
              <w:spacing w:after="0"/>
              <w:rPr>
                <w:sz w:val="1"/>
                <w:szCs w:val="1"/>
                <w:color w:val="auto"/>
              </w:rPr>
            </w:pPr>
          </w:p>
        </w:tc>
      </w:tr>
      <w:tr>
        <w:trPr>
          <w:trHeight w:val="203"/>
        </w:trPr>
        <w:tc>
          <w:tcPr>
            <w:tcW w:w="3460" w:type="dxa"/>
            <w:vAlign w:val="bottom"/>
          </w:tcPr>
          <w:p>
            <w:pPr>
              <w:ind w:left="120"/>
              <w:spacing w:after="0"/>
              <w:rPr>
                <w:sz w:val="20"/>
                <w:szCs w:val="20"/>
                <w:color w:val="auto"/>
              </w:rPr>
            </w:pPr>
            <w:r>
              <w:rPr>
                <w:rFonts w:ascii="Arial" w:cs="Arial" w:eastAsia="Arial" w:hAnsi="Arial"/>
                <w:sz w:val="16"/>
                <w:szCs w:val="16"/>
                <w:color w:val="auto"/>
              </w:rPr>
              <w:t>Non-cash amounts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(46,990)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(46,990)</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principally foreign currency translation</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7"/>
        </w:trPr>
        <w:tc>
          <w:tcPr>
            <w:tcW w:w="34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Balance at December 29, 2018</w:t>
            </w: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11,661</w:t>
            </w: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11,908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0" w:firstLine="432"/>
        <w:spacing w:after="0" w:line="270" w:lineRule="auto"/>
        <w:rPr>
          <w:sz w:val="20"/>
          <w:szCs w:val="20"/>
          <w:color w:val="auto"/>
        </w:rPr>
      </w:pPr>
      <w:r>
        <w:rPr>
          <w:rFonts w:ascii="Arial" w:cs="Arial" w:eastAsia="Arial" w:hAnsi="Arial"/>
          <w:sz w:val="17"/>
          <w:szCs w:val="17"/>
          <w:color w:val="auto"/>
        </w:rPr>
        <w:t>Severance expense recorded in the first six months of fiscal 2019 related to the reduction, or planned reduction, of approximately 160 employees, primarily in executive management, operations, information technology, warehouse, sales and business support functions. Facility and contract exit costs primarily consist of liabilities for remaining lease obligations for exited facilities and for contractual termination costs. Asset impairments represents an asset impairment expense of $47.0 million that relates to software assets that were impaired as a result of the restructuring of information technology operations including the re-prioritization of information technology initiatives and resources. Of the $63.2 million in restructuring expenses recorded during the first six months of fiscal 2019, $62.4 million related to EC, $0.5 million related to PF and $0.3 million related to corporate executive and business support functions. The Company expects the majority of the remaining amounts to be paid or collected by the end of fiscal 2019.</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60"/>
          </w:cols>
          <w:pgMar w:left="1420" w:top="108" w:right="12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2018 and prior</w:t>
      </w:r>
    </w:p>
    <w:p>
      <w:pPr>
        <w:spacing w:after="0" w:line="225"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During fiscal 2018 and prior, the Company incurred restructuring expenses related to various restructuring actions intended to achieve planned synergies from acquired businesses and to reduce future operating expenses. The following table presents the activity during the first six months of fiscal 2019 related to the remaining restructuring liabilities from continuing operations established during fiscal 2018 and prior: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Facility</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and Contract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Asset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Severance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Exit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Impairments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5"/>
          </w:tcPr>
          <w:p>
            <w:pPr>
              <w:ind w:left="760"/>
              <w:spacing w:after="0"/>
              <w:rPr>
                <w:sz w:val="20"/>
                <w:szCs w:val="20"/>
                <w:color w:val="auto"/>
              </w:rPr>
            </w:pPr>
            <w:r>
              <w:rPr>
                <w:rFonts w:ascii="Arial" w:cs="Arial" w:eastAsia="Arial" w:hAnsi="Arial"/>
                <w:sz w:val="16"/>
                <w:szCs w:val="16"/>
                <w:b w:val="1"/>
                <w:bCs w:val="1"/>
                <w:color w:val="auto"/>
              </w:rPr>
              <w:t>(Thousands)</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Balance at June 30, 2018</w:t>
            </w:r>
          </w:p>
        </w:tc>
        <w:tc>
          <w:tcPr>
            <w:tcW w:w="5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2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120"/>
              <w:spacing w:after="0"/>
              <w:rPr>
                <w:sz w:val="20"/>
                <w:szCs w:val="20"/>
                <w:color w:val="auto"/>
              </w:rPr>
            </w:pPr>
            <w:r>
              <w:rPr>
                <w:rFonts w:ascii="Arial" w:cs="Arial" w:eastAsia="Arial" w:hAnsi="Arial"/>
                <w:sz w:val="16"/>
                <w:szCs w:val="16"/>
                <w:color w:val="auto"/>
              </w:rPr>
              <w:t>Cash payments</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(19,455)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Changes in estimates, net</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120"/>
              <w:spacing w:after="0"/>
              <w:rPr>
                <w:sz w:val="20"/>
                <w:szCs w:val="20"/>
                <w:color w:val="auto"/>
              </w:rPr>
            </w:pPr>
            <w:r>
              <w:rPr>
                <w:rFonts w:ascii="Arial" w:cs="Arial" w:eastAsia="Arial" w:hAnsi="Arial"/>
                <w:sz w:val="16"/>
                <w:szCs w:val="16"/>
                <w:color w:val="auto"/>
              </w:rPr>
              <w:t>Non-cash amounts</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principally foreign currency translation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420" w:type="dxa"/>
            <w:vAlign w:val="bottom"/>
            <w:tcBorders>
              <w:top w:val="single" w:sz="8" w:color="CCEEFF"/>
            </w:tcBorders>
          </w:tcPr>
          <w:p>
            <w:pPr>
              <w:spacing w:after="0" w:line="176" w:lineRule="exact"/>
              <w:rPr>
                <w:sz w:val="20"/>
                <w:szCs w:val="20"/>
                <w:color w:val="auto"/>
              </w:rPr>
            </w:pPr>
            <w:r>
              <w:rPr>
                <w:rFonts w:ascii="Arial" w:cs="Arial" w:eastAsia="Arial" w:hAnsi="Arial"/>
                <w:sz w:val="16"/>
                <w:szCs w:val="16"/>
                <w:color w:val="auto"/>
              </w:rPr>
              <w:t>Balance at December 29, 2018</w:t>
            </w:r>
          </w:p>
        </w:tc>
        <w:tc>
          <w:tcPr>
            <w:tcW w:w="34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5,599</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2,312</w:t>
            </w: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7,911</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expects the majority of the remaining amounts to be paid by the end of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40"/>
          </w:cols>
          <w:pgMar w:left="1420" w:top="125" w:right="12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For a description of the Company’s critical accounting policies and an understanding of the significant factors that influenced the Company’s performance during the quarter ended December 29, 2018, this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of Financial Condition and Results of Operations </w:t>
      </w:r>
      <w:r>
        <w:rPr>
          <w:rFonts w:ascii="Arial" w:cs="Arial" w:eastAsia="Arial" w:hAnsi="Arial"/>
          <w:sz w:val="17"/>
          <w:szCs w:val="17"/>
          <w:color w:val="auto"/>
        </w:rPr>
        <w:t>(“MD&amp;A”) should be read in conjunction with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including the related notes, appearing in Item 1 of this Quarterly Report on Form 10-Q, as well as the Company’s Annual Report on Form 10-K for the fiscal year ended June 30, 2018.</w:t>
      </w:r>
    </w:p>
    <w:p>
      <w:pPr>
        <w:spacing w:after="0" w:line="17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and Asia/Pacific, are referred to as “constant currency.”</w:t>
      </w:r>
    </w:p>
    <w:p>
      <w:pPr>
        <w:spacing w:after="0" w:line="16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47" w:lineRule="exact"/>
        <w:rPr>
          <w:sz w:val="20"/>
          <w:szCs w:val="20"/>
          <w:color w:val="auto"/>
        </w:rPr>
      </w:pPr>
    </w:p>
    <w:p>
      <w:pPr>
        <w:jc w:val="both"/>
        <w:ind w:left="660" w:hanging="333"/>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Sales taking into account these adjustments are referred to as “organic sales.”</w:t>
      </w:r>
    </w:p>
    <w:p>
      <w:pPr>
        <w:spacing w:after="0" w:line="186" w:lineRule="exact"/>
        <w:rPr>
          <w:rFonts w:ascii="Arial" w:cs="Arial" w:eastAsia="Arial" w:hAnsi="Arial"/>
          <w:sz w:val="18"/>
          <w:szCs w:val="18"/>
          <w:color w:val="auto"/>
        </w:rPr>
      </w:pPr>
    </w:p>
    <w:p>
      <w:pPr>
        <w:jc w:val="both"/>
        <w:ind w:left="660" w:hanging="333"/>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Operating income excluding (i) restructuring, integration and other expenses (see </w:t>
      </w:r>
      <w:r>
        <w:rPr>
          <w:rFonts w:ascii="Arial" w:cs="Arial" w:eastAsia="Arial" w:hAnsi="Arial"/>
          <w:sz w:val="17"/>
          <w:szCs w:val="17"/>
          <w:i w:val="1"/>
          <w:iCs w:val="1"/>
          <w:color w:val="auto"/>
        </w:rPr>
        <w:t>Restructuring, Integration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Expenses </w:t>
      </w:r>
      <w:r>
        <w:rPr>
          <w:rFonts w:ascii="Arial" w:cs="Arial" w:eastAsia="Arial" w:hAnsi="Arial"/>
          <w:sz w:val="17"/>
          <w:szCs w:val="17"/>
          <w:color w:val="auto"/>
        </w:rPr>
        <w:t>in this MD&amp;A), (ii) goodwill impairment expense and (iii) amortization of acquired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other. Operating income excluding such amounts is referred to as “adjusted operating income.”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5"/>
          </w:tcPr>
          <w:p>
            <w:pPr>
              <w:ind w:left="60"/>
              <w:spacing w:after="0"/>
              <w:rPr>
                <w:sz w:val="20"/>
                <w:szCs w:val="20"/>
                <w:color w:val="auto"/>
              </w:rPr>
            </w:pPr>
            <w:r>
              <w:rPr>
                <w:rFonts w:ascii="Arial" w:cs="Arial" w:eastAsia="Arial" w:hAnsi="Arial"/>
                <w:sz w:val="16"/>
                <w:szCs w:val="16"/>
                <w:b w:val="1"/>
                <w:bCs w:val="1"/>
                <w:color w:val="auto"/>
              </w:rPr>
              <w:t>Second Quarters Ended</w:t>
            </w:r>
          </w:p>
        </w:tc>
        <w:tc>
          <w:tcPr>
            <w:tcW w:w="200" w:type="dxa"/>
            <w:vAlign w:val="bottom"/>
          </w:tcPr>
          <w:p>
            <w:pPr>
              <w:spacing w:after="0"/>
              <w:rPr>
                <w:sz w:val="19"/>
                <w:szCs w:val="19"/>
                <w:color w:val="auto"/>
              </w:rPr>
            </w:pPr>
          </w:p>
        </w:tc>
        <w:tc>
          <w:tcPr>
            <w:tcW w:w="192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Six Months Ended</w:t>
            </w:r>
          </w:p>
        </w:tc>
      </w:tr>
      <w:tr>
        <w:trPr>
          <w:trHeight w:val="189"/>
        </w:trPr>
        <w:tc>
          <w:tcPr>
            <w:tcW w:w="4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December 29,</w:t>
            </w: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8"/>
              </w:rPr>
              <w:t>December 30,</w:t>
            </w:r>
          </w:p>
        </w:tc>
        <w:tc>
          <w:tcPr>
            <w:tcW w:w="180" w:type="dxa"/>
            <w:vAlign w:val="bottom"/>
          </w:tcPr>
          <w:p>
            <w:pPr>
              <w:spacing w:after="0"/>
              <w:rPr>
                <w:sz w:val="16"/>
                <w:szCs w:val="16"/>
                <w:color w:val="auto"/>
              </w:rPr>
            </w:pPr>
          </w:p>
        </w:tc>
        <w:tc>
          <w:tcPr>
            <w:tcW w:w="114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December 29,</w:t>
            </w:r>
          </w:p>
        </w:tc>
        <w:tc>
          <w:tcPr>
            <w:tcW w:w="9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December 30,</w:t>
            </w:r>
          </w:p>
        </w:tc>
      </w:tr>
      <w:tr>
        <w:trPr>
          <w:trHeight w:val="223"/>
        </w:trPr>
        <w:tc>
          <w:tcPr>
            <w:tcW w:w="4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r>
      <w:tr>
        <w:trPr>
          <w:trHeight w:val="203"/>
        </w:trPr>
        <w:tc>
          <w:tcPr>
            <w:tcW w:w="4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(Thousands)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96,050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81,617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242,866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146,185</w:t>
            </w:r>
          </w:p>
        </w:tc>
      </w:tr>
      <w:tr>
        <w:trPr>
          <w:trHeight w:val="203"/>
        </w:trPr>
        <w:tc>
          <w:tcPr>
            <w:tcW w:w="4080" w:type="dxa"/>
            <w:vAlign w:val="bottom"/>
          </w:tcPr>
          <w:p>
            <w:pPr>
              <w:ind w:left="120"/>
              <w:spacing w:after="0"/>
              <w:rPr>
                <w:sz w:val="20"/>
                <w:szCs w:val="20"/>
                <w:color w:val="auto"/>
              </w:rPr>
            </w:pPr>
            <w:r>
              <w:rPr>
                <w:rFonts w:ascii="Arial" w:cs="Arial" w:eastAsia="Arial" w:hAnsi="Arial"/>
                <w:sz w:val="16"/>
                <w:szCs w:val="16"/>
                <w:color w:val="auto"/>
              </w:rPr>
              <w:t>Restructuring, integration and other expenses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62,260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36,762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77,048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83,156</w:t>
            </w:r>
          </w:p>
        </w:tc>
      </w:tr>
      <w:tr>
        <w:trPr>
          <w:trHeight w:val="223"/>
        </w:trPr>
        <w:tc>
          <w:tcPr>
            <w:tcW w:w="4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Amortization of acquired intangible assets and other</w:t>
            </w: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20,513</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21,877</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41,440</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47,462</w:t>
            </w:r>
          </w:p>
        </w:tc>
      </w:tr>
      <w:tr>
        <w:trPr>
          <w:trHeight w:val="197"/>
        </w:trPr>
        <w:tc>
          <w:tcPr>
            <w:tcW w:w="408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58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178,823</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140,256</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361,354</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276,803</w:t>
            </w:r>
          </w:p>
        </w:tc>
      </w:tr>
    </w:tbl>
    <w:p>
      <w:pPr>
        <w:spacing w:after="0" w:line="2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Avnet, Inc. (the “Company” or “Avnet”), is a global technology solutions company with an extensive ecosystem delivering design, product, marketing and supply chain expertise for customers at every stage of the product lifecycle. Avnet transforms ideas into intelligent solutions, reducing the time, cost and complexities of bringing products to market around the world. Founded in 1921 and incorporated in New York in 1955, the Company works with over 1,400 technology suppliers to serve 2.1 million customers in more than 140 countries.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 has two primary operating groups — Electronic Components (“EC”) and Premier Farnell (“PF”). Both operating groups have operations in each of the three major economic regions of the world: the Americas, EMEA and Asia. A summary of each operating group is provided in Note 13, “Segment information” to the Company’s consolidated financial statements included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Sales for the second quarter of fiscal 2019 were $5.05 billion, an increase of 11.7% from sales for the second quarter of fiscal 2018 of $4.52 billion. The increase in sales was due to organic sales growth across all EC regions. Sales in constant currency increased year over year by 13.1% with both EC and PF contributing to the increase.</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Gross profit margin for the second quarter of fiscal 2019 decreased 84 basis points compared to the second quarter of fiscal 2018. EC gross profit margin decreased year over year primarily due to a higher percentage of sales coming from the lower-margin Asia region and from gross profit margin declines as a result of supplier program changes. PF gross profit margin decreased year over year primarily driven by changes in product mix and the impact of foreign currency exchange rates.</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Avnet operating income margin was 1.9% in the second quarter of fiscal 2019 as compared with 1.8% in the second quarter of fiscal 2018. Both periods included amortization and restructuring, integration and other expenses. Excluding these expenses from both periods, adjusted operating income margin was 3.5% in the second quarter of fiscal 2019 as compared to 3.1% in the second quarter of fiscal 2018. The increase in operating income margin is primarily due to the year over year growth in sales and a reduction in operating expenses from the Company’s restructuring and integration efforts, partially offset by a decline in gross profit margin.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16" w:lineRule="exact"/>
        <w:rPr>
          <w:sz w:val="20"/>
          <w:szCs w:val="20"/>
          <w:color w:val="auto"/>
        </w:rPr>
      </w:pPr>
    </w:p>
    <w:p>
      <w:pPr>
        <w:ind w:right="40" w:firstLine="428"/>
        <w:spacing w:after="0" w:line="246" w:lineRule="auto"/>
        <w:rPr>
          <w:sz w:val="20"/>
          <w:szCs w:val="20"/>
          <w:color w:val="auto"/>
        </w:rPr>
      </w:pPr>
      <w:r>
        <w:rPr>
          <w:rFonts w:ascii="Arial" w:cs="Arial" w:eastAsia="Arial" w:hAnsi="Arial"/>
          <w:sz w:val="18"/>
          <w:szCs w:val="18"/>
          <w:color w:val="auto"/>
        </w:rPr>
        <w:t>The following table presents reported and organic sales growth rates between fiscal 2019 and fiscal 2018 for the second quarter of fiscal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2"/>
          </w:tcPr>
          <w:p>
            <w:pPr>
              <w:jc w:val="right"/>
              <w:ind w:right="719"/>
              <w:spacing w:after="0"/>
              <w:rPr>
                <w:sz w:val="20"/>
                <w:szCs w:val="20"/>
                <w:color w:val="auto"/>
              </w:rPr>
            </w:pPr>
            <w:r>
              <w:rPr>
                <w:rFonts w:ascii="Arial" w:cs="Arial" w:eastAsia="Arial" w:hAnsi="Arial"/>
                <w:sz w:val="16"/>
                <w:szCs w:val="16"/>
                <w:b w:val="1"/>
                <w:bCs w:val="1"/>
                <w:color w:val="auto"/>
              </w:rPr>
              <w:t>Second Quarters Ended</w:t>
            </w:r>
          </w:p>
        </w:tc>
        <w:tc>
          <w:tcPr>
            <w:tcW w:w="1420" w:type="dxa"/>
            <w:vAlign w:val="bottom"/>
            <w:tcBorders>
              <w:bottom w:val="single" w:sz="8" w:color="auto"/>
            </w:tcBorders>
          </w:tcPr>
          <w:p>
            <w:pPr>
              <w:spacing w:after="0"/>
              <w:rPr>
                <w:sz w:val="19"/>
                <w:szCs w:val="19"/>
                <w:color w:val="auto"/>
              </w:rPr>
            </w:pPr>
          </w:p>
        </w:tc>
      </w:tr>
      <w:tr>
        <w:trPr>
          <w:trHeight w:val="189"/>
        </w:trPr>
        <w:tc>
          <w:tcPr>
            <w:tcW w:w="2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199"/>
              <w:spacing w:after="0"/>
              <w:rPr>
                <w:sz w:val="20"/>
                <w:szCs w:val="20"/>
                <w:color w:val="auto"/>
              </w:rPr>
            </w:pPr>
            <w:r>
              <w:rPr>
                <w:rFonts w:ascii="Arial" w:cs="Arial" w:eastAsia="Arial" w:hAnsi="Arial"/>
                <w:sz w:val="16"/>
                <w:szCs w:val="16"/>
                <w:b w:val="1"/>
                <w:bCs w:val="1"/>
                <w:color w:val="auto"/>
                <w:w w:val="85"/>
              </w:rPr>
              <w:t>Sales</w:t>
            </w:r>
          </w:p>
        </w:tc>
        <w:tc>
          <w:tcPr>
            <w:tcW w:w="320" w:type="dxa"/>
            <w:vAlign w:val="bottom"/>
          </w:tcPr>
          <w:p>
            <w:pPr>
              <w:spacing w:after="0"/>
              <w:rPr>
                <w:sz w:val="16"/>
                <w:szCs w:val="16"/>
                <w:color w:val="auto"/>
              </w:rPr>
            </w:pPr>
          </w:p>
        </w:tc>
        <w:tc>
          <w:tcPr>
            <w:tcW w:w="1400" w:type="dxa"/>
            <w:vAlign w:val="bottom"/>
          </w:tcPr>
          <w:p>
            <w:pPr>
              <w:jc w:val="center"/>
              <w:ind w:right="319"/>
              <w:spacing w:after="0"/>
              <w:rPr>
                <w:sz w:val="20"/>
                <w:szCs w:val="20"/>
                <w:color w:val="auto"/>
              </w:rPr>
            </w:pPr>
            <w:r>
              <w:rPr>
                <w:rFonts w:ascii="Arial" w:cs="Arial" w:eastAsia="Arial" w:hAnsi="Arial"/>
                <w:sz w:val="16"/>
                <w:szCs w:val="16"/>
                <w:b w:val="1"/>
                <w:bCs w:val="1"/>
                <w:color w:val="auto"/>
                <w:w w:val="85"/>
              </w:rPr>
              <w:t>Sales</w:t>
            </w:r>
          </w:p>
        </w:tc>
        <w:tc>
          <w:tcPr>
            <w:tcW w:w="15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2"/>
              </w:rPr>
              <w:t>Organic</w:t>
            </w:r>
          </w:p>
        </w:tc>
      </w:tr>
      <w:tr>
        <w:trPr>
          <w:trHeight w:val="203"/>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as Reported</w:t>
            </w:r>
          </w:p>
        </w:tc>
        <w:tc>
          <w:tcPr>
            <w:tcW w:w="320" w:type="dxa"/>
            <w:vAlign w:val="bottom"/>
          </w:tcPr>
          <w:p>
            <w:pPr>
              <w:spacing w:after="0"/>
              <w:rPr>
                <w:sz w:val="17"/>
                <w:szCs w:val="17"/>
                <w:color w:val="auto"/>
              </w:rPr>
            </w:pPr>
          </w:p>
        </w:tc>
        <w:tc>
          <w:tcPr>
            <w:tcW w:w="1400" w:type="dxa"/>
            <w:vAlign w:val="bottom"/>
          </w:tcPr>
          <w:p>
            <w:pPr>
              <w:jc w:val="center"/>
              <w:ind w:right="319"/>
              <w:spacing w:after="0"/>
              <w:rPr>
                <w:sz w:val="20"/>
                <w:szCs w:val="20"/>
                <w:color w:val="auto"/>
              </w:rPr>
            </w:pPr>
            <w:r>
              <w:rPr>
                <w:rFonts w:ascii="Arial" w:cs="Arial" w:eastAsia="Arial" w:hAnsi="Arial"/>
                <w:sz w:val="16"/>
                <w:szCs w:val="16"/>
                <w:b w:val="1"/>
                <w:bCs w:val="1"/>
                <w:color w:val="auto"/>
                <w:w w:val="90"/>
              </w:rPr>
              <w:t>as Reported</w:t>
            </w:r>
          </w:p>
        </w:tc>
        <w:tc>
          <w:tcPr>
            <w:tcW w:w="15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6"/>
              </w:rPr>
              <w:t>Year-Year %</w:t>
            </w:r>
          </w:p>
        </w:tc>
      </w:tr>
      <w:tr>
        <w:trPr>
          <w:trHeight w:val="203"/>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and Organic</w:t>
            </w:r>
          </w:p>
        </w:tc>
        <w:tc>
          <w:tcPr>
            <w:tcW w:w="320" w:type="dxa"/>
            <w:vAlign w:val="bottom"/>
          </w:tcPr>
          <w:p>
            <w:pPr>
              <w:spacing w:after="0"/>
              <w:rPr>
                <w:sz w:val="17"/>
                <w:szCs w:val="17"/>
                <w:color w:val="auto"/>
              </w:rPr>
            </w:pPr>
          </w:p>
        </w:tc>
        <w:tc>
          <w:tcPr>
            <w:tcW w:w="1400" w:type="dxa"/>
            <w:vAlign w:val="bottom"/>
          </w:tcPr>
          <w:p>
            <w:pPr>
              <w:jc w:val="center"/>
              <w:ind w:right="319"/>
              <w:spacing w:after="0"/>
              <w:rPr>
                <w:sz w:val="20"/>
                <w:szCs w:val="20"/>
                <w:color w:val="auto"/>
              </w:rPr>
            </w:pPr>
            <w:r>
              <w:rPr>
                <w:rFonts w:ascii="Arial" w:cs="Arial" w:eastAsia="Arial" w:hAnsi="Arial"/>
                <w:sz w:val="16"/>
                <w:szCs w:val="16"/>
                <w:b w:val="1"/>
                <w:bCs w:val="1"/>
                <w:color w:val="auto"/>
                <w:w w:val="94"/>
              </w:rPr>
              <w:t>and Organic</w:t>
            </w:r>
          </w:p>
        </w:tc>
        <w:tc>
          <w:tcPr>
            <w:tcW w:w="152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Organic</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0"/>
              </w:rPr>
              <w:t>Change in</w:t>
            </w:r>
          </w:p>
        </w:tc>
      </w:tr>
      <w:tr>
        <w:trPr>
          <w:trHeight w:val="203"/>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199"/>
              <w:spacing w:after="0"/>
              <w:rPr>
                <w:sz w:val="20"/>
                <w:szCs w:val="20"/>
                <w:color w:val="auto"/>
              </w:rPr>
            </w:pPr>
            <w:r>
              <w:rPr>
                <w:rFonts w:ascii="Arial" w:cs="Arial" w:eastAsia="Arial" w:hAnsi="Arial"/>
                <w:sz w:val="16"/>
                <w:szCs w:val="16"/>
                <w:b w:val="1"/>
                <w:bCs w:val="1"/>
                <w:color w:val="auto"/>
                <w:w w:val="88"/>
              </w:rPr>
              <w:t>Fiscal</w:t>
            </w:r>
          </w:p>
        </w:tc>
        <w:tc>
          <w:tcPr>
            <w:tcW w:w="320" w:type="dxa"/>
            <w:vAlign w:val="bottom"/>
          </w:tcPr>
          <w:p>
            <w:pPr>
              <w:spacing w:after="0"/>
              <w:rPr>
                <w:sz w:val="17"/>
                <w:szCs w:val="17"/>
                <w:color w:val="auto"/>
              </w:rPr>
            </w:pPr>
          </w:p>
        </w:tc>
        <w:tc>
          <w:tcPr>
            <w:tcW w:w="1400" w:type="dxa"/>
            <w:vAlign w:val="bottom"/>
          </w:tcPr>
          <w:p>
            <w:pPr>
              <w:jc w:val="center"/>
              <w:ind w:right="319"/>
              <w:spacing w:after="0"/>
              <w:rPr>
                <w:sz w:val="20"/>
                <w:szCs w:val="20"/>
                <w:color w:val="auto"/>
              </w:rPr>
            </w:pPr>
            <w:r>
              <w:rPr>
                <w:rFonts w:ascii="Arial" w:cs="Arial" w:eastAsia="Arial" w:hAnsi="Arial"/>
                <w:sz w:val="16"/>
                <w:szCs w:val="16"/>
                <w:b w:val="1"/>
                <w:bCs w:val="1"/>
                <w:color w:val="auto"/>
                <w:w w:val="88"/>
              </w:rPr>
              <w:t>Fiscal</w:t>
            </w: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Year-Year</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23"/>
        </w:trPr>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8"/>
              </w:rPr>
              <w:t xml:space="preserve">2019 </w:t>
            </w:r>
            <w:r>
              <w:rPr>
                <w:rFonts w:ascii="Arial" w:cs="Arial" w:eastAsia="Arial" w:hAnsi="Arial"/>
                <w:sz w:val="17"/>
                <w:szCs w:val="17"/>
                <w:b w:val="1"/>
                <w:bCs w:val="1"/>
                <w:color w:val="auto"/>
                <w:w w:val="88"/>
                <w:vertAlign w:val="superscript"/>
              </w:rPr>
              <w:t>(1)</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w w:val="89"/>
              </w:rPr>
              <w:t>2018</w:t>
            </w:r>
          </w:p>
        </w:tc>
        <w:tc>
          <w:tcPr>
            <w:tcW w:w="15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3"/>
              </w:rPr>
              <w:t>% Change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Currency</w:t>
            </w:r>
          </w:p>
        </w:tc>
      </w:tr>
      <w:tr>
        <w:trPr>
          <w:trHeight w:val="203"/>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gridSpan w:val="2"/>
          </w:tcPr>
          <w:p>
            <w:pPr>
              <w:jc w:val="right"/>
              <w:ind w:right="779"/>
              <w:spacing w:after="0"/>
              <w:rPr>
                <w:sz w:val="20"/>
                <w:szCs w:val="20"/>
                <w:color w:val="auto"/>
              </w:rPr>
            </w:pPr>
            <w:r>
              <w:rPr>
                <w:rFonts w:ascii="Arial" w:cs="Arial" w:eastAsia="Arial" w:hAnsi="Arial"/>
                <w:sz w:val="16"/>
                <w:szCs w:val="16"/>
                <w:b w:val="1"/>
                <w:bCs w:val="1"/>
                <w:color w:val="auto"/>
              </w:rPr>
              <w:t>(Dollars in thousands)</w:t>
            </w:r>
          </w:p>
        </w:tc>
        <w:tc>
          <w:tcPr>
            <w:tcW w:w="1420" w:type="dxa"/>
            <w:vAlign w:val="bottom"/>
          </w:tcPr>
          <w:p>
            <w:pPr>
              <w:spacing w:after="0"/>
              <w:rPr>
                <w:sz w:val="17"/>
                <w:szCs w:val="17"/>
                <w:color w:val="auto"/>
              </w:rPr>
            </w:pPr>
          </w:p>
        </w:tc>
      </w:tr>
      <w:tr>
        <w:trPr>
          <w:trHeight w:val="203"/>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Avnet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5,048,980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4,521,636</w:t>
            </w:r>
          </w:p>
        </w:tc>
        <w:tc>
          <w:tcPr>
            <w:tcW w:w="15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11.7 %</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13.1 %</w:t>
            </w:r>
          </w:p>
        </w:tc>
      </w:t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Avnet by region</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1,300,423</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1,210,251</w:t>
            </w:r>
          </w:p>
        </w:tc>
        <w:tc>
          <w:tcPr>
            <w:tcW w:w="15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7.5 %</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7.5 %</w:t>
            </w:r>
          </w:p>
        </w:tc>
      </w:tr>
      <w:tr>
        <w:trPr>
          <w:trHeight w:val="203"/>
        </w:trPr>
        <w:tc>
          <w:tcPr>
            <w:tcW w:w="2080" w:type="dxa"/>
            <w:vAlign w:val="bottom"/>
          </w:tcPr>
          <w:p>
            <w:pPr>
              <w:ind w:left="120"/>
              <w:spacing w:after="0"/>
              <w:rPr>
                <w:sz w:val="20"/>
                <w:szCs w:val="20"/>
                <w:color w:val="auto"/>
              </w:rPr>
            </w:pPr>
            <w:r>
              <w:rPr>
                <w:rFonts w:ascii="Arial" w:cs="Arial" w:eastAsia="Arial" w:hAnsi="Arial"/>
                <w:sz w:val="16"/>
                <w:szCs w:val="16"/>
                <w:color w:val="auto"/>
              </w:rPr>
              <w:t>EMEA</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1,668,575</w:t>
            </w:r>
          </w:p>
        </w:tc>
        <w:tc>
          <w:tcPr>
            <w:tcW w:w="320" w:type="dxa"/>
            <w:vAlign w:val="bottom"/>
          </w:tcPr>
          <w:p>
            <w:pPr>
              <w:spacing w:after="0"/>
              <w:rPr>
                <w:sz w:val="17"/>
                <w:szCs w:val="17"/>
                <w:color w:val="auto"/>
              </w:rPr>
            </w:pP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1,506,015</w:t>
            </w: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10.8</w:t>
            </w: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14.5</w:t>
            </w:r>
          </w:p>
        </w:tc>
      </w:tr>
      <w:tr>
        <w:trPr>
          <w:trHeight w:val="203"/>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2,079,982</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1,805,370</w:t>
            </w: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15.2</w:t>
            </w:r>
          </w:p>
        </w:tc>
        <w:tc>
          <w:tcPr>
            <w:tcW w:w="1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15.6</w:t>
            </w:r>
          </w:p>
        </w:tc>
      </w:t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Avnet by segment</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EC</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4,680,714</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4,163,519</w:t>
            </w:r>
          </w:p>
        </w:tc>
        <w:tc>
          <w:tcPr>
            <w:tcW w:w="15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12.4 %</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13.8 %</w:t>
            </w:r>
          </w:p>
        </w:tc>
      </w:tr>
      <w:tr>
        <w:trPr>
          <w:trHeight w:val="188"/>
        </w:trPr>
        <w:tc>
          <w:tcPr>
            <w:tcW w:w="2080" w:type="dxa"/>
            <w:vAlign w:val="bottom"/>
          </w:tcPr>
          <w:p>
            <w:pPr>
              <w:ind w:left="120"/>
              <w:spacing w:after="0"/>
              <w:rPr>
                <w:sz w:val="20"/>
                <w:szCs w:val="20"/>
                <w:color w:val="auto"/>
              </w:rPr>
            </w:pPr>
            <w:r>
              <w:rPr>
                <w:rFonts w:ascii="Arial" w:cs="Arial" w:eastAsia="Arial" w:hAnsi="Arial"/>
                <w:sz w:val="16"/>
                <w:szCs w:val="16"/>
                <w:color w:val="auto"/>
              </w:rPr>
              <w:t>PF</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368,266</w:t>
            </w:r>
          </w:p>
        </w:tc>
        <w:tc>
          <w:tcPr>
            <w:tcW w:w="320" w:type="dxa"/>
            <w:vAlign w:val="bottom"/>
          </w:tcPr>
          <w:p>
            <w:pPr>
              <w:spacing w:after="0"/>
              <w:rPr>
                <w:sz w:val="16"/>
                <w:szCs w:val="16"/>
                <w:color w:val="auto"/>
              </w:rPr>
            </w:pP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358,117</w:t>
            </w: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2.8</w:t>
            </w: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5.2</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___________</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ind w:right="40" w:firstLine="3"/>
        <w:spacing w:after="0" w:line="250" w:lineRule="auto"/>
        <w:tabs>
          <w:tab w:leader="none" w:pos="163" w:val="left"/>
        </w:tabs>
        <w:numPr>
          <w:ilvl w:val="0"/>
          <w:numId w:val="10"/>
        </w:numPr>
        <w:rPr>
          <w:rFonts w:ascii="Arial" w:cs="Arial" w:eastAsia="Arial" w:hAnsi="Arial"/>
          <w:sz w:val="18"/>
          <w:szCs w:val="18"/>
          <w:color w:val="auto"/>
          <w:vertAlign w:val="superscript"/>
        </w:rPr>
      </w:pPr>
      <w:r>
        <w:rPr>
          <w:rFonts w:ascii="Arial" w:cs="Arial" w:eastAsia="Arial" w:hAnsi="Arial"/>
          <w:sz w:val="16"/>
          <w:szCs w:val="16"/>
          <w:color w:val="auto"/>
        </w:rPr>
        <w:t>The acquisition of Softweb occurred at the end of December 2018 and did not have any material sales between the date of acquisition and the end of the second quarter of fiscal 2019.</w:t>
      </w:r>
    </w:p>
    <w:p>
      <w:pPr>
        <w:spacing w:after="0" w:line="200"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Sales for the second quarter of fiscal 2019 were $5.05 billion, an increase of 11.7%, or $527.3 million, from the prior year second quarter sales of $4.52 billion. Sales in constant currency increased 13.1% over the prior year second quarter with all regions of both the EC and PF operating groups contributing to this growth.</w:t>
      </w:r>
    </w:p>
    <w:p>
      <w:pPr>
        <w:spacing w:after="0" w:line="181" w:lineRule="exact"/>
        <w:rPr>
          <w:sz w:val="20"/>
          <w:szCs w:val="20"/>
          <w:color w:val="auto"/>
        </w:rPr>
      </w:pPr>
    </w:p>
    <w:p>
      <w:pPr>
        <w:jc w:val="both"/>
        <w:ind w:right="40" w:firstLine="432"/>
        <w:spacing w:after="0" w:line="257" w:lineRule="auto"/>
        <w:rPr>
          <w:sz w:val="20"/>
          <w:szCs w:val="20"/>
          <w:color w:val="auto"/>
        </w:rPr>
      </w:pPr>
      <w:r>
        <w:rPr>
          <w:rFonts w:ascii="Arial" w:cs="Arial" w:eastAsia="Arial" w:hAnsi="Arial"/>
          <w:sz w:val="18"/>
          <w:szCs w:val="18"/>
          <w:color w:val="auto"/>
        </w:rPr>
        <w:t>EC sales of $4.68 billion in the second quarter of fiscal 2019 increased $517.2 million or 12.4% from the prior year second quarter sales of $4.16 billion. This increase was primarily driven by increased sales across all EC regions including double digit growth in both the EMEA and Asia regions. PF sales for the second quarter of fiscal 2019 were $368.3 million, an increase of $10.1 million or 2.8% from the prior year second quarter sales of $358.1 million driven by growth in all three regions.</w:t>
      </w:r>
    </w:p>
    <w:p>
      <w:pPr>
        <w:spacing w:after="0" w:line="188" w:lineRule="exact"/>
        <w:rPr>
          <w:sz w:val="20"/>
          <w:szCs w:val="20"/>
          <w:color w:val="auto"/>
        </w:rPr>
      </w:pPr>
    </w:p>
    <w:p>
      <w:pPr>
        <w:jc w:val="both"/>
        <w:ind w:right="40" w:firstLine="432"/>
        <w:spacing w:after="0" w:line="308" w:lineRule="auto"/>
        <w:rPr>
          <w:sz w:val="20"/>
          <w:szCs w:val="20"/>
          <w:color w:val="auto"/>
        </w:rPr>
      </w:pPr>
      <w:r>
        <w:rPr>
          <w:rFonts w:ascii="Arial" w:cs="Arial" w:eastAsia="Arial" w:hAnsi="Arial"/>
          <w:sz w:val="17"/>
          <w:szCs w:val="17"/>
          <w:color w:val="auto"/>
        </w:rPr>
        <w:t>Sales for the first six months of fiscal 2019 were $10.14 billion, an increase of 10.4% as compared to sales of $9.18 billion for the first six months of fiscal 2018 primarily due to sales growth across all regions at both EC and PF.</w:t>
      </w:r>
    </w:p>
    <w:p>
      <w:pPr>
        <w:spacing w:after="0" w:line="147"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As discussed in Note 2 to the Company’s consolidated financial statements included in this Quarterly Report on Form 10-Q, the adoption of the new revenue recognition accounting standard during the first quarter of fiscal 2019 did not have a material impact on the amounts of sales reported or the comparability of sales and gross profit margins year over year for all periods presented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229"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Gross profit for the second quarter of fiscal 2019 was $630.0 million, an increase of $27.6 million, or 4.6%, from the second quarter of fiscal 2018 gross profit of $602.5 million primarily driven by the increase in sales. Gross profit margin decreased 84 basis points to 12.5% from the second quarter of fiscal 2018 gross profit margin of 13.3%.</w:t>
      </w:r>
    </w:p>
    <w:p>
      <w:pPr>
        <w:spacing w:after="0" w:line="166" w:lineRule="exact"/>
        <w:rPr>
          <w:sz w:val="20"/>
          <w:szCs w:val="20"/>
          <w:color w:val="auto"/>
        </w:rPr>
      </w:pPr>
    </w:p>
    <w:p>
      <w:pPr>
        <w:jc w:val="both"/>
        <w:ind w:right="40" w:firstLine="432"/>
        <w:spacing w:after="0" w:line="257" w:lineRule="auto"/>
        <w:rPr>
          <w:sz w:val="20"/>
          <w:szCs w:val="20"/>
          <w:color w:val="auto"/>
        </w:rPr>
      </w:pPr>
      <w:r>
        <w:rPr>
          <w:rFonts w:ascii="Arial" w:cs="Arial" w:eastAsia="Arial" w:hAnsi="Arial"/>
          <w:sz w:val="18"/>
          <w:szCs w:val="18"/>
          <w:color w:val="auto"/>
        </w:rPr>
        <w:t>EC gross profit margin decreased year over year primarily due to an increased mix of sales coming from the lower-margin Asia region and from the impact of supplier program changes. Asia sales represented approximately 43% of the total EC sales in the second quarter of fiscal 2019 as compared with approximately 42% in the second quarter of fiscal 2018. PF gross profit margin decreased year over year primarily driven by product mix and the impact of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Gross profit and gross margins were $1.27 billion and 12.5%, respectively, for the first six months of fiscal 2019 as compared with $1.22 billion and 13.2%, respectively, for the first six months of fiscal 2018 primarily due to an increased mix of sales coming from the lower-margin Asia region and from the impact of supplier program changes.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Selling, general and administrative expenses (“SG&amp;A expenses”) were $471.7 million in the second quarter of fiscal 2019, a decrease of $12.4 million, or 2.6%, from the second quarter of fiscal 2018. The year-over-year decrease in SG&amp;A expenses was primarily due to a reduction of expenses resulting from management’s restructuring programs and due to lower Corporate costs, partially offset by an increase as a result of sales volume growth.</w:t>
      </w:r>
    </w:p>
    <w:p>
      <w:pPr>
        <w:spacing w:after="0" w:line="17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Metrics that management monitors with respect to its operating expenses are SG&amp;A expenses as a percentage of sales and as a percentage of gross profit. In the second quarter of fiscal 2019, SG&amp;A expenses as a percentage of sales were 9.3% and as a percentage of gross profit were 74.9%, as compared with 10.7% and 80.4%, respectively, in the second quarter of fiscal 2018.</w:t>
      </w:r>
    </w:p>
    <w:p>
      <w:pPr>
        <w:spacing w:after="0" w:line="187"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SG&amp;A expenses for the first six months of fiscal 2019 were $946.9 million, or 9.3% of sales, as compared with $985.7 million, or 10.7% of sales, in the first six months of fiscal 2018. SG&amp;A expenses were 74.7% of gross profit in the first six months of 2019 as compared with 81.1% in the first six months of fiscal 2018. The year-over-year decrease in SG&amp;A expenses was primarily due to the reduction of expenses resulting from management’s restructuring programs and due to lower Corporate costs, partially offset by an increase as a result of sales volume growth.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22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As a result of management’s focus on improving operating efficiencies and further integrating the acquisition of PF, the Company has incurred certain restructuring costs. These costs also related to the continued transformation of the Company’s information technology, distribution center footprint and business operations including the re-prioritization of its information technology initiatives and resources. In addition, the Company incurred integration, accelerated depreciation and other costs. Integration costs are primarily related to the integration of acquired businesses including PF, the integration of certain regional and global businesses including Avnet after the sale of the TS business, and incremental costs incurred as part of the consolidation, relocation, and closure of warehouse and office facilities. Accelerated depreciation relates to the incremental depreciation expense incurred related to the shortening of the estimated useful life for certain information technology assets and from the integration of PF. Other costs consist primarily of any other miscellaneous costs that relate to restructuring, integration and other expenses including acquisition related costs.</w:t>
      </w:r>
    </w:p>
    <w:p>
      <w:pPr>
        <w:spacing w:after="0" w:line="169"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The Company recorded restructuring, integration and other expenses of $62.3 million during the second quarter of fiscal 2019. The Company recorded $55.6 million of restructuring costs in the second quarter of fiscal 2019, which are expected to provide $10.0 million in operating expense savings once such restructuring actions are completed. Included in the restructuring costs was severance costs of $8.6 million and a $47.0 million non-cash impairment expense related to information technology software. During the second quarter of fiscal 2019, the Company also incurred integration costs of $3.4 million, accelerated depreciation expense of $2.7 million, other costs of $0.8 million and a reversal of $0.2 million for changes in estimates for costs associated with prior year restructuring actions. The after tax impact of restructuring, integration and other expenses were $46.6 million and $0.42 per share on a diluted basis.</w:t>
      </w:r>
    </w:p>
    <w:p>
      <w:pPr>
        <w:spacing w:after="0" w:line="179"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During the first six months of fiscal 2019, the Company incurred restructuring costs of $63.2 million, integration costs of $6.2 million, accelerated depreciation of $5.8 million, other costs of $2.3 million and reversals of $0.5 million for changes in estimates for costs associated with prior year restructuring actions. The after tax impact of restructuring, integration and other expenses for the first six months of fiscal 2019 was $58.1 million and $0.51 per share on a diluted basis.</w:t>
      </w:r>
    </w:p>
    <w:p>
      <w:pPr>
        <w:spacing w:after="0" w:line="1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Comparatively, in the second quarter of fiscal 2018, restructuring, integration and other expenses were $36.8 million. The after tax impact of restructuring, integration, and other expenses was $27.8 million and $0.23 per share on a diluted basis.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first six months of fiscal 2018, restructuring, integration and other expenses was $83.2 million. The after tax impact of restructuring, integration and other expenses for the first six months of fiscal 2018 was $57.4 million and $0.47 per share on a diluted basis.</w:t>
      </w:r>
    </w:p>
    <w:p>
      <w:pPr>
        <w:spacing w:after="0" w:line="181"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14 “Restructuring expenses” to the Company’s consolidated financial statements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Operating income for the second quarter of fiscal 2019 was $96.1 million, an increase of $14.4 million, or 17.7%, from the second quarter of fiscal 2018 of $81.6 million. The year over year increase in operating income was primarily driven by the increase in sales and the reduction in selling, general and administrative expenses as compared to the prior year second quarter, partially offset by the decline in gross profit margin. Adjusted operating income for the second quarter of fiscal 2019 was $178.8 million, an increase of $38.6 million, or 27.5%, from the second quarter of fiscal 2018. The year over year increase in adjusted operating income was primarily driven by the increase in sales and the reduction in selling, general and administrative expenses as compared to the prior year second quarter, partially offset by the decline in gross profit margin.</w:t>
      </w:r>
    </w:p>
    <w:p>
      <w:pPr>
        <w:spacing w:after="0" w:line="167"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EC operating income margin increased 27 basis points year over year to 3.4% and PF operating income margin increased 142 basis points year over year to 10.8%. The improvement in operating income margin at both operating groups was primarily due to the organic sales growth and from operating cost reductions related to restructuring and integration activities.</w:t>
      </w:r>
    </w:p>
    <w:p>
      <w:pPr>
        <w:spacing w:after="0" w:line="187"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Operating income for the first six months of fiscal 2019 was $242.9 million, or 2.4% of consolidated sales, as compared with operating income of $146.2 million, or 1.6% of consolidated sales in the first six months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Financing Expenses, Net and Other Income, Net</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Interest and other financing expenses in the second quarter of fiscal 2019 was $33.7 million, an increase of $10.9 million or 47.7%, as compared with interest and other financing expenses of $22.8 million in the second quarter of fiscal 2018. Interest and other financing expenses in the first six months of fiscal 2019 was $63.8 million, an increase of $19.0 million or 42.3%, as compared with interest and other financing expenses of $44.8 million in the first six months of fiscal 2018.The increase in interest and other financing expenses in the second quarter and first six months of fiscal 2019 compared to the second quarter and first six months of fiscal 2018 was primarily related to increased expenses in Asia to finance working capital needs and from lower interest income from investments in cash equivalents between the fiscal years.</w:t>
      </w:r>
    </w:p>
    <w:p>
      <w:pPr>
        <w:spacing w:after="0" w:line="167"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During the second quarter of fiscal 2019, the Company had $2.6 million of other income as compared with $3.3 million of other income in the second quarter of fiscal 2018. During the first six months of fiscal 2019, the Company had $0.7 million of other income as compared with $22.3 million of other income in the first six months of fiscal 2018. In the second quarter and first six months of fiscal 2019, the Company had income related to the Company’s pension plans, partially offset by foreign currency losses primarily due to the strengthening of the U.S. Dollar compared to certain currencies.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effective tax rate on its income before income taxes from continuing operations was 43.3% in the second quarter of fiscal 2019. During the second quarter of fiscal 2019, the Company’s effective tax rate was unfavorably impacted primarily by (i) an adjustment to the one-time mandatory deemed repatriation tax liability recorded under the requirements of the Act and (ii) increases in unrecognized tax benefits, partially offset by (iii) the mix of income in lower tax jurisdictions, and (iv) the release of valuation allowances against deferred tax assets that were deemed to be realizable.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second quarter of fiscal 2018, the Company’s effective tax rate of 8.6% was favorably impacted primarily by the mix of income in lower tax jurisdictions, partially offset by the tax expense created from remeasuring net deferred tax assets as a result of applying the requirements of the Act.</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For the first six months of fiscal 2019, the Company’s effective tax rate on its income before income taxes from continuing operations was 33.1%. The effective tax rate for the first six months of fiscal 2019 was unfavorably impacted primarily by (i) an adjustment to the one-time mandatory deemed repatriation tax liability recorded under the requirements of the Act and (ii) increases in unrecognized tax benefits, partially offset by (iii) an adjustment to the provisional deferred tax impacts of the Act, (iv) the mix of income in lower tax jurisdictions, and (v) the release of valuation allowances against deferred tax assets that were deemed to be realizable.</w:t>
      </w:r>
    </w:p>
    <w:p>
      <w:pPr>
        <w:spacing w:after="0" w:line="1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first six months of fiscal 2018, the Company’s effective tax rate of 7.0% was favorably impacted primarily by (i) the mix of income in lower tax jurisdictions and (ii) the release of unrecognized tax benefit reserves primarily due to the negotiation of a favorable outcome in a foreign jurisdiction, partially offset by (iii) the tax expense created from remeasuring net deferred tax assets as a result of applying the requirements of the Act.</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8 “Income taxes” to the Company’s consolidated financial statements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Discontinued Operations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Loss from discontinued operations was $0.4 million and $0.2 million in the second quarter and first six months of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Loss from discontinued operations was $10.1 million and $9.9 million in the second quarter and the first six months of fiscal 2018, respectively, primarily as a result of settlement losses associated with the Company’s pension plan due to former TS business employees requesting and receiving distributions from the Company’s pension plan during fiscal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second quarter of fiscal 2019 was $36.4 million, or $0.33 per share on a diluted basis, as compared with $46.7 million of net income, or $0.39 per share on a diluted basis, in the second quarter of fiscal 2018.</w:t>
      </w:r>
    </w:p>
    <w:p>
      <w:pPr>
        <w:spacing w:after="0" w:line="18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six months of fiscal 2019 was $120.1 million, or $1.05 per share on a diluted basis, as compared with $105.0 million, or $0.85 per share on a diluted basis, in the first six months of fiscal 2018.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During the first six months of fiscal 2019, the Company used $12.8 million of cash from its operating activities from continuing operations compared to $59.2 million in the first six months of fiscal 2018. These operating cash flows were comprised of: (i) cash flow generated from net income from continuing operations, adjusted for the impact of non-cash and other items, which includes depreciation and amortization expenses, deferred income taxes, stock-based compensation expense and other non-cash items (including provisions for doubtful accounts and net periodic pension costs) and (ii) cash flows used for, or generated from, working capital and other, excluding cash and cash equivalents. Cash used for working capital and other was $361.8 million during the first six months of fiscal 2019, including increases in inventories of $209.6 million and decreases in accounts payable of $205.3 million and accrued expenses and other of $140.5 million, partially offset by a decrease in accounts receivable of $193.5 million. The Company utilized cash to invest in inventory primarily to support sales growth and for certain investments in additional inventories at PF. Comparatively, cash used for working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and other was $282.5 million during the first six months of fiscal 2018, including an increase in inventories of $410.4 million and a decrease in accrued expenses and other of $56.0 million, partially offset by a decrease in accounts receivable of $108.5 million and an increase in accounts payable of $75.3 million.</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also used $56.3 million of cash from discontinued operations operating activities related to income taxes paid on the gain from the sale of the TS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six months of fiscal 2019, the Company received net proceeds of $366.0 million under the Securitization Program and repaid $59.4 million under the Credit Facility and $0.6 million from borrowings of various bank credit facilities. During the first six months of fiscal 2019, the Company paid dividends on common stock of $44.7 million and repurchased $335.4 million of common stock. Additionally, included in other, net is approximately $18.2 million of cash received from the exercises of stock options.</w:t>
      </w:r>
    </w:p>
    <w:p>
      <w:pPr>
        <w:spacing w:after="0" w:line="18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first six months of fiscal 2018, the Company received net proceeds of $78.0 million under the Securitization Program. During the first six months of fiscal 2018, the Company repaid $27.4 million from borrowings of various bank credit facilities and $100.0 million under the Credit Facility. During the first six months of fiscal 2018, the Company paid dividends on common stock of $43.6 million and repurchased $135.5 million of common stock.</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first six months of fiscal 2019, the Company used $70.2 million for capital expenditures primarily related to warehouse and facilities, computer hardware and software purchases and information technology system development costs compared to $67.4 million for capital expenditures in the first six months of fiscal 2018. During the first six months of fiscal 2019, the Company used $62.5 million of cash for acquisitions, which is net of the cash acquired compared to $14.7 million of cash for acquisitions, which is net of cash acquired in the first six months of fiscal 2018.</w:t>
      </w:r>
    </w:p>
    <w:p>
      <w:pPr>
        <w:spacing w:after="0" w:line="173"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the first six months of fiscal 2019, the Company received $123.5 million of cash from investing activities – discontinued operations from the sale of the TS business. During the first six months of fiscal 2018, the Company generated $112.7 million of cash from investing activities – discontinued operations, substantially all driven by the sale of marketable securities obtained through the sale of the TS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For a detailed description of the Company’s long-term debt and lease commitments for the next five years and thereafter, see </w:t>
      </w:r>
      <w:r>
        <w:rPr>
          <w:rFonts w:ascii="Arial" w:cs="Arial" w:eastAsia="Arial" w:hAnsi="Arial"/>
          <w:sz w:val="18"/>
          <w:szCs w:val="18"/>
          <w:i w:val="1"/>
          <w:iCs w:val="1"/>
          <w:color w:val="auto"/>
        </w:rPr>
        <w:t>Long-Term Contractual Obligations</w:t>
      </w:r>
      <w:r>
        <w:rPr>
          <w:rFonts w:ascii="Arial" w:cs="Arial" w:eastAsia="Arial" w:hAnsi="Arial"/>
          <w:sz w:val="18"/>
          <w:szCs w:val="18"/>
          <w:color w:val="auto"/>
        </w:rPr>
        <w:t xml:space="preserve"> appearing in Item 7 of the Company’s Annual Report on Form 10-K for the fiscal year ended June 30, 2018. With the exception of the Company’s debt transactions discussed herein, there are no material changes to this information outside of normal borrowings and repayments of long-term debt and operating lease payments. The Company does not currently have any material non-cancellable commitments for capital expenditures or inventory purchases.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See Note 5, “Debt” to the Company’s consolidated financial statements included in this Quarterly Report on Form 10-Q for additional information on financing transactions including the Credit Facility, the Securitization Program, and other outstanding debt as of December 29, 2018. The Company was in compliance with all covenants under the Credit Facility and the Securitization Program as of December 29, 2018 and June 30, 2018.</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second quarter of fiscal 2019 was $0.9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an alternative form of financing outside of the United States, the Company sells certain of its trade accounts receivable on a non-recourse basis to third-party financial institutions pursuant to factoring agreements. The Company accounts for these transactions as sales of receivables and presents cash proceeds as cash provided by operating activities in the consolidated statements of cash flows. Factoring fees for the sales of receivables are recorded within “Interest and other financing expenses, net” and were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held cash and cash equivalents of $482.2 million as of December 29, 2018, of which $433.5 million was held outside the United States. As of June 30, 2018, the Company held cash and cash equivalents of $621.1 million, of which $545.3 million was held outside of the United States.</w:t>
      </w:r>
    </w:p>
    <w:p>
      <w:pPr>
        <w:spacing w:after="0" w:line="181"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As of the end of the second quarter of fiscal 2019, the Company had a combined total borrowing capacity of $1.75 billion under the Credit Facility and the Securitization Program. There were no borrowings outstanding and $3.0 million in letters of credit issued under the Credit Facility and $471.0 million in borrowings outstanding under the Securitization Program, resulting in approximately $1.28 billion of total availability as of December 29, 2018. Availability under the Securitization Program is subject to the Company having sufficient eligible trade accounts receivable to support desired borrowings. The Company currently expects to utilize availability under credit facilities to support working capital and other general corporate purposes to the extent such incremental borrowings do not impact the Company’s investment grade credit rating. During the second quarter and first six months of fiscal 2019, the Company had an average daily balance outstanding of approximately $184.0 million and 91.5 million, respectively, under the Credit Facility and approximately $256.0 million and $161.0 million, respectively, under the Securitization Program. During the second quarter and first six months of fiscal 2018, the Company had an average daily balance outstanding of approximately $0.1 million and $5.3 million, respectively, under the Credit Facility and approximately $225.0 million and $195.0 million, respectively, under the Securitization Program.</w:t>
      </w:r>
    </w:p>
    <w:p>
      <w:pPr>
        <w:spacing w:after="0" w:line="18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generated $299.9 million in cash flows from operating activities over the trailing four fiscal quarters ended December 29, 2018 from continuing operations.</w:t>
      </w:r>
    </w:p>
    <w:p>
      <w:pPr>
        <w:spacing w:after="0" w:line="171"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Liquidity is subject to many factors, such as normal business operations as well as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capital expenditure needs and to support acquisitions, and are currently expected to be permanently reinvested outside the U.S. The Company is still evaluating the impact of repatriating any additional foreign cash as a result of the Act. In addition, local government regulations may restrict the Company’s ability to move funds among various locations under certain circumstances. Management does not believe such restrictions would limit the Company’s ability to pursue its intended business strategy. Management believes that Avnet’s available borrowing capacity including capacity for the non-recourse sale of accounts receivable and the Company’s expected ability to generate operating cash flows in the future will be sufficient to meet its future liquidity needs. The Company also may issue debt or equity securities in the future and management believes the Company will have adequate access to the capital markets, if needed.</w:t>
      </w:r>
    </w:p>
    <w:p>
      <w:pPr>
        <w:spacing w:after="0" w:line="17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Historically the Company has made, and expects to continue to make, strategic investments through acquisition activity to the extent the investments strengthen Avnet’s competitive position, further its business strategies and meet management’s return on capital thresholds. The Company also expects to make capital expenditures, including expenditures for warehouse facilities and information technology related tools and systems. Additionally, as the Company integrates PF, the Company expects to use cash for restructuring, integration and other expenses.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In addition to continuing to make investments in acquisitions, as of December 29, 2018, the Company may repurchase up to an aggregate of $440.1 million of shares of the Company’s common stock through a $2.45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Additionally, the Company currently expects to pay quarterly cash dividends on shares of its common stock, subject to approval of the Board of Directors. During the second quarter of fiscal 2019, the Board of Directors approved a dividend of $0.20 per share, which resulted in $21.8 million of dividend payments during the quarter.</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87"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fiscal year ended June 30, 2018, for further discussion of market risks associated with foreign currency exchange rates and interest rates. Avnet’s exposure to such risks has not changed materially since June 30, 2018, as the Company continues to economically hedge the majority of its foreign currency exchange exposures. Thus, any increase or decrease in fair value of the Company’s forward foreign currency exchange contracts is generally offset by an opposite effect on the related hedged position. For interest rate risk, the Company continues to maintain a combination of fixed and variable rate debt to mitigate the exposure to fluctuation in market interest rates.</w:t>
      </w:r>
    </w:p>
    <w:p>
      <w:pPr>
        <w:spacing w:after="0" w:line="178"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Quarterly Report on Form 10-Q for further discussion of the Company’s financing transactions and capital structure. As of December 29, 2018, 76% of the Company’s debt bears interest at a fixed rate and 24% of the Company’s debt bears interest at variable rates. Therefore, a hypothetical 1.0% (100 basis points) increase in interest rates would result in a $1.2 million decrease in income from continuing operations before income taxes in the Company’s consolidated statement of operations for the second quarter of fiscal 2019.</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as amended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second quarter of fiscal 2019,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a result primarily of certain former manufacturing operations, the Company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and similar state laws, the Company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17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17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6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This Quarterly Report contains forward-looking statements within the meaning of Section 27A of the Securities Act of 1933, as amended (“Securities Act”), and Section 21E of the Exchange Act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June 30, 2018, could affect the Company’s future results of operations, and could cause those results or other outcomes to differ materially from those expressed or implied in the forward-looking statements:</w:t>
      </w:r>
    </w:p>
    <w:p>
      <w:pPr>
        <w:spacing w:after="0" w:line="182"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pressures among distributors of electronic components;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industry down-cycle in semiconductors;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relationships with key suppliers and allocations of products by suppliers;</w:t>
      </w:r>
    </w:p>
    <w:p>
      <w:pPr>
        <w:spacing w:after="0" w:line="225" w:lineRule="exact"/>
        <w:rPr>
          <w:rFonts w:ascii="Arial" w:cs="Arial" w:eastAsia="Arial" w:hAnsi="Arial"/>
          <w:sz w:val="18"/>
          <w:szCs w:val="18"/>
          <w:color w:val="auto"/>
        </w:rPr>
      </w:pPr>
    </w:p>
    <w:p>
      <w:pPr>
        <w:ind w:left="660" w:hanging="333"/>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risks relating to the Company’s international sales and operations, including risks relating to the ability to repatriate cash, foreign currency fluctuations, duties and taxes, and compliance with international and U.S. laws;</w:t>
      </w:r>
    </w:p>
    <w:p>
      <w:pPr>
        <w:spacing w:after="0" w:line="123" w:lineRule="exact"/>
        <w:rPr>
          <w:rFonts w:ascii="Arial" w:cs="Arial" w:eastAsia="Arial" w:hAnsi="Arial"/>
          <w:sz w:val="16"/>
          <w:szCs w:val="16"/>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relating to acquisitions, divestitures and investments;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on the Company’s supply chain, shipping costs, third-party service providers, customers and suppliers, including as a result of issues caused by natural and weather-related disasters;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660" w:right="680"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related to cyber-attacks and the Company’s information systems, including related to current or future implementations;</w:t>
      </w:r>
    </w:p>
    <w:p>
      <w:pPr>
        <w:spacing w:after="0" w:line="170"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and business conditions (domestic, foreign and global) affecting the Company’s operations and financial performance and, indirectly, the Company’s credit ratings, debt covenant compliance, and liquidity and access to financing;</w:t>
      </w:r>
    </w:p>
    <w:p>
      <w:pPr>
        <w:spacing w:after="0" w:line="181" w:lineRule="exact"/>
        <w:rPr>
          <w:rFonts w:ascii="Arial" w:cs="Arial" w:eastAsia="Arial" w:hAnsi="Arial"/>
          <w:sz w:val="18"/>
          <w:szCs w:val="18"/>
          <w:color w:val="auto"/>
        </w:rPr>
      </w:pPr>
    </w:p>
    <w:p>
      <w:pPr>
        <w:jc w:val="both"/>
        <w:ind w:left="660" w:hanging="333"/>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geopolitical events, including the uncertainty caused by the United Kingdom’s planned exit from the European Union commonly referred to as “Brexit.” While the specific terms and impact of Brexit are not yet known, Brexit may adversely impact the United Kingdom and/or the European Union and therefore may adversely impact the Company’s operations and financial condition. The Company is monitoring the Brexit negotiations and developing contingency plans, including changes to its logistics operations and shipment routes and preparing for changes in trade facilitation regulations; and</w:t>
      </w:r>
    </w:p>
    <w:p>
      <w:pPr>
        <w:spacing w:after="0" w:line="193"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legislative or regulatory changes affecting the Company’s businesses.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8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discussion of the Company’s business and operations should be read together with the risk factors contained in Item 1A of its Annual Report on Form 10-K for the fiscal year ended June 30, 2018,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December 29, 2018, there have been no material changes to the risk factors set forth in the Company’s Annual Report on Form 10-K for the fiscal year ended June 30, 2018.</w:t>
      </w:r>
    </w:p>
    <w:p>
      <w:pPr>
        <w:spacing w:after="0" w:line="1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Board of Directors has approved the repurchase of up to $2.45 billion of the Company’s common stock under the Company’s share repurchase program. The following table includes the Company’s monthly purchases of the Company’s common stock during the second quarter of fiscal 2019, under the share repurchase program, which is part of a publicly announced plan.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Total Number of</w:t>
            </w:r>
          </w:p>
        </w:tc>
        <w:tc>
          <w:tcPr>
            <w:tcW w:w="8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Purchased</w:t>
            </w:r>
          </w:p>
        </w:tc>
        <w:tc>
          <w:tcPr>
            <w:tcW w:w="18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Price</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Part of Publicly</w:t>
            </w:r>
          </w:p>
        </w:tc>
        <w:tc>
          <w:tcPr>
            <w:tcW w:w="8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Paid per</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 Plans</w:t>
            </w:r>
          </w:p>
        </w:tc>
        <w:tc>
          <w:tcPr>
            <w:tcW w:w="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Purchased under the</w:t>
            </w:r>
          </w:p>
        </w:tc>
      </w:tr>
      <w:tr>
        <w:trPr>
          <w:trHeight w:val="241"/>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Share</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or Programs</w:t>
            </w:r>
          </w:p>
        </w:tc>
        <w:tc>
          <w:tcPr>
            <w:tcW w:w="80" w:type="dxa"/>
            <w:vAlign w:val="bottom"/>
          </w:tcPr>
          <w:p>
            <w:pPr>
              <w:spacing w:after="0"/>
              <w:rPr>
                <w:sz w:val="20"/>
                <w:szCs w:val="20"/>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Plans or Programs</w:t>
            </w:r>
          </w:p>
        </w:tc>
      </w:tr>
      <w:tr>
        <w:trPr>
          <w:trHeight w:val="216"/>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30 – October 27</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1,791,277</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1,791,277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540,188,000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October 28 – November 24</w:t>
            </w:r>
          </w:p>
        </w:tc>
        <w:tc>
          <w:tcPr>
            <w:tcW w:w="980" w:type="dxa"/>
            <w:vAlign w:val="bottom"/>
          </w:tcPr>
          <w:p>
            <w:pPr>
              <w:jc w:val="right"/>
              <w:spacing w:after="0"/>
              <w:rPr>
                <w:sz w:val="20"/>
                <w:szCs w:val="20"/>
                <w:color w:val="auto"/>
              </w:rPr>
            </w:pPr>
            <w:r>
              <w:rPr>
                <w:rFonts w:ascii="Arial" w:cs="Arial" w:eastAsia="Arial" w:hAnsi="Arial"/>
                <w:sz w:val="18"/>
                <w:szCs w:val="18"/>
                <w:color w:val="auto"/>
              </w:rPr>
              <w:t>2,324,381</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43.04</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2,324,381</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440,141,000</w:t>
            </w:r>
          </w:p>
        </w:tc>
        <w:tc>
          <w:tcPr>
            <w:tcW w:w="4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25 – December 29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440,141,000</w:t>
            </w:r>
          </w:p>
        </w:tc>
        <w:tc>
          <w:tcPr>
            <w:tcW w:w="40" w:type="dxa"/>
            <w:vAlign w:val="bottom"/>
            <w:shd w:val="clear" w:color="auto" w:fill="CCEEFF"/>
          </w:tcPr>
          <w:p>
            <w:pPr>
              <w:spacing w:after="0"/>
              <w:rPr>
                <w:sz w:val="18"/>
                <w:szCs w:val="18"/>
                <w:color w:val="auto"/>
              </w:rPr>
            </w:pPr>
          </w:p>
        </w:tc>
      </w:tr>
      <w:tr>
        <w:trPr>
          <w:trHeight w:val="918"/>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31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3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43"/>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1"/>
                <w:szCs w:val="21"/>
                <w:color w:val="auto"/>
              </w:rPr>
            </w:pPr>
          </w:p>
        </w:tc>
        <w:tc>
          <w:tcPr>
            <w:tcW w:w="76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399"/>
        </w:trPr>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Chief Executive Officer pursuant to Section 302 of the Sarbanes-Oxley Act of 2002.</w:t>
              </w:r>
            </w:hyperlink>
          </w:p>
        </w:tc>
        <w:tc>
          <w:tcPr>
            <w:tcW w:w="420" w:type="dxa"/>
            <w:vAlign w:val="bottom"/>
          </w:tcPr>
          <w:p>
            <w:pPr>
              <w:spacing w:after="0"/>
              <w:rPr>
                <w:sz w:val="24"/>
                <w:szCs w:val="24"/>
                <w:color w:val="auto"/>
              </w:rPr>
            </w:pPr>
          </w:p>
        </w:tc>
      </w:tr>
      <w:tr>
        <w:trPr>
          <w:trHeight w:val="426"/>
        </w:trPr>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Certification of Chief Financial Officer pursuant to Section 302 of the Sarbanes-Oxley Act of 2002.</w:t>
              </w:r>
            </w:hyperlink>
          </w:p>
        </w:tc>
        <w:tc>
          <w:tcPr>
            <w:tcW w:w="460" w:type="dxa"/>
            <w:vAlign w:val="bottom"/>
            <w:gridSpan w:val="2"/>
          </w:tcPr>
          <w:p>
            <w:pPr>
              <w:spacing w:after="0"/>
              <w:rPr>
                <w:sz w:val="24"/>
                <w:szCs w:val="24"/>
                <w:color w:val="auto"/>
              </w:rPr>
            </w:pPr>
          </w:p>
        </w:tc>
      </w:tr>
      <w:tr>
        <w:trPr>
          <w:trHeight w:val="426"/>
        </w:trPr>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Chief Executive Officer pursuant to Section 906 of the Sarbanes-Oxley Act of 2002.</w:t>
              </w:r>
            </w:hyperlink>
          </w:p>
        </w:tc>
        <w:tc>
          <w:tcPr>
            <w:tcW w:w="420" w:type="dxa"/>
            <w:vAlign w:val="bottom"/>
          </w:tcPr>
          <w:p>
            <w:pPr>
              <w:spacing w:after="0"/>
              <w:rPr>
                <w:sz w:val="24"/>
                <w:szCs w:val="24"/>
                <w:color w:val="auto"/>
              </w:rPr>
            </w:pPr>
          </w:p>
        </w:tc>
      </w:tr>
      <w:tr>
        <w:trPr>
          <w:trHeight w:val="426"/>
        </w:trPr>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gridSpan w:val="4"/>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Certification of Chief Financial Officer pursuant to Section 906 of the Sarbanes-Oxley Act of 2002.</w:t>
              </w:r>
            </w:hyperlink>
          </w:p>
        </w:tc>
      </w:tr>
      <w:tr>
        <w:trPr>
          <w:trHeight w:val="46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71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480" w:type="dxa"/>
            <w:vAlign w:val="bottom"/>
            <w:gridSpan w:val="3"/>
          </w:tcPr>
          <w:p>
            <w:pPr>
              <w:spacing w:after="0"/>
              <w:rPr>
                <w:sz w:val="24"/>
                <w:szCs w:val="24"/>
                <w:color w:val="auto"/>
              </w:rPr>
            </w:pP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14408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20" w:hanging="56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620" w:right="60" w:hanging="563"/>
        <w:spacing w:after="0" w:line="254"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2019</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AVNET, INC.</w:t>
      </w:r>
    </w:p>
    <w:p>
      <w:pPr>
        <w:spacing w:after="0" w:line="200" w:lineRule="exact"/>
        <w:rPr>
          <w:sz w:val="20"/>
          <w:szCs w:val="20"/>
          <w:color w:val="auto"/>
        </w:rPr>
      </w:pPr>
    </w:p>
    <w:p>
      <w:pPr>
        <w:spacing w:after="0" w:line="295" w:lineRule="exact"/>
        <w:rPr>
          <w:sz w:val="20"/>
          <w:szCs w:val="20"/>
          <w:color w:val="auto"/>
        </w:rPr>
      </w:pPr>
    </w:p>
    <w:p>
      <w:pPr>
        <w:ind w:left="456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LIGUORI</w:t>
      </w:r>
    </w:p>
    <w:p>
      <w:pPr>
        <w:spacing w:after="0" w:line="5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6327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J. Amelio, certify that:</w:t>
      </w:r>
    </w:p>
    <w:p>
      <w:pPr>
        <w:spacing w:after="0" w:line="117" w:lineRule="exact"/>
        <w:rPr>
          <w:sz w:val="20"/>
          <w:szCs w:val="20"/>
          <w:color w:val="auto"/>
        </w:rPr>
      </w:pPr>
    </w:p>
    <w:p>
      <w:pPr>
        <w:ind w:left="640" w:hanging="325"/>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ind w:left="640" w:right="80" w:hanging="325"/>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40" w:right="40" w:hanging="325"/>
        <w:spacing w:after="0" w:line="342"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640" w:right="80" w:hanging="325"/>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40" w:hanging="320"/>
        <w:spacing w:after="0" w:line="286" w:lineRule="auto"/>
        <w:tabs>
          <w:tab w:leader="none" w:pos="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60" w:right="400" w:hanging="320"/>
        <w:spacing w:after="0" w:line="286" w:lineRule="auto"/>
        <w:tabs>
          <w:tab w:leader="none" w:pos="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960" w:right="40" w:hanging="320"/>
        <w:spacing w:after="0" w:line="264"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960" w:right="180" w:hanging="320"/>
        <w:spacing w:after="0" w:line="286" w:lineRule="auto"/>
        <w:tabs>
          <w:tab w:leader="none" w:pos="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640" w:right="200" w:hanging="325"/>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rFonts w:ascii="Arial" w:cs="Arial" w:eastAsia="Arial" w:hAnsi="Arial"/>
          <w:sz w:val="18"/>
          <w:szCs w:val="18"/>
          <w:color w:val="auto"/>
        </w:rPr>
      </w:pPr>
    </w:p>
    <w:p>
      <w:pPr>
        <w:ind w:left="960" w:right="60" w:hanging="320"/>
        <w:spacing w:after="0" w:line="342"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300" w:hanging="320"/>
        <w:spacing w:after="0" w:line="277"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2019</w:t>
      </w:r>
    </w:p>
    <w:p>
      <w:pPr>
        <w:spacing w:after="0" w:line="2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31750</wp:posOffset>
            </wp:positionV>
            <wp:extent cx="3302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William J. Amelio</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661225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Liguori, certify that:</w:t>
      </w:r>
    </w:p>
    <w:p>
      <w:pPr>
        <w:spacing w:after="0" w:line="117" w:lineRule="exact"/>
        <w:rPr>
          <w:sz w:val="20"/>
          <w:szCs w:val="20"/>
          <w:color w:val="auto"/>
        </w:rPr>
      </w:pPr>
    </w:p>
    <w:p>
      <w:pPr>
        <w:ind w:left="640" w:hanging="32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ind w:left="640" w:right="80" w:hanging="325"/>
        <w:spacing w:after="0" w:line="26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40" w:right="40" w:hanging="325"/>
        <w:spacing w:after="0" w:line="342"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640" w:right="80" w:hanging="325"/>
        <w:spacing w:after="0" w:line="26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40" w:hanging="320"/>
        <w:spacing w:after="0" w:line="286" w:lineRule="auto"/>
        <w:tabs>
          <w:tab w:leader="none" w:pos="9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60" w:right="400" w:hanging="320"/>
        <w:spacing w:after="0" w:line="286" w:lineRule="auto"/>
        <w:tabs>
          <w:tab w:leader="none" w:pos="9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960" w:right="40" w:hanging="320"/>
        <w:spacing w:after="0" w:line="264"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960" w:right="180" w:hanging="320"/>
        <w:spacing w:after="0" w:line="286" w:lineRule="auto"/>
        <w:tabs>
          <w:tab w:leader="none" w:pos="9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640" w:right="200" w:hanging="325"/>
        <w:spacing w:after="0" w:line="26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rFonts w:ascii="Arial" w:cs="Arial" w:eastAsia="Arial" w:hAnsi="Arial"/>
          <w:sz w:val="18"/>
          <w:szCs w:val="18"/>
          <w:color w:val="auto"/>
        </w:rPr>
      </w:pPr>
    </w:p>
    <w:p>
      <w:pPr>
        <w:ind w:left="960" w:right="60" w:hanging="320"/>
        <w:spacing w:after="0" w:line="342" w:lineRule="auto"/>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300" w:hanging="320"/>
        <w:spacing w:after="0" w:line="277"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2019</w:t>
      </w:r>
    </w:p>
    <w:p>
      <w:pPr>
        <w:spacing w:after="0" w:line="23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THOMAS LIGUORI</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-130810</wp:posOffset>
            </wp:positionV>
            <wp:extent cx="32588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511810</wp:posOffset>
            </wp:positionV>
            <wp:extent cx="661225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Quarterly Report on Form 10-Q for the period ended December 29, 2018 (the “Report”), I, William J.</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Amelio, Chief Executive Officer of Avnet, Inc. (the “Company”) hereby certify that:</w:t>
      </w:r>
    </w:p>
    <w:p>
      <w:pPr>
        <w:spacing w:after="0" w:line="103" w:lineRule="exact"/>
        <w:rPr>
          <w:sz w:val="20"/>
          <w:szCs w:val="20"/>
          <w:color w:val="auto"/>
        </w:rPr>
      </w:pPr>
    </w:p>
    <w:p>
      <w:pPr>
        <w:ind w:left="660" w:right="20" w:hanging="333"/>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2019</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14605</wp:posOffset>
            </wp:positionV>
            <wp:extent cx="2838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William J. Amelio</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December 29, 2018 (the “Report”), I, Thomas Liguori, Chief Financial Officer of Avnet, Inc. (the “Company”) hereby certify that:</w:t>
      </w:r>
    </w:p>
    <w:p>
      <w:pPr>
        <w:spacing w:after="0" w:line="62" w:lineRule="exact"/>
        <w:rPr>
          <w:sz w:val="20"/>
          <w:szCs w:val="20"/>
          <w:color w:val="auto"/>
        </w:rPr>
      </w:pPr>
    </w:p>
    <w:p>
      <w:pPr>
        <w:ind w:left="660" w:right="20" w:hanging="33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2019</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14605</wp:posOffset>
            </wp:positionV>
            <wp:extent cx="28473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Thomas Liguori</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3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4"/>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0"/>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2019-12-28T17:08:49Z</dcterms:created>
  <dcterms:modified xsi:type="dcterms:W3CDTF">2019-12-28T17:08:49Z</dcterms:modified>
</cp:coreProperties>
</file>