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106045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ind w:left="500" w:hanging="405"/>
        <w:spacing w:after="0" w:line="190" w:lineRule="auto"/>
        <w:tabs>
          <w:tab w:leader="none" w:pos="50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July 1, 2023</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6" w:lineRule="exact"/>
        <w:rPr>
          <w:sz w:val="24"/>
          <w:szCs w:val="24"/>
          <w:color w:val="auto"/>
        </w:rPr>
      </w:pPr>
    </w:p>
    <w:p>
      <w:pPr>
        <w:ind w:left="500" w:hanging="398"/>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20" w:type="dxa"/>
            <w:vAlign w:val="bottom"/>
            <w:gridSpan w:val="3"/>
          </w:tcPr>
          <w:p>
            <w:pPr>
              <w:ind w:left="320"/>
              <w:spacing w:after="0"/>
              <w:rPr>
                <w:sz w:val="20"/>
                <w:szCs w:val="20"/>
                <w:color w:val="auto"/>
              </w:rPr>
            </w:pPr>
            <w:r>
              <w:rPr>
                <w:rFonts w:ascii="Arial" w:cs="Arial" w:eastAsia="Arial" w:hAnsi="Arial"/>
                <w:sz w:val="14"/>
                <w:szCs w:val="14"/>
                <w:b w:val="1"/>
                <w:bCs w:val="1"/>
                <w:color w:val="auto"/>
                <w:w w:val="95"/>
              </w:rPr>
              <w:t>For the transition period from</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40" w:type="dxa"/>
            <w:vAlign w:val="bottom"/>
            <w:gridSpan w:val="7"/>
          </w:tcPr>
          <w:p>
            <w:pPr>
              <w:jc w:val="center"/>
              <w:ind w:right="3688"/>
              <w:spacing w:after="0"/>
              <w:rPr>
                <w:sz w:val="20"/>
                <w:szCs w:val="20"/>
                <w:color w:val="auto"/>
              </w:rPr>
            </w:pPr>
            <w:r>
              <w:rPr>
                <w:rFonts w:ascii="Arial" w:cs="Arial" w:eastAsia="Arial" w:hAnsi="Arial"/>
                <w:sz w:val="14"/>
                <w:szCs w:val="14"/>
                <w:b w:val="1"/>
                <w:bCs w:val="1"/>
                <w:color w:val="auto"/>
                <w:w w:val="92"/>
              </w:rPr>
              <w:t>Commission file number 1-4224</w:t>
            </w:r>
          </w:p>
        </w:tc>
        <w:tc>
          <w:tcPr>
            <w:tcW w:w="0" w:type="dxa"/>
            <w:vAlign w:val="bottom"/>
          </w:tcPr>
          <w:p>
            <w:pPr>
              <w:spacing w:after="0"/>
              <w:rPr>
                <w:sz w:val="1"/>
                <w:szCs w:val="1"/>
                <w:color w:val="auto"/>
              </w:rPr>
            </w:pPr>
          </w:p>
        </w:tc>
      </w:tr>
      <w:tr>
        <w:trPr>
          <w:trHeight w:val="301"/>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left="595"/>
              <w:spacing w:after="0"/>
              <w:rPr>
                <w:sz w:val="20"/>
                <w:szCs w:val="20"/>
                <w:color w:val="auto"/>
              </w:rPr>
            </w:pPr>
            <w:r>
              <w:rPr>
                <w:rFonts w:ascii="Arial" w:cs="Arial" w:eastAsia="Arial" w:hAnsi="Arial"/>
                <w:sz w:val="25"/>
                <w:szCs w:val="25"/>
                <w:b w:val="1"/>
                <w:bCs w:val="1"/>
                <w:color w:val="auto"/>
                <w:w w:val="91"/>
              </w:rPr>
              <w:t>Avnet,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20" w:type="dxa"/>
            <w:vAlign w:val="bottom"/>
            <w:gridSpan w:val="8"/>
          </w:tcPr>
          <w:p>
            <w:pPr>
              <w:jc w:val="center"/>
              <w:ind w:right="350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196"/>
        </w:trPr>
        <w:tc>
          <w:tcPr>
            <w:tcW w:w="3040" w:type="dxa"/>
            <w:vAlign w:val="bottom"/>
          </w:tcPr>
          <w:p>
            <w:pPr>
              <w:jc w:val="center"/>
              <w:ind w:left="1868"/>
              <w:spacing w:after="0"/>
              <w:rPr>
                <w:sz w:val="20"/>
                <w:szCs w:val="20"/>
                <w:color w:val="auto"/>
              </w:rPr>
            </w:pPr>
            <w:r>
              <w:rPr>
                <w:rFonts w:ascii="Arial" w:cs="Arial" w:eastAsia="Arial" w:hAnsi="Arial"/>
                <w:sz w:val="14"/>
                <w:szCs w:val="14"/>
                <w:b w:val="1"/>
                <w:bCs w:val="1"/>
                <w:color w:val="auto"/>
                <w:w w:val="97"/>
              </w:rPr>
              <w:t>New York</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40" w:type="dxa"/>
            <w:vAlign w:val="bottom"/>
            <w:gridSpan w:val="5"/>
          </w:tcPr>
          <w:p>
            <w:pPr>
              <w:jc w:val="right"/>
              <w:ind w:right="2048"/>
              <w:spacing w:after="0"/>
              <w:rPr>
                <w:sz w:val="20"/>
                <w:szCs w:val="20"/>
                <w:color w:val="auto"/>
              </w:rPr>
            </w:pPr>
            <w:r>
              <w:rPr>
                <w:rFonts w:ascii="Arial" w:cs="Arial" w:eastAsia="Arial" w:hAnsi="Arial"/>
                <w:sz w:val="14"/>
                <w:szCs w:val="14"/>
                <w:b w:val="1"/>
                <w:bCs w:val="1"/>
                <w:color w:val="auto"/>
              </w:rPr>
              <w:t>11-1890605</w:t>
            </w: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2"/>
          </w:tcPr>
          <w:p>
            <w:pPr>
              <w:ind w:left="540"/>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246"/>
        </w:trPr>
        <w:tc>
          <w:tcPr>
            <w:tcW w:w="57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1"/>
              </w:rPr>
              <w:t>2211 South 47th Street,</w:t>
            </w:r>
          </w:p>
        </w:tc>
        <w:tc>
          <w:tcPr>
            <w:tcW w:w="4440" w:type="dxa"/>
            <w:vAlign w:val="bottom"/>
            <w:gridSpan w:val="5"/>
            <w:vMerge w:val="restart"/>
          </w:tcPr>
          <w:p>
            <w:pPr>
              <w:jc w:val="right"/>
              <w:ind w:right="2208"/>
              <w:spacing w:after="0"/>
              <w:rPr>
                <w:sz w:val="20"/>
                <w:szCs w:val="20"/>
                <w:color w:val="auto"/>
              </w:rPr>
            </w:pPr>
            <w:r>
              <w:rPr>
                <w:rFonts w:ascii="Arial" w:cs="Arial" w:eastAsia="Arial" w:hAnsi="Arial"/>
                <w:sz w:val="14"/>
                <w:szCs w:val="14"/>
                <w:b w:val="1"/>
                <w:bCs w:val="1"/>
                <w:color w:val="auto"/>
              </w:rPr>
              <w:t>85034</w:t>
            </w:r>
          </w:p>
        </w:tc>
        <w:tc>
          <w:tcPr>
            <w:tcW w:w="0" w:type="dxa"/>
            <w:vAlign w:val="bottom"/>
          </w:tcPr>
          <w:p>
            <w:pPr>
              <w:spacing w:after="0"/>
              <w:rPr>
                <w:sz w:val="1"/>
                <w:szCs w:val="1"/>
                <w:color w:val="auto"/>
              </w:rPr>
            </w:pPr>
          </w:p>
        </w:tc>
      </w:tr>
      <w:tr>
        <w:trPr>
          <w:trHeight w:val="153"/>
        </w:trPr>
        <w:tc>
          <w:tcPr>
            <w:tcW w:w="3040" w:type="dxa"/>
            <w:vAlign w:val="bottom"/>
          </w:tcPr>
          <w:p>
            <w:pPr>
              <w:jc w:val="center"/>
              <w:ind w:left="1868"/>
              <w:spacing w:after="0" w:line="153" w:lineRule="exact"/>
              <w:rPr>
                <w:sz w:val="20"/>
                <w:szCs w:val="20"/>
                <w:color w:val="auto"/>
              </w:rPr>
            </w:pPr>
            <w:r>
              <w:rPr>
                <w:rFonts w:ascii="Arial" w:cs="Arial" w:eastAsia="Arial" w:hAnsi="Arial"/>
                <w:sz w:val="14"/>
                <w:szCs w:val="14"/>
                <w:b w:val="1"/>
                <w:bCs w:val="1"/>
                <w:color w:val="auto"/>
                <w:w w:val="93"/>
              </w:rPr>
              <w:t>Phoenix, Arizona</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2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ind w:left="56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Registrant’s telephone number, including area code (480) 643-2000</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242"/>
        </w:trPr>
        <w:tc>
          <w:tcPr>
            <w:tcW w:w="30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3"/>
              </w:rPr>
              <w:t>Title of Each Class</w:t>
            </w:r>
          </w:p>
        </w:tc>
        <w:tc>
          <w:tcPr>
            <w:tcW w:w="5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3040" w:type="dxa"/>
            <w:vAlign w:val="bottom"/>
          </w:tcPr>
          <w:p>
            <w:pPr>
              <w:jc w:val="center"/>
              <w:ind w:left="488"/>
              <w:spacing w:after="0"/>
              <w:rPr>
                <w:sz w:val="20"/>
                <w:szCs w:val="20"/>
                <w:color w:val="auto"/>
              </w:rPr>
            </w:pPr>
            <w:r>
              <w:rPr>
                <w:rFonts w:ascii="Arial" w:cs="Arial" w:eastAsia="Arial" w:hAnsi="Arial"/>
                <w:sz w:val="14"/>
                <w:szCs w:val="14"/>
                <w:color w:val="auto"/>
                <w:w w:val="92"/>
              </w:rPr>
              <w:t>Common stock, par value $1.00 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rPr>
              <w:t>AVT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jc w:val="center"/>
              <w:ind w:right="728"/>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5"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None</w:t>
      </w:r>
    </w:p>
    <w:p>
      <w:pPr>
        <w:spacing w:after="0" w:line="53"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7" w:lineRule="exact"/>
        <w:rPr>
          <w:sz w:val="24"/>
          <w:szCs w:val="24"/>
          <w:color w:val="auto"/>
        </w:rPr>
      </w:pPr>
    </w:p>
    <w:p>
      <w:pPr>
        <w:jc w:val="both"/>
        <w:ind w:left="20" w:right="20" w:firstLine="432"/>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jc w:val="both"/>
        <w:ind w:left="20" w:right="20" w:firstLine="432"/>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1" w:lineRule="exact"/>
        <w:rPr>
          <w:sz w:val="24"/>
          <w:szCs w:val="24"/>
          <w:color w:val="auto"/>
        </w:rPr>
      </w:pPr>
    </w:p>
    <w:p>
      <w:pPr>
        <w:jc w:val="both"/>
        <w:ind w:left="20" w:firstLine="432"/>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p>
      <w:pPr>
        <w:ind w:left="20"/>
        <w:spacing w:after="0" w:line="150" w:lineRule="exact"/>
        <w:tabs>
          <w:tab w:leader="none" w:pos="1840" w:val="left"/>
          <w:tab w:leader="none" w:pos="3740" w:val="left"/>
          <w:tab w:leader="none" w:pos="5840" w:val="left"/>
          <w:tab w:leader="none" w:pos="82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108" w:lineRule="exact"/>
        <w:rPr>
          <w:sz w:val="24"/>
          <w:szCs w:val="24"/>
          <w:color w:val="auto"/>
        </w:rPr>
      </w:pPr>
    </w:p>
    <w:p>
      <w:pPr>
        <w:jc w:val="both"/>
        <w:ind w:left="20" w:firstLine="427"/>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73" w:lineRule="exact"/>
        <w:rPr>
          <w:sz w:val="24"/>
          <w:szCs w:val="24"/>
          <w:color w:val="auto"/>
        </w:rPr>
      </w:pPr>
    </w:p>
    <w:p>
      <w:pPr>
        <w:jc w:val="both"/>
        <w:ind w:left="20" w:firstLine="427"/>
        <w:spacing w:after="0" w:line="21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9" w:lineRule="exact"/>
        <w:rPr>
          <w:sz w:val="24"/>
          <w:szCs w:val="24"/>
          <w:color w:val="auto"/>
        </w:rPr>
      </w:pPr>
    </w:p>
    <w:p>
      <w:pPr>
        <w:jc w:val="both"/>
        <w:ind w:left="20" w:firstLine="427"/>
        <w:spacing w:after="0" w:line="20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73" w:lineRule="exact"/>
        <w:rPr>
          <w:sz w:val="24"/>
          <w:szCs w:val="24"/>
          <w:color w:val="auto"/>
        </w:rPr>
      </w:pPr>
    </w:p>
    <w:p>
      <w:pPr>
        <w:jc w:val="both"/>
        <w:ind w:left="20" w:firstLine="427"/>
        <w:spacing w:after="0" w:line="194" w:lineRule="exact"/>
        <w:rPr>
          <w:sz w:val="20"/>
          <w:szCs w:val="20"/>
          <w:color w:val="auto"/>
        </w:rPr>
      </w:pPr>
      <w:r>
        <w:rPr>
          <w:rFonts w:ascii="Arial" w:cs="Arial" w:eastAsia="Arial" w:hAnsi="Arial"/>
          <w:sz w:val="14"/>
          <w:szCs w:val="14"/>
          <w:color w:val="auto"/>
        </w:rPr>
        <w:t>Indicate by check mark whether any of those error corrections are restatements that require a recovery analysis of incentive-based compensation received by any of the registrant’s executive officers during the relevant recovery period pursuant to Section 240.10D-1(b)</w:t>
      </w:r>
      <w:r>
        <w:rPr>
          <w:rFonts w:ascii="Arial" w:cs="Arial" w:eastAsia="Arial" w:hAnsi="Arial"/>
          <w:sz w:val="12"/>
          <w:szCs w:val="12"/>
          <w:color w:val="auto"/>
        </w:rPr>
        <w:t>.</w:t>
      </w:r>
      <w:r>
        <w:rPr>
          <w:rFonts w:ascii="Arial" w:cs="Arial" w:eastAsia="Arial" w:hAnsi="Arial"/>
          <w:sz w:val="14"/>
          <w:szCs w:val="14"/>
          <w:color w:val="auto"/>
        </w:rPr>
        <w:t xml:space="preserve"> </w:t>
      </w:r>
      <w:r>
        <w:rPr>
          <w:rFonts w:ascii="MS PGothic" w:cs="MS PGothic" w:eastAsia="MS PGothic" w:hAnsi="MS PGothic"/>
          <w:sz w:val="12"/>
          <w:szCs w:val="12"/>
          <w:color w:val="auto"/>
        </w:rPr>
        <w:t>☐</w:t>
      </w:r>
    </w:p>
    <w:p>
      <w:pPr>
        <w:spacing w:after="0" w:line="37"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1" w:lineRule="exact"/>
        <w:rPr>
          <w:sz w:val="24"/>
          <w:szCs w:val="24"/>
          <w:color w:val="auto"/>
        </w:rPr>
      </w:pPr>
    </w:p>
    <w:p>
      <w:pPr>
        <w:jc w:val="both"/>
        <w:ind w:left="20" w:firstLine="427"/>
        <w:spacing w:after="0" w:line="238" w:lineRule="auto"/>
        <w:rPr>
          <w:sz w:val="20"/>
          <w:szCs w:val="20"/>
          <w:color w:val="auto"/>
        </w:rPr>
      </w:pPr>
      <w:r>
        <w:rPr>
          <w:rFonts w:ascii="Arial" w:cs="Arial" w:eastAsia="Arial" w:hAnsi="Arial"/>
          <w:sz w:val="14"/>
          <w:szCs w:val="14"/>
          <w:color w:val="auto"/>
        </w:rPr>
        <w:t>The aggregate market value (approximate) of the registrant’s common equity held by non-affiliates based on the closing price of a share of the registrant’s common stock for Nasdaq Global Select Market composite transactions on December 30, 2022 (the last business day of the registrant’s most recently completed second fiscal quarter) was $3,746,669,975.</w:t>
      </w:r>
    </w:p>
    <w:p>
      <w:pPr>
        <w:spacing w:after="0" w:line="34"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August 11, 2023, the total number of shares outstanding of the registrant’s Common Stock was 91,491,188 shares, net of treasury shares.</w:t>
      </w:r>
    </w:p>
    <w:p>
      <w:pPr>
        <w:spacing w:after="0" w:line="9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49530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80" w:lineRule="exact"/>
        <w:rPr>
          <w:sz w:val="24"/>
          <w:szCs w:val="24"/>
          <w:color w:val="auto"/>
        </w:rPr>
      </w:pPr>
    </w:p>
    <w:p>
      <w:pPr>
        <w:ind w:left="60"/>
        <w:spacing w:after="0"/>
        <w:rPr>
          <w:sz w:val="20"/>
          <w:szCs w:val="20"/>
          <w:color w:val="auto"/>
        </w:rPr>
      </w:pPr>
      <w:r>
        <w:rPr>
          <w:rFonts w:ascii="Arial" w:cs="Arial" w:eastAsia="Arial" w:hAnsi="Arial"/>
          <w:sz w:val="13"/>
          <w:szCs w:val="13"/>
          <w:color w:val="auto"/>
        </w:rPr>
        <w:t>Portions of the registrant’s definitive proxy statement (to be filed pursuant to Reg. 14A) relating to the Annual Meeting of Shareholders anticipated to be held on November 16,</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2023,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656590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80" w:type="dxa"/>
            <w:vAlign w:val="bottom"/>
            <w:gridSpan w:val="18"/>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2"/>
            <w:vMerge w:val="restart"/>
          </w:tcPr>
          <w:p>
            <w:pPr>
              <w:jc w:val="center"/>
              <w:ind w:right="3800"/>
              <w:spacing w:after="0"/>
              <w:rPr>
                <w:sz w:val="20"/>
                <w:szCs w:val="20"/>
                <w:color w:val="auto"/>
              </w:rPr>
            </w:pPr>
            <w:r>
              <w:rPr>
                <w:rFonts w:ascii="Arial" w:cs="Arial" w:eastAsia="Arial" w:hAnsi="Arial"/>
                <w:sz w:val="17"/>
                <w:szCs w:val="17"/>
                <w:b w:val="1"/>
                <w:bCs w:val="1"/>
                <w:color w:val="0000EE"/>
              </w:rPr>
              <w:t>PART I</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3"/>
              </w:rPr>
              <w:t>Page</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gridSpan w:val="12"/>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114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89"/>
              </w:rPr>
              <w:t>Item 1. Business</w:t>
            </w:r>
          </w:p>
        </w:tc>
        <w:tc>
          <w:tcPr>
            <w:tcW w:w="3020" w:type="dxa"/>
            <w:vAlign w:val="bottom"/>
            <w:gridSpan w:val="17"/>
          </w:tcPr>
          <w:p>
            <w:pPr>
              <w:spacing w:after="0"/>
              <w:rPr>
                <w:sz w:val="24"/>
                <w:szCs w:val="24"/>
                <w:color w:val="auto"/>
              </w:rPr>
            </w:pPr>
          </w:p>
        </w:tc>
        <w:tc>
          <w:tcPr>
            <w:tcW w:w="560" w:type="dxa"/>
            <w:vAlign w:val="bottom"/>
            <w:tcBorders>
              <w:top w:val="single" w:sz="8" w:color="0000EE"/>
            </w:tcBorders>
            <w:gridSpan w:val="2"/>
          </w:tcPr>
          <w:p>
            <w:pPr>
              <w:spacing w:after="0"/>
              <w:rPr>
                <w:sz w:val="24"/>
                <w:szCs w:val="24"/>
                <w:color w:val="auto"/>
              </w:rPr>
            </w:pPr>
          </w:p>
        </w:tc>
        <w:tc>
          <w:tcPr>
            <w:tcW w:w="380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1A. Risk Factors</w:t>
            </w:r>
          </w:p>
        </w:tc>
        <w:tc>
          <w:tcPr>
            <w:tcW w:w="3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8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w w:val="91"/>
              </w:rPr>
              <w:t>Item 1B. Unresolved Staff Comments</w:t>
            </w:r>
          </w:p>
        </w:tc>
        <w:tc>
          <w:tcPr>
            <w:tcW w:w="594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85"/>
        </w:trPr>
        <w:tc>
          <w:tcPr>
            <w:tcW w:w="122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89"/>
              </w:rPr>
              <w:t>Item 2. Properties</w:t>
            </w:r>
          </w:p>
        </w:tc>
        <w:tc>
          <w:tcPr>
            <w:tcW w:w="7300" w:type="dxa"/>
            <w:vAlign w:val="bottom"/>
            <w:gridSpan w:val="2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3. Legal Proceedings</w:t>
            </w: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4. Mine Safety Disclosures</w:t>
            </w: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4"/>
          </w:tcPr>
          <w:p>
            <w:pPr>
              <w:jc w:val="center"/>
              <w:spacing w:after="0"/>
              <w:rPr>
                <w:sz w:val="20"/>
                <w:szCs w:val="20"/>
                <w:color w:val="auto"/>
              </w:rPr>
            </w:pPr>
            <w:r>
              <w:rPr>
                <w:rFonts w:ascii="Arial" w:cs="Arial" w:eastAsia="Arial" w:hAnsi="Arial"/>
                <w:sz w:val="17"/>
                <w:szCs w:val="17"/>
                <w:b w:val="1"/>
                <w:bCs w:val="1"/>
                <w:color w:val="0000EE"/>
              </w:rPr>
              <w:t>PART II</w:t>
            </w:r>
          </w:p>
        </w:tc>
        <w:tc>
          <w:tcPr>
            <w:tcW w:w="376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w w:val="94"/>
              </w:rPr>
              <w:t>Item 5. Market for Registrant’s Common Equity, Related Stockholder Matters and Issuer Purchases of Equity Securities</w:t>
            </w: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0"/>
              </w:rPr>
              <w:t>Item 6. [Reserved]</w:t>
            </w:r>
          </w:p>
        </w:tc>
        <w:tc>
          <w:tcPr>
            <w:tcW w:w="6900" w:type="dxa"/>
            <w:vAlign w:val="bottom"/>
            <w:tcBorders>
              <w:top w:val="single" w:sz="8" w:color="0000EE"/>
            </w:tcBorders>
            <w:gridSpan w:val="26"/>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85"/>
        </w:trPr>
        <w:tc>
          <w:tcPr>
            <w:tcW w:w="666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color w:val="0000EE"/>
                <w:w w:val="91"/>
              </w:rPr>
              <w:t>Item 7. Management’s Discussion and Analysis of Financial Condition and Results of Operations</w:t>
            </w:r>
          </w:p>
        </w:tc>
        <w:tc>
          <w:tcPr>
            <w:tcW w:w="18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7A. Quantitative and Qualitative Disclosures About Market Risk</w:t>
            </w: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85"/>
        </w:trPr>
        <w:tc>
          <w:tcPr>
            <w:tcW w:w="4780" w:type="dxa"/>
            <w:vAlign w:val="bottom"/>
            <w:tcBorders>
              <w:top w:val="single" w:sz="8" w:color="0000EE"/>
            </w:tcBorders>
            <w:gridSpan w:val="23"/>
          </w:tcPr>
          <w:p>
            <w:pPr>
              <w:spacing w:after="0"/>
              <w:rPr>
                <w:sz w:val="20"/>
                <w:szCs w:val="20"/>
                <w:color w:val="auto"/>
              </w:rPr>
            </w:pPr>
            <w:r>
              <w:rPr>
                <w:rFonts w:ascii="Arial" w:cs="Arial" w:eastAsia="Arial" w:hAnsi="Arial"/>
                <w:sz w:val="17"/>
                <w:szCs w:val="17"/>
                <w:color w:val="0000EE"/>
              </w:rPr>
              <w:t>Item 8. Financial Statements and Supplementary Data</w:t>
            </w: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80" w:type="dxa"/>
            <w:vAlign w:val="bottom"/>
            <w:tcBorders>
              <w:bottom w:val="single" w:sz="8" w:color="0000EE"/>
            </w:tcBorders>
            <w:gridSpan w:val="28"/>
          </w:tcPr>
          <w:p>
            <w:pPr>
              <w:spacing w:after="0"/>
              <w:rPr>
                <w:sz w:val="20"/>
                <w:szCs w:val="20"/>
                <w:color w:val="auto"/>
              </w:rPr>
            </w:pPr>
            <w:r>
              <w:rPr>
                <w:rFonts w:ascii="Arial" w:cs="Arial" w:eastAsia="Arial" w:hAnsi="Arial"/>
                <w:sz w:val="17"/>
                <w:szCs w:val="17"/>
                <w:color w:val="0000EE"/>
                <w:w w:val="91"/>
              </w:rPr>
              <w:t>Item 9. Changes in and Disagreements with Accountants on Accounting and Financial Disclosure</w:t>
            </w:r>
          </w:p>
        </w:tc>
        <w:tc>
          <w:tcPr>
            <w:tcW w:w="18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85"/>
        </w:trPr>
        <w:tc>
          <w:tcPr>
            <w:tcW w:w="234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0"/>
              </w:rPr>
              <w:t>Item 9A. Controls and Procedures</w:t>
            </w:r>
          </w:p>
        </w:tc>
        <w:tc>
          <w:tcPr>
            <w:tcW w:w="618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9B. Other Information</w:t>
            </w: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9C. Disclosure Regarding Foreign Jurisdictions that Prevent Inspections</w:t>
            </w:r>
          </w:p>
        </w:tc>
        <w:tc>
          <w:tcPr>
            <w:tcW w:w="3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00" w:type="dxa"/>
            <w:vAlign w:val="bottom"/>
            <w:tcBorders>
              <w:top w:val="single" w:sz="8" w:color="0000EE"/>
              <w:bottom w:val="single" w:sz="8" w:color="0000EE"/>
            </w:tcBorders>
            <w:gridSpan w:val="8"/>
          </w:tcPr>
          <w:p>
            <w:pPr>
              <w:jc w:val="center"/>
              <w:ind w:right="20"/>
              <w:spacing w:after="0"/>
              <w:rPr>
                <w:sz w:val="20"/>
                <w:szCs w:val="20"/>
                <w:color w:val="auto"/>
              </w:rPr>
            </w:pPr>
            <w:r>
              <w:rPr>
                <w:rFonts w:ascii="Arial" w:cs="Arial" w:eastAsia="Arial" w:hAnsi="Arial"/>
                <w:sz w:val="17"/>
                <w:szCs w:val="17"/>
                <w:b w:val="1"/>
                <w:bCs w:val="1"/>
                <w:color w:val="0000EE"/>
              </w:rPr>
              <w:t>PART III</w:t>
            </w:r>
          </w:p>
        </w:tc>
        <w:tc>
          <w:tcPr>
            <w:tcW w:w="480" w:type="dxa"/>
            <w:vAlign w:val="bottom"/>
            <w:tcBorders>
              <w:top w:val="single" w:sz="8" w:color="0000EE"/>
            </w:tcBorders>
          </w:tcPr>
          <w:p>
            <w:pPr>
              <w:spacing w:after="0"/>
              <w:rPr>
                <w:sz w:val="24"/>
                <w:szCs w:val="24"/>
                <w:color w:val="auto"/>
              </w:rPr>
            </w:pPr>
          </w:p>
        </w:tc>
        <w:tc>
          <w:tcPr>
            <w:tcW w:w="324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500" w:type="dxa"/>
            <w:vAlign w:val="bottom"/>
            <w:tcBorders>
              <w:bottom w:val="single" w:sz="8" w:color="0000EE"/>
            </w:tcBorders>
            <w:gridSpan w:val="20"/>
          </w:tcPr>
          <w:p>
            <w:pPr>
              <w:spacing w:after="0"/>
              <w:rPr>
                <w:sz w:val="20"/>
                <w:szCs w:val="20"/>
                <w:color w:val="auto"/>
              </w:rPr>
            </w:pPr>
            <w:r>
              <w:rPr>
                <w:rFonts w:ascii="Arial" w:cs="Arial" w:eastAsia="Arial" w:hAnsi="Arial"/>
                <w:sz w:val="17"/>
                <w:szCs w:val="17"/>
                <w:color w:val="0000EE"/>
                <w:w w:val="91"/>
              </w:rPr>
              <w:t>Item 10. Directors, Executive Officers and Corporate Governance</w:t>
            </w:r>
          </w:p>
        </w:tc>
        <w:tc>
          <w:tcPr>
            <w:tcW w:w="40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85"/>
        </w:trPr>
        <w:tc>
          <w:tcPr>
            <w:tcW w:w="232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0"/>
              </w:rPr>
              <w:t>Item 11. Executive Compensation</w:t>
            </w:r>
          </w:p>
        </w:tc>
        <w:tc>
          <w:tcPr>
            <w:tcW w:w="620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85"/>
        </w:trPr>
        <w:tc>
          <w:tcPr>
            <w:tcW w:w="7540" w:type="dxa"/>
            <w:vAlign w:val="bottom"/>
            <w:tcBorders>
              <w:bottom w:val="single" w:sz="8" w:color="0000EE"/>
            </w:tcBorders>
            <w:gridSpan w:val="29"/>
          </w:tcPr>
          <w:p>
            <w:pPr>
              <w:spacing w:after="0"/>
              <w:rPr>
                <w:sz w:val="20"/>
                <w:szCs w:val="20"/>
                <w:color w:val="auto"/>
              </w:rPr>
            </w:pPr>
            <w:r>
              <w:rPr>
                <w:rFonts w:ascii="Arial" w:cs="Arial" w:eastAsia="Arial" w:hAnsi="Arial"/>
                <w:sz w:val="17"/>
                <w:szCs w:val="17"/>
                <w:color w:val="0000EE"/>
                <w:w w:val="91"/>
              </w:rPr>
              <w:t>Item 12. Security Ownership of Certain Beneficial Owners and Management and Related Stockholder Matters</w:t>
            </w:r>
          </w:p>
        </w:tc>
        <w:tc>
          <w:tcPr>
            <w:tcW w:w="9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13. Certain Relationships and Related Transactions, and Director Independence</w:t>
            </w:r>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85"/>
        </w:trPr>
        <w:tc>
          <w:tcPr>
            <w:tcW w:w="5780" w:type="dxa"/>
            <w:vAlign w:val="bottom"/>
            <w:tcBorders>
              <w:top w:val="single" w:sz="8" w:color="0000EE"/>
            </w:tcBorders>
            <w:gridSpan w:val="26"/>
          </w:tcPr>
          <w:p>
            <w:pPr>
              <w:spacing w:after="0"/>
              <w:rPr>
                <w:sz w:val="20"/>
                <w:szCs w:val="20"/>
                <w:color w:val="auto"/>
              </w:rPr>
            </w:pPr>
            <w:r>
              <w:rPr>
                <w:rFonts w:ascii="Arial" w:cs="Arial" w:eastAsia="Arial" w:hAnsi="Arial"/>
                <w:sz w:val="17"/>
                <w:szCs w:val="17"/>
                <w:color w:val="0000EE"/>
              </w:rPr>
              <w:t>Item 14. Principal Accounting Fees and Services</w:t>
            </w:r>
          </w:p>
        </w:tc>
        <w:tc>
          <w:tcPr>
            <w:tcW w:w="27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4"/>
          </w:tcPr>
          <w:p>
            <w:pPr>
              <w:jc w:val="center"/>
              <w:ind w:right="3740"/>
              <w:spacing w:after="0"/>
              <w:rPr>
                <w:sz w:val="20"/>
                <w:szCs w:val="20"/>
                <w:color w:val="auto"/>
              </w:rPr>
            </w:pPr>
            <w:r>
              <w:rPr>
                <w:rFonts w:ascii="Arial" w:cs="Arial" w:eastAsia="Arial" w:hAnsi="Arial"/>
                <w:sz w:val="17"/>
                <w:szCs w:val="17"/>
                <w:b w:val="1"/>
                <w:bCs w:val="1"/>
                <w:color w:val="0000EE"/>
                <w:w w:val="98"/>
              </w:rPr>
              <w:t>PART IV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120" w:type="dxa"/>
            <w:vAlign w:val="bottom"/>
            <w:gridSpan w:val="17"/>
          </w:tcPr>
          <w:p>
            <w:pPr>
              <w:spacing w:after="0"/>
              <w:rPr>
                <w:sz w:val="20"/>
                <w:szCs w:val="20"/>
                <w:color w:val="auto"/>
              </w:rPr>
            </w:pPr>
            <w:r>
              <w:rPr>
                <w:rFonts w:ascii="Arial" w:cs="Arial" w:eastAsia="Arial" w:hAnsi="Arial"/>
                <w:sz w:val="17"/>
                <w:szCs w:val="17"/>
                <w:color w:val="0000EE"/>
              </w:rPr>
              <w:t>Item 15. Exhibits and Financial Statement Schedules</w:t>
            </w:r>
          </w:p>
        </w:tc>
        <w:tc>
          <w:tcPr>
            <w:tcW w:w="660" w:type="dxa"/>
            <w:vAlign w:val="bottom"/>
            <w:tcBorders>
              <w:top w:val="single" w:sz="8" w:color="0000EE"/>
            </w:tcBorders>
            <w:gridSpan w:val="6"/>
          </w:tcPr>
          <w:p>
            <w:pPr>
              <w:spacing w:after="0"/>
              <w:rPr>
                <w:sz w:val="24"/>
                <w:szCs w:val="24"/>
                <w:color w:val="auto"/>
              </w:rPr>
            </w:pP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1"/>
              </w:rPr>
              <w:t>Item 16. Form 10-K Summary</w:t>
            </w:r>
          </w:p>
        </w:tc>
        <w:tc>
          <w:tcPr>
            <w:tcW w:w="1520" w:type="dxa"/>
            <w:vAlign w:val="bottom"/>
            <w:tcBorders>
              <w:top w:val="single" w:sz="8" w:color="0000EE"/>
            </w:tcBorders>
            <w:gridSpan w:val="6"/>
          </w:tcPr>
          <w:p>
            <w:pPr>
              <w:spacing w:after="0"/>
              <w:rPr>
                <w:sz w:val="24"/>
                <w:szCs w:val="24"/>
                <w:color w:val="auto"/>
              </w:rPr>
            </w:pPr>
          </w:p>
        </w:tc>
        <w:tc>
          <w:tcPr>
            <w:tcW w:w="49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Signature Page</w:t>
            </w:r>
          </w:p>
        </w:tc>
        <w:tc>
          <w:tcPr>
            <w:tcW w:w="3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0" w:right="179" w:firstLine="432"/>
        <w:spacing w:after="0" w:line="306" w:lineRule="auto"/>
        <w:rPr>
          <w:sz w:val="20"/>
          <w:szCs w:val="20"/>
          <w:color w:val="auto"/>
        </w:rPr>
      </w:pPr>
      <w:r>
        <w:rPr>
          <w:rFonts w:ascii="Arial" w:cs="Arial" w:eastAsia="Arial" w:hAnsi="Arial"/>
          <w:sz w:val="18"/>
          <w:szCs w:val="18"/>
          <w:color w:val="auto"/>
        </w:rPr>
        <w:t>Avnet, Inc. and its consolidated subsidiaries (collectively, the “Company” or “Avnet”), is a leading global electronic component technology distributor and solutions provider that has served customers’ evolving needs for more than a century. Founded in 1921, the Company works with suppliers in every major technology segment to serve customers in more than 140 countries.</w:t>
      </w:r>
    </w:p>
    <w:p>
      <w:pPr>
        <w:spacing w:after="0" w:line="159" w:lineRule="exact"/>
        <w:rPr>
          <w:sz w:val="20"/>
          <w:szCs w:val="20"/>
          <w:color w:val="auto"/>
        </w:rPr>
      </w:pPr>
    </w:p>
    <w:p>
      <w:pPr>
        <w:ind w:left="60" w:right="819" w:firstLine="432"/>
        <w:spacing w:after="0" w:line="310" w:lineRule="auto"/>
        <w:rPr>
          <w:sz w:val="20"/>
          <w:szCs w:val="20"/>
          <w:color w:val="auto"/>
        </w:rPr>
      </w:pPr>
      <w:r>
        <w:rPr>
          <w:rFonts w:ascii="Arial" w:cs="Arial" w:eastAsia="Arial" w:hAnsi="Arial"/>
          <w:sz w:val="18"/>
          <w:szCs w:val="18"/>
          <w:color w:val="auto"/>
        </w:rPr>
        <w:t>Avnet serves a wide range of customers: from startups and mid-sized businesses to enterprise-level original equipment manufacturers (“OEMs”), electronic manufacturing services (“EMS”) providers, and original design manufacturers (“ODMs”).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Organizational Structure</w:t>
      </w:r>
    </w:p>
    <w:p>
      <w:pPr>
        <w:spacing w:after="0" w:line="243" w:lineRule="exact"/>
        <w:rPr>
          <w:sz w:val="20"/>
          <w:szCs w:val="20"/>
          <w:color w:val="auto"/>
        </w:rPr>
      </w:pPr>
    </w:p>
    <w:p>
      <w:pPr>
        <w:ind w:left="60" w:right="119" w:firstLine="427"/>
        <w:spacing w:after="0" w:line="342" w:lineRule="auto"/>
        <w:rPr>
          <w:sz w:val="20"/>
          <w:szCs w:val="20"/>
          <w:color w:val="auto"/>
        </w:rPr>
      </w:pPr>
      <w:r>
        <w:rPr>
          <w:rFonts w:ascii="Arial" w:cs="Arial" w:eastAsia="Arial" w:hAnsi="Arial"/>
          <w:sz w:val="16"/>
          <w:szCs w:val="16"/>
          <w:color w:val="auto"/>
        </w:rPr>
        <w:t>Avnet has two primary operating groups — Electronic Components (“EC”) and Farnell (“Farnell”). Both operating groups have operations in each of the three major economic regions of the world: (i) the Americas, (ii) Europe, Middle East, and Africa (“EMEA”) and (iii) Asia/Pacific (“Asia”). Each operating group has its own management team, who manage various functions within each operating group. Each operating group also has distinct financial reporting to the executive level, which informs operating decisions, strategic planning and resource allocation for the Company as a whole. Regional divisions (“business units”) within each operating group serve primarily as sales and marketing units to streamline sales efforts and enhance each operating group’s ability to work with its customers and suppliers, generally along more specific geographies or product lines. However, each business unit relies heavily on support services from the operating groups, as well as centralized support at the corporate level.</w:t>
      </w:r>
    </w:p>
    <w:p>
      <w:pPr>
        <w:spacing w:after="0" w:line="124" w:lineRule="exact"/>
        <w:rPr>
          <w:sz w:val="20"/>
          <w:szCs w:val="20"/>
          <w:color w:val="auto"/>
        </w:rPr>
      </w:pPr>
    </w:p>
    <w:p>
      <w:pPr>
        <w:ind w:left="60" w:right="379" w:firstLine="427"/>
        <w:spacing w:after="0" w:line="310" w:lineRule="auto"/>
        <w:rPr>
          <w:sz w:val="20"/>
          <w:szCs w:val="20"/>
          <w:color w:val="auto"/>
        </w:rPr>
      </w:pPr>
      <w:r>
        <w:rPr>
          <w:rFonts w:ascii="Arial" w:cs="Arial" w:eastAsia="Arial" w:hAnsi="Arial"/>
          <w:sz w:val="18"/>
          <w:szCs w:val="18"/>
          <w:color w:val="auto"/>
        </w:rPr>
        <w:t>A description of each operating group is presented below. Further financial information by operating group is provided in Note 16 “Segment information” to the consolidated financial statements appearing in Item 8 of this Annual Report on Form 10-K.</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Electronic Components</w:t>
      </w:r>
    </w:p>
    <w:p>
      <w:pPr>
        <w:spacing w:after="0" w:line="229" w:lineRule="exact"/>
        <w:rPr>
          <w:sz w:val="20"/>
          <w:szCs w:val="20"/>
          <w:color w:val="auto"/>
        </w:rPr>
      </w:pPr>
    </w:p>
    <w:p>
      <w:pPr>
        <w:ind w:left="60" w:right="119" w:firstLine="432"/>
        <w:spacing w:after="0" w:line="364" w:lineRule="auto"/>
        <w:rPr>
          <w:sz w:val="20"/>
          <w:szCs w:val="20"/>
          <w:color w:val="auto"/>
        </w:rPr>
      </w:pPr>
      <w:r>
        <w:rPr>
          <w:rFonts w:ascii="Arial" w:cs="Arial" w:eastAsia="Arial" w:hAnsi="Arial"/>
          <w:sz w:val="16"/>
          <w:szCs w:val="16"/>
          <w:color w:val="auto"/>
        </w:rPr>
        <w:t>Avnet’s EC operating group primarily supports high and medium-volume customers. It markets, sells, and distributes electronic components from the world’s leading electronic component manufacturers, including semiconductors, IP&amp;E components (interconnect, passive and electromechanical components), and other integrated and embedded components.</w:t>
      </w:r>
    </w:p>
    <w:p>
      <w:pPr>
        <w:spacing w:after="0" w:line="121" w:lineRule="exact"/>
        <w:rPr>
          <w:sz w:val="20"/>
          <w:szCs w:val="20"/>
          <w:color w:val="auto"/>
        </w:rPr>
      </w:pPr>
    </w:p>
    <w:p>
      <w:pPr>
        <w:ind w:left="60" w:right="259" w:firstLine="432"/>
        <w:spacing w:after="0" w:line="310" w:lineRule="auto"/>
        <w:rPr>
          <w:sz w:val="20"/>
          <w:szCs w:val="20"/>
          <w:color w:val="auto"/>
        </w:rPr>
      </w:pPr>
      <w:r>
        <w:rPr>
          <w:rFonts w:ascii="Arial" w:cs="Arial" w:eastAsia="Arial" w:hAnsi="Arial"/>
          <w:sz w:val="18"/>
          <w:szCs w:val="18"/>
          <w:color w:val="auto"/>
        </w:rPr>
        <w:t>EC serves a variety of markets ranging from industrial to automotive to defense and aerospace. It offers an array of customer support options throughout the entire product lifecycle, including both turnkey and customized design, supply chain, new product introduction, programming, logistics and post-sales services.</w:t>
      </w:r>
    </w:p>
    <w:p>
      <w:pPr>
        <w:spacing w:after="0" w:line="143" w:lineRule="exact"/>
        <w:rPr>
          <w:sz w:val="20"/>
          <w:szCs w:val="20"/>
          <w:color w:val="auto"/>
        </w:rPr>
      </w:pPr>
    </w:p>
    <w:p>
      <w:pPr>
        <w:ind w:left="60" w:right="179" w:firstLine="427"/>
        <w:spacing w:after="0" w:line="310" w:lineRule="auto"/>
        <w:rPr>
          <w:sz w:val="20"/>
          <w:szCs w:val="20"/>
          <w:color w:val="auto"/>
        </w:rPr>
      </w:pPr>
      <w:r>
        <w:rPr>
          <w:rFonts w:ascii="Arial" w:cs="Arial" w:eastAsia="Arial" w:hAnsi="Arial"/>
          <w:sz w:val="18"/>
          <w:szCs w:val="18"/>
          <w:color w:val="auto"/>
        </w:rPr>
        <w:t>Within the EC operating group for 2023, net sales of approximately 85% consist of semiconductor products, approximately 13% consist of interconnect, passive, and electromechanical components, and approximately 2% consist of computers.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Design Chain Solutions</w:t>
      </w:r>
    </w:p>
    <w:p>
      <w:pPr>
        <w:spacing w:after="0" w:line="239" w:lineRule="exact"/>
        <w:rPr>
          <w:sz w:val="20"/>
          <w:szCs w:val="20"/>
          <w:color w:val="auto"/>
        </w:rPr>
      </w:pPr>
    </w:p>
    <w:p>
      <w:pPr>
        <w:ind w:left="60" w:right="159" w:firstLine="432"/>
        <w:spacing w:after="0" w:line="321" w:lineRule="auto"/>
        <w:rPr>
          <w:sz w:val="20"/>
          <w:szCs w:val="20"/>
          <w:color w:val="auto"/>
        </w:rPr>
      </w:pPr>
      <w:r>
        <w:rPr>
          <w:rFonts w:ascii="Arial" w:cs="Arial" w:eastAsia="Arial" w:hAnsi="Arial"/>
          <w:sz w:val="17"/>
          <w:szCs w:val="17"/>
          <w:color w:val="auto"/>
        </w:rPr>
        <w:t>EC offers design chain support that provides engineers with a host of technical design solutions, which helps EC support a broad range of customers seeking complex products and technologies. With access to a suite of design tools and engineering support, customers can get product specifications along with evaluation kits and reference designs that enable a broad range of applications from any point in the design cycle.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product line card provides customers access to a diverse range of products from a complete spectrum of electronic component manufacturers.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Supply Chain Solutions</w:t>
      </w:r>
    </w:p>
    <w:p>
      <w:pPr>
        <w:spacing w:after="0" w:line="225"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EC’s supply chain solutions provide support and logistics services to OEMs, EMS providers, and electronic component manufacturers, enabling them to optimize supply chains on a local, regional or global basis. EC’s internal competencies in global warehousing and logistics, information technology, and asset management, combined with its global footprint and extensive supplier relationships, allows EC to develop supply chain solutions that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inventory management solutions, EC provides solutions that meet a customer’s requirements and minimize supply chain risk in a variety of scenarios.</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Embedded and Integrated Solutions</w:t>
      </w:r>
    </w:p>
    <w:p>
      <w:pPr>
        <w:spacing w:after="0" w:line="225" w:lineRule="exact"/>
        <w:rPr>
          <w:sz w:val="20"/>
          <w:szCs w:val="20"/>
          <w:color w:val="auto"/>
        </w:rPr>
      </w:pPr>
    </w:p>
    <w:p>
      <w:pPr>
        <w:ind w:left="60" w:right="159" w:firstLine="427"/>
        <w:spacing w:after="0" w:line="346" w:lineRule="auto"/>
        <w:rPr>
          <w:sz w:val="20"/>
          <w:szCs w:val="20"/>
          <w:color w:val="auto"/>
        </w:rPr>
      </w:pPr>
      <w:r>
        <w:rPr>
          <w:rFonts w:ascii="Arial" w:cs="Arial" w:eastAsia="Arial" w:hAnsi="Arial"/>
          <w:sz w:val="16"/>
          <w:szCs w:val="16"/>
          <w:color w:val="auto"/>
        </w:rPr>
        <w:t>EC provides embedded solutions including technical design, integration and assembly of embedded products, systems, and solutions primarily for industrial applications. EC also provides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137" w:lineRule="exact"/>
        <w:rPr>
          <w:sz w:val="20"/>
          <w:szCs w:val="20"/>
          <w:color w:val="auto"/>
        </w:rPr>
      </w:pPr>
    </w:p>
    <w:p>
      <w:pPr>
        <w:ind w:left="60" w:right="399" w:firstLine="427"/>
        <w:spacing w:after="0" w:line="324" w:lineRule="auto"/>
        <w:rPr>
          <w:sz w:val="20"/>
          <w:szCs w:val="20"/>
          <w:color w:val="auto"/>
        </w:rPr>
      </w:pPr>
      <w:r>
        <w:rPr>
          <w:rFonts w:ascii="Arial" w:cs="Arial" w:eastAsia="Arial" w:hAnsi="Arial"/>
          <w:sz w:val="18"/>
          <w:szCs w:val="18"/>
          <w:color w:val="auto"/>
        </w:rPr>
        <w:t>EC also provides integrated solutions and services for software companies that bring their intellectual property to market via hardware solutions, including custom-built servers.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Farnell</w:t>
      </w:r>
    </w:p>
    <w:p>
      <w:pPr>
        <w:spacing w:after="0" w:line="229" w:lineRule="exact"/>
        <w:rPr>
          <w:sz w:val="20"/>
          <w:szCs w:val="20"/>
          <w:color w:val="auto"/>
        </w:rPr>
      </w:pPr>
    </w:p>
    <w:p>
      <w:pPr>
        <w:ind w:left="60" w:right="99" w:firstLine="427"/>
        <w:spacing w:after="0" w:line="354" w:lineRule="auto"/>
        <w:rPr>
          <w:sz w:val="20"/>
          <w:szCs w:val="20"/>
          <w:color w:val="auto"/>
        </w:rPr>
      </w:pPr>
      <w:r>
        <w:rPr>
          <w:rFonts w:ascii="Arial" w:cs="Arial" w:eastAsia="Arial" w:hAnsi="Arial"/>
          <w:sz w:val="16"/>
          <w:szCs w:val="16"/>
          <w:color w:val="auto"/>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brings the latest products, services, and development trends all together in element14, an industry-leading online community where engineers collaborate to solve one another’s design challenges.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459" w:firstLine="427"/>
        <w:spacing w:after="0" w:line="311" w:lineRule="auto"/>
        <w:rPr>
          <w:sz w:val="20"/>
          <w:szCs w:val="20"/>
          <w:color w:val="auto"/>
        </w:rPr>
      </w:pPr>
      <w:r>
        <w:rPr>
          <w:rFonts w:ascii="Arial" w:cs="Arial" w:eastAsia="Arial" w:hAnsi="Arial"/>
          <w:sz w:val="18"/>
          <w:szCs w:val="18"/>
          <w:color w:val="auto"/>
        </w:rPr>
        <w:t>Within the Farnell operating group for 2023, net sales of approximately 21% consist of semiconductor products, approximately 48% consist of interconnect, passive, and electromechanical components, approximately 6% consist of computers, and approximately 25% consist of other products and services including test and measurement and maintenance, repair and operations products.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Major Products</w:t>
      </w:r>
    </w:p>
    <w:p>
      <w:pPr>
        <w:spacing w:after="0" w:line="229" w:lineRule="exact"/>
        <w:rPr>
          <w:sz w:val="20"/>
          <w:szCs w:val="20"/>
          <w:color w:val="auto"/>
        </w:rPr>
      </w:pPr>
    </w:p>
    <w:p>
      <w:pPr>
        <w:ind w:left="60" w:right="179" w:firstLine="427"/>
        <w:spacing w:after="0" w:line="329" w:lineRule="auto"/>
        <w:rPr>
          <w:sz w:val="20"/>
          <w:szCs w:val="20"/>
          <w:color w:val="auto"/>
        </w:rPr>
      </w:pPr>
      <w:r>
        <w:rPr>
          <w:rFonts w:ascii="Arial" w:cs="Arial" w:eastAsia="Arial" w:hAnsi="Arial"/>
          <w:sz w:val="17"/>
          <w:szCs w:val="17"/>
          <w:color w:val="auto"/>
        </w:rPr>
        <w:t>One of Avnet’s competitive strengths is the breadth and quality of the suppliers whose products it distributes. Products from one single supplier was approximately 10% of consolidated sales during fiscal 2023, and no single supplier exceeded 10% of consolidated sales during fiscal years 2022, and 2021. Listed in the table below are the major product categories and the Company’s approximate sales of each during the past three fiscal years. “Other” consists primarily of test and measurement and maintenance, repair and operations (MRO) products.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4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July 1,</w:t>
            </w:r>
          </w:p>
        </w:tc>
        <w:tc>
          <w:tcPr>
            <w:tcW w:w="180" w:type="dxa"/>
            <w:vAlign w:val="bottom"/>
          </w:tcPr>
          <w:p>
            <w:pPr>
              <w:spacing w:after="0"/>
              <w:rPr>
                <w:sz w:val="19"/>
                <w:szCs w:val="19"/>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July 2,</w:t>
            </w:r>
          </w:p>
        </w:tc>
        <w:tc>
          <w:tcPr>
            <w:tcW w:w="6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July 3,</w:t>
            </w:r>
          </w:p>
        </w:tc>
        <w:tc>
          <w:tcPr>
            <w:tcW w:w="60" w:type="dxa"/>
            <w:vAlign w:val="bottom"/>
          </w:tcPr>
          <w:p>
            <w:pPr>
              <w:spacing w:after="0"/>
              <w:rPr>
                <w:sz w:val="19"/>
                <w:szCs w:val="19"/>
                <w:color w:val="auto"/>
              </w:rPr>
            </w:pPr>
          </w:p>
        </w:tc>
      </w:tr>
      <w:tr>
        <w:trPr>
          <w:trHeight w:val="241"/>
        </w:trPr>
        <w:tc>
          <w:tcPr>
            <w:tcW w:w="4800" w:type="dxa"/>
            <w:vAlign w:val="bottom"/>
          </w:tcPr>
          <w:p>
            <w:pPr>
              <w:spacing w:after="0"/>
              <w:rPr>
                <w:sz w:val="20"/>
                <w:szCs w:val="20"/>
                <w:color w:val="auto"/>
              </w:rPr>
            </w:pPr>
          </w:p>
        </w:tc>
        <w:tc>
          <w:tcPr>
            <w:tcW w:w="20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$ 21,366.5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$ 18,380.2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$ 14,722.8</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4,150.6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4,639.1</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6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499.0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628.2</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60" w:type="dxa"/>
            <w:vAlign w:val="bottom"/>
          </w:tcPr>
          <w:p>
            <w:pPr>
              <w:spacing w:after="0"/>
              <w:rPr>
                <w:sz w:val="19"/>
                <w:szCs w:val="19"/>
                <w:color w:val="auto"/>
              </w:rPr>
            </w:pPr>
          </w:p>
        </w:tc>
      </w:tr>
      <w:tr>
        <w:trPr>
          <w:trHeight w:val="216"/>
        </w:trPr>
        <w:tc>
          <w:tcPr>
            <w:tcW w:w="48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$ 26,536.9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$ 24,310.7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$ 19,534.7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&amp; Markets</w:t>
      </w:r>
    </w:p>
    <w:p>
      <w:pPr>
        <w:spacing w:after="0" w:line="216" w:lineRule="exact"/>
        <w:rPr>
          <w:sz w:val="20"/>
          <w:szCs w:val="20"/>
          <w:color w:val="auto"/>
        </w:rPr>
      </w:pPr>
    </w:p>
    <w:p>
      <w:pPr>
        <w:ind w:left="60" w:right="99" w:firstLine="432"/>
        <w:spacing w:after="0" w:line="304" w:lineRule="auto"/>
        <w:rPr>
          <w:sz w:val="20"/>
          <w:szCs w:val="20"/>
          <w:color w:val="auto"/>
        </w:rPr>
      </w:pPr>
      <w:r>
        <w:rPr>
          <w:rFonts w:ascii="Arial" w:cs="Arial" w:eastAsia="Arial" w:hAnsi="Arial"/>
          <w:sz w:val="18"/>
          <w:szCs w:val="18"/>
          <w:color w:val="auto"/>
        </w:rPr>
        <w:t>The electronic components industry is highly competitive. The Company’s major competitors include: Arrow Electronics, Inc., Future Electronics, World Peace Group, and WT Microelectronics for EC; Mouser Electronics, Digi-Key Electronics and RS Components for Farnell. There are also certain smaller, specialized competitors who generally focus on particular sectors or on narrower geographic locations, markets, or products. As a result of these factors, Avnet’s pricing and product availability must remain competitive.</w:t>
      </w:r>
    </w:p>
    <w:p>
      <w:pPr>
        <w:spacing w:after="0" w:line="161"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A key competitive factor in the electronic component distribution industry is the need to carry a sufficient amount and selection of inventory to meet customers’ demand and rapid delivery requirements. To minimize its exposure related to inventory on hand, the Company purchases a majority of its products pursuant to franchised distribution agreements, which typically provide certain protections for product obsolescence and price erosion. These agreements are generally cancelable upon 30 to 180 days’ notice and, in most cases, provide for or require inventory return privileges upon cancellation. In addition, the Company enhances its competitive position by offering a variety of value-added services, which are tailored to individual customer specifications and business needs, such as point of use replenishment, testing, assembly, programming, supply chain management, and materials management.</w:t>
      </w:r>
    </w:p>
    <w:p>
      <w:pPr>
        <w:spacing w:after="0" w:line="136" w:lineRule="exact"/>
        <w:rPr>
          <w:sz w:val="20"/>
          <w:szCs w:val="20"/>
          <w:color w:val="auto"/>
        </w:rPr>
      </w:pPr>
    </w:p>
    <w:p>
      <w:pPr>
        <w:ind w:left="60" w:right="279" w:firstLine="427"/>
        <w:spacing w:after="0" w:line="318" w:lineRule="auto"/>
        <w:rPr>
          <w:sz w:val="20"/>
          <w:szCs w:val="20"/>
          <w:color w:val="auto"/>
        </w:rPr>
      </w:pPr>
      <w:r>
        <w:rPr>
          <w:rFonts w:ascii="Arial" w:cs="Arial" w:eastAsia="Arial" w:hAnsi="Arial"/>
          <w:sz w:val="18"/>
          <w:szCs w:val="18"/>
          <w:color w:val="auto"/>
        </w:rPr>
        <w:t>A competitive advantage is the breadth of the Company’s supplier product line card. Because of the number of Avnet’s suppliers, many customers can simplify their procurement process and make all of their required purchases from Avnet, rather than purchasing from several different parties.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339" w:firstLine="432"/>
        <w:spacing w:after="0" w:line="364" w:lineRule="auto"/>
        <w:rPr>
          <w:sz w:val="20"/>
          <w:szCs w:val="20"/>
          <w:color w:val="auto"/>
        </w:rPr>
      </w:pPr>
      <w:r>
        <w:rPr>
          <w:rFonts w:ascii="Arial" w:cs="Arial" w:eastAsia="Arial" w:hAnsi="Arial"/>
          <w:sz w:val="16"/>
          <w:szCs w:val="16"/>
          <w:color w:val="auto"/>
        </w:rPr>
        <w:t>Historically, Avnet’s business has not been materially impacted by seasonality, with the exception of an impact on consolidated results from shifts in geographic sales trends from Asia in the first half of a fiscal year to the Americas and EMEA regions in the second half of a fiscal year, which impact gross profit and operating income margins as a result of</w:t>
      </w:r>
    </w:p>
    <w:p>
      <w:pPr>
        <w:sectPr>
          <w:pgSz w:w="11900" w:h="16838" w:orient="portrait"/>
          <w:cols w:equalWidth="0" w:num="1">
            <w:col w:w="9019"/>
          </w:cols>
          <w:pgMar w:left="1440" w:top="517" w:right="1440"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such seasonal geographic sales mix changes.</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139" w:firstLine="432"/>
        <w:spacing w:after="0" w:line="344" w:lineRule="auto"/>
        <w:rPr>
          <w:sz w:val="20"/>
          <w:szCs w:val="20"/>
          <w:color w:val="auto"/>
        </w:rPr>
      </w:pPr>
      <w:r>
        <w:rPr>
          <w:rFonts w:ascii="Arial" w:cs="Arial" w:eastAsia="Arial" w:hAnsi="Arial"/>
          <w:sz w:val="16"/>
          <w:szCs w:val="16"/>
          <w:color w:val="auto"/>
        </w:rPr>
        <w:t>The Company values its employees, and recognizes their significant contributions to the success of the Company. The Company invests in its global workforce to drive diversity and inclusion; provide fair and market-competitive pay and benefits; foster employee development for future opportunities within the company; promote employees health and safety; and obtain employees’ feedback to better understand employees’ experiences and identify opportunities to improve. Its core values of integrity, customer focus, ownership, teamwork and inclusiveness establish the foundation on which its culture is built and are key expectations of its employees. The Company believes that its culture and commitment to its employees are vital in its ability to attract, motivate and retain exceptional talent.</w:t>
      </w:r>
    </w:p>
    <w:p>
      <w:pPr>
        <w:spacing w:after="0" w:line="139" w:lineRule="exact"/>
        <w:rPr>
          <w:sz w:val="20"/>
          <w:szCs w:val="20"/>
          <w:color w:val="auto"/>
        </w:rPr>
      </w:pPr>
    </w:p>
    <w:p>
      <w:pPr>
        <w:ind w:left="60" w:right="139" w:firstLine="432"/>
        <w:spacing w:after="0" w:line="364" w:lineRule="auto"/>
        <w:rPr>
          <w:sz w:val="20"/>
          <w:szCs w:val="20"/>
          <w:color w:val="auto"/>
        </w:rPr>
      </w:pPr>
      <w:r>
        <w:rPr>
          <w:rFonts w:ascii="Arial" w:cs="Arial" w:eastAsia="Arial" w:hAnsi="Arial"/>
          <w:sz w:val="16"/>
          <w:szCs w:val="16"/>
          <w:color w:val="auto"/>
        </w:rPr>
        <w:t>Additional information regarding the Company’s Human Capital programs, initiatives, and metrics can be found on its website as well as in its Sustainability Reports accessible on its website. The Sustainability Reports and other information contained on the Company’s website are neither part of nor incorporated by reference into this Annual Report.</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Number of Employees</w:t>
      </w:r>
    </w:p>
    <w:p>
      <w:pPr>
        <w:spacing w:after="0" w:line="239" w:lineRule="exact"/>
        <w:rPr>
          <w:sz w:val="20"/>
          <w:szCs w:val="20"/>
          <w:color w:val="auto"/>
        </w:rPr>
      </w:pPr>
    </w:p>
    <w:p>
      <w:pPr>
        <w:ind w:left="60" w:right="219" w:firstLine="432"/>
        <w:spacing w:after="0" w:line="310" w:lineRule="auto"/>
        <w:rPr>
          <w:sz w:val="20"/>
          <w:szCs w:val="20"/>
          <w:color w:val="auto"/>
        </w:rPr>
      </w:pPr>
      <w:r>
        <w:rPr>
          <w:rFonts w:ascii="Arial" w:cs="Arial" w:eastAsia="Arial" w:hAnsi="Arial"/>
          <w:sz w:val="18"/>
          <w:szCs w:val="18"/>
          <w:color w:val="auto"/>
        </w:rPr>
        <w:t>As of July 1, 2023, the Company’s global workforce totaled approximately 15,800 employees across 48 countries. Broken down by geographic region, approximately 4,700 employees are in the Americas, 6,800 employees are in EMEA, and 4,300 employees are in Asia.</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Diversity, Equity and Inclusion (“DEI”)</w:t>
      </w:r>
    </w:p>
    <w:p>
      <w:pPr>
        <w:spacing w:after="0" w:line="239" w:lineRule="exact"/>
        <w:rPr>
          <w:sz w:val="20"/>
          <w:szCs w:val="20"/>
          <w:color w:val="auto"/>
        </w:rPr>
      </w:pPr>
    </w:p>
    <w:p>
      <w:pPr>
        <w:ind w:left="60" w:right="239" w:firstLine="432"/>
        <w:spacing w:after="0" w:line="321" w:lineRule="auto"/>
        <w:rPr>
          <w:sz w:val="20"/>
          <w:szCs w:val="20"/>
          <w:color w:val="auto"/>
        </w:rPr>
      </w:pPr>
      <w:r>
        <w:rPr>
          <w:rFonts w:ascii="Arial" w:cs="Arial" w:eastAsia="Arial" w:hAnsi="Arial"/>
          <w:sz w:val="17"/>
          <w:szCs w:val="17"/>
          <w:color w:val="auto"/>
        </w:rPr>
        <w:t>The Company’s DEI vision is (i) an employee population that reflects the diverse communities in which they live, work, and do business, and (ii) an organizational culture which seeks out varying perspectives that allow the best ideas to come to light. The Company is committed to ensuring equal employment opportunities for all applicants and employees regardless of race, gender, national origin, or other protected characteristic, with employment decisions and people practices based on merit and the needs of the Company’s business. To oversee inclusion efforts, the Company created the Global DEI Council, a global cross-functioning team of leaders who represent various business units and corporate functions. The council meets regularly and engages with colleagues across the Company to connect DEI initiatives to the Company’s broader business strategy.</w:t>
      </w:r>
    </w:p>
    <w:p>
      <w:pPr>
        <w:spacing w:after="0" w:line="136" w:lineRule="exact"/>
        <w:rPr>
          <w:sz w:val="20"/>
          <w:szCs w:val="20"/>
          <w:color w:val="auto"/>
        </w:rPr>
      </w:pPr>
    </w:p>
    <w:p>
      <w:pPr>
        <w:ind w:left="60" w:right="299" w:firstLine="432"/>
        <w:spacing w:after="0" w:line="304" w:lineRule="auto"/>
        <w:rPr>
          <w:sz w:val="20"/>
          <w:szCs w:val="20"/>
          <w:color w:val="auto"/>
        </w:rPr>
      </w:pPr>
      <w:r>
        <w:rPr>
          <w:rFonts w:ascii="Arial" w:cs="Arial" w:eastAsia="Arial" w:hAnsi="Arial"/>
          <w:sz w:val="18"/>
          <w:szCs w:val="18"/>
          <w:color w:val="auto"/>
        </w:rPr>
        <w:t>The Company’s Equal Opportunity, Diversity and Inclusion Policy actively promotes DEI in the Company’s talent management practices. The Company’s commitment to diversity is evidenced by the makeup of its Board of Directors, which as of July 1, 2023, was 30% women and 50% racially and ethnically diverse (including Middle Eastern origin). In addition, for fiscal years 2021 through 2023, executive’s annual incentive compensation included ESG non-financial performance goals.</w:t>
      </w:r>
    </w:p>
    <w:p>
      <w:pPr>
        <w:spacing w:after="0" w:line="161" w:lineRule="exact"/>
        <w:rPr>
          <w:sz w:val="20"/>
          <w:szCs w:val="20"/>
          <w:color w:val="auto"/>
        </w:rPr>
      </w:pPr>
    </w:p>
    <w:p>
      <w:pPr>
        <w:ind w:left="60" w:right="59" w:firstLine="432"/>
        <w:spacing w:after="0" w:line="343" w:lineRule="auto"/>
        <w:rPr>
          <w:sz w:val="20"/>
          <w:szCs w:val="20"/>
          <w:color w:val="auto"/>
        </w:rPr>
      </w:pPr>
      <w:r>
        <w:rPr>
          <w:rFonts w:ascii="Arial" w:cs="Arial" w:eastAsia="Arial" w:hAnsi="Arial"/>
          <w:sz w:val="16"/>
          <w:szCs w:val="16"/>
          <w:color w:val="auto"/>
        </w:rPr>
        <w:t>The Company’s employee-led Employee Resource Groups (ERGs) are open to all employees and provide a forum for employees to communicate and exchange ideas, build a network of relationships across the Company, and support each other in personal and career development. The Company’s eight ERGs support the following communities: women, Asian and Pacific Islanders, Blacks, Hispanic and Latinos, U.S. veterans, LGBTQ+, later career employees; and environmental and sustainability causes. In partnership with the ERGs, the Company conducts listen-and-learn sessions on a variety of DEI topics, which promote meaningful discussions and allow employees to better understand and support each other. These group conversations are open to the entire Company, and are regularly attended by senior leaders, including the CEO. During fiscal 2023, sessions were conducted covering Black History Month, Women and Bias,</w:t>
      </w: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99"/>
        <w:spacing w:after="0" w:line="350" w:lineRule="auto"/>
        <w:rPr>
          <w:sz w:val="20"/>
          <w:szCs w:val="20"/>
          <w:color w:val="auto"/>
        </w:rPr>
      </w:pPr>
      <w:r>
        <w:rPr>
          <w:rFonts w:ascii="Arial" w:cs="Arial" w:eastAsia="Arial" w:hAnsi="Arial"/>
          <w:sz w:val="16"/>
          <w:szCs w:val="16"/>
          <w:color w:val="auto"/>
        </w:rPr>
        <w:t>Gender Inclusivity, Environment Sustainability and LGBTQ+ topics. DEI education topics are regularly presented at company-wide quarterly town hall, team, and leadership meetings, and through internal webinars and podcasts open to all employees. Additionally, the Company maintains an official culture and diversity calendar and publishes articles on its intranet to celebrate events and holidays around the world. Since 2020, Juneteenth, which commemorates the official end of slavery in the United States and the emancipation of Black slaves, has been an official company-paid holiday for employees in the United States, a year before the federal government recognized it officially.</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Pay Equity, Benefits and Wellness</w:t>
      </w:r>
    </w:p>
    <w:p>
      <w:pPr>
        <w:spacing w:after="0" w:line="225" w:lineRule="exact"/>
        <w:rPr>
          <w:sz w:val="20"/>
          <w:szCs w:val="20"/>
          <w:color w:val="auto"/>
        </w:rPr>
      </w:pPr>
    </w:p>
    <w:p>
      <w:pPr>
        <w:ind w:left="60" w:right="59" w:firstLine="432"/>
        <w:spacing w:after="0" w:line="308" w:lineRule="auto"/>
        <w:rPr>
          <w:sz w:val="20"/>
          <w:szCs w:val="20"/>
          <w:color w:val="auto"/>
        </w:rPr>
      </w:pPr>
      <w:r>
        <w:rPr>
          <w:rFonts w:ascii="Arial" w:cs="Arial" w:eastAsia="Arial" w:hAnsi="Arial"/>
          <w:sz w:val="18"/>
          <w:szCs w:val="18"/>
          <w:color w:val="auto"/>
        </w:rPr>
        <w:t>The Company strives to pay all its employees fairly, without regard to gender, race, or other personal characteristics, and competitively to attract, retain and incentivize talent. The Company sets pay ranges based on market data and considers factors, such as an employee’s role, experience, tenure, job location, and job performance. The Company periodically reviews its compensation practices, both in terms of its overall workforce and individual employees, to help ensure that pay remains fair and equitable.</w:t>
      </w:r>
    </w:p>
    <w:p>
      <w:pPr>
        <w:spacing w:after="0" w:line="143" w:lineRule="exact"/>
        <w:rPr>
          <w:sz w:val="20"/>
          <w:szCs w:val="20"/>
          <w:color w:val="auto"/>
        </w:rPr>
      </w:pPr>
    </w:p>
    <w:p>
      <w:pPr>
        <w:ind w:left="60" w:right="139" w:firstLine="432"/>
        <w:spacing w:after="0" w:line="344" w:lineRule="auto"/>
        <w:rPr>
          <w:sz w:val="20"/>
          <w:szCs w:val="20"/>
          <w:color w:val="auto"/>
        </w:rPr>
      </w:pPr>
      <w:r>
        <w:rPr>
          <w:rFonts w:ascii="Arial" w:cs="Arial" w:eastAsia="Arial" w:hAnsi="Arial"/>
          <w:sz w:val="16"/>
          <w:szCs w:val="16"/>
          <w:color w:val="auto"/>
        </w:rPr>
        <w:t>The Company offers a wide array of benefits that support employees’ physical, financial, and emotional well-being. Through its THRIVE program, the Company offers resources and benefits to support overall health and well-being covering (1) physical and mental health, fitness, and well-being; (2) professional growth, skills, and development; (3) total rewards, retirement planning and money management; and (4) community connections, networks, and social interests. The health and well-being benefits are managed within the Total Rewards Center of Excellence in the Human Resources organization (“HR”). The global HR leadership team meets regularly to assist in reviewing benefit offerings and aligning global programs to remain market competitive and meet the needs of employees.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Development and Training</w:t>
      </w:r>
    </w:p>
    <w:p>
      <w:pPr>
        <w:spacing w:after="0" w:line="225" w:lineRule="exact"/>
        <w:rPr>
          <w:sz w:val="20"/>
          <w:szCs w:val="20"/>
          <w:color w:val="auto"/>
        </w:rPr>
      </w:pPr>
    </w:p>
    <w:p>
      <w:pPr>
        <w:ind w:left="60" w:right="159" w:firstLine="432"/>
        <w:spacing w:after="0" w:line="320" w:lineRule="auto"/>
        <w:rPr>
          <w:sz w:val="20"/>
          <w:szCs w:val="20"/>
          <w:color w:val="auto"/>
        </w:rPr>
      </w:pPr>
      <w:r>
        <w:rPr>
          <w:rFonts w:ascii="Arial" w:cs="Arial" w:eastAsia="Arial" w:hAnsi="Arial"/>
          <w:sz w:val="17"/>
          <w:szCs w:val="17"/>
          <w:color w:val="auto"/>
        </w:rPr>
        <w:t>The Company provides development opportunities and career development training to empower employees to reach their career potential. The performance management process provides ongoing performance, goals, and development discussions between employees and their leaders. The Company’s learning and development resources include mentoring programs and LinkedIn Learning and Business Book Summaries, which cover a variety of technical, business, interpersonal, and leadership topics. Lead2Achieve and InsideOut Coaching are available for leaders to develop skills in effective goal setting, coaching, feedback, and development. In Canada, United States and Mexico, the Company provides education financial assistance for employees who pursue undergraduate or graduate education to further their career development. Talent and succession planning activities are conducted for the Company’s executive officers at least annually and periodically for other senior leaders.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Health and Safety</w:t>
      </w:r>
    </w:p>
    <w:p>
      <w:pPr>
        <w:spacing w:after="0" w:line="225" w:lineRule="exact"/>
        <w:rPr>
          <w:sz w:val="20"/>
          <w:szCs w:val="20"/>
          <w:color w:val="auto"/>
        </w:rPr>
      </w:pPr>
    </w:p>
    <w:p>
      <w:pPr>
        <w:ind w:left="60" w:right="219" w:firstLine="427"/>
        <w:spacing w:after="0" w:line="321" w:lineRule="auto"/>
        <w:rPr>
          <w:sz w:val="20"/>
          <w:szCs w:val="20"/>
          <w:color w:val="auto"/>
        </w:rPr>
      </w:pPr>
      <w:r>
        <w:rPr>
          <w:rFonts w:ascii="Arial" w:cs="Arial" w:eastAsia="Arial" w:hAnsi="Arial"/>
          <w:sz w:val="17"/>
          <w:szCs w:val="17"/>
          <w:color w:val="auto"/>
        </w:rPr>
        <w:t>The Company strives to create workspaces and practices that foster a safe and secure work environment. The Company’s Global Director of Environment, Health, and Safety (“Director”) helps to define and execute a compliance strategy across all regions, business units, and subsidiaries. In fiscal 2023, the Director began implementing a multi-year plan to improve alignment and consistency of management systems, policies, and procedures; provide comprehensive health and safety training to employees relevant to their specific work functions; drive continual improvement processes with a focus on identified risks; and increase ISO certifications at operational sites. During fiscal 2023, the Company also launched a Global Environment, Health, and Safety site on its intranet, where articles and other health and safety information are posted.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19" w:firstLine="427"/>
        <w:spacing w:after="0" w:line="311" w:lineRule="auto"/>
        <w:rPr>
          <w:sz w:val="20"/>
          <w:szCs w:val="20"/>
          <w:color w:val="auto"/>
        </w:rPr>
      </w:pPr>
      <w:r>
        <w:rPr>
          <w:rFonts w:ascii="Arial" w:cs="Arial" w:eastAsia="Arial" w:hAnsi="Arial"/>
          <w:sz w:val="18"/>
          <w:szCs w:val="18"/>
          <w:color w:val="auto"/>
        </w:rPr>
        <w:t>As of July 1, 2023, the Company has 10 operational sites that are certified to ISO 45001, an increase from 8 in the prior fiscal year, and 18 that are certified to ISO 14001. In the past four years, the Company had less than 75 total injuries that required medical treatment and reported no fatalities at Avnet global facilities in accordance to the OSHA/local industrial injuring reporting requirements.</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Employee Engagement</w:t>
      </w:r>
    </w:p>
    <w:p>
      <w:pPr>
        <w:spacing w:after="0" w:line="225" w:lineRule="exact"/>
        <w:rPr>
          <w:sz w:val="20"/>
          <w:szCs w:val="20"/>
          <w:color w:val="auto"/>
        </w:rPr>
      </w:pPr>
    </w:p>
    <w:p>
      <w:pPr>
        <w:ind w:left="60" w:right="219" w:firstLine="432"/>
        <w:spacing w:after="0" w:line="308" w:lineRule="auto"/>
        <w:rPr>
          <w:sz w:val="20"/>
          <w:szCs w:val="20"/>
          <w:color w:val="auto"/>
        </w:rPr>
      </w:pPr>
      <w:r>
        <w:rPr>
          <w:rFonts w:ascii="Arial" w:cs="Arial" w:eastAsia="Arial" w:hAnsi="Arial"/>
          <w:sz w:val="18"/>
          <w:szCs w:val="18"/>
          <w:color w:val="auto"/>
        </w:rPr>
        <w:t>The Company engages with its employees and encourages open and direct feedback through employee engagement surveys. Through such surveys, the Company regularly collects feedback to better understand its employees’ experiences and identify opportunities to improve the work environment, increase employee satisfaction, and strengthen its culture. In fiscal 2023, the Company conducted its regular global employee engagement survey and achieved a participation rate of 71.4%, an increase over fiscal 2022.</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39" w:firstLine="427"/>
        <w:spacing w:after="0" w:line="305" w:lineRule="auto"/>
        <w:rPr>
          <w:sz w:val="20"/>
          <w:szCs w:val="20"/>
          <w:color w:val="auto"/>
        </w:rPr>
      </w:pPr>
      <w:r>
        <w:rPr>
          <w:rFonts w:ascii="Arial" w:cs="Arial" w:eastAsia="Arial" w:hAnsi="Arial"/>
          <w:sz w:val="18"/>
          <w:szCs w:val="18"/>
          <w:color w:val="auto"/>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spacing w:after="0" w:line="150" w:lineRule="exact"/>
        <w:rPr>
          <w:sz w:val="20"/>
          <w:szCs w:val="20"/>
          <w:color w:val="auto"/>
        </w:rPr>
      </w:pPr>
    </w:p>
    <w:p>
      <w:pPr>
        <w:ind w:left="60" w:right="319" w:firstLine="432"/>
        <w:spacing w:after="0" w:line="310" w:lineRule="auto"/>
        <w:rPr>
          <w:sz w:val="20"/>
          <w:szCs w:val="20"/>
          <w:color w:val="auto"/>
        </w:rPr>
      </w:pPr>
      <w:r>
        <w:rPr>
          <w:rFonts w:ascii="Arial" w:cs="Arial" w:eastAsia="Arial" w:hAnsi="Arial"/>
          <w:sz w:val="18"/>
          <w:szCs w:val="18"/>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w:t>
      </w:r>
    </w:p>
    <w:p>
      <w:pPr>
        <w:jc w:val="center"/>
        <w:spacing w:after="0"/>
        <w:rPr>
          <w:sz w:val="20"/>
          <w:szCs w:val="20"/>
          <w:color w:val="auto"/>
        </w:rPr>
      </w:pPr>
      <w:r>
        <w:rPr>
          <w:rFonts w:ascii="Arial" w:cs="Arial" w:eastAsia="Arial" w:hAnsi="Arial"/>
          <w:sz w:val="18"/>
          <w:szCs w:val="18"/>
          <w:color w:val="auto"/>
        </w:rPr>
        <w:t>Phoenix, Arizona 85034</w:t>
      </w:r>
    </w:p>
    <w:p>
      <w:pPr>
        <w:spacing w:after="0" w:line="47" w:lineRule="exact"/>
        <w:rPr>
          <w:sz w:val="20"/>
          <w:szCs w:val="20"/>
          <w:color w:val="auto"/>
        </w:rPr>
      </w:pPr>
    </w:p>
    <w:p>
      <w:pPr>
        <w:ind w:left="4380" w:hanging="438"/>
        <w:spacing w:after="0"/>
        <w:tabs>
          <w:tab w:leader="none" w:pos="4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643-2000</w:t>
      </w:r>
    </w:p>
    <w:p>
      <w:pPr>
        <w:spacing w:after="0" w:line="49" w:lineRule="exact"/>
        <w:rPr>
          <w:rFonts w:ascii="Arial" w:cs="Arial" w:eastAsia="Arial" w:hAnsi="Arial"/>
          <w:sz w:val="18"/>
          <w:szCs w:val="18"/>
          <w:color w:val="auto"/>
        </w:rPr>
      </w:pPr>
    </w:p>
    <w:p>
      <w:pPr>
        <w:ind w:left="340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also makes these filings available, free of charge, through its website (see “Avnet Website” below).</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Avnet Website</w:t>
      </w:r>
    </w:p>
    <w:p>
      <w:pPr>
        <w:spacing w:after="0" w:line="243" w:lineRule="exact"/>
        <w:rPr>
          <w:sz w:val="20"/>
          <w:szCs w:val="20"/>
          <w:color w:val="auto"/>
        </w:rPr>
      </w:pPr>
    </w:p>
    <w:p>
      <w:pPr>
        <w:ind w:left="60" w:right="59" w:firstLine="432"/>
        <w:spacing w:after="0" w:line="310" w:lineRule="auto"/>
        <w:rPr>
          <w:sz w:val="20"/>
          <w:szCs w:val="20"/>
          <w:color w:val="auto"/>
        </w:rPr>
      </w:pPr>
      <w:r>
        <w:rPr>
          <w:rFonts w:ascii="Arial" w:cs="Arial" w:eastAsia="Arial" w:hAnsi="Arial"/>
          <w:sz w:val="18"/>
          <w:szCs w:val="18"/>
          <w:color w:val="auto"/>
        </w:rPr>
        <w:t xml:space="preserve">In addition to the information about the Company contained in this Report, extensive information about the Company can be found at </w:t>
      </w:r>
      <w:r>
        <w:rPr>
          <w:rFonts w:ascii="Arial" w:cs="Arial" w:eastAsia="Arial" w:hAnsi="Arial"/>
          <w:sz w:val="18"/>
          <w:szCs w:val="18"/>
          <w:u w:val="single" w:color="auto"/>
          <w:color w:val="auto"/>
        </w:rPr>
        <w:t>http://www.avnet.com</w:t>
      </w:r>
      <w:r>
        <w:rPr>
          <w:rFonts w:ascii="Arial" w:cs="Arial" w:eastAsia="Arial" w:hAnsi="Arial"/>
          <w:sz w:val="18"/>
          <w:szCs w:val="18"/>
          <w:color w:val="auto"/>
        </w:rPr>
        <w:t>, including information about its management team, products and services, and corporate governance practices.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 xml:space="preserve">The corporate governance information on the Company’s website includes the Company’s Corporate Governance Guidelines, the Code of Conduct and the charters for each of the committees of its Board of Directors. In addition, amendments to these documents and waivers granted to directors and executive officers under the Code of Conduct, if any, will be posted in this area of the website. These documents can be accessed at </w:t>
      </w:r>
      <w:r>
        <w:rPr>
          <w:rFonts w:ascii="Arial" w:cs="Arial" w:eastAsia="Arial" w:hAnsi="Arial"/>
          <w:sz w:val="16"/>
          <w:szCs w:val="16"/>
          <w:u w:val="single" w:color="auto"/>
          <w:color w:val="auto"/>
        </w:rPr>
        <w:t>ir.avnet.com/documents-charters</w:t>
      </w:r>
      <w:r>
        <w:rPr>
          <w:rFonts w:ascii="Arial" w:cs="Arial" w:eastAsia="Arial" w:hAnsi="Arial"/>
          <w:sz w:val="16"/>
          <w:szCs w:val="16"/>
          <w:color w:val="auto"/>
        </w:rPr>
        <w:t>. Printed versions can be obtained, free of charge, by writing to the Company at the address listed above in “Available Information.”</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addition, the Company’s filings with the SEC, as well as Section 16 filings made by any of the Company’s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executive officers or directors with respect to the Company’s common stock, are available on the Company’s website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ir.avnet.com/financial-information/sec-filings</w:t>
      </w:r>
      <w:r>
        <w:rPr>
          <w:rFonts w:ascii="Arial" w:cs="Arial" w:eastAsia="Arial" w:hAnsi="Arial"/>
          <w:sz w:val="16"/>
          <w:szCs w:val="16"/>
          <w:color w:val="auto"/>
        </w:rPr>
        <w:t>) as soon as reasonably practicable after the filing is electronically filed with,</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 furnished to, the SEC.</w:t>
      </w:r>
    </w:p>
    <w:p>
      <w:pPr>
        <w:spacing w:after="0" w:line="239"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62"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Avnet. These statements are generally identified by words like “believes,” “plans,” “projects,” “expects,” “anticipates,” “should,” “will,” “may,” “estimates,” or similar expressions. Forward-looking statements are subject to numerous assumptions, risks, and uncertainties, and actual results and other outcomes could differ materially from those expressed or implied in the forward-looking statements. Any forward-looking statement speaks only as of the date on which that statement is made. Except as required by law, the Company does not undertake any obligation to update any forward-looking statements to reflect events or circumstances that occur after the date on which the statement is made.</w:t>
      </w:r>
    </w:p>
    <w:p>
      <w:pPr>
        <w:spacing w:after="0" w:line="71"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Risks and uncertainties that may cause actual results to differ materially from those contained in the forward-looking statements include the risk factors discussed below as well as risks and uncertainties not presently known to the Company or that management does not currently consider material. Such factors make the Company’s operating results for future periods difficult to predict and, therefore, prior results do not necessarily indicate results in future periods. Some of the risks disclosed below may have already occurred, but not to a degree that management considers material unless otherwise noted. Any of the below factors, or any other factors discussed elsewhere in this Report, may have an adverse effect on the Company’s financial condition, operating results, prospects, and liquidity. Similarly, the price of the Company’s common stock is subject to volatility due to fluctuations in general market conditions; actual financial results that do not meet the Company’s or the investment community’s expectations; changes in the Company’s or the investment community’s expectations for the Company’s future results, dividends or share repurchases; and other factors, many of which are beyond the Company’s control.</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and Operations Risks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customer needs and consumption models</w:t>
      </w:r>
    </w:p>
    <w:p>
      <w:pPr>
        <w:spacing w:after="0" w:line="158" w:lineRule="exact"/>
        <w:rPr>
          <w:sz w:val="20"/>
          <w:szCs w:val="20"/>
          <w:color w:val="auto"/>
        </w:rPr>
      </w:pPr>
    </w:p>
    <w:p>
      <w:pPr>
        <w:ind w:left="60" w:right="179" w:firstLine="427"/>
        <w:spacing w:after="0" w:line="354" w:lineRule="auto"/>
        <w:rPr>
          <w:sz w:val="20"/>
          <w:szCs w:val="20"/>
          <w:color w:val="auto"/>
        </w:rPr>
      </w:pPr>
      <w:r>
        <w:rPr>
          <w:rFonts w:ascii="Arial" w:cs="Arial" w:eastAsia="Arial" w:hAnsi="Arial"/>
          <w:sz w:val="16"/>
          <w:szCs w:val="16"/>
          <w:color w:val="auto"/>
        </w:rPr>
        <w:t>Changes in customer product demands and consumption models may cause a decline in the Company’s billings, which would have a negative impact on the Company’s financial results. Changes in technology (such as artificial intelligence) could reduce the types or quantity of services that customers require from the Company. While the Company attempts to identify changes in market conditions as soon as possible, the dynamics of the industries in which</w:t>
      </w:r>
    </w:p>
    <w:p>
      <w:pPr>
        <w:sectPr>
          <w:pgSz w:w="11900" w:h="16838" w:orient="portrait"/>
          <w:cols w:equalWidth="0" w:num="1">
            <w:col w:w="9019"/>
          </w:cols>
          <w:pgMar w:left="1440" w:top="517" w:right="1440"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359"/>
        <w:spacing w:after="0" w:line="311" w:lineRule="auto"/>
        <w:rPr>
          <w:sz w:val="20"/>
          <w:szCs w:val="20"/>
          <w:color w:val="auto"/>
        </w:rPr>
      </w:pPr>
      <w:r>
        <w:rPr>
          <w:rFonts w:ascii="Arial" w:cs="Arial" w:eastAsia="Arial" w:hAnsi="Arial"/>
          <w:sz w:val="18"/>
          <w:szCs w:val="18"/>
          <w:color w:val="auto"/>
        </w:rPr>
        <w:t>it operates make it difficult to predict and timely react to such changes, including those relating to product capacity and lead times. Also, future downturns, inflation, or supply chain challenges, including in the semiconductor and embedded solutions industries, could adversely affect the Company’s relationships with its customers, operating results, and profitability.</w:t>
      </w:r>
    </w:p>
    <w:p>
      <w:pPr>
        <w:spacing w:after="0" w:line="75" w:lineRule="exact"/>
        <w:rPr>
          <w:sz w:val="20"/>
          <w:szCs w:val="20"/>
          <w:color w:val="auto"/>
        </w:rPr>
      </w:pPr>
    </w:p>
    <w:p>
      <w:pPr>
        <w:ind w:left="60" w:right="79" w:firstLine="427"/>
        <w:spacing w:after="0" w:line="338" w:lineRule="auto"/>
        <w:rPr>
          <w:sz w:val="20"/>
          <w:szCs w:val="20"/>
          <w:color w:val="auto"/>
        </w:rPr>
      </w:pPr>
      <w:r>
        <w:rPr>
          <w:rFonts w:ascii="Arial" w:cs="Arial" w:eastAsia="Arial" w:hAnsi="Arial"/>
          <w:sz w:val="16"/>
          <w:szCs w:val="16"/>
          <w:color w:val="auto"/>
        </w:rPr>
        <w:t>Specifically, the semiconductor industry experiences periodic fluctuations in product supply and demand (often associated with changes in economic conditions, technology, and manufacturing capacity) and suppliers may not adequately predict or meet customer demand. Geopolitical uncertainty (including from military conflicts; health-related crises; and international trade disputes) have led, and may continue to lead, to shortages, extended lead times, and unpredictability in the supply of certain semiconductors and other electronic components. In reaction, customers may over order to ensure sufficient inventory, which, when the shortage lessens, may result in order cancellations and decreases. In cases where customers have entered into non-cancellable/ non-returnable orders, customers may not be able or willing to carry out the terms of the orders. The Company’s prices to customers depend on many factors, including product availability, supplier costs, and competitive pressures. In fiscal 2022 and 2023, pricing to customers increased due to higher costs from suppliers, as well as higher freight and other costs. However, the Company may not be able to maintain higher prices to customers in the future. As product becomes more available, customer and competitive pressures may lower prices to customers, which could reduce the Company’s margins. In addition, the Company may be unable to increase prices to customers to offset higher internal costs, which could also reduce margins. During fiscal 2023, 2022, and 2021, sales of semiconductors represented approximately 81%, 76%, and 75% of the Company’s consolidated sales, respectively, and the Company’s sales closely follow the strength or weakness of the semiconductor industry. These conditions make it more difficult to manage the Company’s business and predict future performance.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Disruptions to key supplier and customer relationships</w:t>
      </w:r>
    </w:p>
    <w:p>
      <w:pPr>
        <w:spacing w:after="0" w:line="158" w:lineRule="exact"/>
        <w:rPr>
          <w:sz w:val="20"/>
          <w:szCs w:val="20"/>
          <w:color w:val="auto"/>
        </w:rPr>
      </w:pPr>
    </w:p>
    <w:p>
      <w:pPr>
        <w:ind w:left="60" w:right="99" w:firstLine="427"/>
        <w:spacing w:after="0" w:line="302" w:lineRule="auto"/>
        <w:rPr>
          <w:sz w:val="20"/>
          <w:szCs w:val="20"/>
          <w:color w:val="auto"/>
        </w:rPr>
      </w:pPr>
      <w:r>
        <w:rPr>
          <w:rFonts w:ascii="Arial" w:cs="Arial" w:eastAsia="Arial" w:hAnsi="Arial"/>
          <w:sz w:val="18"/>
          <w:szCs w:val="18"/>
          <w:color w:val="auto"/>
        </w:rPr>
        <w:t>One of the Company’s competitive strengths is the breadth and quality of the suppliers whose products the Company distributes. For fiscal 2023, there was one of the Company’s suppliers that accounted for 10% or more of the Company’s consolidated billings. The Company’s contracts with its suppliers vary in duration and are generally terminable by either party at will upon notice. The Company’s suppliers may terminate or significantly reduce their volume of business with the Company because of a product shortage, an unwillingness to do business with the Company, changes in strategy, or otherwise.</w:t>
      </w:r>
    </w:p>
    <w:p>
      <w:pPr>
        <w:spacing w:after="0" w:line="84" w:lineRule="exact"/>
        <w:rPr>
          <w:sz w:val="20"/>
          <w:szCs w:val="20"/>
          <w:color w:val="auto"/>
        </w:rPr>
      </w:pPr>
    </w:p>
    <w:p>
      <w:pPr>
        <w:ind w:left="60" w:right="159" w:firstLine="427"/>
        <w:spacing w:after="0" w:line="346" w:lineRule="auto"/>
        <w:rPr>
          <w:sz w:val="20"/>
          <w:szCs w:val="20"/>
          <w:color w:val="auto"/>
        </w:rPr>
      </w:pPr>
      <w:r>
        <w:rPr>
          <w:rFonts w:ascii="Arial" w:cs="Arial" w:eastAsia="Arial" w:hAnsi="Arial"/>
          <w:sz w:val="16"/>
          <w:szCs w:val="16"/>
          <w:color w:val="auto"/>
        </w:rPr>
        <w:t>Shortages of products or loss of a supplier may negatively affect the Company’s business and relationships with its customers, as customers depend on the Company’s timely delivery of technology hardware and software from the industry’s leading suppliers. In addition, shifts in suppliers’ strategies, or performance and delivery issues, may negatively affect the Company’s financial results. These conditions make it more difficult to manage the Company’s business and predict future performance. The competitive landscape has also experienced a consolidation among suppliers and capacity constraints, which could negatively impact the Company’s profitability and customer base.</w:t>
      </w:r>
    </w:p>
    <w:p>
      <w:pPr>
        <w:spacing w:after="0" w:line="56" w:lineRule="exact"/>
        <w:rPr>
          <w:sz w:val="20"/>
          <w:szCs w:val="20"/>
          <w:color w:val="auto"/>
        </w:rPr>
      </w:pPr>
    </w:p>
    <w:p>
      <w:pPr>
        <w:ind w:left="60" w:right="119" w:firstLine="427"/>
        <w:spacing w:after="0" w:line="350" w:lineRule="auto"/>
        <w:rPr>
          <w:sz w:val="20"/>
          <w:szCs w:val="20"/>
          <w:color w:val="auto"/>
        </w:rPr>
      </w:pPr>
      <w:r>
        <w:rPr>
          <w:rFonts w:ascii="Arial" w:cs="Arial" w:eastAsia="Arial" w:hAnsi="Arial"/>
          <w:sz w:val="16"/>
          <w:szCs w:val="16"/>
          <w:color w:val="auto"/>
        </w:rPr>
        <w:t>Further, if key suppliers modify the terms of their contracts (including, without limitation, terms regarding price protection, rights of return, order cancellation rights, delivery commitments, rebates, or other terms that protect or enhance the Company’s gross margins), it could negatively affect the Company’s results of operations, financial condition, or liquidity. Due to recent global shortages of semiconductors, some suppliers have increased the amount of non-cancellable/ non-returnable orders, which limited the Company’s ability to adjust down its inventory levels. The Company may attempt to limit associated risks by passing such terms on to its customers, but this may not be possible.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171" w:lineRule="exact"/>
        <w:rPr>
          <w:sz w:val="20"/>
          <w:szCs w:val="20"/>
          <w:color w:val="auto"/>
        </w:rPr>
      </w:pPr>
    </w:p>
    <w:p>
      <w:pPr>
        <w:ind w:left="60" w:right="119" w:firstLine="427"/>
        <w:spacing w:after="0" w:line="310" w:lineRule="auto"/>
        <w:rPr>
          <w:sz w:val="20"/>
          <w:szCs w:val="20"/>
          <w:color w:val="auto"/>
        </w:rPr>
      </w:pPr>
      <w:r>
        <w:rPr>
          <w:rFonts w:ascii="Arial" w:cs="Arial" w:eastAsia="Arial" w:hAnsi="Arial"/>
          <w:sz w:val="18"/>
          <w:szCs w:val="18"/>
          <w:color w:val="auto"/>
        </w:rPr>
        <w:t>During fiscal 2023, 2022, and 2021 approximately 76%, 77% and 78%, respectively, of the Company’s sales came from its operations outside the United States. The Company’s operations are subject to a variety of risks that are specific to international operations, including, but not limited to, the following:</w:t>
      </w:r>
    </w:p>
    <w:p>
      <w:pPr>
        <w:spacing w:after="0" w:line="75" w:lineRule="exact"/>
        <w:rPr>
          <w:sz w:val="20"/>
          <w:szCs w:val="20"/>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restrictions on the Company’s ability to repatriate funds from its foreign subsidiaries;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and interest rate fluctuations;</w:t>
      </w:r>
    </w:p>
    <w:p>
      <w:pPr>
        <w:spacing w:after="0" w:line="157" w:lineRule="exact"/>
        <w:rPr>
          <w:rFonts w:ascii="Arial" w:cs="Arial" w:eastAsia="Arial" w:hAnsi="Arial"/>
          <w:sz w:val="18"/>
          <w:szCs w:val="18"/>
          <w:color w:val="auto"/>
        </w:rPr>
      </w:pPr>
    </w:p>
    <w:p>
      <w:pPr>
        <w:ind w:left="820" w:right="699" w:hanging="324"/>
        <w:spacing w:after="0" w:line="31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non-compliance with foreign and domestic data privacy regulations, business licensing requirements, environmental regulations, and anti-corruption laws, the failure of which could result in severe penalties including monetary fines and criminal proceedings;</w:t>
      </w:r>
    </w:p>
    <w:p>
      <w:pPr>
        <w:spacing w:after="0" w:line="75" w:lineRule="exact"/>
        <w:rPr>
          <w:rFonts w:ascii="Arial" w:cs="Arial" w:eastAsia="Arial" w:hAnsi="Arial"/>
          <w:sz w:val="18"/>
          <w:szCs w:val="18"/>
          <w:color w:val="auto"/>
        </w:rPr>
      </w:pPr>
    </w:p>
    <w:p>
      <w:pPr>
        <w:ind w:left="820" w:right="259" w:hanging="324"/>
        <w:spacing w:after="0" w:line="30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non-compliance with foreign and domestic import and export regulations and adoption or expansion of trade restrictions, including technology transfer restrictions, additional license, permit or authorization requirements for shipments, specific company sanctions, new and higher duties, tariffs or surcharges, or other import/export controls;</w:t>
      </w:r>
    </w:p>
    <w:p>
      <w:pPr>
        <w:spacing w:after="0" w:line="78"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and changing tax laws and regulations;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requirements and prohibitions that differ between jurisdictions;</w:t>
      </w:r>
    </w:p>
    <w:p>
      <w:pPr>
        <w:spacing w:after="0" w:line="157" w:lineRule="exact"/>
        <w:rPr>
          <w:rFonts w:ascii="Arial" w:cs="Arial" w:eastAsia="Arial" w:hAnsi="Arial"/>
          <w:sz w:val="18"/>
          <w:szCs w:val="18"/>
          <w:color w:val="auto"/>
        </w:rPr>
      </w:pPr>
    </w:p>
    <w:p>
      <w:pPr>
        <w:ind w:left="820" w:right="619" w:hanging="324"/>
        <w:spacing w:after="0" w:line="32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political instability, terrorism, military conflicts (including the Russia-Ukraine conflict), or civilian unrest;</w:t>
      </w:r>
    </w:p>
    <w:p>
      <w:pPr>
        <w:spacing w:after="0" w:line="62" w:lineRule="exact"/>
        <w:rPr>
          <w:rFonts w:ascii="Arial" w:cs="Arial" w:eastAsia="Arial" w:hAnsi="Arial"/>
          <w:sz w:val="18"/>
          <w:szCs w:val="18"/>
          <w:color w:val="auto"/>
        </w:rPr>
      </w:pPr>
    </w:p>
    <w:p>
      <w:pPr>
        <w:ind w:left="820" w:right="339" w:hanging="324"/>
        <w:spacing w:after="0" w:line="32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freight costs (both inbound and outbound), limitations on shipping and receiving capacity, and other disruptions in the transportation and shipping infrastructure;</w:t>
      </w:r>
    </w:p>
    <w:p>
      <w:pPr>
        <w:spacing w:after="0" w:line="62"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(including as a result of climate change), pandemics, and other public health crises;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employment practices and labor issues; and</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non-compliance with local laws.</w:t>
      </w:r>
    </w:p>
    <w:p>
      <w:pPr>
        <w:spacing w:after="0" w:line="158" w:lineRule="exact"/>
        <w:rPr>
          <w:sz w:val="20"/>
          <w:szCs w:val="20"/>
          <w:color w:val="auto"/>
        </w:rPr>
      </w:pPr>
    </w:p>
    <w:p>
      <w:pPr>
        <w:ind w:left="60" w:right="79" w:firstLine="427"/>
        <w:spacing w:after="0" w:line="342" w:lineRule="auto"/>
        <w:rPr>
          <w:sz w:val="20"/>
          <w:szCs w:val="20"/>
          <w:color w:val="auto"/>
        </w:rPr>
      </w:pPr>
      <w:r>
        <w:rPr>
          <w:rFonts w:ascii="Arial" w:cs="Arial" w:eastAsia="Arial" w:hAnsi="Arial"/>
          <w:sz w:val="16"/>
          <w:szCs w:val="16"/>
          <w:color w:val="auto"/>
        </w:rPr>
        <w:t>In addition to the cost of compliance, the potential criminal penalties for violations of import or export regulations and anti-corruption laws, by the Company or its third-party agents, create heightened risks for the Company’s international operations. If a regulatory body determines that the Company has violated such laws, the Company could be fined significant sums, incur sizable legal defense costs, have its import or export capabilities restricted or denied, or have its inventories seized, which could have a material and adverse effect on the Company’s business. Additionally, allegations that the Company has violated any such regulations may negatively impact the Company’s reputation, which may result in customers or suppliers being unwilling to do business with the Company. While the Company has adopted measures and controls designed to ensure compliance with these laws, these measures may not be adequate, and the Company may be materially and adversely impacted in the event of an actual or alleged violation.</w:t>
      </w:r>
    </w:p>
    <w:p>
      <w:pPr>
        <w:spacing w:after="0" w:line="57" w:lineRule="exact"/>
        <w:rPr>
          <w:sz w:val="20"/>
          <w:szCs w:val="20"/>
          <w:color w:val="auto"/>
        </w:rPr>
      </w:pPr>
    </w:p>
    <w:p>
      <w:pPr>
        <w:ind w:left="60" w:right="119" w:firstLine="427"/>
        <w:spacing w:after="0" w:line="368" w:lineRule="auto"/>
        <w:rPr>
          <w:sz w:val="20"/>
          <w:szCs w:val="20"/>
          <w:color w:val="auto"/>
        </w:rPr>
      </w:pPr>
      <w:r>
        <w:rPr>
          <w:rFonts w:ascii="Arial" w:cs="Arial" w:eastAsia="Arial" w:hAnsi="Arial"/>
          <w:sz w:val="15"/>
          <w:szCs w:val="15"/>
          <w:color w:val="auto"/>
        </w:rPr>
        <w:t>Tariffs, trade restrictions, and sanctions resulting from international trade disputes, changes in trade policies, or military conflicts may adversely affect the Company’s sales and profitability. For example, the U.S. government imposed several trade policies, rules, and restrictions applicable to China and Hong Kong. In addition, in response to the Russian-Ukraine conflict, the United States, the European Union, the United Kingdom, and numerous other countries initiated a variety of sanctions, export restrictions, currency controls and other restrictions against Russia. The Chinese and Russian governments have responded in kind with restrictions, sanctions, and other measures. These actions have resulted in losses; increased costs, including increased costs of procuring certain products the Company purchases from its suppliers; shortages of materials and electronic components; increased expenses such as energy, fuel, and freight costs, which may not</w:t>
      </w:r>
    </w:p>
    <w:p>
      <w:pPr>
        <w:sectPr>
          <w:pgSz w:w="11900" w:h="16838" w:orient="portrait"/>
          <w:cols w:equalWidth="0" w:num="1">
            <w:col w:w="9019"/>
          </w:cols>
          <w:pgMar w:left="1440" w:top="517" w:right="1440"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05" w:lineRule="auto"/>
        <w:rPr>
          <w:sz w:val="20"/>
          <w:szCs w:val="20"/>
          <w:color w:val="auto"/>
        </w:rPr>
      </w:pPr>
      <w:r>
        <w:rPr>
          <w:rFonts w:ascii="Arial" w:cs="Arial" w:eastAsia="Arial" w:hAnsi="Arial"/>
          <w:sz w:val="18"/>
          <w:szCs w:val="18"/>
          <w:color w:val="auto"/>
        </w:rPr>
        <w:t>be possible to pass on to customers; increased cyber security attacks; credit market disruptions; and inflation, which may impact the Company’s sales, customer demand for certain products, access to certain markets, and profits. In addition, increased operational expenses incurred in minimizing the number of products subject to the tariffs could adversely affect the Company’s operating profits. Neither U.S. tariffs nor any retaliatory tariffs imposed by other countries on U.S. goods have yet had a material impact, but any future actions or escalations that affect trade relations could materially affect the Company’s sales and results of operations.</w:t>
      </w:r>
    </w:p>
    <w:p>
      <w:pPr>
        <w:spacing w:after="0" w:line="82" w:lineRule="exact"/>
        <w:rPr>
          <w:sz w:val="20"/>
          <w:szCs w:val="20"/>
          <w:color w:val="auto"/>
        </w:rPr>
      </w:pPr>
    </w:p>
    <w:p>
      <w:pPr>
        <w:ind w:left="60" w:right="179" w:firstLine="427"/>
        <w:spacing w:after="0" w:line="341" w:lineRule="auto"/>
        <w:rPr>
          <w:sz w:val="20"/>
          <w:szCs w:val="20"/>
          <w:color w:val="auto"/>
        </w:rPr>
      </w:pPr>
      <w:r>
        <w:rPr>
          <w:rFonts w:ascii="Arial" w:cs="Arial" w:eastAsia="Arial" w:hAnsi="Arial"/>
          <w:sz w:val="16"/>
          <w:szCs w:val="16"/>
          <w:color w:val="auto"/>
        </w:rPr>
        <w:t>The Company transacts sales, pays expenses, owns assets, and incurs liabilities in countries using currencies other than the U.S. Dollar. Because the Company’s consolidated financial statements are presented in U.S. Dollars, the Company must translate such activities and amounts into U.S. Dollars at exchange rates in effect during each reporting period. Therefore, increases or decreases in the exchange rates between the U.S. Dollar and other currencies affect the Company’s reported amounts of sales, operating income, and assets and liabilities denominated in foreign currencies. In addition, unexpected and dramatic changes in foreign currency exchange rates may negatively affect the Company’s earnings from those markets. While the Company may use derivative financial instruments to reduce its net exposure, foreign currency exchange rate fluctuations may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 information systems failures</w:t>
      </w:r>
    </w:p>
    <w:p>
      <w:pPr>
        <w:spacing w:after="0" w:line="158" w:lineRule="exact"/>
        <w:rPr>
          <w:sz w:val="20"/>
          <w:szCs w:val="20"/>
          <w:color w:val="auto"/>
        </w:rPr>
      </w:pPr>
    </w:p>
    <w:p>
      <w:pPr>
        <w:ind w:left="60" w:right="79" w:firstLine="427"/>
        <w:spacing w:after="0" w:line="340" w:lineRule="auto"/>
        <w:rPr>
          <w:sz w:val="20"/>
          <w:szCs w:val="20"/>
          <w:color w:val="auto"/>
        </w:rPr>
      </w:pPr>
      <w:r>
        <w:rPr>
          <w:rFonts w:ascii="Arial" w:cs="Arial" w:eastAsia="Arial" w:hAnsi="Arial"/>
          <w:sz w:val="16"/>
          <w:szCs w:val="16"/>
          <w:color w:val="auto"/>
        </w:rPr>
        <w:t>The Company depends on its information systems to facilitate its day-to-day operations and to produce timely, accurate, and reliable information on financial and operational results. Currently, the Company’s global operations are tracked with multiple information systems, including systems from acquired businesses, some of which are subject to ongoing IT projects designed to streamline or optimize the Company’s systems. These IT projects are extremely complex, in part because of wide ranging processes, use of on-premise and cloud environments, the Company’s business operations, and changes in information technology (including artificial intelligence). The Company may not always succeed at these efforts. Implementation or integration difficulties may adversely affect the Company’s ability to complete business transactions and ensure accurate recording and reporting of financial data. In addition, IT projects may not achieve the expected efficiencies and cost savings, which could negatively impact the Company’s financial results. A failure of any of these information systems (including due to power losses, computer and telecommunications failures, cyber security incidents, or manmade or natural disasters), or material difficulties in upgrading these information systems, could have an adverse effect on the Company’s business, internal controls, and reporting obligations under federal securities laws.</w:t>
      </w:r>
    </w:p>
    <w:p>
      <w:pPr>
        <w:spacing w:after="0" w:line="58"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disruptions</w:t>
      </w:r>
    </w:p>
    <w:p>
      <w:pPr>
        <w:spacing w:after="0" w:line="158" w:lineRule="exact"/>
        <w:rPr>
          <w:sz w:val="20"/>
          <w:szCs w:val="20"/>
          <w:color w:val="auto"/>
        </w:rPr>
      </w:pPr>
    </w:p>
    <w:p>
      <w:pPr>
        <w:ind w:left="60" w:right="139" w:firstLine="427"/>
        <w:spacing w:after="0" w:line="343" w:lineRule="auto"/>
        <w:rPr>
          <w:sz w:val="20"/>
          <w:szCs w:val="20"/>
          <w:color w:val="auto"/>
        </w:rPr>
      </w:pPr>
      <w:r>
        <w:rPr>
          <w:rFonts w:ascii="Arial" w:cs="Arial" w:eastAsia="Arial" w:hAnsi="Arial"/>
          <w:sz w:val="16"/>
          <w:szCs w:val="16"/>
          <w:color w:val="auto"/>
        </w:rPr>
        <w:t>The Company’s global logistics services are operated through specialized and centralized distribution centers around the globe, some of which are outsourced. The Company also depends almost entirely on third-party transportation service providers to deliver products to its customers. A major interruption or disruption in service at one or more of its distribution centers for any reason or significant disruptions of services from the Company’s third-party transportation providers could cause a delay in expected cost savings or an increase in expenses, which may not be possible to pass on to customers. Such disruptions could result from risks related to information technology, data security, or any of the General Risk Factors, as discussed herein. In addition, as the Company continues to increase capacity at various distribution centers, it may experience operational challenges, increased costs, decreased efficiency,</w:t>
      </w: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339"/>
        <w:spacing w:after="0" w:line="374" w:lineRule="auto"/>
        <w:rPr>
          <w:sz w:val="20"/>
          <w:szCs w:val="20"/>
          <w:color w:val="auto"/>
        </w:rPr>
      </w:pPr>
      <w:r>
        <w:rPr>
          <w:rFonts w:ascii="Arial" w:cs="Arial" w:eastAsia="Arial" w:hAnsi="Arial"/>
          <w:sz w:val="17"/>
          <w:szCs w:val="17"/>
          <w:color w:val="auto"/>
        </w:rPr>
        <w:t>and customer delivery delays and failures. Such operational challenges could have an adverse impact on the Company’s business partners, and on the Company’s business, operations, financial performance, and reputation.</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security and privacy threats</w:t>
      </w:r>
    </w:p>
    <w:p>
      <w:pPr>
        <w:spacing w:after="0" w:line="158" w:lineRule="exact"/>
        <w:rPr>
          <w:sz w:val="20"/>
          <w:szCs w:val="20"/>
          <w:color w:val="auto"/>
        </w:rPr>
      </w:pPr>
    </w:p>
    <w:p>
      <w:pPr>
        <w:ind w:left="60" w:right="59" w:firstLine="427"/>
        <w:spacing w:after="0" w:line="340" w:lineRule="auto"/>
        <w:rPr>
          <w:sz w:val="20"/>
          <w:szCs w:val="20"/>
          <w:color w:val="auto"/>
        </w:rPr>
      </w:pPr>
      <w:r>
        <w:rPr>
          <w:rFonts w:ascii="Arial" w:cs="Arial" w:eastAsia="Arial" w:hAnsi="Arial"/>
          <w:sz w:val="16"/>
          <w:szCs w:val="16"/>
          <w:color w:val="auto"/>
        </w:rPr>
        <w:t>Threats to the Company’s data and information technology systems (including cyber security attacks such as phishing and ransomware) are becoming more frequent and sophisticated. Threat actors have successfully breached the Company’s systems and processes in various ways, and such cyber security breaches expose the Company to significant potential liability and reputational harm. Cyber security attacks have not yet materially impacted the Company’s data (including data about customers, suppliers, and employees) or the Company’s operations, financial condition, or data security, but future attacks could have a material impact. Threat actors seek unauthorized access to intellectual property, or confidential or proprietary information regarding the Company, its customers, its business partners, or its employees. They deploy malicious software programs that exploit security vulnerabilities, including ransomware designed to encrypt the Company’s files so an attacker may demand a ransom for restored access. They also seek to misdirect money, sabotage data and systems, takeover internal processes, and induce employees or other system users to disclose sensitive information, including login credentials. In addition, some Company employees continue to work from home on a full-time or hybrid basis, which increases the Company’s vulnerability to cyber and other information technology risks. Further, the Company’s business partners and service providers, such as suppliers, customers, and hosted solution providers, pose a security risk because their own security systems or infrastructure may become compromised.</w:t>
      </w:r>
    </w:p>
    <w:p>
      <w:pPr>
        <w:spacing w:after="0" w:line="63" w:lineRule="exact"/>
        <w:rPr>
          <w:sz w:val="20"/>
          <w:szCs w:val="20"/>
          <w:color w:val="auto"/>
        </w:rPr>
      </w:pPr>
    </w:p>
    <w:p>
      <w:pPr>
        <w:ind w:left="60" w:right="79" w:firstLine="427"/>
        <w:spacing w:after="0" w:line="339" w:lineRule="auto"/>
        <w:rPr>
          <w:sz w:val="20"/>
          <w:szCs w:val="20"/>
          <w:color w:val="auto"/>
        </w:rPr>
      </w:pPr>
      <w:r>
        <w:rPr>
          <w:rFonts w:ascii="Arial" w:cs="Arial" w:eastAsia="Arial" w:hAnsi="Arial"/>
          <w:sz w:val="16"/>
          <w:szCs w:val="16"/>
          <w:color w:val="auto"/>
        </w:rPr>
        <w:t>The Company seeks to protect and secure its systems and information, prevent and detect evolving threats, and respond to threats as they occur. Measures taken include implementing and enhancing information security controls such as enterprise-wide firewalls, intrusion detection, endpoint protection, email security, disaster recovery, vulnerability management, and cyber security training for employees to enhance awareness of general security best practices, financial fraud, and phishing. Despite these efforts, the Company may not always be successful. Threat actors frequently change their techniques and, consequently, the Company may not always promptly detect the existence or scope of a security breach. As these types of threats grow and evolve, the Company may make further investments to protect its data and information technology infrastructure, which may impact the Company’s profitability. The Company’s insurance coverage for protecting against cyber-attacks may not be sufficient to cover all possible claims, and the Company may suffer losses that could have a material adverse effect on its business. As a global enterprise, the Company may be negatively impacted by existing and proposed laws and regulations, as well as government policies and practices, related to cybersecurity, data privacy, data localization, and data protection. Failure to comply with such requirements could have an adverse effect on the Company’s reputation, business, financial condition, and results of operations, as well as subject the Company to significant fines, litigation losses, third-party damages, and other liabilities.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 value decline</w:t>
      </w:r>
    </w:p>
    <w:p>
      <w:pPr>
        <w:spacing w:after="0" w:line="158" w:lineRule="exact"/>
        <w:rPr>
          <w:sz w:val="20"/>
          <w:szCs w:val="20"/>
          <w:color w:val="auto"/>
        </w:rPr>
      </w:pPr>
    </w:p>
    <w:p>
      <w:pPr>
        <w:ind w:left="60" w:right="119" w:firstLine="427"/>
        <w:spacing w:after="0" w:line="342" w:lineRule="auto"/>
        <w:rPr>
          <w:sz w:val="20"/>
          <w:szCs w:val="20"/>
          <w:color w:val="auto"/>
        </w:rPr>
      </w:pPr>
      <w:r>
        <w:rPr>
          <w:rFonts w:ascii="Arial" w:cs="Arial" w:eastAsia="Arial" w:hAnsi="Arial"/>
          <w:sz w:val="16"/>
          <w:szCs w:val="16"/>
          <w:color w:val="auto"/>
        </w:rPr>
        <w:t>The electronic components and integrated products industries are subject to technological change, new and enhanced products, changes in customer needs, and changes in industry standards and regulatory requirements, which can cause the Company’s inventory to decline in value or become obsolete. Regardless of the general economic environment, prices may decline due to a decrease in demand or an oversupply of products, which may increase the risk of declines in inventory value. Many of the Company’s suppliers offer certain protections from the loss in value of inventory (such as price protection and limited rights of return), but such policies may not fully compensate for the loss. Also, suppliers may not honor such agreements, some of which are subject to the supplier discretion. In addition, most Company sales are made pursuant to individual purchase orders, rather than through long-term sales contracts. Where there are contracts, such contracts are generally terminable at will upon notice. Unforeseen product developments,</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359"/>
        <w:spacing w:after="0" w:line="340" w:lineRule="auto"/>
        <w:rPr>
          <w:sz w:val="20"/>
          <w:szCs w:val="20"/>
          <w:color w:val="auto"/>
        </w:rPr>
      </w:pPr>
      <w:r>
        <w:rPr>
          <w:rFonts w:ascii="Arial" w:cs="Arial" w:eastAsia="Arial" w:hAnsi="Arial"/>
          <w:sz w:val="18"/>
          <w:szCs w:val="18"/>
          <w:color w:val="auto"/>
        </w:rPr>
        <w:t>inventory value declines, or customer cancellations may adversely affect the Company’s business, results of operations, financial condition, or liquidity.</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defaults</w:t>
      </w:r>
    </w:p>
    <w:p>
      <w:pPr>
        <w:spacing w:after="0" w:line="158" w:lineRule="exact"/>
        <w:rPr>
          <w:sz w:val="20"/>
          <w:szCs w:val="20"/>
          <w:color w:val="auto"/>
        </w:rPr>
      </w:pPr>
    </w:p>
    <w:p>
      <w:pPr>
        <w:ind w:left="60" w:right="279" w:firstLine="427"/>
        <w:spacing w:after="0" w:line="322" w:lineRule="auto"/>
        <w:rPr>
          <w:sz w:val="20"/>
          <w:szCs w:val="20"/>
          <w:color w:val="auto"/>
        </w:rPr>
      </w:pPr>
      <w:r>
        <w:rPr>
          <w:rFonts w:ascii="Arial" w:cs="Arial" w:eastAsia="Arial" w:hAnsi="Arial"/>
          <w:sz w:val="17"/>
          <w:szCs w:val="17"/>
          <w:color w:val="auto"/>
        </w:rPr>
        <w:t>Accounts receivable are a significant portion of the Company’s working capital. If entities responsible for a significant amount of accounts receivable cease doing business, direct their business elsewhere, fail to pay, or delay payment, the Company’s business, results of operations, financial condition, or liquidity could be adversely affected. An economic or industry downturn could adversely affect the Company’s ability to collect receivables, which could result in longer payment cycles, increased collection costs, and defaults exceeding management’s expectations. A significant deterioration in the Company’s ability to collect accounts receivable in the United States could impact the cost or availability of financing under its accounts receivable securitization program.</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 constraints</w:t>
      </w:r>
    </w:p>
    <w:p>
      <w:pPr>
        <w:spacing w:after="0" w:line="158"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 In addition to cash on hand, the Company relies on external financing to help satisfy its cash needs. However, various factors affect external financing, including general market conditions, interest rate fluctuations, and the Company’s debt ratings and operating results. Consequently, external financing may not be available on acceptable terms or at all. An increase in the Company’s debt or deterioration of its operating results may cause a reduction in its debt ratings. Any such reduction could negatively impact the Company’s ability to obtain additional financing or renew existing financing, and could result in reduced credit limits, increased financing expenses, and additional restrictions and covenants. A reduction in its current debt rating may also negatively impact the Company’s working capital and impair its relationship with its customers and suppliers.</w:t>
      </w:r>
    </w:p>
    <w:p>
      <w:pPr>
        <w:spacing w:after="0" w:line="59" w:lineRule="exact"/>
        <w:rPr>
          <w:sz w:val="20"/>
          <w:szCs w:val="20"/>
          <w:color w:val="auto"/>
        </w:rPr>
      </w:pPr>
    </w:p>
    <w:p>
      <w:pPr>
        <w:ind w:left="60" w:right="99" w:firstLine="427"/>
        <w:spacing w:after="0" w:line="301" w:lineRule="auto"/>
        <w:rPr>
          <w:sz w:val="20"/>
          <w:szCs w:val="20"/>
          <w:color w:val="auto"/>
        </w:rPr>
      </w:pPr>
      <w:r>
        <w:rPr>
          <w:rFonts w:ascii="Arial" w:cs="Arial" w:eastAsia="Arial" w:hAnsi="Arial"/>
          <w:sz w:val="18"/>
          <w:szCs w:val="18"/>
          <w:color w:val="auto"/>
        </w:rPr>
        <w:t>As of July 1, 2023, the Company had debt outstanding with financial institutions under various notes, secured borrowings, and committed and uncommitted lines of credit. The Company needs cash to pay debt principal and interest, and for general corporate purposes, such as funding its ongoing working capital and capital expenditure needs. Under certain of its credit facilities, the applicable interest rate and costs are based in part on the Company’s current debt rating. If its debt rating is reduced, higher interest rates and increased costs would result. Any material increase in the Company’s financing costs or loss of access to cost-effective financing could have an adverse effect on its profitability, results of operations, and cash flows.</w:t>
      </w:r>
    </w:p>
    <w:p>
      <w:pPr>
        <w:spacing w:after="0" w:line="86" w:lineRule="exact"/>
        <w:rPr>
          <w:sz w:val="20"/>
          <w:szCs w:val="20"/>
          <w:color w:val="auto"/>
        </w:rPr>
      </w:pPr>
    </w:p>
    <w:p>
      <w:pPr>
        <w:ind w:left="60" w:right="79" w:firstLine="427"/>
        <w:spacing w:after="0" w:line="326" w:lineRule="auto"/>
        <w:rPr>
          <w:sz w:val="20"/>
          <w:szCs w:val="20"/>
          <w:color w:val="auto"/>
        </w:rPr>
      </w:pPr>
      <w:r>
        <w:rPr>
          <w:rFonts w:ascii="Arial" w:cs="Arial" w:eastAsia="Arial" w:hAnsi="Arial"/>
          <w:sz w:val="17"/>
          <w:szCs w:val="17"/>
          <w:color w:val="auto"/>
        </w:rPr>
        <w:t>Under some of its credit facilities, the Company is required to maintain a maximum leverage ratio and pass certain financial tests. If the Company increases its level of debt or its operating results deteriorate, it may fail to meet this financial ratio or pass these tests, which may result in an event of default. In such an event, lenders may accelerate payment and the Company may be unable to continue to utilize these facilities. If the Company is unable to utilize these facilities or is required to repay debt earlier than management expected, it may not have sufficient cash available to make interest payments, to repay indebtedness, or for general corporate needs.</w:t>
      </w:r>
    </w:p>
    <w:p>
      <w:pPr>
        <w:spacing w:after="0" w:line="67"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General economic or business conditions, both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covenants and restrictions may limit management discretion</w:t>
      </w:r>
    </w:p>
    <w:p>
      <w:pPr>
        <w:spacing w:after="0" w:line="158" w:lineRule="exact"/>
        <w:rPr>
          <w:sz w:val="20"/>
          <w:szCs w:val="20"/>
          <w:color w:val="auto"/>
        </w:rPr>
      </w:pPr>
    </w:p>
    <w:p>
      <w:pPr>
        <w:jc w:val="both"/>
        <w:ind w:left="60" w:right="259" w:firstLine="427"/>
        <w:spacing w:after="0" w:line="395" w:lineRule="auto"/>
        <w:rPr>
          <w:sz w:val="20"/>
          <w:szCs w:val="20"/>
          <w:color w:val="auto"/>
        </w:rPr>
      </w:pPr>
      <w:r>
        <w:rPr>
          <w:rFonts w:ascii="Arial" w:cs="Arial" w:eastAsia="Arial" w:hAnsi="Arial"/>
          <w:sz w:val="16"/>
          <w:szCs w:val="16"/>
          <w:color w:val="auto"/>
        </w:rPr>
        <w:t>The agreements governing the Company’s financing, including its credit facility, accounts receivable securitization program, and the indentures governing the Company’s outstanding notes, contain various covenants and restrictions that,</w:t>
      </w:r>
    </w:p>
    <w:p>
      <w:pPr>
        <w:sectPr>
          <w:pgSz w:w="11900" w:h="16838" w:orient="portrait"/>
          <w:cols w:equalWidth="0" w:num="1">
            <w:col w:w="9019"/>
          </w:cols>
          <w:pgMar w:left="1440" w:top="517" w:right="1440"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certain circumstances, limit the Company’s ability, and the ability of certain subsidiaries, to:</w:t>
      </w:r>
    </w:p>
    <w:p>
      <w:pPr>
        <w:spacing w:after="0" w:line="171" w:lineRule="exact"/>
        <w:rPr>
          <w:sz w:val="20"/>
          <w:szCs w:val="20"/>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57" w:lineRule="exact"/>
        <w:rPr>
          <w:rFonts w:ascii="Arial" w:cs="Arial" w:eastAsia="Arial" w:hAnsi="Arial"/>
          <w:sz w:val="18"/>
          <w:szCs w:val="18"/>
          <w:color w:val="auto"/>
        </w:rPr>
      </w:pPr>
    </w:p>
    <w:p>
      <w:pPr>
        <w:ind w:left="820" w:right="879" w:hanging="324"/>
        <w:spacing w:after="0" w:line="32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restricted payments (including, under certain circumstances, paying dividends on, redeeming or repurchasing common stock);</w:t>
      </w:r>
    </w:p>
    <w:p>
      <w:pPr>
        <w:spacing w:after="0" w:line="62"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the Company’s assets;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debt; or</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58" w:lineRule="exact"/>
        <w:rPr>
          <w:sz w:val="20"/>
          <w:szCs w:val="20"/>
          <w:color w:val="auto"/>
        </w:rPr>
      </w:pPr>
    </w:p>
    <w:p>
      <w:pPr>
        <w:ind w:left="60" w:right="419" w:firstLine="427"/>
        <w:spacing w:after="0" w:line="310" w:lineRule="auto"/>
        <w:rPr>
          <w:sz w:val="20"/>
          <w:szCs w:val="20"/>
          <w:color w:val="auto"/>
        </w:rPr>
      </w:pPr>
      <w:r>
        <w:rPr>
          <w:rFonts w:ascii="Arial" w:cs="Arial" w:eastAsia="Arial" w:hAnsi="Arial"/>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law changes and compliance</w:t>
      </w:r>
    </w:p>
    <w:p>
      <w:pPr>
        <w:spacing w:after="0" w:line="158" w:lineRule="exact"/>
        <w:rPr>
          <w:sz w:val="20"/>
          <w:szCs w:val="20"/>
          <w:color w:val="auto"/>
        </w:rPr>
      </w:pPr>
    </w:p>
    <w:p>
      <w:pPr>
        <w:jc w:val="both"/>
        <w:ind w:left="60" w:right="79" w:firstLine="427"/>
        <w:spacing w:after="0" w:line="325" w:lineRule="auto"/>
        <w:rPr>
          <w:sz w:val="20"/>
          <w:szCs w:val="20"/>
          <w:color w:val="auto"/>
        </w:rPr>
      </w:pPr>
      <w:r>
        <w:rPr>
          <w:rFonts w:ascii="Arial" w:cs="Arial" w:eastAsia="Arial" w:hAnsi="Arial"/>
          <w:sz w:val="17"/>
          <w:szCs w:val="17"/>
          <w:color w:val="auto"/>
        </w:rPr>
        <w:t>As a multinational corporation, the Company is subject to the tax laws and regulations of the United States and many foreign jurisdictions. From time to time, governments enact or revise tax laws and regulations, which are further subject to interpretations, guidance, amendments, and technical corrections from international, federal, and state tax authorities. Such changes to tax law may adversely affect the Company’s cash flow, costs of share buybacks, and effective tax rate, including through decreases in allowable deductions and higher tax rates.</w:t>
      </w:r>
    </w:p>
    <w:p>
      <w:pPr>
        <w:spacing w:after="0" w:line="67" w:lineRule="exact"/>
        <w:rPr>
          <w:sz w:val="20"/>
          <w:szCs w:val="20"/>
          <w:color w:val="auto"/>
        </w:rPr>
      </w:pPr>
    </w:p>
    <w:p>
      <w:pPr>
        <w:ind w:left="60" w:right="99" w:firstLine="427"/>
        <w:spacing w:after="0" w:line="345" w:lineRule="auto"/>
        <w:rPr>
          <w:sz w:val="20"/>
          <w:szCs w:val="20"/>
          <w:color w:val="auto"/>
        </w:rPr>
      </w:pPr>
      <w:r>
        <w:rPr>
          <w:rFonts w:ascii="Arial" w:cs="Arial" w:eastAsia="Arial" w:hAnsi="Arial"/>
          <w:sz w:val="16"/>
          <w:szCs w:val="16"/>
          <w:color w:val="auto"/>
        </w:rPr>
        <w:t>Many countries are adopting provisions to align their international tax rules with the Base Erosion and Profit Shifting Project, led by the Organisation for Economic Co-operation and Development (“OECD”) and supported by the United States. The project aims to standardize and modernize global corporate tax policy, including tax rate increases and a global minimum tax. In October 2021, a substantial majority of the OECD’s participating countries and jurisdictions agreed to introduce a 15% global minimum corporate tax rate that would apply to companies with revenue over a set threshold. Furthermore, many countries are independently evaluating their corporate tax policy, which could result in tax legislation and enforcement that adversely impacts the Company’s tax provision and value of deferred assets and liabilities. These provisions, if enacted, individually or as a whole, may negatively impact taxation of international business.</w:t>
      </w:r>
    </w:p>
    <w:p>
      <w:pPr>
        <w:spacing w:after="0" w:line="58" w:lineRule="exact"/>
        <w:rPr>
          <w:sz w:val="20"/>
          <w:szCs w:val="20"/>
          <w:color w:val="auto"/>
        </w:rPr>
      </w:pPr>
    </w:p>
    <w:p>
      <w:pPr>
        <w:ind w:left="60" w:right="99" w:firstLine="427"/>
        <w:spacing w:after="0" w:line="346" w:lineRule="auto"/>
        <w:rPr>
          <w:sz w:val="20"/>
          <w:szCs w:val="20"/>
          <w:color w:val="auto"/>
        </w:rPr>
      </w:pPr>
      <w:r>
        <w:rPr>
          <w:rFonts w:ascii="Arial" w:cs="Arial" w:eastAsia="Arial" w:hAnsi="Arial"/>
          <w:sz w:val="16"/>
          <w:szCs w:val="16"/>
          <w:color w:val="auto"/>
        </w:rPr>
        <w:t>The tax laws and regulations of the various countries where the Company has operations are extremely complex and subject to varying interpretations. The Company believes that its historical tax positions are sound and consistent with applicable law, and that it has adequately reserved for income taxes. However, taxing authorities may challenge such positions and the Company may not be successful in defending against any such challenges. The Company’s future income tax expense could be favorably or adversely affected by changes in the mix of earnings in countries with differing statutory tax rates, changes in the valuation of deferred tax assets, and liabilities and changes to its operating structure.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Constraints on internal controls</w:t>
      </w:r>
    </w:p>
    <w:p>
      <w:pPr>
        <w:spacing w:after="0" w:line="158" w:lineRule="exact"/>
        <w:rPr>
          <w:sz w:val="20"/>
          <w:szCs w:val="20"/>
          <w:color w:val="auto"/>
        </w:rPr>
      </w:pPr>
    </w:p>
    <w:p>
      <w:pPr>
        <w:ind w:left="60" w:right="299" w:firstLine="427"/>
        <w:spacing w:after="0" w:line="349" w:lineRule="auto"/>
        <w:rPr>
          <w:sz w:val="20"/>
          <w:szCs w:val="20"/>
          <w:color w:val="auto"/>
        </w:rPr>
      </w:pPr>
      <w:r>
        <w:rPr>
          <w:rFonts w:ascii="Arial" w:cs="Arial" w:eastAsia="Arial" w:hAnsi="Arial"/>
          <w:sz w:val="16"/>
          <w:szCs w:val="16"/>
          <w:color w:val="auto"/>
        </w:rPr>
        <w:t>Effective internal controls are necessary for the Company to provide reliable financial reports, safeguard its assets, and prevent and detect fraud. If the Company cannot do so, its brand and operating results could be harmed. Internal controls over financial reporting are intended to prevent and detect material misstatements in its financial reporting and material fraudulent activity, but are limited by human error, circumventing or overriding controls, and fraud. As a result, the Company may not identify all material activity or all immaterial activity that could aggregate into a material</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47" w:lineRule="auto"/>
        <w:rPr>
          <w:sz w:val="20"/>
          <w:szCs w:val="20"/>
          <w:color w:val="auto"/>
        </w:rPr>
      </w:pPr>
      <w:r>
        <w:rPr>
          <w:rFonts w:ascii="Arial" w:cs="Arial" w:eastAsia="Arial" w:hAnsi="Arial"/>
          <w:sz w:val="16"/>
          <w:szCs w:val="16"/>
          <w:color w:val="auto"/>
        </w:rPr>
        <w:t>misstatement. Therefore, even effective internal controls cannot guarantee that financial statements are wholly accurate or prevent all fraud and loss of assets. Management continually evaluates the effectiveness of the design and operation of the Company’s internal controls. However, if the Company fails 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or the Company could fail to meet its reporting obligations, all of which could have an adverse effect on its business or the market price of the Company’s securities.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expected benefits shortfall</w:t>
      </w:r>
    </w:p>
    <w:p>
      <w:pPr>
        <w:spacing w:after="0" w:line="158" w:lineRule="exact"/>
        <w:rPr>
          <w:sz w:val="20"/>
          <w:szCs w:val="20"/>
          <w:color w:val="auto"/>
        </w:rPr>
      </w:pPr>
    </w:p>
    <w:p>
      <w:pPr>
        <w:ind w:left="60" w:right="79" w:firstLine="427"/>
        <w:spacing w:after="0" w:line="340" w:lineRule="auto"/>
        <w:rPr>
          <w:sz w:val="20"/>
          <w:szCs w:val="20"/>
          <w:color w:val="auto"/>
        </w:rPr>
      </w:pPr>
      <w:r>
        <w:rPr>
          <w:rFonts w:ascii="Arial" w:cs="Arial" w:eastAsia="Arial" w:hAnsi="Arial"/>
          <w:sz w:val="16"/>
          <w:szCs w:val="16"/>
          <w:color w:val="auto"/>
        </w:rPr>
        <w:t>The Company has made, and expects to make, strategic acquisitions or investments globally to further its strategic objectives and support key business initiatives. Acquisitions and investments involve risks and uncertainties, some of which may differ from those associated with the Company’s historical operations. Such risks include, but are not limited to,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operations and initiatives. As a result, the Company’s profitability may be negatively impacted. In addition, the Company may not successfully integrate the acquired businesses, or the integration may be more difficult, costly, or time-consuming than anticipated. Further, any litigation involving the potential acquisition or acquired entity will increase expenses associated with the acquisition, cause a delay in completing the acquisition, impact the ability to integrate the acquired entity, which may impact the Company’s profitability. The Company may experience disruptions that could, depending on the size of the acquisition, have an adverse effect on its business, especially where an acquisition target may have pre-existing regulatory issues or deficiencies, or material weaknesses in internal controls over financial reporting. Furthermore, the Company may not realize all benefits anticipated from its acquisitions, which could adversely affect the Company’s financial performance.</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and Regulatory Risks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 costs and damages</w:t>
      </w:r>
    </w:p>
    <w:p>
      <w:pPr>
        <w:spacing w:after="0" w:line="158" w:lineRule="exact"/>
        <w:rPr>
          <w:sz w:val="20"/>
          <w:szCs w:val="20"/>
          <w:color w:val="auto"/>
        </w:rPr>
      </w:pPr>
    </w:p>
    <w:p>
      <w:pPr>
        <w:ind w:left="60" w:right="239" w:firstLine="427"/>
        <w:spacing w:after="0" w:line="338" w:lineRule="auto"/>
        <w:rPr>
          <w:sz w:val="20"/>
          <w:szCs w:val="20"/>
          <w:color w:val="auto"/>
        </w:rPr>
      </w:pPr>
      <w:r>
        <w:rPr>
          <w:rFonts w:ascii="Arial" w:cs="Arial" w:eastAsia="Arial" w:hAnsi="Arial"/>
          <w:sz w:val="16"/>
          <w:szCs w:val="16"/>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Legal proceedings could result in substantial costs and diversion of management’s efforts and other resources, and could have an adverse effect on the Company’s operations and business reputation. The Company may be obligated to indemnify and defend its customers if the products or services that the Company sells are alleged to infringe any third party’s intellectual property rights. The Company may not be able to obtain supplier indemnification for itself and its customers against such claims, or such indemnification may not fully protect the Company and its customers against such claims. Also, the Company is exposed to potential liability for 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 product recalls, fines, and penalties. Product liability risks could be particularly significant with respect to aerospace,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automotive, and medical applications because of the risk of serious harm to users of such products.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regulations non-compliance</w:t>
      </w:r>
    </w:p>
    <w:p>
      <w:pPr>
        <w:spacing w:after="0" w:line="158" w:lineRule="exact"/>
        <w:rPr>
          <w:sz w:val="20"/>
          <w:szCs w:val="20"/>
          <w:color w:val="auto"/>
        </w:rPr>
      </w:pPr>
    </w:p>
    <w:p>
      <w:pPr>
        <w:ind w:left="60" w:right="159" w:firstLine="427"/>
        <w:spacing w:after="0" w:line="304" w:lineRule="auto"/>
        <w:rPr>
          <w:sz w:val="20"/>
          <w:szCs w:val="20"/>
          <w:color w:val="auto"/>
        </w:rPr>
      </w:pPr>
      <w:r>
        <w:rPr>
          <w:rFonts w:ascii="Arial" w:cs="Arial" w:eastAsia="Arial" w:hAnsi="Arial"/>
          <w:sz w:val="18"/>
          <w:szCs w:val="18"/>
          <w:color w:val="auto"/>
        </w:rPr>
        <w:t>The Company is subject to various federal, state, local, and foreign laws and regulations addressing environmental and other impacts from industrial processes, waste disposal, carbon emissions, use of hazardous materials in products and operations, recycling products, and other related matters. While the Company strives to fully comply with all applicable regulations, certain of these regulations impose liability without fault. Additionally, the Company may be held responsible for the prior activities of an entity it acquired.</w:t>
      </w:r>
    </w:p>
    <w:p>
      <w:pPr>
        <w:spacing w:after="0" w:line="80" w:lineRule="exact"/>
        <w:rPr>
          <w:sz w:val="20"/>
          <w:szCs w:val="20"/>
          <w:color w:val="auto"/>
        </w:rPr>
      </w:pPr>
    </w:p>
    <w:p>
      <w:pPr>
        <w:jc w:val="both"/>
        <w:ind w:left="60" w:right="279" w:firstLine="427"/>
        <w:spacing w:after="0" w:line="306" w:lineRule="auto"/>
        <w:rPr>
          <w:sz w:val="20"/>
          <w:szCs w:val="20"/>
          <w:color w:val="auto"/>
        </w:rPr>
      </w:pPr>
      <w:r>
        <w:rPr>
          <w:rFonts w:ascii="Arial" w:cs="Arial" w:eastAsia="Arial" w:hAnsi="Arial"/>
          <w:sz w:val="18"/>
          <w:szCs w:val="18"/>
          <w:color w:val="auto"/>
        </w:rPr>
        <w:t>Failure to comply with these regulations could result in substantial costs, fines, and civil or criminal sanctions, as well as third-party claims for property damage or personal injury. Future environmental laws and regulations, including disclosure requirements, may become more stringent over time, imposing greater compliance costs, and increasing risks, penalties and reputational harm associated with violations.</w:t>
      </w:r>
    </w:p>
    <w:p>
      <w:pPr>
        <w:spacing w:after="0" w:line="78" w:lineRule="exact"/>
        <w:rPr>
          <w:sz w:val="20"/>
          <w:szCs w:val="20"/>
          <w:color w:val="auto"/>
        </w:rPr>
      </w:pPr>
    </w:p>
    <w:p>
      <w:pPr>
        <w:ind w:left="60" w:right="79" w:firstLine="427"/>
        <w:spacing w:after="0" w:line="329" w:lineRule="auto"/>
        <w:rPr>
          <w:sz w:val="20"/>
          <w:szCs w:val="20"/>
          <w:color w:val="auto"/>
        </w:rPr>
      </w:pPr>
      <w:r>
        <w:rPr>
          <w:rFonts w:ascii="Arial" w:cs="Arial" w:eastAsia="Arial" w:hAnsi="Arial"/>
          <w:sz w:val="17"/>
          <w:szCs w:val="17"/>
          <w:color w:val="auto"/>
        </w:rPr>
        <w:t>Customers, suppliers, investors, and regulatory agencies in various jurisdictions globally are increasingly requesting or requiring disclosure and action regarding the Company’s supply chain due-diligence and environmental, social, and governance practices. Such increased expectations and regulations may increase compliance costs and result in reputational damage and loss of business if the Company is perceived to have not met such expectations.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Negative impacts of economic or geopolitical uncertainty, or a health crisis, on operations and financial results</w:t>
      </w:r>
    </w:p>
    <w:p>
      <w:pPr>
        <w:spacing w:after="0" w:line="181" w:lineRule="exact"/>
        <w:rPr>
          <w:sz w:val="20"/>
          <w:szCs w:val="20"/>
          <w:color w:val="auto"/>
        </w:rPr>
      </w:pPr>
    </w:p>
    <w:p>
      <w:pPr>
        <w:ind w:left="60" w:right="99" w:firstLine="427"/>
        <w:spacing w:after="0" w:line="344" w:lineRule="auto"/>
        <w:rPr>
          <w:sz w:val="20"/>
          <w:szCs w:val="20"/>
          <w:color w:val="auto"/>
        </w:rPr>
      </w:pPr>
      <w:r>
        <w:rPr>
          <w:rFonts w:ascii="Arial" w:cs="Arial" w:eastAsia="Arial" w:hAnsi="Arial"/>
          <w:sz w:val="16"/>
          <w:szCs w:val="16"/>
          <w:color w:val="auto"/>
        </w:rPr>
        <w:t>Economic weakness and geopolitical uncertainty (including from military conflicts and international trade disputes), as well as health-related crises (including pandemics and epidemics), have resulted, and may result in the future, in a variety of adverse impacts on the Company and its customers and suppliers. Such adverse impacts include decreased sales, margins, and earnings; increased logistics costs; demand uncertainty; constrained workforce participation; global supply chain disruptions; and logistics and distribution system disruptions. Such crises and uncertainties could also result in, or heighten the risks of, customer bankruptcies, customer delayed or defaulted payments, delays in product deliveries, financial market disruption and volatility, and other risk factors described in the Company’s Annual Report. As a result, the Company may need to impair assets (including goodwill, intangible assets, and other long-lived assets), implement restructuring actions, and reduce expenses in response to decreased sales or margins.</w:t>
      </w:r>
    </w:p>
    <w:p>
      <w:pPr>
        <w:spacing w:after="0" w:line="57"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The Company may not be able to adequately adjust its cost structure in a timely fashion, which may adversely impact its profitability. Uncertainty about economic conditions may increase foreign currency volatility, which may negatively impact the Company’s results. Economic weakness and geopolitical uncertainty also make it more difficult for the Company to manage inventory levels (including when customers decrease orders, cancel existing orders, or are unable to fulfill their obligations under non-cancelable/ non-return orders) and collect customer receivables, which may result in provisions to create reserves, write-offs, reduced access to liquidity, higher financing costs, and increased pressure on cash flows.</w:t>
      </w:r>
    </w:p>
    <w:p>
      <w:pPr>
        <w:spacing w:after="0" w:line="86" w:lineRule="exact"/>
        <w:rPr>
          <w:sz w:val="20"/>
          <w:szCs w:val="20"/>
          <w:color w:val="auto"/>
        </w:rPr>
      </w:pPr>
    </w:p>
    <w:p>
      <w:pPr>
        <w:ind w:left="60" w:right="99" w:firstLine="427"/>
        <w:spacing w:after="0" w:line="302" w:lineRule="auto"/>
        <w:rPr>
          <w:sz w:val="20"/>
          <w:szCs w:val="20"/>
          <w:color w:val="auto"/>
        </w:rPr>
      </w:pPr>
      <w:r>
        <w:rPr>
          <w:rFonts w:ascii="Arial" w:cs="Arial" w:eastAsia="Arial" w:hAnsi="Arial"/>
          <w:sz w:val="18"/>
          <w:szCs w:val="18"/>
          <w:color w:val="auto"/>
        </w:rPr>
        <w:t>An increase in or prolonged period of inflation could affect the Company’s profitability and cash flows, due to higher wages, higher operating expenses, higher financing costs, and higher supplier prices. Inflation may also adversely affect foreign exchange rates. The Company may be unable to pass along such higher costs to its customers, which may result in lower gross profit margins. In addition, inflation may adversely affect customers’ financing costs, cash flows, and profitability, which could adversely impact their operations and the Company’s ability to offer credit and collect receivables.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left="60" w:right="259" w:firstLine="427"/>
        <w:spacing w:after="0" w:line="344" w:lineRule="auto"/>
        <w:rPr>
          <w:sz w:val="20"/>
          <w:szCs w:val="20"/>
          <w:color w:val="auto"/>
        </w:rPr>
      </w:pPr>
      <w:r>
        <w:rPr>
          <w:rFonts w:ascii="Arial" w:cs="Arial" w:eastAsia="Arial" w:hAnsi="Arial"/>
          <w:sz w:val="16"/>
          <w:szCs w:val="16"/>
          <w:color w:val="auto"/>
        </w:rPr>
        <w:t>The market for the Company’s products and services is very competitive and subject to technological advances (including artificial intelligence), new competitors, non-traditional competitors, and changes in industry standards. The Company competes with other global and regional distributors, as well as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58"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The size of the Company’s competitors varies across market sectors, as do the resources the Company has allocated to the sectors and geographic areas in which it does business. Therefore, some competitors may have greater resources or a more extensive customer or supplier base in some market sectors and geographic areas. As a result, the Company may not be able to effectively compete in certain markets, which could impact the Company’s profitability and prospects.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retention and hiring constraints</w:t>
      </w:r>
    </w:p>
    <w:p>
      <w:pPr>
        <w:spacing w:after="0" w:line="158"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Identifying, hiring, training, developing, and retaining qualified and engaged employees is critical to the Company’s success, and competition for experienced employees in the Company’s industry can be intense. Restrictions on immigration or changes in immigration laws, including visa restrictions, may limit the Company’s acquisition of key talent, including talent with diverse experience, background, ability, and perspectives. Changing demographics and labor work force trends may result in a loss of knowledge and skills as experienced workers leave the Company. In addition, as global opportunities and industry demands shift, and as the Company expands its offerings, the Company may encounter challenges in realigning, training, and hiring skilled personnel. Through organizational design activities, the Company periodically eliminates positions due to restructurings or other reasons, which may risk the Company’s brand reputation as an employer of choice and negatively impact the Company’s ability to hire and retain qualified personnel. Also, position eliminations may negatively impact the morale of employees who are not terminated, which could result in work stoppages or slowdowns, particularly where employees are represented by unions or works councils. If these circumstances occur, the Company’s business, financial condition, and results of operations could be seriously harmed.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43" w:lineRule="exact"/>
        <w:rPr>
          <w:sz w:val="20"/>
          <w:szCs w:val="20"/>
          <w:color w:val="auto"/>
        </w:rPr>
      </w:pPr>
    </w:p>
    <w:p>
      <w:pPr>
        <w:ind w:left="60" w:right="119" w:firstLine="427"/>
        <w:spacing w:after="0" w:line="395" w:lineRule="auto"/>
        <w:rPr>
          <w:sz w:val="20"/>
          <w:szCs w:val="20"/>
          <w:color w:val="auto"/>
        </w:rPr>
      </w:pPr>
      <w:r>
        <w:rPr>
          <w:rFonts w:ascii="Arial" w:cs="Arial" w:eastAsia="Arial" w:hAnsi="Arial"/>
          <w:sz w:val="16"/>
          <w:szCs w:val="16"/>
          <w:color w:val="auto"/>
        </w:rPr>
        <w:t>The Company owns and leases approximately 1.7 million and 4.2 million square feet of space, respectively, of which approximately 27% is in the United States. The following table summarizes certain of the Company’s key facilities: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Approximate</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w w:val="86"/>
              </w:rPr>
              <w:t>Leased</w:t>
            </w:r>
          </w:p>
        </w:tc>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1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or</w:t>
            </w:r>
          </w:p>
        </w:tc>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5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w w:val="89"/>
              </w:rPr>
              <w:t>Owned</w:t>
            </w:r>
          </w:p>
        </w:tc>
        <w:tc>
          <w:tcPr>
            <w:tcW w:w="180" w:type="dxa"/>
            <w:vAlign w:val="bottom"/>
          </w:tcPr>
          <w:p>
            <w:pPr>
              <w:spacing w:after="0"/>
              <w:rPr>
                <w:sz w:val="20"/>
                <w:szCs w:val="20"/>
                <w:color w:val="auto"/>
              </w:rPr>
            </w:pPr>
          </w:p>
        </w:tc>
        <w:tc>
          <w:tcPr>
            <w:tcW w:w="4220" w:type="dxa"/>
            <w:vAlign w:val="bottom"/>
            <w:gridSpan w:val="2"/>
          </w:tcPr>
          <w:p>
            <w:pPr>
              <w:ind w:left="1600"/>
              <w:spacing w:after="0"/>
              <w:rPr>
                <w:sz w:val="20"/>
                <w:szCs w:val="20"/>
                <w:color w:val="auto"/>
              </w:rPr>
            </w:pPr>
            <w:r>
              <w:rPr>
                <w:rFonts w:ascii="Arial" w:cs="Arial" w:eastAsia="Arial" w:hAnsi="Arial"/>
                <w:sz w:val="18"/>
                <w:szCs w:val="18"/>
                <w:b w:val="1"/>
                <w:bCs w:val="1"/>
                <w:color w:val="auto"/>
              </w:rPr>
              <w:t>Primary Use</w:t>
            </w:r>
          </w:p>
        </w:tc>
      </w:tr>
      <w:tr>
        <w:trPr>
          <w:trHeight w:val="216"/>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Chandler, Arizona</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Owned</w:t>
            </w:r>
          </w:p>
        </w:tc>
        <w:tc>
          <w:tcPr>
            <w:tcW w:w="18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EC warehousing and value-added operations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Tongeren, Belgium</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Leeds, United Kingdom</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Farnell warehousing and value-added operations</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Poing, Germany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Gaffney, South Carolina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Farnell warehousing</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Hong Kong, China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Phoenix, Arizona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Corporate and EC Americas headquarters</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Chandler, Arizona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w w:val="92"/>
              </w:rPr>
              <w:t>EC warehousing, integration and value-added operations</w:t>
            </w:r>
          </w:p>
        </w:tc>
      </w:tr>
    </w:tbl>
    <w:p>
      <w:pPr>
        <w:spacing w:after="0" w:line="201" w:lineRule="exact"/>
        <w:rPr>
          <w:sz w:val="20"/>
          <w:szCs w:val="20"/>
          <w:color w:val="auto"/>
        </w:rPr>
      </w:pPr>
    </w:p>
    <w:p>
      <w:pPr>
        <w:jc w:val="both"/>
        <w:ind w:left="60" w:right="79" w:firstLine="427"/>
        <w:spacing w:after="0" w:line="342" w:lineRule="auto"/>
        <w:rPr>
          <w:sz w:val="20"/>
          <w:szCs w:val="20"/>
          <w:color w:val="auto"/>
        </w:rPr>
      </w:pPr>
      <w:r>
        <w:rPr>
          <w:rFonts w:ascii="Arial" w:cs="Arial" w:eastAsia="Arial" w:hAnsi="Arial"/>
          <w:sz w:val="16"/>
          <w:szCs w:val="16"/>
          <w:color w:val="auto"/>
        </w:rPr>
        <w:t>See Note 5, “Property, plant and equipment, net” and Note 11, “Leases” to the Company’s consolidated financial statements included in Item 8 of this Annual Report on Form 10-K for additional information on the Company’s properties.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43" w:lineRule="exact"/>
        <w:rPr>
          <w:sz w:val="20"/>
          <w:szCs w:val="20"/>
          <w:color w:val="auto"/>
        </w:rPr>
      </w:pPr>
    </w:p>
    <w:p>
      <w:pPr>
        <w:ind w:left="60" w:right="239" w:firstLine="427"/>
        <w:spacing w:after="0" w:line="32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69" w:lineRule="exact"/>
        <w:rPr>
          <w:sz w:val="20"/>
          <w:szCs w:val="20"/>
          <w:color w:val="auto"/>
        </w:rPr>
      </w:pPr>
    </w:p>
    <w:p>
      <w:pPr>
        <w:jc w:val="both"/>
        <w:ind w:left="60" w:right="299" w:firstLine="427"/>
        <w:spacing w:after="0" w:line="354"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common stock is listed on the Nasdaq Global Select Market under the symbol AVT.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43" w:lineRule="exact"/>
        <w:rPr>
          <w:sz w:val="20"/>
          <w:szCs w:val="20"/>
          <w:color w:val="auto"/>
        </w:rPr>
      </w:pPr>
    </w:p>
    <w:p>
      <w:pPr>
        <w:ind w:left="60" w:right="139" w:firstLine="427"/>
        <w:spacing w:after="0" w:line="329" w:lineRule="auto"/>
        <w:rPr>
          <w:sz w:val="20"/>
          <w:szCs w:val="20"/>
          <w:color w:val="auto"/>
        </w:rPr>
      </w:pPr>
      <w:r>
        <w:rPr>
          <w:rFonts w:ascii="Arial" w:cs="Arial" w:eastAsia="Arial" w:hAnsi="Arial"/>
          <w:sz w:val="17"/>
          <w:szCs w:val="17"/>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Record Holders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August 11, 2023, there were 1,384 registered holders of record of Avnet’s common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229" w:lineRule="exact"/>
        <w:rPr>
          <w:sz w:val="20"/>
          <w:szCs w:val="20"/>
          <w:color w:val="auto"/>
        </w:rPr>
      </w:pPr>
    </w:p>
    <w:p>
      <w:pPr>
        <w:ind w:left="60" w:right="99" w:firstLine="427"/>
        <w:spacing w:after="0" w:line="308" w:lineRule="auto"/>
        <w:rPr>
          <w:sz w:val="20"/>
          <w:szCs w:val="20"/>
          <w:color w:val="auto"/>
        </w:rPr>
      </w:pPr>
      <w:r>
        <w:rPr>
          <w:rFonts w:ascii="Arial" w:cs="Arial" w:eastAsia="Arial" w:hAnsi="Arial"/>
          <w:sz w:val="18"/>
          <w:szCs w:val="18"/>
          <w:color w:val="auto"/>
        </w:rPr>
        <w:t>The graph below matches the cumulative 5-year total return of holders of Avnet’s common stock with (i) the cumulative total returns of the Nasdaq Composite Index and (ii) a customized peer group of five companies (Agilysys Inc., Arrow Electronics Inc., Insight Enterprises Inc., Scansource Inc., and TD Synnex Corporation). The graph assumes that the value of the investment in Avnet’s common stock, in each index, and in the peer group (including reinvestment of dividends) was $100 on 6/30/2018 and tracks it through 7/1/2023.</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692150</wp:posOffset>
            </wp:positionV>
            <wp:extent cx="5554980" cy="4105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54980"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color w:val="auto"/>
              </w:rPr>
              <w:t>6/30/2018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6/29/2019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6/27/2020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7/3/2021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7/2/2022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7/1/2023</w:t>
            </w:r>
          </w:p>
        </w:tc>
        <w:tc>
          <w:tcPr>
            <w:tcW w:w="60" w:type="dxa"/>
            <w:vAlign w:val="bottom"/>
          </w:tcPr>
          <w:p>
            <w:pPr>
              <w:spacing w:after="0"/>
              <w:rPr>
                <w:sz w:val="20"/>
                <w:szCs w:val="20"/>
                <w:color w:val="auto"/>
              </w:rPr>
            </w:pPr>
          </w:p>
        </w:tc>
      </w:tr>
      <w:tr>
        <w:trPr>
          <w:trHeight w:val="216"/>
        </w:trPr>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Avnet, Inc.</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107.49</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63.35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99.84</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108.02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132.42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Nasdaq Composite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191.93</w:t>
            </w:r>
          </w:p>
        </w:tc>
        <w:tc>
          <w:tcPr>
            <w:tcW w:w="6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6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3"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During the fiscal year ended July 2, 2022, the Company’s Board of Directors approved a new share repurchase plan with an authorization to repurchase up to an aggregate of $600 million of common stock. The following table includes the Company’s monthly purchases of the Company’s common stock during the fourth quarter of fiscal 2023, under the share repurchase program, which is part of publicly announced plans.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Average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Purchased</w:t>
            </w:r>
          </w:p>
        </w:tc>
        <w:tc>
          <w:tcPr>
            <w:tcW w:w="17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w w:val="92"/>
              </w:rPr>
              <w:t>Purchased under the</w:t>
            </w:r>
          </w:p>
        </w:tc>
      </w:tr>
      <w:tr>
        <w:trPr>
          <w:trHeight w:val="241"/>
        </w:trPr>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 – April 29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318,519,000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April 30 – May 27</w:t>
            </w: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40.01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318,511,000</w:t>
            </w:r>
          </w:p>
        </w:tc>
        <w:tc>
          <w:tcPr>
            <w:tcW w:w="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28 – July 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318,511,000</w:t>
            </w:r>
          </w:p>
        </w:tc>
        <w:tc>
          <w:tcPr>
            <w:tcW w:w="40" w:type="dxa"/>
            <w:vAlign w:val="bottom"/>
            <w:shd w:val="clear" w:color="auto" w:fill="CCEEFF"/>
          </w:tcPr>
          <w:p>
            <w:pPr>
              <w:spacing w:after="0"/>
              <w:rPr>
                <w:sz w:val="18"/>
                <w:szCs w:val="18"/>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43" w:lineRule="exact"/>
        <w:rPr>
          <w:sz w:val="20"/>
          <w:szCs w:val="20"/>
          <w:color w:val="auto"/>
        </w:rPr>
      </w:pPr>
    </w:p>
    <w:p>
      <w:pPr>
        <w:ind w:left="60" w:right="259" w:firstLine="427"/>
        <w:spacing w:after="0" w:line="302" w:lineRule="auto"/>
        <w:rPr>
          <w:sz w:val="20"/>
          <w:szCs w:val="20"/>
          <w:color w:val="auto"/>
        </w:rPr>
      </w:pPr>
      <w:r>
        <w:rPr>
          <w:rFonts w:ascii="Arial" w:cs="Arial" w:eastAsia="Arial" w:hAnsi="Arial"/>
          <w:sz w:val="18"/>
          <w:szCs w:val="18"/>
          <w:color w:val="auto"/>
        </w:rPr>
        <w:t>For a description of the Company’s critical accounting policies and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8 of this Report. The Company operates on a “52/53 week” fiscal year. Fiscal 2023 and fiscal 2022 contain 52 weeks compared to 53 weeks in fiscal 2021.</w:t>
      </w:r>
    </w:p>
    <w:p>
      <w:pPr>
        <w:spacing w:after="0" w:line="84"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EMEA and Asia, are referred to as “constant currency.”</w:t>
      </w:r>
    </w:p>
    <w:p>
      <w:pPr>
        <w:spacing w:after="0" w:line="84" w:lineRule="exact"/>
        <w:rPr>
          <w:sz w:val="20"/>
          <w:szCs w:val="20"/>
          <w:color w:val="auto"/>
        </w:rPr>
      </w:pPr>
    </w:p>
    <w:p>
      <w:pPr>
        <w:ind w:left="60" w:right="539" w:firstLine="427"/>
        <w:spacing w:after="0" w:line="395"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5" w:lineRule="exact"/>
        <w:rPr>
          <w:sz w:val="20"/>
          <w:szCs w:val="20"/>
          <w:color w:val="auto"/>
        </w:rPr>
      </w:pPr>
    </w:p>
    <w:p>
      <w:pPr>
        <w:ind w:left="820" w:right="139" w:hanging="324"/>
        <w:spacing w:after="0" w:line="30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excluding (i) restructuring, integration and other expenses (see Restructuring, Integration and Other Expenses in this MD&amp;A), (ii) Russian-Ukraine conflict related expenses (see Russian-Ukraine conflict related expenses in this MD&amp;A), and (iii) amortization of acquired intangible assets is referred to as “adjusted operating income.”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Years Ended</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98"/>
        </w:trPr>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July 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July 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July 3,</w:t>
            </w:r>
          </w:p>
        </w:tc>
      </w:tr>
      <w:tr>
        <w:trPr>
          <w:trHeight w:val="241"/>
        </w:trPr>
        <w:tc>
          <w:tcPr>
            <w:tcW w:w="4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03"/>
        </w:trPr>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0"/>
              </w:rPr>
              <w:t>(Thousands)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1,186,800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939,011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281,408</w:t>
            </w:r>
          </w:p>
        </w:tc>
      </w:tr>
      <w:tr>
        <w:trPr>
          <w:trHeight w:val="216"/>
        </w:trPr>
        <w:tc>
          <w:tcPr>
            <w:tcW w:w="466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84,391</w:t>
            </w:r>
          </w:p>
        </w:tc>
      </w:tr>
      <w:tr>
        <w:trPr>
          <w:trHeight w:val="216"/>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Russian-Ukraine conflict related expenses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8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41,245</w:t>
            </w:r>
          </w:p>
        </w:tc>
      </w:tr>
      <w:tr>
        <w:trPr>
          <w:trHeight w:val="196"/>
        </w:trPr>
        <w:tc>
          <w:tcPr>
            <w:tcW w:w="46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1,220,891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985,582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407,044</w:t>
            </w:r>
          </w:p>
        </w:tc>
      </w:tr>
      <w:tr>
        <w:trPr>
          <w:trHeight w:val="20"/>
        </w:trPr>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right="59" w:firstLine="427"/>
        <w:spacing w:after="0" w:line="346" w:lineRule="auto"/>
        <w:rPr>
          <w:sz w:val="20"/>
          <w:szCs w:val="20"/>
          <w:color w:val="auto"/>
        </w:rPr>
      </w:pPr>
      <w:r>
        <w:rPr>
          <w:rFonts w:ascii="Arial" w:cs="Arial" w:eastAsia="Arial" w:hAnsi="Arial"/>
          <w:sz w:val="16"/>
          <w:szCs w:val="16"/>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9"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Sales for fiscal 2023 were $26.54 billion, an increase of 9.2% from fiscal 2022 sales of $24.31 billion. Excluding the impact of changes in foreign currency, sales increased 13.4% as compared to sales in the prior year. This increase in sales was predominately driven by sales growth in both operating groups across all regions driven by strong global demand and to a lesser extent pricing for electronic components.</w:t>
      </w:r>
    </w:p>
    <w:p>
      <w:pPr>
        <w:spacing w:after="0" w:line="146"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Gross profit increased $216.8 million or 7.3% from fiscal 2022 gross profit due primarily to increases in sales. Gross profit margin of 12.0% decreased 21 basis points compared to 12.2% in fiscal 2022. This decrease is primarily driven by the unwinding of certain pricing premiums in the Farnell business.</w:t>
      </w:r>
    </w:p>
    <w:p>
      <w:pPr>
        <w:spacing w:after="0" w:line="156" w:lineRule="exact"/>
        <w:rPr>
          <w:sz w:val="20"/>
          <w:szCs w:val="20"/>
          <w:color w:val="auto"/>
        </w:rPr>
      </w:pPr>
    </w:p>
    <w:p>
      <w:pPr>
        <w:ind w:left="60" w:right="159" w:firstLine="427"/>
        <w:spacing w:after="0" w:line="346" w:lineRule="auto"/>
        <w:rPr>
          <w:sz w:val="20"/>
          <w:szCs w:val="20"/>
          <w:color w:val="auto"/>
        </w:rPr>
      </w:pPr>
      <w:r>
        <w:rPr>
          <w:rFonts w:ascii="Arial" w:cs="Arial" w:eastAsia="Arial" w:hAnsi="Arial"/>
          <w:sz w:val="16"/>
          <w:szCs w:val="16"/>
          <w:color w:val="auto"/>
        </w:rPr>
        <w:t>Operating income of $1.19 billion was $247.8 million or 26.4% higher than fiscal 2022. Operating income margin was 4.5% in fiscal 2023, as compared to 3.9% in fiscal 2022. The increase in operating income margin is primarily the result of increases in sales and the operating leverage created by the additional gross profit dollars without any meaningful increase in selling, general and administrative expenses. Adjusted operating income margin was 4.6% in fiscal 2023 as compared to 4.1% in fiscal 2022, an increase of 55 basis points. This increase in adjusted operating income margin is primarily due to increases in sales and the operating leverage created by the additional gross profit dollars.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Three-Year Analysis of Sales: By Operating Group and Geography</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a year-over-year summary of sales for the Company and its operating groups.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Years Ended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July 1,</w:t>
            </w:r>
          </w:p>
        </w:tc>
        <w:tc>
          <w:tcPr>
            <w:tcW w:w="160" w:type="dxa"/>
            <w:vAlign w:val="bottom"/>
          </w:tcPr>
          <w:p>
            <w:pPr>
              <w:spacing w:after="0"/>
              <w:rPr>
                <w:sz w:val="16"/>
                <w:szCs w:val="16"/>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July 2,</w:t>
            </w:r>
          </w:p>
        </w:tc>
        <w:tc>
          <w:tcPr>
            <w:tcW w:w="12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July 3,</w:t>
            </w:r>
          </w:p>
        </w:tc>
        <w:tc>
          <w:tcPr>
            <w:tcW w:w="16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2023 to</w:t>
            </w:r>
          </w:p>
        </w:tc>
        <w:tc>
          <w:tcPr>
            <w:tcW w:w="640" w:type="dxa"/>
            <w:vAlign w:val="bottom"/>
          </w:tcPr>
          <w:p>
            <w:pPr>
              <w:ind w:left="40"/>
              <w:spacing w:after="0"/>
              <w:rPr>
                <w:sz w:val="20"/>
                <w:szCs w:val="20"/>
                <w:color w:val="auto"/>
              </w:rPr>
            </w:pPr>
            <w:r>
              <w:rPr>
                <w:rFonts w:ascii="Arial" w:cs="Arial" w:eastAsia="Arial" w:hAnsi="Arial"/>
                <w:sz w:val="16"/>
                <w:szCs w:val="16"/>
                <w:b w:val="1"/>
                <w:bCs w:val="1"/>
                <w:color w:val="auto"/>
              </w:rPr>
              <w:t>2022 to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9"/>
                <w:szCs w:val="19"/>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w:t>
            </w:r>
          </w:p>
        </w:tc>
        <w:tc>
          <w:tcPr>
            <w:tcW w:w="180" w:type="dxa"/>
            <w:vAlign w:val="bottom"/>
            <w:gridSpan w:val="2"/>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millions)</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Sales by Operating Group:</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EC</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3"/>
              </w:rPr>
              <w:t>24,802.6</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93.5 %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22,503.3</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92.6 %</w:t>
            </w:r>
          </w:p>
        </w:tc>
        <w:tc>
          <w:tcPr>
            <w:tcW w:w="160" w:type="dxa"/>
            <w:vAlign w:val="bottom"/>
          </w:tcPr>
          <w:p>
            <w:pPr>
              <w:spacing w:after="0"/>
              <w:rPr>
                <w:sz w:val="17"/>
                <w:szCs w:val="17"/>
                <w:color w:val="auto"/>
              </w:rPr>
            </w:pP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18,030.5</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92.3 %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10.2 %</w:t>
            </w:r>
          </w:p>
        </w:tc>
        <w:tc>
          <w:tcPr>
            <w:tcW w:w="16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7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1,807.4</w:t>
            </w:r>
          </w:p>
        </w:tc>
        <w:tc>
          <w:tcPr>
            <w:tcW w:w="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7.4</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1,504.2</w:t>
            </w:r>
          </w:p>
        </w:tc>
        <w:tc>
          <w:tcPr>
            <w:tcW w:w="7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26,536.9</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24,310.7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19,534.7</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rPr>
              <w:t>Sales by Geographic Region: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Americas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EMEA</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9,229.4</w:t>
            </w:r>
          </w:p>
        </w:tc>
        <w:tc>
          <w:tcPr>
            <w:tcW w:w="700" w:type="dxa"/>
            <w:vAlign w:val="bottom"/>
            <w:gridSpan w:val="2"/>
          </w:tcPr>
          <w:p>
            <w:pPr>
              <w:jc w:val="right"/>
              <w:ind w:right="139"/>
              <w:spacing w:after="0"/>
              <w:rPr>
                <w:sz w:val="20"/>
                <w:szCs w:val="20"/>
                <w:color w:val="auto"/>
              </w:rPr>
            </w:pPr>
            <w:r>
              <w:rPr>
                <w:rFonts w:ascii="Arial" w:cs="Arial" w:eastAsia="Arial" w:hAnsi="Arial"/>
                <w:sz w:val="16"/>
                <w:szCs w:val="16"/>
                <w:color w:val="auto"/>
              </w:rPr>
              <w:t>34.8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7,838.1</w:t>
            </w:r>
          </w:p>
        </w:tc>
        <w:tc>
          <w:tcPr>
            <w:tcW w:w="680" w:type="dxa"/>
            <w:vAlign w:val="bottom"/>
            <w:gridSpan w:val="2"/>
          </w:tcPr>
          <w:p>
            <w:pPr>
              <w:jc w:val="right"/>
              <w:ind w:right="159"/>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6,149.9</w:t>
            </w:r>
          </w:p>
        </w:tc>
        <w:tc>
          <w:tcPr>
            <w:tcW w:w="720" w:type="dxa"/>
            <w:vAlign w:val="bottom"/>
            <w:gridSpan w:val="2"/>
          </w:tcPr>
          <w:p>
            <w:pPr>
              <w:jc w:val="right"/>
              <w:ind w:right="159"/>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17"/>
                <w:szCs w:val="17"/>
                <w:color w:val="auto"/>
              </w:rPr>
            </w:pPr>
          </w:p>
        </w:tc>
        <w:tc>
          <w:tcPr>
            <w:tcW w:w="560" w:type="dxa"/>
            <w:vAlign w:val="bottom"/>
          </w:tcPr>
          <w:p>
            <w:pPr>
              <w:jc w:val="right"/>
              <w:ind w:right="159"/>
              <w:spacing w:after="0"/>
              <w:rPr>
                <w:sz w:val="20"/>
                <w:szCs w:val="20"/>
                <w:color w:val="auto"/>
              </w:rPr>
            </w:pPr>
            <w:r>
              <w:rPr>
                <w:rFonts w:ascii="Arial" w:cs="Arial" w:eastAsia="Arial" w:hAnsi="Arial"/>
                <w:sz w:val="16"/>
                <w:szCs w:val="16"/>
                <w:color w:val="auto"/>
                <w:w w:val="96"/>
              </w:rPr>
              <w:t>17.8</w:t>
            </w:r>
          </w:p>
        </w:tc>
        <w:tc>
          <w:tcPr>
            <w:tcW w:w="16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Asia</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10,499.8</w:t>
            </w:r>
          </w:p>
        </w:tc>
        <w:tc>
          <w:tcPr>
            <w:tcW w:w="7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39.5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10,576.6</w:t>
            </w:r>
          </w:p>
        </w:tc>
        <w:tc>
          <w:tcPr>
            <w:tcW w:w="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43.5</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8,722.3</w:t>
            </w:r>
          </w:p>
        </w:tc>
        <w:tc>
          <w:tcPr>
            <w:tcW w:w="7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44.6</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Total Avnet</w:t>
            </w:r>
          </w:p>
        </w:tc>
        <w:tc>
          <w:tcPr>
            <w:tcW w:w="3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26,536.9</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24,310.7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19,534.7</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right="559" w:firstLine="427"/>
        <w:spacing w:after="0" w:line="324" w:lineRule="auto"/>
        <w:rPr>
          <w:sz w:val="20"/>
          <w:szCs w:val="20"/>
          <w:color w:val="auto"/>
        </w:rPr>
      </w:pPr>
      <w:r>
        <w:rPr>
          <w:rFonts w:ascii="Arial" w:cs="Arial" w:eastAsia="Arial" w:hAnsi="Arial"/>
          <w:sz w:val="18"/>
          <w:szCs w:val="18"/>
          <w:color w:val="auto"/>
        </w:rPr>
        <w:t>The table below provides reported and organic sales growth rates for fiscal 2023 as compared to fiscal 2022 by geographic region and operating group.</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4"/>
              </w:rPr>
              <w:t>Sales</w:t>
            </w:r>
          </w:p>
        </w:tc>
      </w:tr>
      <w:tr>
        <w:trPr>
          <w:trHeight w:val="216"/>
        </w:trPr>
        <w:tc>
          <w:tcPr>
            <w:tcW w:w="5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568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Sales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Change in</w:t>
            </w:r>
          </w:p>
        </w:tc>
      </w:tr>
      <w:tr>
        <w:trPr>
          <w:trHeight w:val="216"/>
        </w:trPr>
        <w:tc>
          <w:tcPr>
            <w:tcW w:w="568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Year-Year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568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Currency</w:t>
            </w:r>
          </w:p>
        </w:tc>
      </w:tr>
      <w:tr>
        <w:trPr>
          <w:trHeight w:val="216"/>
        </w:trPr>
        <w:tc>
          <w:tcPr>
            <w:tcW w:w="5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9.2 %</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13.4 %</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15.5 %</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15.5 %</w:t>
            </w: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EMEA</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27.0</w:t>
            </w: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Avnet by operating group</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10.2 %</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14.4 %</w:t>
            </w:r>
          </w:p>
        </w:tc>
      </w:tr>
      <w:tr>
        <w:trPr>
          <w:trHeight w:val="230"/>
        </w:trPr>
        <w:tc>
          <w:tcPr>
            <w:tcW w:w="5680" w:type="dxa"/>
            <w:vAlign w:val="bottom"/>
          </w:tcPr>
          <w:p>
            <w:pPr>
              <w:ind w:left="120"/>
              <w:spacing w:after="0"/>
              <w:rPr>
                <w:sz w:val="20"/>
                <w:szCs w:val="20"/>
                <w:color w:val="auto"/>
              </w:rPr>
            </w:pPr>
            <w:r>
              <w:rPr>
                <w:rFonts w:ascii="Arial" w:cs="Arial" w:eastAsia="Arial" w:hAnsi="Arial"/>
                <w:sz w:val="18"/>
                <w:szCs w:val="18"/>
                <w:color w:val="auto"/>
              </w:rPr>
              <w:t>Farnell</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0.9</w:t>
            </w:r>
          </w:p>
        </w:tc>
      </w:tr>
    </w:tbl>
    <w:p>
      <w:pPr>
        <w:spacing w:after="0" w:line="29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Avnet’s sales for fiscal 2023 were $26.54 billion, an increase of $2.23 billion, or 9.2%, from fiscal 2022 sales of</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$24.31 billion. Sales in constant currency increased 13.4% year over year, reflecting sales growth in both operating groups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across all regions driven by strong global demand and to a lesser extent pricing for electronic components.</w:t>
      </w:r>
    </w:p>
    <w:p>
      <w:pPr>
        <w:spacing w:after="0" w:line="225" w:lineRule="exact"/>
        <w:rPr>
          <w:sz w:val="20"/>
          <w:szCs w:val="20"/>
          <w:color w:val="auto"/>
        </w:rPr>
      </w:pPr>
    </w:p>
    <w:p>
      <w:pPr>
        <w:ind w:left="60" w:right="299" w:firstLine="427"/>
        <w:spacing w:after="0" w:line="306" w:lineRule="auto"/>
        <w:rPr>
          <w:sz w:val="20"/>
          <w:szCs w:val="20"/>
          <w:color w:val="auto"/>
        </w:rPr>
      </w:pPr>
      <w:r>
        <w:rPr>
          <w:rFonts w:ascii="Arial" w:cs="Arial" w:eastAsia="Arial" w:hAnsi="Arial"/>
          <w:sz w:val="18"/>
          <w:szCs w:val="18"/>
          <w:color w:val="auto"/>
        </w:rPr>
        <w:t>EC sales in fiscal 2023 were $24.80 billion, representing a 10.2% increase over fiscal 2022 sales of $22.50 billion. EC sales increased 14.4% year over year in constant currency. The increase in EC sales is primarily due to double-digit growth in the Americas and EMEA regions driven primarily by strong demand in the industrial, transportation, and aerospace and defense sectors.</w:t>
      </w:r>
    </w:p>
    <w:p>
      <w:pPr>
        <w:spacing w:after="0" w:line="159" w:lineRule="exact"/>
        <w:rPr>
          <w:sz w:val="20"/>
          <w:szCs w:val="20"/>
          <w:color w:val="auto"/>
        </w:rPr>
      </w:pPr>
    </w:p>
    <w:p>
      <w:pPr>
        <w:ind w:left="60" w:right="99" w:firstLine="427"/>
        <w:spacing w:after="0" w:line="306" w:lineRule="auto"/>
        <w:rPr>
          <w:sz w:val="20"/>
          <w:szCs w:val="20"/>
          <w:color w:val="auto"/>
        </w:rPr>
      </w:pPr>
      <w:r>
        <w:rPr>
          <w:rFonts w:ascii="Arial" w:cs="Arial" w:eastAsia="Arial" w:hAnsi="Arial"/>
          <w:sz w:val="18"/>
          <w:szCs w:val="18"/>
          <w:color w:val="auto"/>
        </w:rPr>
        <w:t>Farnell sales in fiscal 2023 were $1.73 billion, a decrease of $73.0 million or 4.0%, from fiscal 2022 sales of $1.81 billion. The year-over-year decrease in sales was primarily a result of foreign currency translation from a strengthening U.S. Dollar. Farnell sales in constant currency increased 0.9% year over year as sales growth in the Americas was offset by sales declines in the EMEA and Asia regions.</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w:t>
      </w:r>
    </w:p>
    <w:p>
      <w:pPr>
        <w:spacing w:after="0" w:line="239"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Gross profit in fiscal 2023 was $3.18 billion, an increase of $216.8 million, or 7.3%, from fiscal 2022 gross profit of $2.97 billion. Gross profit margin decreased to 12.0% in fiscal 2023 or 21 basis points from fiscal 2022 gross profit margin of 12.2%. EC gross profit margin increased year over year primarily due to a higher percentage of sales coming from the higher-margin western regions. Sales in the higher margin western regions represented approximately 60% of sales in fiscal 2023 as compared to 56% during fiscal 2022. Farnell gross profit margin decreased year over year primarily driven by the unwinding of certain component pricing premiums during fiscal 2023 and from unfavorable sales mix of lower margin products.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Selling, general and administrative expenses (“SG&amp;A expenses”) in fiscal 2023 were $1.97 billion, a decrease of</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$27.5 million, or 1.4%, from fiscal 2022. The year-over-year decrease in SG&amp;A expenses was primarily a result of foreign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currency translation from a strengthening U.S. Dollar.</w:t>
      </w:r>
    </w:p>
    <w:p>
      <w:pPr>
        <w:spacing w:after="0" w:line="225" w:lineRule="exact"/>
        <w:rPr>
          <w:sz w:val="20"/>
          <w:szCs w:val="20"/>
          <w:color w:val="auto"/>
        </w:rPr>
      </w:pPr>
    </w:p>
    <w:p>
      <w:pPr>
        <w:ind w:left="60" w:right="299" w:firstLine="427"/>
        <w:spacing w:after="0" w:line="354"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fiscal 2023, SG&amp;A expenses as a percentage of sales were 7.4% and as a percentage of gross profit were 61.8%, as compared with 8.2% and 67.3%, respectively, in fiscal 2022. The decreases in SG&amp;A expenses as a percentage of sales and gross profit resulted primarily from the operating leverage realized with higher sales, and lower amortization expenses, partially offset by increases in SG&amp;A expenses to support sales volumes.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Russian-Ukraine Conflict Related Expenses</w:t>
      </w:r>
    </w:p>
    <w:p>
      <w:pPr>
        <w:spacing w:after="0" w:line="225" w:lineRule="exact"/>
        <w:rPr>
          <w:sz w:val="20"/>
          <w:szCs w:val="20"/>
          <w:color w:val="auto"/>
        </w:rPr>
      </w:pPr>
    </w:p>
    <w:p>
      <w:pPr>
        <w:ind w:left="60" w:right="339" w:firstLine="427"/>
        <w:spacing w:after="0" w:line="329" w:lineRule="auto"/>
        <w:rPr>
          <w:sz w:val="20"/>
          <w:szCs w:val="20"/>
          <w:color w:val="auto"/>
        </w:rPr>
      </w:pPr>
      <w:r>
        <w:rPr>
          <w:rFonts w:ascii="Arial" w:cs="Arial" w:eastAsia="Arial" w:hAnsi="Arial"/>
          <w:sz w:val="17"/>
          <w:szCs w:val="17"/>
          <w:color w:val="auto"/>
        </w:rPr>
        <w:t>During fiscal 2022, the Company incurred $26.3 million of costs associated with the Russian-Ukraine conflict, primarily comprised of $17.2 million of expense for credit loss reserves for trade accounts receivable from Russian customers that are no longer considered collectible. The remaining expense is related to product write-downs for Russia based customers and other Russian business operation wind-down costs.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Restructuring, Integration and Other Expenses</w:t>
      </w:r>
    </w:p>
    <w:p>
      <w:pPr>
        <w:spacing w:after="0" w:line="225" w:lineRule="exact"/>
        <w:rPr>
          <w:sz w:val="20"/>
          <w:szCs w:val="20"/>
          <w:color w:val="auto"/>
        </w:rPr>
      </w:pPr>
    </w:p>
    <w:p>
      <w:pPr>
        <w:ind w:left="60" w:right="179" w:firstLine="427"/>
        <w:spacing w:after="0" w:line="343" w:lineRule="auto"/>
        <w:rPr>
          <w:sz w:val="20"/>
          <w:szCs w:val="20"/>
          <w:color w:val="auto"/>
        </w:rPr>
      </w:pPr>
      <w:r>
        <w:rPr>
          <w:rFonts w:ascii="Arial" w:cs="Arial" w:eastAsia="Arial" w:hAnsi="Arial"/>
          <w:sz w:val="16"/>
          <w:szCs w:val="16"/>
          <w:color w:val="auto"/>
        </w:rPr>
        <w:t>During fiscal 2023, the Company incurred restructuring, integration and other expenses primarily related to the planned closure of a distribution center. In addition, the Company increased its estimated environmental remediation reserves associated with certain legacy manufacturing operations that were divested several decades ago. As a result, during fiscal 2023 the Company recorded restructuring, integration, and other expenses of $28.0 million. The Company recorded $17.4 million for restructuring costs consisting of $16.1 million for severance, $0.5 million for facility exit costs and $0.8 million for asset impairments. The Company expects to realize approximately $16.0 million in incremental annualized operating costs savings as a result of such restructuring actions once completed. Integration and other costs were $2.6 million associated with incremental costs incurred as a result of the planned distribution center closure and $8.0 million related to the Company’s estimated environmental remediation obligations, respectively. The after-tax impact of restructuring, integration and other expenses was $22.0 million and $0.24 per share on a diluted basis.</w:t>
      </w:r>
    </w:p>
    <w:p>
      <w:pPr>
        <w:spacing w:after="0" w:line="125" w:lineRule="exact"/>
        <w:rPr>
          <w:sz w:val="20"/>
          <w:szCs w:val="20"/>
          <w:color w:val="auto"/>
        </w:rPr>
      </w:pPr>
    </w:p>
    <w:p>
      <w:pPr>
        <w:ind w:left="60" w:right="99" w:firstLine="427"/>
        <w:spacing w:after="0" w:line="324" w:lineRule="auto"/>
        <w:rPr>
          <w:sz w:val="20"/>
          <w:szCs w:val="20"/>
          <w:color w:val="auto"/>
        </w:rPr>
      </w:pPr>
      <w:r>
        <w:rPr>
          <w:rFonts w:ascii="Arial" w:cs="Arial" w:eastAsia="Arial" w:hAnsi="Arial"/>
          <w:sz w:val="18"/>
          <w:szCs w:val="18"/>
          <w:color w:val="auto"/>
        </w:rPr>
        <w:t>During fiscal 2022, the Company recorded restructuring, integration and other expenses of $5.3 million, substantially all of which was related to integration costs.</w:t>
      </w:r>
    </w:p>
    <w:p>
      <w:pPr>
        <w:spacing w:after="0" w:line="130" w:lineRule="exact"/>
        <w:rPr>
          <w:sz w:val="20"/>
          <w:szCs w:val="20"/>
          <w:color w:val="auto"/>
        </w:rPr>
      </w:pPr>
    </w:p>
    <w:p>
      <w:pPr>
        <w:ind w:left="60" w:right="139" w:firstLine="427"/>
        <w:spacing w:after="0" w:line="324" w:lineRule="auto"/>
        <w:rPr>
          <w:sz w:val="20"/>
          <w:szCs w:val="20"/>
          <w:color w:val="auto"/>
        </w:rPr>
      </w:pPr>
      <w:r>
        <w:rPr>
          <w:rFonts w:ascii="Arial" w:cs="Arial" w:eastAsia="Arial" w:hAnsi="Arial"/>
          <w:sz w:val="18"/>
          <w:szCs w:val="18"/>
          <w:color w:val="auto"/>
        </w:rPr>
        <w:t>See Note 17, “Restructuring expenses” to the Company’s consolidated financial statements included in Item 8 of this Annual Report on Form 10-K for additional information related to restructuring expenses.</w:t>
      </w:r>
    </w:p>
    <w:p>
      <w:pPr>
        <w:sectPr>
          <w:pgSz w:w="11900" w:h="16838" w:orient="portrait"/>
          <w:cols w:equalWidth="0" w:num="1">
            <w:col w:w="9019"/>
          </w:cols>
          <w:pgMar w:left="1440" w:top="517" w:right="1440"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39"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Operating income for fiscal 2023 was $1.19 billion, an increase of $247.8 million or 26.4%, from fiscal 2022 operating income of $939.0 million. The year-over-year increase in operating income is primarily driven by the increase in sales and lower SG&amp;A expenses, partially offset by a lower gross profit margin.</w:t>
      </w:r>
    </w:p>
    <w:p>
      <w:pPr>
        <w:spacing w:after="0" w:line="143"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Operating income margin was 4.5% in fiscal 2023 compared to 3.9% in fiscal 2022. Adjusted operating income for fiscal 2023 was $1.22 billion, an increase of $235.3 million or 23.9%, from fiscal 2022. Adjusted operating income margin was 4.6% in fiscal 2023 compared to 4.1% in fiscal 2022. EC operating income margin was 4.8% in fiscal 2023 compared to 3.9% in fiscal 2022. Farnell operating income margin was 9.5% in fiscal 2023 compared to 13.4% in fiscal 2022.</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and Other Financing Expenses, Net</w:t>
      </w:r>
    </w:p>
    <w:p>
      <w:pPr>
        <w:spacing w:after="0" w:line="225" w:lineRule="exact"/>
        <w:rPr>
          <w:sz w:val="20"/>
          <w:szCs w:val="20"/>
          <w:color w:val="auto"/>
        </w:rPr>
      </w:pPr>
    </w:p>
    <w:p>
      <w:pPr>
        <w:ind w:left="60" w:right="259" w:firstLine="427"/>
        <w:spacing w:after="0" w:line="329" w:lineRule="auto"/>
        <w:rPr>
          <w:sz w:val="20"/>
          <w:szCs w:val="20"/>
          <w:color w:val="auto"/>
        </w:rPr>
      </w:pPr>
      <w:r>
        <w:rPr>
          <w:rFonts w:ascii="Arial" w:cs="Arial" w:eastAsia="Arial" w:hAnsi="Arial"/>
          <w:sz w:val="17"/>
          <w:szCs w:val="17"/>
          <w:color w:val="auto"/>
        </w:rPr>
        <w:t>Interest and other financing expenses for fiscal 2023 was $250.9 million, an increase of $150.5 million, or 149.9%, compared with interest and other financing expenses of $100.4 million in fiscal 2022. The increase in interest and other financing expenses in fiscal 2023 compared to fiscal 2022 is a result of higher outstanding borrowings and increases in average borrowing rates during fiscal 2023 as compared to fiscal 2022.</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Gain on Legal Settlements and Other</w:t>
      </w:r>
    </w:p>
    <w:p>
      <w:pPr>
        <w:spacing w:after="0" w:line="225" w:lineRule="exact"/>
        <w:rPr>
          <w:sz w:val="20"/>
          <w:szCs w:val="20"/>
          <w:color w:val="auto"/>
        </w:rPr>
      </w:pPr>
    </w:p>
    <w:p>
      <w:pPr>
        <w:ind w:left="60" w:right="99" w:firstLine="427"/>
        <w:spacing w:after="0" w:line="354" w:lineRule="auto"/>
        <w:rPr>
          <w:sz w:val="20"/>
          <w:szCs w:val="20"/>
          <w:color w:val="auto"/>
        </w:rPr>
      </w:pPr>
      <w:r>
        <w:rPr>
          <w:rFonts w:ascii="Arial" w:cs="Arial" w:eastAsia="Arial" w:hAnsi="Arial"/>
          <w:sz w:val="16"/>
          <w:szCs w:val="16"/>
          <w:color w:val="auto"/>
        </w:rPr>
        <w:t>During fiscal 2023, the Company recorded a gain on legal settlements of $74.4 million before tax, $56.9 million after tax, and $0.61 per share on a diluted basis, in connection with the settlement of claims filed against certain manufacturers of capacitors. See Note 13, “Commitments and contingencies” to the Company’s consolidated financial statements included in Item 8 of this Annual Report on Form 10-K for additional information related to the gain on legal settlements.</w:t>
      </w:r>
    </w:p>
    <w:p>
      <w:pPr>
        <w:spacing w:after="0" w:line="129" w:lineRule="exact"/>
        <w:rPr>
          <w:sz w:val="20"/>
          <w:szCs w:val="20"/>
          <w:color w:val="auto"/>
        </w:rPr>
      </w:pPr>
    </w:p>
    <w:p>
      <w:pPr>
        <w:ind w:left="60" w:right="279" w:firstLine="427"/>
        <w:spacing w:after="0" w:line="329" w:lineRule="auto"/>
        <w:rPr>
          <w:sz w:val="20"/>
          <w:szCs w:val="20"/>
          <w:color w:val="auto"/>
        </w:rPr>
      </w:pPr>
      <w:r>
        <w:rPr>
          <w:rFonts w:ascii="Arial" w:cs="Arial" w:eastAsia="Arial" w:hAnsi="Arial"/>
          <w:sz w:val="17"/>
          <w:szCs w:val="17"/>
          <w:color w:val="auto"/>
        </w:rPr>
        <w:t>In June 2023, the Company settled a portion of its pension liability related to certain retirees and terminated vested employees in the Company’s U.S. pension plan as part of a de-risking strategy. This strategy triggered settlement accounting which required immediate recognition of a portion of the accumulated losses associated with the plan. Consequently, the Company recognized non-cash settlement expense of $37.4 million in fiscal 2023.</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w:t>
      </w:r>
    </w:p>
    <w:p>
      <w:pPr>
        <w:spacing w:after="0" w:line="158" w:lineRule="exact"/>
        <w:rPr>
          <w:sz w:val="20"/>
          <w:szCs w:val="20"/>
          <w:color w:val="auto"/>
        </w:rPr>
      </w:pPr>
    </w:p>
    <w:p>
      <w:pPr>
        <w:ind w:left="60" w:right="859" w:firstLine="427"/>
        <w:spacing w:after="0" w:line="324" w:lineRule="auto"/>
        <w:rPr>
          <w:sz w:val="20"/>
          <w:szCs w:val="20"/>
          <w:color w:val="auto"/>
        </w:rPr>
      </w:pPr>
      <w:r>
        <w:rPr>
          <w:rFonts w:ascii="Arial" w:cs="Arial" w:eastAsia="Arial" w:hAnsi="Arial"/>
          <w:sz w:val="18"/>
          <w:szCs w:val="18"/>
          <w:color w:val="auto"/>
        </w:rPr>
        <w:t>The below discussion of the effective tax rate for the periods presented in the statements of operations is in comparison to the 21% U.S. statutory federal income tax rate.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Avnet’s effective tax rate on its income before income taxes was 21.6% in fiscal 2023. The effective tax rate for fiscal</w:t>
      </w:r>
    </w:p>
    <w:p>
      <w:pPr>
        <w:spacing w:after="0" w:line="73" w:lineRule="exact"/>
        <w:rPr>
          <w:sz w:val="20"/>
          <w:szCs w:val="20"/>
          <w:color w:val="auto"/>
        </w:rPr>
      </w:pPr>
    </w:p>
    <w:p>
      <w:pPr>
        <w:jc w:val="both"/>
        <w:ind w:left="60" w:right="139"/>
        <w:spacing w:after="0" w:line="310" w:lineRule="auto"/>
        <w:rPr>
          <w:sz w:val="20"/>
          <w:szCs w:val="20"/>
          <w:color w:val="auto"/>
        </w:rPr>
      </w:pPr>
      <w:r>
        <w:rPr>
          <w:rFonts w:ascii="Arial" w:cs="Arial" w:eastAsia="Arial" w:hAnsi="Arial"/>
          <w:sz w:val="18"/>
          <w:szCs w:val="18"/>
          <w:color w:val="auto"/>
        </w:rPr>
        <w:t>2023 was unfavorably impacted primarily by (i) U.S. state taxes, (ii) increases to valuation allowances against deferred tax assets, and (iii) the mix of income in higher income tax jurisdictions, partially offset by (iv) the impact of foreign currency translation loss.</w:t>
      </w:r>
    </w:p>
    <w:p>
      <w:pPr>
        <w:spacing w:after="0" w:line="75" w:lineRule="exact"/>
        <w:rPr>
          <w:sz w:val="20"/>
          <w:szCs w:val="20"/>
          <w:color w:val="auto"/>
        </w:rPr>
      </w:pPr>
    </w:p>
    <w:p>
      <w:pPr>
        <w:ind w:left="60" w:right="59" w:firstLine="427"/>
        <w:spacing w:after="0" w:line="395" w:lineRule="auto"/>
        <w:rPr>
          <w:sz w:val="20"/>
          <w:szCs w:val="20"/>
          <w:color w:val="auto"/>
        </w:rPr>
      </w:pPr>
      <w:r>
        <w:rPr>
          <w:rFonts w:ascii="Arial" w:cs="Arial" w:eastAsia="Arial" w:hAnsi="Arial"/>
          <w:sz w:val="16"/>
          <w:szCs w:val="16"/>
          <w:color w:val="auto"/>
        </w:rPr>
        <w:t>For fiscal 2022, the Company’s effective tax rate on its income before income taxes was 16.9%. The effective tax rate for fiscal 2022 was favorably impacted primarily by decreases to valuation allowances against deferred tax assets.</w:t>
      </w:r>
    </w:p>
    <w:p>
      <w:pPr>
        <w:spacing w:after="0" w:line="96" w:lineRule="exact"/>
        <w:rPr>
          <w:sz w:val="20"/>
          <w:szCs w:val="20"/>
          <w:color w:val="auto"/>
        </w:rPr>
      </w:pPr>
    </w:p>
    <w:p>
      <w:pPr>
        <w:ind w:left="60" w:right="359" w:firstLine="427"/>
        <w:spacing w:after="0" w:line="324" w:lineRule="auto"/>
        <w:rPr>
          <w:sz w:val="20"/>
          <w:szCs w:val="20"/>
          <w:color w:val="auto"/>
        </w:rPr>
      </w:pPr>
      <w:r>
        <w:rPr>
          <w:rFonts w:ascii="Arial" w:cs="Arial" w:eastAsia="Arial" w:hAnsi="Arial"/>
          <w:sz w:val="18"/>
          <w:szCs w:val="18"/>
          <w:color w:val="auto"/>
        </w:rPr>
        <w:t>See Note 9, “Income taxes” to the Company’s consolidated financial statements included in Item 8 of this Annual Report on Form 10-K for further discussion on the effective tax rate.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Income</w:t>
      </w:r>
    </w:p>
    <w:p>
      <w:pPr>
        <w:spacing w:after="0" w:line="239"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in fiscal 2023 was $770.8 million, or earnings per share on a diluted basis of $8.26, compared with fiscal 2022 net income of $692.4 million, or earnings per share on a diluted basis of $6.94.</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used $713.7 million of cash from its operating activities in fiscal 2023 as compared to $219.3 million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cash used in fiscal 2022. These operating cash flows are comprised of: (i) cash flows generated from net income,</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adjusted for the impact of non-cash and other items, which includes depreciation and amortization expense, deferred</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taxes, stock-based compensation expense, amortization of operating lease assets and other non-cash items, and (ii)</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flows used for, or generated from, working capital and other, excluding cash and cash equivalents. Cash used for</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7"/>
          <w:szCs w:val="17"/>
          <w:color w:val="auto"/>
        </w:rPr>
        <w:t>working capital and other to support sales growth was $1.68 billion during fiscal 2023, including increases in accounts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receivable of $461.1 million and inventories of $1.17 billion, and a decrease in accounts payable of $75.9 million, offset by</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 increase in accrued expenses and other of $28.8 million. Comparatively, cash used for working capital and other was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$1.09 billion during fiscal 2022, including increases in accounts receivable of $1.13 billion and inventories of $1.22 billion,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offset by increases in accounts payable of $1.13 billion, and accrued expenses and other of $134.4 million.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39" w:lineRule="exact"/>
        <w:rPr>
          <w:sz w:val="20"/>
          <w:szCs w:val="20"/>
          <w:color w:val="auto"/>
        </w:rPr>
      </w:pPr>
    </w:p>
    <w:p>
      <w:pPr>
        <w:ind w:left="60" w:right="579" w:firstLine="427"/>
        <w:spacing w:after="0" w:line="329" w:lineRule="auto"/>
        <w:rPr>
          <w:sz w:val="20"/>
          <w:szCs w:val="20"/>
          <w:color w:val="auto"/>
        </w:rPr>
      </w:pPr>
      <w:r>
        <w:rPr>
          <w:rFonts w:ascii="Arial" w:cs="Arial" w:eastAsia="Arial" w:hAnsi="Arial"/>
          <w:sz w:val="17"/>
          <w:szCs w:val="17"/>
          <w:color w:val="auto"/>
        </w:rPr>
        <w:t>During fiscal 2023, the Company received net proceeds of $498.6 million as a result of the issuance of $500.0 million of 6.25% Notes due March 2028, $728.2 million under the Credit Facility, and $258.0 million under the Securitization Program, and repaid $96.2 million under other short-term debt. During fiscal 2023, the Company paid dividends on common stock of $106.3 million, and repurchased $221.7 million of common stock.</w:t>
      </w:r>
    </w:p>
    <w:p>
      <w:pPr>
        <w:spacing w:after="0" w:line="130" w:lineRule="exact"/>
        <w:rPr>
          <w:sz w:val="20"/>
          <w:szCs w:val="20"/>
          <w:color w:val="auto"/>
        </w:rPr>
      </w:pPr>
    </w:p>
    <w:p>
      <w:pPr>
        <w:ind w:left="60" w:right="619" w:firstLine="427"/>
        <w:spacing w:after="0" w:line="329" w:lineRule="auto"/>
        <w:rPr>
          <w:sz w:val="20"/>
          <w:szCs w:val="20"/>
          <w:color w:val="auto"/>
        </w:rPr>
      </w:pPr>
      <w:r>
        <w:rPr>
          <w:rFonts w:ascii="Arial" w:cs="Arial" w:eastAsia="Arial" w:hAnsi="Arial"/>
          <w:sz w:val="17"/>
          <w:szCs w:val="17"/>
          <w:color w:val="auto"/>
        </w:rPr>
        <w:t>During fiscal 2022, the Company received net proceeds of $300.0 million as a result of the issuance of $300.0 million of 5.50% Notes due May 2032, $274.9 million under the Securitization Program, and $235.0 million from borrowings of various bank credit facilities. During fiscal 2022, the Company repaid $354.3 million of notes, paid dividends on common stock of $98.5 million, and repurchased $184.4 million of common stock.</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During fiscal 2023, the Company used $194.7 million for capital expenditures compared to $48.9 million in fiscal 2022. The increase in capital expenditures year over year was primarily related to expenditures for a new distribution center being built in EMEA to support the future growth of the EC EMEA business. During fiscal 2023, the Company used $16.9 million for other investing activities. During fiscal 2022, the Company received $90.4 million from investing activities related to the liquidation of Company owned life insurance policies.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left="60" w:right="379" w:firstLine="427"/>
        <w:spacing w:after="0" w:line="364" w:lineRule="auto"/>
        <w:rPr>
          <w:sz w:val="20"/>
          <w:szCs w:val="20"/>
          <w:color w:val="auto"/>
        </w:rPr>
      </w:pPr>
      <w:r>
        <w:rPr>
          <w:rFonts w:ascii="Arial" w:cs="Arial" w:eastAsia="Arial" w:hAnsi="Arial"/>
          <w:sz w:val="16"/>
          <w:szCs w:val="16"/>
          <w:color w:val="auto"/>
        </w:rPr>
        <w:t>The Company uses a variety of financing arrangements, both short-term and long-term, to fund its operations in addition to historical cash generated from operating activities. The Company also uses several funding sources to avoid becoming overly dependent on one financing source, and to lower overall funding costs. These financing arrangements</w:t>
      </w:r>
    </w:p>
    <w:p>
      <w:pPr>
        <w:sectPr>
          <w:pgSz w:w="11900" w:h="16838" w:orient="portrait"/>
          <w:cols w:equalWidth="0" w:num="1">
            <w:col w:w="9019"/>
          </w:cols>
          <w:pgMar w:left="1440" w:top="517" w:right="1440"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39"/>
        <w:spacing w:after="0" w:line="340" w:lineRule="auto"/>
        <w:rPr>
          <w:sz w:val="20"/>
          <w:szCs w:val="20"/>
          <w:color w:val="auto"/>
        </w:rPr>
      </w:pPr>
      <w:r>
        <w:rPr>
          <w:rFonts w:ascii="Arial" w:cs="Arial" w:eastAsia="Arial" w:hAnsi="Arial"/>
          <w:sz w:val="18"/>
          <w:szCs w:val="18"/>
          <w:color w:val="auto"/>
        </w:rPr>
        <w:t>include public debt (“Notes”), short-term and long-term bank loans, a revolving credit facility (the “Credit Facility”), and an accounts receivable securitization program (the “Securitization Program”).</w:t>
      </w:r>
    </w:p>
    <w:p>
      <w:pPr>
        <w:spacing w:after="0" w:line="116" w:lineRule="exact"/>
        <w:rPr>
          <w:sz w:val="20"/>
          <w:szCs w:val="20"/>
          <w:color w:val="auto"/>
        </w:rPr>
      </w:pPr>
    </w:p>
    <w:p>
      <w:pPr>
        <w:ind w:left="60" w:right="239" w:firstLine="427"/>
        <w:spacing w:after="0" w:line="306"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fiscal 2023 was $70.6 million.</w:t>
      </w:r>
    </w:p>
    <w:p>
      <w:pPr>
        <w:spacing w:after="0" w:line="146" w:lineRule="exact"/>
        <w:rPr>
          <w:sz w:val="20"/>
          <w:szCs w:val="20"/>
          <w:color w:val="auto"/>
        </w:rPr>
      </w:pPr>
    </w:p>
    <w:p>
      <w:pPr>
        <w:ind w:left="60" w:right="339" w:firstLine="427"/>
        <w:spacing w:after="0" w:line="354" w:lineRule="auto"/>
        <w:rPr>
          <w:sz w:val="20"/>
          <w:szCs w:val="20"/>
          <w:color w:val="auto"/>
        </w:rPr>
      </w:pPr>
      <w:r>
        <w:rPr>
          <w:rFonts w:ascii="Arial" w:cs="Arial" w:eastAsia="Arial" w:hAnsi="Arial"/>
          <w:sz w:val="16"/>
          <w:szCs w:val="16"/>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spacing w:after="0" w:line="115" w:lineRule="exact"/>
        <w:rPr>
          <w:sz w:val="20"/>
          <w:szCs w:val="20"/>
          <w:color w:val="auto"/>
        </w:rPr>
      </w:pPr>
    </w:p>
    <w:p>
      <w:pPr>
        <w:ind w:left="60" w:right="219" w:firstLine="427"/>
        <w:spacing w:after="0" w:line="310" w:lineRule="auto"/>
        <w:rPr>
          <w:sz w:val="20"/>
          <w:szCs w:val="20"/>
          <w:color w:val="auto"/>
        </w:rPr>
      </w:pPr>
      <w:r>
        <w:rPr>
          <w:rFonts w:ascii="Arial" w:cs="Arial" w:eastAsia="Arial" w:hAnsi="Arial"/>
          <w:sz w:val="18"/>
          <w:szCs w:val="18"/>
          <w:color w:val="auto"/>
        </w:rPr>
        <w:t>See Note 7, “Debt” to the Company’s consolidated financial statements included in Item 8 of this Annual Report on Form 10-K for additional information on financing transactions including the Credit Facility, the Securitization Program and the outstanding Notes as of July 1, 2023.</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Covenants and Conditions</w:t>
      </w:r>
    </w:p>
    <w:p>
      <w:pPr>
        <w:spacing w:after="0" w:line="239"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The Company’s Credit Facility contains certain covenants with various limitations on debt incurrence, share repurchases, dividends, investments and capital expenditures, and also includes financial covenant requiring the Company to maintain a leverage ratio below a certain threshold. The Company was in compliance with all such covenants as of July 1, 2023.</w:t>
      </w:r>
    </w:p>
    <w:p>
      <w:pPr>
        <w:spacing w:after="0" w:line="146" w:lineRule="exact"/>
        <w:rPr>
          <w:sz w:val="20"/>
          <w:szCs w:val="20"/>
          <w:color w:val="auto"/>
        </w:rPr>
      </w:pPr>
    </w:p>
    <w:p>
      <w:pPr>
        <w:ind w:left="60" w:right="119" w:firstLine="427"/>
        <w:spacing w:after="0" w:line="324" w:lineRule="auto"/>
        <w:rPr>
          <w:sz w:val="20"/>
          <w:szCs w:val="20"/>
          <w:color w:val="auto"/>
        </w:rPr>
      </w:pPr>
      <w:r>
        <w:rPr>
          <w:rFonts w:ascii="Arial" w:cs="Arial" w:eastAsia="Arial" w:hAnsi="Arial"/>
          <w:sz w:val="17"/>
          <w:szCs w:val="17"/>
          <w:color w:val="auto"/>
        </w:rPr>
        <w:t>The Company’s Securitization Program contains certain covenants relating to the quality of the receivables sold. If these conditions are not met, the Company may not be able to borrow any additional funds and the financial institutions may consider this an amortization event, as defined in the Securitization Program agreements,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The Company was in compliance with all such covenants as of July 1, 2023.</w:t>
      </w:r>
    </w:p>
    <w:p>
      <w:pPr>
        <w:spacing w:after="0" w:line="137" w:lineRule="exact"/>
        <w:rPr>
          <w:sz w:val="20"/>
          <w:szCs w:val="20"/>
          <w:color w:val="auto"/>
        </w:rPr>
      </w:pPr>
    </w:p>
    <w:p>
      <w:pPr>
        <w:ind w:left="60" w:right="679" w:firstLine="427"/>
        <w:spacing w:after="0" w:line="357" w:lineRule="auto"/>
        <w:rPr>
          <w:sz w:val="20"/>
          <w:szCs w:val="20"/>
          <w:color w:val="auto"/>
        </w:rPr>
      </w:pPr>
      <w:r>
        <w:rPr>
          <w:rFonts w:ascii="Arial" w:cs="Arial" w:eastAsia="Arial" w:hAnsi="Arial"/>
          <w:sz w:val="17"/>
          <w:szCs w:val="17"/>
          <w:color w:val="auto"/>
        </w:rPr>
        <w:t>Management does not believe that the covenants under the Credit Facility or Securitization Program limit the Company’s ability to pursue its intended business strategy or its future financing needs.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0" w:right="179" w:firstLine="427"/>
        <w:spacing w:after="0" w:line="310" w:lineRule="auto"/>
        <w:rPr>
          <w:sz w:val="20"/>
          <w:szCs w:val="20"/>
          <w:color w:val="auto"/>
        </w:rPr>
      </w:pPr>
      <w:r>
        <w:rPr>
          <w:rFonts w:ascii="Arial" w:cs="Arial" w:eastAsia="Arial" w:hAnsi="Arial"/>
          <w:sz w:val="18"/>
          <w:szCs w:val="18"/>
          <w:color w:val="auto"/>
        </w:rPr>
        <w:t>The Company had cash and cash equivalents of $288.2 million as of July 1, 2023, of which $194.5 million was held outside the United States. As of July 2, 2022, the Company had cash and cash equivalents of $153.7 million, of which $60.4 million was held outside of the United States.</w:t>
      </w:r>
    </w:p>
    <w:p>
      <w:pPr>
        <w:spacing w:after="0" w:line="156"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used $713.7 million in cash flows for operating activities during the fiscal year ended July 1, 2023, to support the fiscal 2023 sales growth.</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firstLine="427"/>
        <w:spacing w:after="0" w:line="304" w:lineRule="auto"/>
        <w:rPr>
          <w:sz w:val="20"/>
          <w:szCs w:val="20"/>
          <w:color w:val="auto"/>
        </w:rPr>
      </w:pPr>
      <w:r>
        <w:rPr>
          <w:rFonts w:ascii="Arial" w:cs="Arial" w:eastAsia="Arial" w:hAnsi="Arial"/>
          <w:sz w:val="18"/>
          <w:szCs w:val="18"/>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49" w:lineRule="exact"/>
        <w:rPr>
          <w:sz w:val="20"/>
          <w:szCs w:val="20"/>
          <w:color w:val="auto"/>
        </w:rPr>
      </w:pPr>
    </w:p>
    <w:p>
      <w:pPr>
        <w:ind w:left="60" w:right="99" w:firstLine="427"/>
        <w:spacing w:after="0" w:line="323" w:lineRule="auto"/>
        <w:rPr>
          <w:sz w:val="20"/>
          <w:szCs w:val="20"/>
          <w:color w:val="auto"/>
        </w:rPr>
      </w:pPr>
      <w:r>
        <w:rPr>
          <w:rFonts w:ascii="Arial" w:cs="Arial" w:eastAsia="Arial" w:hAnsi="Arial"/>
          <w:sz w:val="17"/>
          <w:szCs w:val="17"/>
          <w:color w:val="auto"/>
        </w:rPr>
        <w:t>As of July 1, 2023, there were $796.6 million of borrowings outstanding under the Credit Facility and $0.9 million in letters of credit issued, and $555.8 million outstanding under the Securitization Program. During fiscal 2023, the Company had an average daily balance outstanding under the Credit Facility of approximately $1.13 billion and $549.1 million under the Securitization Program. As of July 1, 2023, the combined availability under the Credit Facility and the Securitization Program was $846.7 million. Availability under the Securitization Program is subject to the Company having sufficient eligible trade accounts receivable in the United States to support desired borrowings.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the following contractual obligations outstanding as of July 1, 2023 (in millions):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w w:val="85"/>
              </w:rPr>
              <w:t>Less than</w:t>
            </w:r>
          </w:p>
        </w:tc>
        <w:tc>
          <w:tcPr>
            <w:tcW w:w="160" w:type="dxa"/>
            <w:vAlign w:val="bottom"/>
          </w:tcPr>
          <w:p>
            <w:pPr>
              <w:spacing w:after="0"/>
              <w:rPr>
                <w:sz w:val="20"/>
                <w:szCs w:val="20"/>
                <w:color w:val="auto"/>
              </w:rPr>
            </w:pPr>
          </w:p>
        </w:tc>
        <w:tc>
          <w:tcPr>
            <w:tcW w:w="1960" w:type="dxa"/>
            <w:vAlign w:val="bottom"/>
            <w:gridSpan w:val="4"/>
          </w:tcPr>
          <w:p>
            <w:pPr>
              <w:ind w:left="100"/>
              <w:spacing w:after="0"/>
              <w:rPr>
                <w:sz w:val="20"/>
                <w:szCs w:val="20"/>
                <w:color w:val="auto"/>
              </w:rPr>
            </w:pPr>
            <w:r>
              <w:rPr>
                <w:rFonts w:ascii="Arial" w:cs="Arial" w:eastAsia="Arial" w:hAnsi="Arial"/>
                <w:sz w:val="18"/>
                <w:szCs w:val="18"/>
                <w:b w:val="1"/>
                <w:bCs w:val="1"/>
                <w:color w:val="auto"/>
                <w:w w:val="88"/>
              </w:rPr>
              <w:t>Payments due by period</w:t>
            </w:r>
          </w:p>
        </w:tc>
        <w:tc>
          <w:tcPr>
            <w:tcW w:w="108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640"/>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w w:val="99"/>
              </w:rPr>
              <w:t>1-3 years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3-5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16"/>
        </w:trPr>
        <w:tc>
          <w:tcPr>
            <w:tcW w:w="376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7"/>
                <w:szCs w:val="17"/>
                <w:color w:val="auto"/>
              </w:rPr>
              <w:t>Long-term debt obligations</w:t>
            </w:r>
            <w:r>
              <w:rPr>
                <w:rFonts w:ascii="Arial" w:cs="Arial" w:eastAsia="Arial" w:hAnsi="Arial"/>
                <w:sz w:val="25"/>
                <w:szCs w:val="25"/>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$ 3,073.0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1,105.8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line="216" w:lineRule="exact"/>
              <w:rPr>
                <w:sz w:val="20"/>
                <w:szCs w:val="20"/>
                <w:color w:val="auto"/>
              </w:rPr>
            </w:pPr>
            <w:r>
              <w:rPr>
                <w:rFonts w:ascii="Arial" w:cs="Arial" w:eastAsia="Arial" w:hAnsi="Arial"/>
                <w:sz w:val="17"/>
                <w:szCs w:val="17"/>
                <w:color w:val="auto"/>
              </w:rPr>
              <w:t>Interest expense on long-term debt obligations</w:t>
            </w:r>
            <w:r>
              <w:rPr>
                <w:rFonts w:ascii="Arial" w:cs="Arial" w:eastAsia="Arial" w:hAnsi="Arial"/>
                <w:sz w:val="25"/>
                <w:szCs w:val="25"/>
                <w:color w:val="auto"/>
                <w:vertAlign w:val="superscript"/>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5"/>
                <w:szCs w:val="25"/>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0" w:lineRule="exact"/>
        <w:rPr>
          <w:sz w:val="20"/>
          <w:szCs w:val="20"/>
          <w:color w:val="auto"/>
        </w:rPr>
      </w:pPr>
    </w:p>
    <w:p>
      <w:pPr>
        <w:ind w:left="380" w:hanging="330"/>
        <w:spacing w:after="0"/>
        <w:tabs>
          <w:tab w:leader="none" w:pos="38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Includes amounts due within one year and excludes unamortized discount and issuance costs on debt.</w:t>
      </w:r>
    </w:p>
    <w:p>
      <w:pPr>
        <w:spacing w:after="0" w:line="42" w:lineRule="exact"/>
        <w:rPr>
          <w:rFonts w:ascii="Arial" w:cs="Arial" w:eastAsia="Arial" w:hAnsi="Arial"/>
          <w:sz w:val="27"/>
          <w:szCs w:val="27"/>
          <w:color w:val="auto"/>
          <w:vertAlign w:val="superscript"/>
        </w:rPr>
      </w:pPr>
    </w:p>
    <w:p>
      <w:pPr>
        <w:ind w:left="380" w:right="119" w:hanging="330"/>
        <w:spacing w:after="0" w:line="218" w:lineRule="auto"/>
        <w:tabs>
          <w:tab w:leader="none" w:pos="38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Represents interest expense due on debt by using fixed interest rates for fixed rate debt and assuming the same interest rate at the end of fiscal 2023 for variable rate debt.</w:t>
      </w:r>
    </w:p>
    <w:p>
      <w:pPr>
        <w:ind w:left="380" w:hanging="330"/>
        <w:spacing w:after="0" w:line="198" w:lineRule="auto"/>
        <w:tabs>
          <w:tab w:leader="none" w:pos="38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Excludes imputed interest on operating lease liabilities.</w:t>
      </w:r>
    </w:p>
    <w:p>
      <w:pPr>
        <w:spacing w:after="0" w:line="216" w:lineRule="exact"/>
        <w:rPr>
          <w:sz w:val="20"/>
          <w:szCs w:val="20"/>
          <w:color w:val="auto"/>
        </w:rPr>
      </w:pPr>
    </w:p>
    <w:p>
      <w:pPr>
        <w:ind w:left="60" w:right="79" w:firstLine="427"/>
        <w:spacing w:after="0" w:line="344" w:lineRule="auto"/>
        <w:rPr>
          <w:sz w:val="20"/>
          <w:szCs w:val="20"/>
          <w:color w:val="auto"/>
        </w:rPr>
      </w:pPr>
      <w:r>
        <w:rPr>
          <w:rFonts w:ascii="Arial" w:cs="Arial" w:eastAsia="Arial" w:hAnsi="Arial"/>
          <w:sz w:val="16"/>
          <w:szCs w:val="16"/>
          <w:color w:val="auto"/>
        </w:rPr>
        <w:t>The Company purchases inventories in the normal course of business throughout the year through the issuance of purchase orders to suppliers. During fiscal 2023, the Company’s cost of sales, substantially all of which related to the underlying purchase of inventories was $23.4 billion and the Company had $5.5 billion of inventories as of July 1, 2023. The Company expects to continue to purchase sufficient inventory to meet its customers’ demands in fiscal year 2024, some of which relates to outstanding purchase orders at the end of fiscal 2023. Outstanding purchase orders with suppliers may be non-cancellable/non-returnable at the point such orders are issued, or may become non-cancellable at some point in the future, typically within 30 days to 90 days from the requested delivery date of inventories.</w:t>
      </w:r>
    </w:p>
    <w:p>
      <w:pPr>
        <w:spacing w:after="0" w:line="125" w:lineRule="exact"/>
        <w:rPr>
          <w:sz w:val="20"/>
          <w:szCs w:val="20"/>
          <w:color w:val="auto"/>
        </w:rPr>
      </w:pPr>
    </w:p>
    <w:p>
      <w:pPr>
        <w:ind w:left="60" w:right="59" w:firstLine="427"/>
        <w:spacing w:after="0" w:line="360" w:lineRule="auto"/>
        <w:rPr>
          <w:sz w:val="20"/>
          <w:szCs w:val="20"/>
          <w:color w:val="auto"/>
        </w:rPr>
      </w:pPr>
      <w:r>
        <w:rPr>
          <w:rFonts w:ascii="Arial" w:cs="Arial" w:eastAsia="Arial" w:hAnsi="Arial"/>
          <w:sz w:val="16"/>
          <w:szCs w:val="16"/>
          <w:color w:val="auto"/>
        </w:rPr>
        <w:t>At July 1, 2023, the Company had an estimated liability for income tax contingencies of $130.5 million, which is not included in the above table. Cash payments associated with the settlement of these liabilities that are expected to be paid within the next 12 months is $1.0 million. The settlement period for the remaining amount of the unrecognized tax benefits, including related accrued interest and penalties, cannot be determined, and therefore was not included in the table.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59" w:firstLine="427"/>
        <w:spacing w:after="0" w:line="354" w:lineRule="auto"/>
        <w:rPr>
          <w:sz w:val="20"/>
          <w:szCs w:val="20"/>
          <w:color w:val="auto"/>
        </w:rPr>
      </w:pPr>
      <w:r>
        <w:rPr>
          <w:rFonts w:ascii="Arial" w:cs="Arial" w:eastAsia="Arial" w:hAnsi="Arial"/>
          <w:sz w:val="16"/>
          <w:szCs w:val="16"/>
          <w:color w:val="auto"/>
        </w:rPr>
        <w:t>As of July 1, 2023, the Company may repurchase up to an aggregate of $318.5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fiscal 2023, the Company repurchased $212.8 million of common stock.</w:t>
      </w:r>
    </w:p>
    <w:p>
      <w:pPr>
        <w:spacing w:after="0" w:line="115" w:lineRule="exact"/>
        <w:rPr>
          <w:sz w:val="20"/>
          <w:szCs w:val="20"/>
          <w:color w:val="auto"/>
        </w:rPr>
      </w:pPr>
    </w:p>
    <w:p>
      <w:pPr>
        <w:jc w:val="both"/>
        <w:ind w:left="60" w:right="159" w:firstLine="427"/>
        <w:spacing w:after="0" w:line="364"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fourth quarter of fiscal 2023, the Board of Directors approved a dividend of $0.29 per share, which resulted in $26.5 million of dividend payments during the quarter.</w:t>
      </w:r>
    </w:p>
    <w:p>
      <w:pPr>
        <w:spacing w:after="0" w:line="108" w:lineRule="exact"/>
        <w:rPr>
          <w:sz w:val="20"/>
          <w:szCs w:val="20"/>
          <w:color w:val="auto"/>
        </w:rPr>
      </w:pPr>
    </w:p>
    <w:p>
      <w:pPr>
        <w:ind w:left="60" w:right="99" w:firstLine="427"/>
        <w:spacing w:after="0" w:line="308" w:lineRule="auto"/>
        <w:rPr>
          <w:sz w:val="20"/>
          <w:szCs w:val="20"/>
          <w:color w:val="auto"/>
        </w:rPr>
      </w:pPr>
      <w:r>
        <w:rPr>
          <w:rFonts w:ascii="Arial" w:cs="Arial" w:eastAsia="Arial" w:hAnsi="Arial"/>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right="159" w:firstLine="427"/>
        <w:spacing w:after="0" w:line="308" w:lineRule="auto"/>
        <w:rPr>
          <w:sz w:val="20"/>
          <w:szCs w:val="20"/>
          <w:color w:val="auto"/>
        </w:rPr>
      </w:pPr>
      <w:r>
        <w:rPr>
          <w:rFonts w:ascii="Arial" w:cs="Arial" w:eastAsia="Arial" w:hAnsi="Arial"/>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continual evaluation of available information, including historical results and anticipated future events. Actual results may differ materially from these estimates.</w:t>
      </w:r>
    </w:p>
    <w:p>
      <w:pPr>
        <w:spacing w:after="0" w:line="143" w:lineRule="exact"/>
        <w:rPr>
          <w:sz w:val="20"/>
          <w:szCs w:val="20"/>
          <w:color w:val="auto"/>
        </w:rPr>
      </w:pPr>
    </w:p>
    <w:p>
      <w:pPr>
        <w:ind w:left="60" w:right="279" w:firstLine="427"/>
        <w:spacing w:after="0" w:line="306"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2023 relate to:</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225"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Inventories are recorded at the lower of cost or estimated net realizable value. Inventory cost includes the purchase price of finished goods and any freight cost incurred to receive the inventory into the Company’s distribution centers. The Company’s inventories include electronic components sold into changing, cyclical, and competitive markets, so inventories may decline in market value or become obsolete.</w:t>
      </w:r>
    </w:p>
    <w:p>
      <w:pPr>
        <w:spacing w:after="0" w:line="146" w:lineRule="exact"/>
        <w:rPr>
          <w:sz w:val="20"/>
          <w:szCs w:val="20"/>
          <w:color w:val="auto"/>
        </w:rPr>
      </w:pPr>
    </w:p>
    <w:p>
      <w:pPr>
        <w:ind w:left="60" w:right="79" w:firstLine="427"/>
        <w:spacing w:after="0" w:line="342" w:lineRule="auto"/>
        <w:rPr>
          <w:sz w:val="20"/>
          <w:szCs w:val="20"/>
          <w:color w:val="auto"/>
        </w:rPr>
      </w:pPr>
      <w:r>
        <w:rPr>
          <w:rFonts w:ascii="Arial" w:cs="Arial" w:eastAsia="Arial" w:hAnsi="Arial"/>
          <w:sz w:val="16"/>
          <w:szCs w:val="16"/>
          <w:color w:val="auto"/>
        </w:rPr>
        <w:t>The Company regularly evaluates inventories for expected customer demand, obsolescence, current market prices, and other factors that may render inventories less marketable. Write-downs are recorded so that inventories reflect the estimated net realizable value and take into account the Company’s contractual provisions with its suppliers, which may provide certain protections to the Company for product obsolescence and price erosion in the form of rights of return, stock rotation rights, obsolescence allowances, industry specific supplier rebate programs and price protections. Because of the large number of products and suppliers and the complexity of managing the process around price protections, supplier rebate programs and stock rotations, estimates are made regarding the net realizable value of inventories. Additionally, assumptions about future demand and market conditions, as well as decisions to discontinue certain product lines, impact the evaluation of whether to write-down inventories. If future demand changes or actual market conditions are less favorable than assumed, then management evaluates whether additional write-downs of inventories are required. In any case, actual net realizable values could be different from those currently estimated.</w:t>
      </w:r>
    </w:p>
    <w:p>
      <w:pPr>
        <w:sectPr>
          <w:pgSz w:w="11900" w:h="16838" w:orient="portrait"/>
          <w:cols w:equalWidth="0" w:num="1">
            <w:col w:w="9019"/>
          </w:cols>
          <w:pgMar w:left="1440" w:top="517"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39" w:lineRule="exact"/>
        <w:rPr>
          <w:sz w:val="20"/>
          <w:szCs w:val="20"/>
          <w:color w:val="auto"/>
        </w:rPr>
      </w:pPr>
    </w:p>
    <w:p>
      <w:pPr>
        <w:ind w:left="60" w:right="59" w:firstLine="427"/>
        <w:spacing w:after="0" w:line="341" w:lineRule="auto"/>
        <w:rPr>
          <w:sz w:val="20"/>
          <w:szCs w:val="20"/>
          <w:color w:val="auto"/>
        </w:rPr>
      </w:pPr>
      <w:r>
        <w:rPr>
          <w:rFonts w:ascii="Arial" w:cs="Arial" w:eastAsia="Arial" w:hAnsi="Arial"/>
          <w:sz w:val="16"/>
          <w:szCs w:val="16"/>
          <w:color w:val="auto"/>
        </w:rPr>
        <w:t>Management’s judgment is required in determining income tax expense, unrecognized tax benefit liabilities , deferred tax assets and liabilities, and valuation allowances recorded against net deferred tax assets. Recovering net deferred tax assets depends on the Company’s ability to generate sufficient future taxable income in certain jurisdictions. In addition, when assessing the need for valuation allowances, the Company considers historic levels and types of income, expectations and risk associated with estimates of future taxable income, and ongoing prudent and feasible tax planning strategies. If the Company determines that it cannot realize all or part of its deferred tax assets in the future, it may record additional valuation allowances against the deferred tax assets with a corresponding increase to income tax expense in the period such determination is made. Similarly, if the Company determines that it can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40" w:lineRule="exact"/>
        <w:rPr>
          <w:sz w:val="20"/>
          <w:szCs w:val="20"/>
          <w:color w:val="auto"/>
        </w:rPr>
      </w:pPr>
    </w:p>
    <w:p>
      <w:pPr>
        <w:ind w:left="60" w:right="99" w:firstLine="427"/>
        <w:spacing w:after="0" w:line="346"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 anticipated and actual outcomes of these matters may differ, which may result in changes in estimates to such unrecognized tax benefit liabilities. To the extent such changes in estimates are necessary, the Company’s effective tax rate may fluctuate. In accordance with the Company’s accounting policy, accrued interest and penalties related to unrecognized tax benefits are recorded as a component of income tax expense.</w:t>
      </w:r>
    </w:p>
    <w:p>
      <w:pPr>
        <w:spacing w:after="0" w:line="123" w:lineRule="exact"/>
        <w:rPr>
          <w:sz w:val="20"/>
          <w:szCs w:val="20"/>
          <w:color w:val="auto"/>
        </w:rPr>
      </w:pPr>
    </w:p>
    <w:p>
      <w:pPr>
        <w:ind w:left="60" w:right="99" w:firstLine="427"/>
        <w:spacing w:after="0" w:line="349" w:lineRule="auto"/>
        <w:rPr>
          <w:sz w:val="20"/>
          <w:szCs w:val="20"/>
          <w:color w:val="auto"/>
        </w:rPr>
      </w:pPr>
      <w:r>
        <w:rPr>
          <w:rFonts w:ascii="Arial" w:cs="Arial" w:eastAsia="Arial" w:hAnsi="Arial"/>
          <w:sz w:val="16"/>
          <w:szCs w:val="16"/>
          <w:color w:val="auto"/>
        </w:rPr>
        <w:t>In determining the Company’s income tax expense, management considers current tax regulations in the numerous jurisdictions in which it operates, including the impact of tax law and regulation changes in the jurisdictions the Company operates in.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134" w:lineRule="exact"/>
        <w:rPr>
          <w:sz w:val="20"/>
          <w:szCs w:val="20"/>
          <w:color w:val="auto"/>
        </w:rPr>
      </w:pPr>
    </w:p>
    <w:p>
      <w:pPr>
        <w:ind w:left="60" w:right="279" w:firstLine="427"/>
        <w:spacing w:after="0" w:line="395" w:lineRule="auto"/>
        <w:rPr>
          <w:sz w:val="20"/>
          <w:szCs w:val="20"/>
          <w:color w:val="auto"/>
        </w:rPr>
      </w:pPr>
      <w:r>
        <w:rPr>
          <w:rFonts w:ascii="Arial" w:cs="Arial" w:eastAsia="Arial" w:hAnsi="Arial"/>
          <w:sz w:val="16"/>
          <w:szCs w:val="16"/>
          <w:color w:val="auto"/>
        </w:rPr>
        <w:t>See Note 9, “Income taxes” to the Company’s consolidated financial statements included in Item 8 of this Annual Report on Form 10-K for further discussion on income tax expense, valuation allowances and unrecognized tax benefits.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0" w:right="219" w:firstLine="427"/>
        <w:spacing w:after="0" w:line="321" w:lineRule="auto"/>
        <w:rPr>
          <w:sz w:val="20"/>
          <w:szCs w:val="20"/>
          <w:color w:val="auto"/>
        </w:rPr>
      </w:pPr>
      <w:r>
        <w:rPr>
          <w:rFonts w:ascii="Arial" w:cs="Arial" w:eastAsia="Arial" w:hAnsi="Arial"/>
          <w:sz w:val="17"/>
          <w:szCs w:val="17"/>
          <w:color w:val="auto"/>
        </w:rPr>
        <w:t>In September 2022, the FASB issued ASU No. 2022-04, Liabilities (subtopic 405-50): Supplier Finance Programs (“ASU No. 2022-04”) to enhance the transparency of certain supplier finance programs to allow financial statement users to understand the effect on working capital, liquidity and cash flows. The new pronouncement requires qualitative and quantitative disclosure sufficient to enable users of the financial statements to understand the nature, activity during the period, changes from period to period and potential magnitude of such programs. The Company plans to adopt this guidance in the first quarter of fiscal 2024, except for the amendment on roll-forward information, which is effective in fiscal 2025. The Company’s planned adoption of ASU No. 2022-04 is not expected to have a material impact on the Company’s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3" w:lineRule="exact"/>
        <w:rPr>
          <w:sz w:val="20"/>
          <w:szCs w:val="20"/>
          <w:color w:val="auto"/>
        </w:rPr>
      </w:pPr>
    </w:p>
    <w:p>
      <w:pPr>
        <w:ind w:left="60" w:right="199" w:firstLine="427"/>
        <w:spacing w:after="0" w:line="306"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46"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The following table sets forth the scheduled maturities of the Company’s debt outstanding at July 1, 2023 (dollars in millions):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90"/>
              </w:rPr>
              <w:t>Fiscal Year</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2026</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2028</w:t>
            </w:r>
          </w:p>
        </w:tc>
        <w:tc>
          <w:tcPr>
            <w:tcW w:w="100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Thereafter</w:t>
            </w:r>
          </w:p>
        </w:tc>
        <w:tc>
          <w:tcPr>
            <w:tcW w:w="20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Fixed rate debt</w:t>
            </w:r>
            <w:r>
              <w:rPr>
                <w:rFonts w:ascii="Arial" w:cs="Arial" w:eastAsia="Arial" w:hAnsi="Arial"/>
                <w:sz w:val="26"/>
                <w:szCs w:val="26"/>
                <w:color w:val="auto"/>
                <w:vertAlign w:val="superscript"/>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$ 500.0</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$ 1,650.0</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$ 796.6</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$ 1,423.0</w:t>
            </w:r>
          </w:p>
        </w:tc>
        <w:tc>
          <w:tcPr>
            <w:tcW w:w="60" w:type="dxa"/>
            <w:vAlign w:val="bottom"/>
            <w:shd w:val="clear" w:color="auto" w:fill="CCEEFF"/>
          </w:tcPr>
          <w:p>
            <w:pPr>
              <w:spacing w:after="0"/>
              <w:rPr>
                <w:sz w:val="24"/>
                <w:szCs w:val="24"/>
                <w:color w:val="auto"/>
              </w:rPr>
            </w:pPr>
          </w:p>
        </w:tc>
      </w:tr>
      <w:tr>
        <w:trPr>
          <w:trHeight w:val="41"/>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Excludes unamortized discounts and issuance costs.</w:t>
      </w:r>
    </w:p>
    <w:p>
      <w:pPr>
        <w:spacing w:after="0" w:line="225"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 following table sets forth the carrying value and fair value of the Company’s debt and the average interest rates at July 1, 2023, and July 2, 2022 (dollars in millions):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660" w:type="dxa"/>
            <w:vAlign w:val="bottom"/>
            <w:gridSpan w:val="3"/>
          </w:tcPr>
          <w:p>
            <w:pPr>
              <w:ind w:left="1480"/>
              <w:spacing w:after="0"/>
              <w:rPr>
                <w:sz w:val="20"/>
                <w:szCs w:val="20"/>
                <w:color w:val="auto"/>
              </w:rPr>
            </w:pPr>
            <w:r>
              <w:rPr>
                <w:rFonts w:ascii="Arial" w:cs="Arial" w:eastAsia="Arial" w:hAnsi="Arial"/>
                <w:sz w:val="18"/>
                <w:szCs w:val="18"/>
                <w:b w:val="1"/>
                <w:bCs w:val="1"/>
                <w:color w:val="auto"/>
                <w:w w:val="91"/>
              </w:rPr>
              <w:t>Carrying Value</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 at</w:t>
            </w:r>
          </w:p>
        </w:tc>
        <w:tc>
          <w:tcPr>
            <w:tcW w:w="1420" w:type="dxa"/>
            <w:vAlign w:val="bottom"/>
            <w:gridSpan w:val="3"/>
          </w:tcPr>
          <w:p>
            <w:pPr>
              <w:ind w:left="220"/>
              <w:spacing w:after="0"/>
              <w:rPr>
                <w:sz w:val="20"/>
                <w:szCs w:val="20"/>
                <w:color w:val="auto"/>
              </w:rPr>
            </w:pPr>
            <w:r>
              <w:rPr>
                <w:rFonts w:ascii="Arial" w:cs="Arial" w:eastAsia="Arial" w:hAnsi="Arial"/>
                <w:sz w:val="18"/>
                <w:szCs w:val="18"/>
                <w:b w:val="1"/>
                <w:bCs w:val="1"/>
                <w:color w:val="auto"/>
                <w:w w:val="92"/>
              </w:rPr>
              <w:t>Carrying Value</w:t>
            </w:r>
          </w:p>
        </w:tc>
        <w:tc>
          <w:tcPr>
            <w:tcW w:w="18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Fair Value at</w:t>
            </w:r>
          </w:p>
        </w:tc>
      </w:tr>
      <w:tr>
        <w:trPr>
          <w:trHeight w:val="241"/>
        </w:trPr>
        <w:tc>
          <w:tcPr>
            <w:tcW w:w="2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at July 1, 2023</w:t>
            </w:r>
          </w:p>
        </w:tc>
        <w:tc>
          <w:tcPr>
            <w:tcW w:w="2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0"/>
              </w:rPr>
              <w:t>at July 1, 2023</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at July 2, 2022</w:t>
            </w:r>
          </w:p>
        </w:tc>
        <w:tc>
          <w:tcPr>
            <w:tcW w:w="18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July 2, 2022</w:t>
            </w:r>
          </w:p>
        </w:tc>
      </w:tr>
      <w:tr>
        <w:trPr>
          <w:trHeight w:val="216"/>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line="216" w:lineRule="exact"/>
              <w:rPr>
                <w:sz w:val="20"/>
                <w:szCs w:val="20"/>
                <w:color w:val="auto"/>
              </w:rPr>
            </w:pPr>
            <w:r>
              <w:rPr>
                <w:rFonts w:ascii="Arial" w:cs="Arial" w:eastAsia="Arial" w:hAnsi="Arial"/>
                <w:sz w:val="17"/>
                <w:szCs w:val="17"/>
                <w:color w:val="auto"/>
              </w:rPr>
              <w:t>Fixed rate debt</w:t>
            </w:r>
            <w:r>
              <w:rPr>
                <w:rFonts w:ascii="Arial" w:cs="Arial" w:eastAsia="Arial" w:hAnsi="Arial"/>
                <w:sz w:val="25"/>
                <w:szCs w:val="25"/>
                <w:color w:val="auto"/>
                <w:vertAlign w:val="superscript"/>
              </w:rPr>
              <w:t>(1)</w:t>
            </w:r>
          </w:p>
        </w:tc>
        <w:tc>
          <w:tcPr>
            <w:tcW w:w="1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1,650.0</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1,567.5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1,324.6</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1,265.8</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Floating rate debt</w:t>
            </w:r>
          </w:p>
        </w:tc>
        <w:tc>
          <w:tcPr>
            <w:tcW w:w="1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1,423.0</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1,423.0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297.8</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297.8</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41"/>
        </w:trPr>
        <w:tc>
          <w:tcPr>
            <w:tcW w:w="2240" w:type="dxa"/>
            <w:vAlign w:val="bottom"/>
            <w:tcBorders>
              <w:bottom w:val="single" w:sz="8" w:color="auto"/>
            </w:tcBorders>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40" w:lineRule="exact"/>
        <w:rPr>
          <w:sz w:val="20"/>
          <w:szCs w:val="20"/>
          <w:color w:val="auto"/>
        </w:rPr>
      </w:pPr>
    </w:p>
    <w:p>
      <w:pPr>
        <w:ind w:left="380" w:right="419" w:hanging="330"/>
        <w:spacing w:after="0" w:line="32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unamortized discounts and issuance costs. Fair value was estimated primarily based upon quoted market prices for the Company’s public long-term notes.</w:t>
      </w:r>
    </w:p>
    <w:p>
      <w:pPr>
        <w:spacing w:after="0" w:line="130" w:lineRule="exact"/>
        <w:rPr>
          <w:sz w:val="20"/>
          <w:szCs w:val="20"/>
          <w:color w:val="auto"/>
        </w:rPr>
      </w:pPr>
    </w:p>
    <w:p>
      <w:pPr>
        <w:ind w:left="60" w:right="99" w:firstLine="427"/>
        <w:spacing w:after="0" w:line="319"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(i.e., offsetting receivables and payables in the same foreign currency) and creating offsetting positions through the use of derivative financial instruments (primarily forward foreign currency exchange contracts typically with maturities of less than 60 days, but no longer than one year). The Company continues to have exposure to foreign currency risks to the extent they are not economically hedged. The Company adjusts any economic hedges to fair value within the same line item in the consolidated statements of operations as the remeasurement of the underlying assets or liabilities being economically hedged. Therefore, the changes in valuation of the underlying items being economically hedged are offset by the changes in fair value of the forward foreign exchange contracts. A hypothetical 10% change in foreign currency exchange rates under the forward foreign currency exchange contracts outstanding at July 1, 2023, would result in an increase or decrease of approximately $80.0 million to the fair value of the forward foreign exchange contracts, which would generally be offset by an opposite effect on the underlying exposure being economically hedged. See Note 2, “Derivative financial instruments” to the Company’s consolidated financial statements included in Item 8 of this Annual Report on Form 10-K for further discussion on derivative financial instruments.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14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7760" w:type="dxa"/>
            <w:vAlign w:val="bottom"/>
            <w:gridSpan w:val="11"/>
          </w:tcPr>
          <w:p>
            <w:pPr>
              <w:ind w:left="40"/>
              <w:spacing w:after="0"/>
              <w:rPr>
                <w:sz w:val="20"/>
                <w:szCs w:val="20"/>
                <w:color w:val="auto"/>
              </w:rPr>
            </w:pPr>
            <w:r>
              <w:rPr>
                <w:rFonts w:ascii="Arial" w:cs="Arial" w:eastAsia="Arial" w:hAnsi="Arial"/>
                <w:sz w:val="18"/>
                <w:szCs w:val="18"/>
                <w:color w:val="auto"/>
              </w:rPr>
              <w:t>Index to Financial Statements</w:t>
            </w:r>
          </w:p>
        </w:tc>
        <w:tc>
          <w:tcPr>
            <w:tcW w:w="760" w:type="dxa"/>
            <w:vAlign w:val="bottom"/>
          </w:tcPr>
          <w:p>
            <w:pPr>
              <w:spacing w:after="0"/>
              <w:rPr>
                <w:sz w:val="24"/>
                <w:szCs w:val="24"/>
                <w:color w:val="auto"/>
              </w:rPr>
            </w:pPr>
          </w:p>
        </w:tc>
      </w:tr>
      <w:tr>
        <w:trPr>
          <w:trHeight w:val="358"/>
        </w:trPr>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32"/>
        </w:trPr>
        <w:tc>
          <w:tcPr>
            <w:tcW w:w="8140" w:type="dxa"/>
            <w:vAlign w:val="bottom"/>
            <w:gridSpan w:val="12"/>
          </w:tcPr>
          <w:p>
            <w:pPr>
              <w:ind w:left="200"/>
              <w:spacing w:after="0"/>
              <w:rPr>
                <w:sz w:val="20"/>
                <w:szCs w:val="20"/>
                <w:color w:val="auto"/>
              </w:rPr>
            </w:pPr>
            <w:r>
              <w:rPr>
                <w:rFonts w:ascii="Arial" w:cs="Arial" w:eastAsia="Arial" w:hAnsi="Arial"/>
                <w:sz w:val="18"/>
                <w:szCs w:val="18"/>
                <w:color w:val="auto"/>
              </w:rPr>
              <w:t>1. Consolidated Financial Statements:</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Arial" w:cs="Arial" w:eastAsia="Arial" w:hAnsi="Arial"/>
                <w:sz w:val="18"/>
                <w:szCs w:val="18"/>
                <w:color w:val="0000EE"/>
                <w:w w:val="96"/>
              </w:rPr>
              <w:t xml:space="preserve">Report of Independent Registered Public Accounting Firm </w:t>
            </w:r>
            <w:r>
              <w:rPr>
                <w:rFonts w:ascii="Arial" w:cs="Arial" w:eastAsia="Arial" w:hAnsi="Arial"/>
                <w:sz w:val="18"/>
                <w:szCs w:val="18"/>
                <w:color w:val="000000"/>
                <w:w w:val="96"/>
              </w:rPr>
              <w:t>(KPMG LLP, Phoenix, AZ, Auditor Firm ID:</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740" w:type="dxa"/>
            <w:vAlign w:val="bottom"/>
            <w:gridSpan w:val="2"/>
          </w:tcPr>
          <w:p>
            <w:pPr>
              <w:ind w:left="380"/>
              <w:spacing w:after="0"/>
              <w:rPr>
                <w:sz w:val="20"/>
                <w:szCs w:val="20"/>
                <w:color w:val="auto"/>
              </w:rPr>
            </w:pPr>
            <w:r>
              <w:rPr>
                <w:rFonts w:ascii="Arial" w:cs="Arial" w:eastAsia="Arial" w:hAnsi="Arial"/>
                <w:sz w:val="18"/>
                <w:szCs w:val="18"/>
                <w:color w:val="auto"/>
                <w:w w:val="94"/>
              </w:rPr>
              <w:t>185)</w:t>
            </w:r>
          </w:p>
        </w:tc>
        <w:tc>
          <w:tcPr>
            <w:tcW w:w="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Arial" w:cs="Arial" w:eastAsia="Arial" w:hAnsi="Arial"/>
                <w:sz w:val="18"/>
                <w:szCs w:val="18"/>
                <w:color w:val="auto"/>
              </w:rPr>
              <w:t>Avnet, Inc. and Subsidiaries Consolidated Financial Statements:</w:t>
            </w:r>
          </w:p>
        </w:tc>
        <w:tc>
          <w:tcPr>
            <w:tcW w:w="760" w:type="dxa"/>
            <w:vAlign w:val="bottom"/>
          </w:tcPr>
          <w:p>
            <w:pPr>
              <w:spacing w:after="0"/>
              <w:rPr>
                <w:sz w:val="24"/>
                <w:szCs w:val="24"/>
                <w:color w:val="auto"/>
              </w:rPr>
            </w:pPr>
          </w:p>
        </w:tc>
      </w:tr>
      <w:tr>
        <w:trPr>
          <w:trHeight w:val="391"/>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Arial" w:cs="Arial" w:eastAsia="Arial" w:hAnsi="Arial"/>
                <w:sz w:val="18"/>
                <w:szCs w:val="18"/>
                <w:color w:val="0000EE"/>
              </w:rPr>
              <w:t>Consolidated Balance Sheets at July 1, 2023, and July 2, 2022</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4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Consolidated Statements of Operations for the fiscal years ended July 1, 2023, July 2, 2022, and July 3,</w:t>
            </w:r>
          </w:p>
        </w:tc>
        <w:tc>
          <w:tcPr>
            <w:tcW w:w="32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740" w:type="dxa"/>
            <w:vAlign w:val="bottom"/>
            <w:gridSpan w:val="2"/>
          </w:tcPr>
          <w:p>
            <w:pPr>
              <w:ind w:left="380"/>
              <w:spacing w:after="0"/>
              <w:rPr>
                <w:sz w:val="20"/>
                <w:szCs w:val="20"/>
                <w:color w:val="auto"/>
              </w:rPr>
            </w:pPr>
            <w:r>
              <w:rPr>
                <w:rFonts w:ascii="Arial" w:cs="Arial" w:eastAsia="Arial" w:hAnsi="Arial"/>
                <w:sz w:val="18"/>
                <w:szCs w:val="18"/>
                <w:color w:val="0000EE"/>
                <w:w w:val="84"/>
              </w:rPr>
              <w:t>2021</w:t>
            </w:r>
          </w:p>
        </w:tc>
        <w:tc>
          <w:tcPr>
            <w:tcW w:w="8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5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Consolidated Statements of Comprehensive Income for the fiscal years ended July 1, 2023, July 2, 2022,</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7760" w:type="dxa"/>
            <w:vAlign w:val="bottom"/>
            <w:gridSpan w:val="11"/>
          </w:tcPr>
          <w:p>
            <w:pPr>
              <w:spacing w:after="0" w:line="196" w:lineRule="exact"/>
              <w:rPr>
                <w:sz w:val="20"/>
                <w:szCs w:val="20"/>
                <w:color w:val="auto"/>
              </w:rPr>
            </w:pPr>
            <w:r>
              <w:rPr>
                <w:rFonts w:ascii="Arial" w:cs="Arial" w:eastAsia="Arial" w:hAnsi="Arial"/>
                <w:sz w:val="18"/>
                <w:szCs w:val="18"/>
                <w:color w:val="0000EE"/>
              </w:rPr>
              <w:t>and July 3, 2021</w:t>
            </w: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Arial" w:cs="Arial" w:eastAsia="Arial" w:hAnsi="Arial"/>
                <w:sz w:val="18"/>
                <w:szCs w:val="18"/>
                <w:color w:val="0000EE"/>
                <w:w w:val="95"/>
              </w:rPr>
              <w:t>Consolidated Statements of Shareholders’ Equity for the fiscal years ended July 1, 2023, July 2, 2022,</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73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and July 3, 2021</w:t>
            </w:r>
          </w:p>
        </w:tc>
        <w:tc>
          <w:tcPr>
            <w:tcW w:w="4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5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9"/>
              </w:rPr>
              <w:t>Consolidated Statements of Cash Flows for the fiscal years ended July 1, 2023, July 2, 2022, and July 3,</w:t>
            </w:r>
          </w:p>
        </w:tc>
        <w:tc>
          <w:tcPr>
            <w:tcW w:w="26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740" w:type="dxa"/>
            <w:vAlign w:val="bottom"/>
            <w:gridSpan w:val="2"/>
          </w:tcPr>
          <w:p>
            <w:pPr>
              <w:ind w:left="380"/>
              <w:spacing w:after="0" w:line="196" w:lineRule="exact"/>
              <w:rPr>
                <w:sz w:val="20"/>
                <w:szCs w:val="20"/>
                <w:color w:val="auto"/>
              </w:rPr>
            </w:pPr>
            <w:r>
              <w:rPr>
                <w:rFonts w:ascii="Arial" w:cs="Arial" w:eastAsia="Arial" w:hAnsi="Arial"/>
                <w:sz w:val="18"/>
                <w:szCs w:val="18"/>
                <w:color w:val="0000EE"/>
                <w:w w:val="84"/>
              </w:rPr>
              <w:t>2021</w:t>
            </w:r>
          </w:p>
        </w:tc>
        <w:tc>
          <w:tcPr>
            <w:tcW w:w="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Arial" w:cs="Arial" w:eastAsia="Arial" w:hAnsi="Arial"/>
                <w:sz w:val="18"/>
                <w:szCs w:val="18"/>
                <w:color w:val="0000EE"/>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8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8140" w:type="dxa"/>
            <w:vAlign w:val="bottom"/>
            <w:gridSpan w:val="12"/>
          </w:tcPr>
          <w:p>
            <w:pPr>
              <w:ind w:left="200"/>
              <w:spacing w:after="0"/>
              <w:rPr>
                <w:sz w:val="20"/>
                <w:szCs w:val="20"/>
                <w:color w:val="auto"/>
              </w:rPr>
            </w:pPr>
            <w:r>
              <w:rPr>
                <w:rFonts w:ascii="Arial" w:cs="Arial" w:eastAsia="Arial" w:hAnsi="Arial"/>
                <w:sz w:val="18"/>
                <w:szCs w:val="18"/>
                <w:color w:val="auto"/>
              </w:rPr>
              <w:t>2. Financial Statement Schedule:</w:t>
            </w:r>
          </w:p>
        </w:tc>
        <w:tc>
          <w:tcPr>
            <w:tcW w:w="760" w:type="dxa"/>
            <w:vAlign w:val="bottom"/>
          </w:tcPr>
          <w:p>
            <w:pPr>
              <w:spacing w:after="0"/>
              <w:rPr>
                <w:sz w:val="24"/>
                <w:szCs w:val="24"/>
                <w:color w:val="auto"/>
              </w:rPr>
            </w:pPr>
          </w:p>
        </w:tc>
      </w:tr>
      <w:tr>
        <w:trPr>
          <w:trHeight w:val="391"/>
        </w:trPr>
        <w:tc>
          <w:tcPr>
            <w:tcW w:w="38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Arial" w:cs="Arial" w:eastAsia="Arial" w:hAnsi="Arial"/>
                <w:sz w:val="18"/>
                <w:szCs w:val="18"/>
                <w:color w:val="0000EE"/>
                <w:w w:val="96"/>
              </w:rPr>
              <w:t>Schedule II (Valuation and Qualifying Accounts) for the fiscal years ended July 1, 2023, July 2, 2022,</w:t>
            </w: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380" w:type="dxa"/>
            <w:vAlign w:val="bottom"/>
          </w:tcPr>
          <w:p>
            <w:pPr>
              <w:spacing w:after="0"/>
              <w:rPr>
                <w:sz w:val="17"/>
                <w:szCs w:val="17"/>
                <w:color w:val="auto"/>
              </w:rPr>
            </w:pPr>
          </w:p>
        </w:tc>
        <w:tc>
          <w:tcPr>
            <w:tcW w:w="73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and July 3, 2021</w:t>
            </w:r>
          </w:p>
        </w:tc>
        <w:tc>
          <w:tcPr>
            <w:tcW w:w="44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1499"/>
        <w:spacing w:after="0" w:line="277" w:lineRule="auto"/>
        <w:rPr>
          <w:sz w:val="20"/>
          <w:szCs w:val="20"/>
          <w:color w:val="auto"/>
        </w:rPr>
      </w:pPr>
      <w:r>
        <w:rPr>
          <w:rFonts w:ascii="Arial" w:cs="Arial" w:eastAsia="Arial" w:hAnsi="Arial"/>
          <w:sz w:val="18"/>
          <w:szCs w:val="18"/>
          <w:color w:val="auto"/>
        </w:rPr>
        <w:t>Schedules other than that above have been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Shareholders and Board of Directors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31" w:lineRule="exact"/>
        <w:rPr>
          <w:sz w:val="20"/>
          <w:szCs w:val="20"/>
          <w:color w:val="auto"/>
        </w:rPr>
      </w:pPr>
    </w:p>
    <w:p>
      <w:pPr>
        <w:ind w:left="60" w:right="99"/>
        <w:spacing w:after="0" w:line="343" w:lineRule="auto"/>
        <w:rPr>
          <w:sz w:val="20"/>
          <w:szCs w:val="20"/>
          <w:color w:val="auto"/>
        </w:rPr>
      </w:pPr>
      <w:r>
        <w:rPr>
          <w:rFonts w:ascii="Arial" w:cs="Arial" w:eastAsia="Arial" w:hAnsi="Arial"/>
          <w:sz w:val="16"/>
          <w:szCs w:val="16"/>
          <w:color w:val="auto"/>
        </w:rPr>
        <w:t xml:space="preserve">We have audited the accompanying consolidated balance sheets of Avnet, Inc. and subsidiaries (the Company) as of July 1, 2023 and July 2, 2022, the related consolidated statements of operations, comprehensive income, stockholders’ equity, and cash flows for each of the years in the three-year period ended July 1, 2023, and the related notes and financial statement schedules II (collectively, the consolidated financial statements). We also have audited the Company’s internal control over financial reporting as of July 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2" w:lineRule="exact"/>
        <w:rPr>
          <w:sz w:val="20"/>
          <w:szCs w:val="20"/>
          <w:color w:val="auto"/>
        </w:rPr>
      </w:pPr>
    </w:p>
    <w:p>
      <w:pPr>
        <w:jc w:val="both"/>
        <w:ind w:left="60" w:right="139"/>
        <w:spacing w:after="0" w:line="32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July 1, 2023 and July 2, 2022, and the results of its operations and its cash flows for each of the years in the three-year period ended July 1, 2023, in conformity with U.S. generally accepted accounting principles.</w:t>
      </w:r>
    </w:p>
    <w:p>
      <w:pPr>
        <w:spacing w:after="0" w:line="2" w:lineRule="exact"/>
        <w:rPr>
          <w:sz w:val="20"/>
          <w:szCs w:val="20"/>
          <w:color w:val="auto"/>
        </w:rPr>
      </w:pPr>
    </w:p>
    <w:p>
      <w:pPr>
        <w:jc w:val="both"/>
        <w:ind w:left="60" w:right="139"/>
        <w:spacing w:after="0" w:line="310" w:lineRule="auto"/>
        <w:rPr>
          <w:sz w:val="20"/>
          <w:szCs w:val="20"/>
          <w:color w:val="auto"/>
        </w:rPr>
      </w:pPr>
      <w:r>
        <w:rPr>
          <w:rFonts w:ascii="Arial" w:cs="Arial" w:eastAsia="Arial" w:hAnsi="Arial"/>
          <w:sz w:val="18"/>
          <w:szCs w:val="18"/>
          <w:color w:val="auto"/>
        </w:rPr>
        <w:t xml:space="preserve">Also in our opinion, the Company maintained, in all material respects, effective internal control over financial reporting as of July 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Opinions</w:t>
      </w:r>
    </w:p>
    <w:p>
      <w:pPr>
        <w:spacing w:after="0" w:line="158" w:lineRule="exact"/>
        <w:rPr>
          <w:sz w:val="20"/>
          <w:szCs w:val="20"/>
          <w:color w:val="auto"/>
        </w:rPr>
      </w:pPr>
    </w:p>
    <w:p>
      <w:pPr>
        <w:ind w:left="60" w:right="139"/>
        <w:spacing w:after="0" w:line="316"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ind w:left="60" w:right="139"/>
        <w:spacing w:after="0" w:line="30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ind w:left="60" w:right="119"/>
        <w:spacing w:after="0" w:line="314"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44" w:lineRule="exact"/>
        <w:rPr>
          <w:sz w:val="20"/>
          <w:szCs w:val="20"/>
          <w:color w:val="auto"/>
        </w:rPr>
      </w:pPr>
    </w:p>
    <w:p>
      <w:pPr>
        <w:ind w:left="60" w:right="219"/>
        <w:spacing w:after="0" w:line="37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338" w:lineRule="auto"/>
        <w:rPr>
          <w:sz w:val="20"/>
          <w:szCs w:val="20"/>
          <w:color w:val="auto"/>
        </w:rPr>
      </w:pPr>
      <w:r>
        <w:rPr>
          <w:rFonts w:ascii="Arial" w:cs="Arial" w:eastAsia="Arial" w:hAnsi="Arial"/>
          <w:sz w:val="16"/>
          <w:szCs w:val="16"/>
          <w:color w:val="auto"/>
        </w:rPr>
        <w:t>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jc w:val="both"/>
        <w:ind w:left="60" w:right="159"/>
        <w:spacing w:after="0" w:line="3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131" w:lineRule="exact"/>
        <w:rPr>
          <w:sz w:val="20"/>
          <w:szCs w:val="20"/>
          <w:color w:val="auto"/>
        </w:rPr>
      </w:pPr>
    </w:p>
    <w:p>
      <w:pPr>
        <w:ind w:left="60" w:right="99"/>
        <w:spacing w:after="0" w:line="34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Evaluation of accounting for income taxes</w:t>
      </w:r>
    </w:p>
    <w:p>
      <w:pPr>
        <w:spacing w:after="0" w:line="144" w:lineRule="exact"/>
        <w:rPr>
          <w:sz w:val="20"/>
          <w:szCs w:val="20"/>
          <w:color w:val="auto"/>
        </w:rPr>
      </w:pPr>
    </w:p>
    <w:p>
      <w:pPr>
        <w:ind w:left="440" w:right="279"/>
        <w:spacing w:after="0" w:line="316" w:lineRule="auto"/>
        <w:rPr>
          <w:sz w:val="20"/>
          <w:szCs w:val="20"/>
          <w:color w:val="auto"/>
        </w:rPr>
      </w:pPr>
      <w:r>
        <w:rPr>
          <w:rFonts w:ascii="Arial" w:cs="Arial" w:eastAsia="Arial" w:hAnsi="Arial"/>
          <w:sz w:val="17"/>
          <w:szCs w:val="17"/>
          <w:color w:val="auto"/>
        </w:rPr>
        <w:t>As discussed in Notes 1 and 9 to the consolidated financial statements, the Company recognized $187.3 million of deferred tax assets, net and income tax expense of $212.1 million as of and for the year ended July 1, 2023. Additionally, as discussed in Note 8, the Company recognized accrued income taxes of $93.5 million as of July 1, 2023. The Company conducts business globally and consequently is subject to U.S. federal, state, and local income taxes as well as foreign income taxes in many of the jurisdictions in which it operates. The Company exercises judgment for the interpretation and application of such current tax regulations.</w:t>
      </w:r>
    </w:p>
    <w:p>
      <w:pPr>
        <w:spacing w:after="0" w:line="76" w:lineRule="exact"/>
        <w:rPr>
          <w:sz w:val="20"/>
          <w:szCs w:val="20"/>
          <w:color w:val="auto"/>
        </w:rPr>
      </w:pPr>
    </w:p>
    <w:p>
      <w:pPr>
        <w:ind w:left="440" w:right="59"/>
        <w:spacing w:after="0" w:line="296" w:lineRule="auto"/>
        <w:rPr>
          <w:sz w:val="20"/>
          <w:szCs w:val="20"/>
          <w:color w:val="auto"/>
        </w:rPr>
      </w:pPr>
      <w:r>
        <w:rPr>
          <w:rFonts w:ascii="Arial" w:cs="Arial" w:eastAsia="Arial" w:hAnsi="Arial"/>
          <w:sz w:val="18"/>
          <w:szCs w:val="18"/>
          <w:color w:val="auto"/>
        </w:rPr>
        <w:t>We identified the evaluation of accounting for income taxes as a critical audit matter. Evaluating the Company’s application of current tax regulations in various foreign jurisdictions and the impact of those regulations on foreign, U.S. federal, state and local income tax provisions required complex auditor judgment and the use of tax professionals with specialized skills.</w:t>
      </w:r>
    </w:p>
    <w:p>
      <w:pPr>
        <w:spacing w:after="0" w:line="72" w:lineRule="exact"/>
        <w:rPr>
          <w:sz w:val="20"/>
          <w:szCs w:val="20"/>
          <w:color w:val="auto"/>
        </w:rPr>
      </w:pPr>
    </w:p>
    <w:p>
      <w:pPr>
        <w:ind w:left="440" w:right="179"/>
        <w:spacing w:after="0" w:line="31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income tax process, including controls related to the application of current tax regulations in the various tax jurisdictions and impact on the Company’s tax provisions. We involved tax professionals with specialized skills and knowledge in various tax jurisdictions, who assisted in evaluating the Company’s analyses over the application of current tax regulations and the Company’s interpretation of tax laws and regulations in those jurisdictions.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18,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July 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r>
      <w:tr>
        <w:trPr>
          <w:trHeight w:val="241"/>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84"/>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84"/>
              </w:rPr>
              <w:t>(Thousands,</w:t>
            </w:r>
          </w:p>
        </w:tc>
        <w:tc>
          <w:tcPr>
            <w:tcW w:w="180" w:type="dxa"/>
            <w:vAlign w:val="bottom"/>
          </w:tcPr>
          <w:p>
            <w:pPr>
              <w:spacing w:after="0"/>
              <w:rPr>
                <w:sz w:val="16"/>
                <w:szCs w:val="16"/>
                <w:color w:val="auto"/>
              </w:rPr>
            </w:pPr>
          </w:p>
        </w:tc>
        <w:tc>
          <w:tcPr>
            <w:tcW w:w="104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w w:val="92"/>
              </w:rPr>
              <w:t>except share</w:t>
            </w:r>
          </w:p>
        </w:tc>
        <w:tc>
          <w:tcPr>
            <w:tcW w:w="100" w:type="dxa"/>
            <w:vAlign w:val="bottom"/>
          </w:tcPr>
          <w:p>
            <w:pPr>
              <w:spacing w:after="0"/>
              <w:rPr>
                <w:sz w:val="16"/>
                <w:szCs w:val="16"/>
                <w:color w:val="auto"/>
              </w:rPr>
            </w:pPr>
          </w:p>
        </w:tc>
      </w:tr>
      <w:tr>
        <w:trPr>
          <w:trHeight w:val="234"/>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ind w:left="660"/>
              <w:spacing w:after="0"/>
              <w:rPr>
                <w:sz w:val="20"/>
                <w:szCs w:val="20"/>
                <w:color w:val="auto"/>
              </w:rPr>
            </w:pPr>
            <w:r>
              <w:rPr>
                <w:rFonts w:ascii="Arial" w:cs="Arial" w:eastAsia="Arial" w:hAnsi="Arial"/>
                <w:sz w:val="18"/>
                <w:szCs w:val="18"/>
                <w:b w:val="1"/>
                <w:bCs w:val="1"/>
                <w:color w:val="auto"/>
              </w:rPr>
              <w:t>amounts)</w:t>
            </w:r>
          </w:p>
        </w:tc>
      </w:tr>
      <w:tr>
        <w:trPr>
          <w:trHeight w:val="216"/>
        </w:trPr>
        <w:tc>
          <w:tcPr>
            <w:tcW w:w="638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288,230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4,763,788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4,301,002</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5,465,031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4,244,148</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233,804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177,783</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10,750,853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8,876,626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315,204</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758,833</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227,138</w:t>
            </w:r>
          </w:p>
        </w:tc>
        <w:tc>
          <w:tcPr>
            <w:tcW w:w="100" w:type="dxa"/>
            <w:vAlign w:val="bottom"/>
          </w:tcPr>
          <w:p>
            <w:pPr>
              <w:spacing w:after="0"/>
              <w:rPr>
                <w:sz w:val="18"/>
                <w:szCs w:val="18"/>
                <w:color w:val="auto"/>
              </w:rPr>
            </w:pPr>
          </w:p>
        </w:tc>
      </w:tr>
      <w:tr>
        <w:trPr>
          <w:trHeight w:val="236"/>
        </w:trPr>
        <w:tc>
          <w:tcPr>
            <w:tcW w:w="6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282,422</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210,731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638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12,477,159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10,388,532</w:t>
            </w:r>
          </w:p>
        </w:tc>
        <w:tc>
          <w:tcPr>
            <w:tcW w:w="100" w:type="dxa"/>
            <w:vAlign w:val="bottom"/>
            <w:tcBorders>
              <w:bottom w:val="single" w:sz="8" w:color="CCEEFF"/>
            </w:tcBorders>
          </w:tcPr>
          <w:p>
            <w:pPr>
              <w:spacing w:after="0"/>
              <w:rPr>
                <w:sz w:val="21"/>
                <w:szCs w:val="21"/>
                <w:color w:val="auto"/>
              </w:rPr>
            </w:pPr>
          </w:p>
        </w:tc>
      </w:tr>
      <w:tr>
        <w:trPr>
          <w:trHeight w:val="197"/>
        </w:trPr>
        <w:tc>
          <w:tcPr>
            <w:tcW w:w="6380" w:type="dxa"/>
            <w:vAlign w:val="bottom"/>
            <w:shd w:val="clear" w:color="auto" w:fill="CCEEFF"/>
          </w:tcPr>
          <w:p>
            <w:pPr>
              <w:ind w:left="12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debt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174,422</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3,373,820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3,431,683</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591,020</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54,529</w:t>
            </w:r>
          </w:p>
        </w:tc>
        <w:tc>
          <w:tcPr>
            <w:tcW w:w="100" w:type="dxa"/>
            <w:vAlign w:val="bottom"/>
            <w:tcBorders>
              <w:bottom w:val="single" w:sz="8" w:color="CCEEFF"/>
            </w:tcBorders>
          </w:tcPr>
          <w:p>
            <w:pPr>
              <w:spacing w:after="0"/>
              <w:rPr>
                <w:sz w:val="19"/>
                <w:szCs w:val="19"/>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4,249,378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4,251,654</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2,988,029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1,437,400</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199,418</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297,462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307,300</w:t>
            </w:r>
          </w:p>
        </w:tc>
        <w:tc>
          <w:tcPr>
            <w:tcW w:w="100" w:type="dxa"/>
            <w:vAlign w:val="bottom"/>
            <w:tcBorders>
              <w:bottom w:val="single" w:sz="8" w:color="CCEEFF"/>
            </w:tcBorders>
          </w:tcPr>
          <w:p>
            <w:pPr>
              <w:spacing w:after="0"/>
              <w:rPr>
                <w:sz w:val="19"/>
                <w:szCs w:val="19"/>
                <w:color w:val="auto"/>
              </w:rPr>
            </w:pPr>
          </w:p>
        </w:tc>
      </w:tr>
      <w:tr>
        <w:trPr>
          <w:trHeight w:val="236"/>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7,725,490</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6,195,772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380" w:type="dxa"/>
            <w:vAlign w:val="bottom"/>
          </w:tcPr>
          <w:p>
            <w:pPr>
              <w:ind w:left="100"/>
              <w:spacing w:after="0" w:line="203" w:lineRule="exact"/>
              <w:rPr>
                <w:sz w:val="20"/>
                <w:szCs w:val="20"/>
                <w:color w:val="auto"/>
              </w:rPr>
            </w:pPr>
            <w:r>
              <w:rPr>
                <w:rFonts w:ascii="Arial" w:cs="Arial" w:eastAsia="Arial" w:hAnsi="Arial"/>
                <w:sz w:val="18"/>
                <w:szCs w:val="18"/>
                <w:color w:val="auto"/>
              </w:rPr>
              <w:t>Commitments and contingencies (Note 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380" w:type="dxa"/>
            <w:vAlign w:val="bottom"/>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91,504,053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and 95,701,630 shares,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95,702</w:t>
            </w:r>
          </w:p>
        </w:tc>
        <w:tc>
          <w:tcPr>
            <w:tcW w:w="100" w:type="dxa"/>
            <w:vAlign w:val="bottom"/>
          </w:tcPr>
          <w:p>
            <w:pPr>
              <w:spacing w:after="0"/>
              <w:rPr>
                <w:sz w:val="20"/>
                <w:szCs w:val="20"/>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1,691,334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1,656,907</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3,378,212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2,921,399</w:t>
            </w:r>
          </w:p>
        </w:tc>
        <w:tc>
          <w:tcPr>
            <w:tcW w:w="100" w:type="dxa"/>
            <w:vAlign w:val="bottom"/>
          </w:tcPr>
          <w:p>
            <w:pPr>
              <w:spacing w:after="0"/>
              <w:rPr>
                <w:sz w:val="18"/>
                <w:szCs w:val="18"/>
                <w:color w:val="auto"/>
              </w:rPr>
            </w:pPr>
          </w:p>
        </w:tc>
      </w:tr>
      <w:tr>
        <w:trPr>
          <w:trHeight w:val="236"/>
        </w:trPr>
        <w:tc>
          <w:tcPr>
            <w:tcW w:w="6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(409,381)</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38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4,751,669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4,192,760</w:t>
            </w:r>
          </w:p>
        </w:tc>
        <w:tc>
          <w:tcPr>
            <w:tcW w:w="100" w:type="dxa"/>
            <w:vAlign w:val="bottom"/>
            <w:tcBorders>
              <w:bottom w:val="single" w:sz="8" w:color="CCEEFF"/>
            </w:tcBorders>
          </w:tcPr>
          <w:p>
            <w:pPr>
              <w:spacing w:after="0"/>
              <w:rPr>
                <w:sz w:val="18"/>
                <w:szCs w:val="18"/>
                <w:color w:val="auto"/>
              </w:rPr>
            </w:pPr>
          </w:p>
        </w:tc>
      </w:tr>
      <w:tr>
        <w:trPr>
          <w:trHeight w:val="216"/>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12,477,159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10,388,532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July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July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380"/>
              <w:spacing w:after="0" w:line="202" w:lineRule="exact"/>
              <w:rPr>
                <w:sz w:val="20"/>
                <w:szCs w:val="20"/>
                <w:color w:val="auto"/>
              </w:rPr>
            </w:pPr>
            <w:r>
              <w:rPr>
                <w:rFonts w:ascii="Arial" w:cs="Arial" w:eastAsia="Arial" w:hAnsi="Arial"/>
                <w:sz w:val="18"/>
                <w:szCs w:val="18"/>
                <w:b w:val="1"/>
                <w:bCs w:val="1"/>
                <w:color w:val="auto"/>
                <w:w w:val="74"/>
              </w:rPr>
              <w:t>(Thousands,</w:t>
            </w:r>
          </w:p>
        </w:tc>
        <w:tc>
          <w:tcPr>
            <w:tcW w:w="1500" w:type="dxa"/>
            <w:vAlign w:val="bottom"/>
            <w:gridSpan w:val="4"/>
          </w:tcPr>
          <w:p>
            <w:pPr>
              <w:ind w:left="160"/>
              <w:spacing w:after="0" w:line="202" w:lineRule="exact"/>
              <w:rPr>
                <w:sz w:val="20"/>
                <w:szCs w:val="20"/>
                <w:color w:val="auto"/>
              </w:rPr>
            </w:pPr>
            <w:r>
              <w:rPr>
                <w:rFonts w:ascii="Arial" w:cs="Arial" w:eastAsia="Arial" w:hAnsi="Arial"/>
                <w:sz w:val="18"/>
                <w:szCs w:val="18"/>
                <w:b w:val="1"/>
                <w:bCs w:val="1"/>
                <w:color w:val="auto"/>
                <w:w w:val="92"/>
              </w:rPr>
              <w:t>except per share</w:t>
            </w:r>
          </w:p>
        </w:tc>
        <w:tc>
          <w:tcPr>
            <w:tcW w:w="1280" w:type="dxa"/>
            <w:vAlign w:val="bottom"/>
            <w:gridSpan w:val="2"/>
          </w:tcPr>
          <w:p>
            <w:pPr>
              <w:jc w:val="right"/>
              <w:ind w:right="510"/>
              <w:spacing w:after="0" w:line="202" w:lineRule="exact"/>
              <w:rPr>
                <w:sz w:val="20"/>
                <w:szCs w:val="20"/>
                <w:color w:val="auto"/>
              </w:rPr>
            </w:pPr>
            <w:r>
              <w:rPr>
                <w:rFonts w:ascii="Arial" w:cs="Arial" w:eastAsia="Arial" w:hAnsi="Arial"/>
                <w:sz w:val="18"/>
                <w:szCs w:val="18"/>
                <w:b w:val="1"/>
                <w:bCs w:val="1"/>
                <w:color w:val="auto"/>
                <w:w w:val="81"/>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9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26,536,881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24,310,708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23,354,738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21,345,317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3,182,143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2,965,391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1,967,305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1,994,847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Russian-Ukraine conflict related expenses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Restructuring, integration and other expenses</w:t>
            </w:r>
          </w:p>
        </w:tc>
        <w:tc>
          <w:tcPr>
            <w:tcW w:w="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financing expenses, net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Gain on legal settlements and other</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37,037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982,876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212,048</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140,955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770,828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692,379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22"/>
                <w:szCs w:val="22"/>
                <w:color w:val="auto"/>
              </w:rPr>
            </w:pPr>
          </w:p>
        </w:tc>
        <w:tc>
          <w:tcPr>
            <w:tcW w:w="240" w:type="dxa"/>
            <w:vAlign w:val="bottom"/>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92,043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7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93,368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99,819</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100,168</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7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5"/>
        </w:trPr>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July 2,</w:t>
            </w:r>
          </w:p>
        </w:tc>
        <w:tc>
          <w:tcPr>
            <w:tcW w:w="2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July 3,</w:t>
            </w:r>
          </w:p>
        </w:tc>
      </w:tr>
      <w:tr>
        <w:trPr>
          <w:trHeight w:val="241"/>
        </w:trPr>
        <w:tc>
          <w:tcPr>
            <w:tcW w:w="4740" w:type="dxa"/>
            <w:vAlign w:val="bottom"/>
          </w:tcPr>
          <w:p>
            <w:pPr>
              <w:spacing w:after="0"/>
              <w:rPr>
                <w:sz w:val="20"/>
                <w:szCs w:val="20"/>
                <w:color w:val="auto"/>
              </w:rPr>
            </w:pPr>
          </w:p>
        </w:tc>
        <w:tc>
          <w:tcPr>
            <w:tcW w:w="21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2021</w:t>
            </w:r>
          </w:p>
        </w:tc>
      </w:tr>
      <w:tr>
        <w:trPr>
          <w:trHeight w:val="203"/>
        </w:trPr>
        <w:tc>
          <w:tcPr>
            <w:tcW w:w="4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77"/>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$ 770,828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692,379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$ 193,114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(324,139)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152,678</w:t>
            </w:r>
          </w:p>
        </w:tc>
      </w:tr>
      <w:tr>
        <w:trPr>
          <w:trHeight w:val="216"/>
        </w:trPr>
        <w:tc>
          <w:tcPr>
            <w:tcW w:w="4740" w:type="dxa"/>
            <w:vAlign w:val="bottom"/>
          </w:tcPr>
          <w:p>
            <w:pPr>
              <w:ind w:left="100"/>
              <w:spacing w:after="0"/>
              <w:rPr>
                <w:sz w:val="20"/>
                <w:szCs w:val="20"/>
                <w:color w:val="auto"/>
              </w:rPr>
            </w:pPr>
            <w:r>
              <w:rPr>
                <w:rFonts w:ascii="Arial" w:cs="Arial" w:eastAsia="Arial" w:hAnsi="Arial"/>
                <w:sz w:val="18"/>
                <w:szCs w:val="18"/>
                <w:color w:val="auto"/>
              </w:rPr>
              <w:t>Cross-currency swap</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(22,849)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Pension adjustments, net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30,230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81,955</w:t>
            </w: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comprehensive income, net of tax</w:t>
            </w:r>
          </w:p>
        </w:tc>
        <w:tc>
          <w:tcPr>
            <w:tcW w:w="1360" w:type="dxa"/>
            <w:vAlign w:val="bottom"/>
            <w:tcBorders>
              <w:top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$ 842,695</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364,878</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$ 427,747</w:t>
            </w:r>
          </w:p>
        </w:tc>
      </w:tr>
      <w:tr>
        <w:trPr>
          <w:trHeight w:val="20"/>
        </w:trPr>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1, 2023, July 2, 2022, and July 3, 2021</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Common</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r>
      <w:tr>
        <w:trPr>
          <w:trHeight w:val="216"/>
        </w:trPr>
        <w:tc>
          <w:tcPr>
            <w:tcW w:w="27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Shareholders’</w:t>
            </w:r>
          </w:p>
        </w:tc>
      </w:tr>
      <w:tr>
        <w:trPr>
          <w:trHeight w:val="229"/>
        </w:trPr>
        <w:tc>
          <w:tcPr>
            <w:tcW w:w="27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6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(Loss) Income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r>
      <w:tr>
        <w:trPr>
          <w:trHeight w:val="203"/>
        </w:trPr>
        <w:tc>
          <w:tcPr>
            <w:tcW w:w="27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(Thousands)</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27, 2020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1,594,140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2,421,845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(388,380)</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3,726,398</w:t>
            </w:r>
          </w:p>
        </w:tc>
        <w:tc>
          <w:tcPr>
            <w:tcW w:w="60" w:type="dxa"/>
            <w:vAlign w:val="bottom"/>
            <w:shd w:val="clear" w:color="auto" w:fill="CCEEFF"/>
          </w:tcPr>
          <w:p>
            <w:pPr>
              <w:spacing w:after="0"/>
              <w:rPr>
                <w:sz w:val="18"/>
                <w:szCs w:val="18"/>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193,114</w:t>
            </w:r>
          </w:p>
        </w:tc>
        <w:tc>
          <w:tcPr>
            <w:tcW w:w="60" w:type="dxa"/>
            <w:vAlign w:val="bottom"/>
          </w:tcPr>
          <w:p>
            <w:pPr>
              <w:spacing w:after="0"/>
              <w:rPr>
                <w:sz w:val="18"/>
                <w:szCs w:val="18"/>
                <w:color w:val="auto"/>
              </w:rPr>
            </w:pPr>
          </w:p>
        </w:tc>
      </w:tr>
      <w:tr>
        <w:trPr>
          <w:trHeight w:val="219"/>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152,678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152,678</w:t>
            </w:r>
          </w:p>
        </w:tc>
        <w:tc>
          <w:tcPr>
            <w:tcW w:w="60" w:type="dxa"/>
            <w:vAlign w:val="bottom"/>
            <w:shd w:val="clear" w:color="auto" w:fill="CCEEFF"/>
          </w:tcPr>
          <w:p>
            <w:pPr>
              <w:spacing w:after="0"/>
              <w:rPr>
                <w:sz w:val="19"/>
                <w:szCs w:val="19"/>
                <w:color w:val="auto"/>
              </w:rPr>
            </w:pPr>
          </w:p>
        </w:tc>
      </w:tr>
      <w:tr>
        <w:trPr>
          <w:trHeight w:val="210"/>
        </w:trPr>
        <w:tc>
          <w:tcPr>
            <w:tcW w:w="2700" w:type="dxa"/>
            <w:vAlign w:val="bottom"/>
          </w:tcPr>
          <w:p>
            <w:pPr>
              <w:spacing w:after="0"/>
              <w:rPr>
                <w:sz w:val="20"/>
                <w:szCs w:val="20"/>
                <w:color w:val="auto"/>
              </w:rPr>
            </w:pPr>
            <w:r>
              <w:rPr>
                <w:rFonts w:ascii="Arial" w:cs="Arial" w:eastAsia="Arial" w:hAnsi="Arial"/>
                <w:sz w:val="16"/>
                <w:szCs w:val="16"/>
                <w:color w:val="auto"/>
              </w:rPr>
              <w:t>Pension liability adjustments, net of</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700" w:type="dxa"/>
            <w:vAlign w:val="bottom"/>
          </w:tcPr>
          <w:p>
            <w:pPr>
              <w:ind w:left="120"/>
              <w:spacing w:after="0"/>
              <w:rPr>
                <w:sz w:val="20"/>
                <w:szCs w:val="20"/>
                <w:color w:val="auto"/>
              </w:rPr>
            </w:pPr>
            <w:r>
              <w:rPr>
                <w:rFonts w:ascii="Arial" w:cs="Arial" w:eastAsia="Arial" w:hAnsi="Arial"/>
                <w:sz w:val="16"/>
                <w:szCs w:val="16"/>
                <w:color w:val="auto"/>
              </w:rPr>
              <w:t>tax of $2,483</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81,955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81,955</w:t>
            </w:r>
          </w:p>
        </w:tc>
        <w:tc>
          <w:tcPr>
            <w:tcW w:w="60" w:type="dxa"/>
            <w:vAlign w:val="bottom"/>
          </w:tcPr>
          <w:p>
            <w:pPr>
              <w:spacing w:after="0"/>
              <w:rPr>
                <w:sz w:val="19"/>
                <w:szCs w:val="19"/>
                <w:color w:val="auto"/>
              </w:rPr>
            </w:pPr>
          </w:p>
        </w:tc>
      </w:tr>
      <w:tr>
        <w:trPr>
          <w:trHeight w:val="219"/>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($0.85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(84,309)</w:t>
            </w:r>
          </w:p>
        </w:tc>
        <w:tc>
          <w:tcPr>
            <w:tcW w:w="60" w:type="dxa"/>
            <w:vAlign w:val="bottom"/>
            <w:shd w:val="clear" w:color="auto" w:fill="CCEEFF"/>
          </w:tcPr>
          <w:p>
            <w:pPr>
              <w:spacing w:after="0"/>
              <w:rPr>
                <w:sz w:val="19"/>
                <w:szCs w:val="19"/>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Effects of new accounting principles</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(14,480)</w:t>
            </w:r>
          </w:p>
        </w:tc>
        <w:tc>
          <w:tcPr>
            <w:tcW w:w="60" w:type="dxa"/>
            <w:vAlign w:val="bottom"/>
          </w:tcPr>
          <w:p>
            <w:pPr>
              <w:spacing w:after="0"/>
              <w:rPr>
                <w:sz w:val="18"/>
                <w:szCs w:val="18"/>
                <w:color w:val="auto"/>
              </w:rPr>
            </w:pPr>
          </w:p>
        </w:tc>
      </w:tr>
      <w:tr>
        <w:trPr>
          <w:trHeight w:val="239"/>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28,020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0"/>
        </w:trPr>
        <w:tc>
          <w:tcPr>
            <w:tcW w:w="2700" w:type="dxa"/>
            <w:vAlign w:val="bottom"/>
          </w:tcPr>
          <w:p>
            <w:pPr>
              <w:spacing w:after="0"/>
              <w:rPr>
                <w:sz w:val="20"/>
                <w:szCs w:val="20"/>
                <w:color w:val="auto"/>
              </w:rPr>
            </w:pPr>
            <w:r>
              <w:rPr>
                <w:rFonts w:ascii="Arial" w:cs="Arial" w:eastAsia="Arial" w:hAnsi="Arial"/>
                <w:sz w:val="16"/>
                <w:szCs w:val="16"/>
                <w:b w:val="1"/>
                <w:bCs w:val="1"/>
                <w:color w:val="auto"/>
              </w:rPr>
              <w:t>Balance, July 3, 2021</w:t>
            </w:r>
          </w:p>
        </w:tc>
        <w:tc>
          <w:tcPr>
            <w:tcW w:w="700" w:type="dxa"/>
            <w:vAlign w:val="bottom"/>
          </w:tcPr>
          <w:p>
            <w:pPr>
              <w:jc w:val="right"/>
              <w:spacing w:after="0"/>
              <w:rPr>
                <w:sz w:val="20"/>
                <w:szCs w:val="20"/>
                <w:color w:val="auto"/>
              </w:rPr>
            </w:pPr>
            <w:r>
              <w:rPr>
                <w:rFonts w:ascii="Arial" w:cs="Arial" w:eastAsia="Arial" w:hAnsi="Arial"/>
                <w:sz w:val="16"/>
                <w:szCs w:val="16"/>
                <w:color w:val="auto"/>
              </w:rPr>
              <w:t>99,601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99,601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1,622,160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2,516,170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(153,747)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4,084,184</w:t>
            </w:r>
          </w:p>
        </w:tc>
        <w:tc>
          <w:tcPr>
            <w:tcW w:w="60" w:type="dxa"/>
            <w:vAlign w:val="bottom"/>
          </w:tcPr>
          <w:p>
            <w:pPr>
              <w:spacing w:after="0"/>
              <w:rPr>
                <w:sz w:val="17"/>
                <w:szCs w:val="17"/>
                <w:color w:val="auto"/>
              </w:rPr>
            </w:pPr>
          </w:p>
        </w:tc>
      </w:tr>
      <w:tr>
        <w:trPr>
          <w:trHeight w:val="219"/>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692,379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692,379</w:t>
            </w:r>
          </w:p>
        </w:tc>
        <w:tc>
          <w:tcPr>
            <w:tcW w:w="60" w:type="dxa"/>
            <w:vAlign w:val="bottom"/>
            <w:shd w:val="clear" w:color="auto" w:fill="CCEEFF"/>
          </w:tcPr>
          <w:p>
            <w:pPr>
              <w:spacing w:after="0"/>
              <w:rPr>
                <w:sz w:val="19"/>
                <w:szCs w:val="19"/>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(324,139)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(324,139)</w:t>
            </w:r>
          </w:p>
        </w:tc>
        <w:tc>
          <w:tcPr>
            <w:tcW w:w="60" w:type="dxa"/>
            <w:vAlign w:val="bottom"/>
          </w:tcPr>
          <w:p>
            <w:pPr>
              <w:spacing w:after="0"/>
              <w:rPr>
                <w:sz w:val="18"/>
                <w:szCs w:val="18"/>
                <w:color w:val="auto"/>
              </w:rPr>
            </w:pPr>
          </w:p>
        </w:tc>
      </w:tr>
      <w:tr>
        <w:trPr>
          <w:trHeight w:val="213"/>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Pension liability adjustments, net of</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of $582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60" w:type="dxa"/>
            <w:vAlign w:val="bottom"/>
            <w:shd w:val="clear" w:color="auto" w:fill="CCEEFF"/>
          </w:tcPr>
          <w:p>
            <w:pPr>
              <w:spacing w:after="0"/>
              <w:rPr>
                <w:sz w:val="19"/>
                <w:szCs w:val="19"/>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Cash dividends ($1.00 per share)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(98,490)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(98,490)</w:t>
            </w:r>
          </w:p>
        </w:tc>
        <w:tc>
          <w:tcPr>
            <w:tcW w:w="60" w:type="dxa"/>
            <w:vAlign w:val="bottom"/>
          </w:tcPr>
          <w:p>
            <w:pPr>
              <w:spacing w:after="0"/>
              <w:rPr>
                <w:sz w:val="18"/>
                <w:szCs w:val="18"/>
                <w:color w:val="auto"/>
              </w:rPr>
            </w:pPr>
          </w:p>
        </w:tc>
      </w:tr>
      <w:tr>
        <w:trPr>
          <w:trHeight w:val="219"/>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(193,336)</w:t>
            </w:r>
          </w:p>
        </w:tc>
        <w:tc>
          <w:tcPr>
            <w:tcW w:w="60" w:type="dxa"/>
            <w:vAlign w:val="bottom"/>
            <w:shd w:val="clear" w:color="auto" w:fill="CCEEFF"/>
          </w:tcPr>
          <w:p>
            <w:pPr>
              <w:spacing w:after="0"/>
              <w:rPr>
                <w:sz w:val="19"/>
                <w:szCs w:val="19"/>
                <w:color w:val="auto"/>
              </w:rPr>
            </w:pPr>
          </w:p>
        </w:tc>
      </w:tr>
      <w:tr>
        <w:trPr>
          <w:trHeight w:val="223"/>
        </w:trPr>
        <w:tc>
          <w:tcPr>
            <w:tcW w:w="2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35,524</w:t>
            </w:r>
          </w:p>
        </w:tc>
        <w:tc>
          <w:tcPr>
            <w:tcW w:w="6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July 2, 2022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1,656,907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2,921,399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4,192,760</w:t>
            </w:r>
          </w:p>
        </w:tc>
        <w:tc>
          <w:tcPr>
            <w:tcW w:w="60" w:type="dxa"/>
            <w:vAlign w:val="bottom"/>
            <w:shd w:val="clear" w:color="auto" w:fill="CCEEFF"/>
          </w:tcPr>
          <w:p>
            <w:pPr>
              <w:spacing w:after="0"/>
              <w:rPr>
                <w:sz w:val="18"/>
                <w:szCs w:val="18"/>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770,828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770,828</w:t>
            </w:r>
          </w:p>
        </w:tc>
        <w:tc>
          <w:tcPr>
            <w:tcW w:w="60" w:type="dxa"/>
            <w:vAlign w:val="bottom"/>
          </w:tcPr>
          <w:p>
            <w:pPr>
              <w:spacing w:after="0"/>
              <w:rPr>
                <w:sz w:val="18"/>
                <w:szCs w:val="18"/>
                <w:color w:val="auto"/>
              </w:rPr>
            </w:pPr>
          </w:p>
        </w:tc>
      </w:tr>
      <w:tr>
        <w:trPr>
          <w:trHeight w:val="219"/>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64,486</w:t>
            </w:r>
          </w:p>
        </w:tc>
        <w:tc>
          <w:tcPr>
            <w:tcW w:w="60" w:type="dxa"/>
            <w:vAlign w:val="bottom"/>
            <w:shd w:val="clear" w:color="auto" w:fill="CCEEFF"/>
          </w:tcPr>
          <w:p>
            <w:pPr>
              <w:spacing w:after="0"/>
              <w:rPr>
                <w:sz w:val="19"/>
                <w:szCs w:val="19"/>
                <w:color w:val="auto"/>
              </w:rPr>
            </w:pPr>
          </w:p>
        </w:tc>
      </w:tr>
      <w:tr>
        <w:trPr>
          <w:trHeight w:val="210"/>
        </w:trPr>
        <w:tc>
          <w:tcPr>
            <w:tcW w:w="2700" w:type="dxa"/>
            <w:vAlign w:val="bottom"/>
          </w:tcPr>
          <w:p>
            <w:pPr>
              <w:spacing w:after="0"/>
              <w:rPr>
                <w:sz w:val="20"/>
                <w:szCs w:val="20"/>
                <w:color w:val="auto"/>
              </w:rPr>
            </w:pPr>
            <w:r>
              <w:rPr>
                <w:rFonts w:ascii="Arial" w:cs="Arial" w:eastAsia="Arial" w:hAnsi="Arial"/>
                <w:sz w:val="16"/>
                <w:szCs w:val="16"/>
                <w:color w:val="auto"/>
              </w:rPr>
              <w:t>Pension liability adjustments, net of</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700" w:type="dxa"/>
            <w:vAlign w:val="bottom"/>
          </w:tcPr>
          <w:p>
            <w:pPr>
              <w:ind w:left="120"/>
              <w:spacing w:after="0"/>
              <w:rPr>
                <w:sz w:val="20"/>
                <w:szCs w:val="20"/>
                <w:color w:val="auto"/>
              </w:rPr>
            </w:pPr>
            <w:r>
              <w:rPr>
                <w:rFonts w:ascii="Arial" w:cs="Arial" w:eastAsia="Arial" w:hAnsi="Arial"/>
                <w:sz w:val="16"/>
                <w:szCs w:val="16"/>
                <w:color w:val="auto"/>
              </w:rPr>
              <w:t>tax of $8,146</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30,230</w:t>
            </w:r>
          </w:p>
        </w:tc>
        <w:tc>
          <w:tcPr>
            <w:tcW w:w="60" w:type="dxa"/>
            <w:vAlign w:val="bottom"/>
          </w:tcPr>
          <w:p>
            <w:pPr>
              <w:spacing w:after="0"/>
              <w:rPr>
                <w:sz w:val="19"/>
                <w:szCs w:val="19"/>
                <w:color w:val="auto"/>
              </w:rPr>
            </w:pPr>
          </w:p>
        </w:tc>
      </w:tr>
      <w:tr>
        <w:trPr>
          <w:trHeight w:val="219"/>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Cross-currency swap</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(22,849)</w:t>
            </w:r>
          </w:p>
        </w:tc>
        <w:tc>
          <w:tcPr>
            <w:tcW w:w="60" w:type="dxa"/>
            <w:vAlign w:val="bottom"/>
            <w:shd w:val="clear" w:color="auto" w:fill="CCEEFF"/>
          </w:tcPr>
          <w:p>
            <w:pPr>
              <w:spacing w:after="0"/>
              <w:rPr>
                <w:sz w:val="19"/>
                <w:szCs w:val="19"/>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Cash dividends ($1.16 per share)</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(106,325)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(106,325)</w:t>
            </w:r>
          </w:p>
        </w:tc>
        <w:tc>
          <w:tcPr>
            <w:tcW w:w="60" w:type="dxa"/>
            <w:vAlign w:val="bottom"/>
          </w:tcPr>
          <w:p>
            <w:pPr>
              <w:spacing w:after="0"/>
              <w:rPr>
                <w:sz w:val="18"/>
                <w:szCs w:val="18"/>
                <w:color w:val="auto"/>
              </w:rPr>
            </w:pPr>
          </w:p>
        </w:tc>
      </w:tr>
      <w:tr>
        <w:trPr>
          <w:trHeight w:val="219"/>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(207,690)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(212,775)</w:t>
            </w:r>
          </w:p>
        </w:tc>
        <w:tc>
          <w:tcPr>
            <w:tcW w:w="60" w:type="dxa"/>
            <w:vAlign w:val="bottom"/>
            <w:shd w:val="clear" w:color="auto" w:fill="CCEEFF"/>
          </w:tcPr>
          <w:p>
            <w:pPr>
              <w:spacing w:after="0"/>
              <w:rPr>
                <w:sz w:val="19"/>
                <w:szCs w:val="19"/>
                <w:color w:val="auto"/>
              </w:rPr>
            </w:pPr>
          </w:p>
        </w:tc>
      </w:tr>
      <w:tr>
        <w:trPr>
          <w:trHeight w:val="223"/>
        </w:trPr>
        <w:tc>
          <w:tcPr>
            <w:tcW w:w="2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34,427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35,314</w:t>
            </w:r>
          </w:p>
        </w:tc>
        <w:tc>
          <w:tcPr>
            <w:tcW w:w="60" w:type="dxa"/>
            <w:vAlign w:val="bottom"/>
            <w:tcBorders>
              <w:bottom w:val="single" w:sz="8" w:color="CCEEFF"/>
            </w:tcBorders>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July 1, 2023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1,691,334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3,378,212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(409,381)</w:t>
            </w:r>
          </w:p>
        </w:tc>
        <w:tc>
          <w:tcPr>
            <w:tcW w:w="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4,751,669</w:t>
            </w:r>
          </w:p>
        </w:tc>
        <w:tc>
          <w:tcPr>
            <w:tcW w:w="60" w:type="dxa"/>
            <w:vAlign w:val="bottom"/>
            <w:shd w:val="clear" w:color="auto" w:fill="CCEEFF"/>
          </w:tcPr>
          <w:p>
            <w:pPr>
              <w:spacing w:after="0"/>
              <w:rPr>
                <w:sz w:val="18"/>
                <w:szCs w:val="18"/>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b w:val="1"/>
                <w:bCs w:val="1"/>
                <w:color w:val="auto"/>
              </w:rPr>
              <w:t>Years Ended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55"/>
              <w:spacing w:after="0" w:line="180" w:lineRule="exact"/>
              <w:rPr>
                <w:sz w:val="20"/>
                <w:szCs w:val="20"/>
                <w:color w:val="auto"/>
              </w:rPr>
            </w:pPr>
            <w:r>
              <w:rPr>
                <w:rFonts w:ascii="Arial" w:cs="Arial" w:eastAsia="Arial" w:hAnsi="Arial"/>
                <w:sz w:val="17"/>
                <w:szCs w:val="17"/>
                <w:b w:val="1"/>
                <w:bCs w:val="1"/>
                <w:color w:val="auto"/>
              </w:rPr>
              <w:t>July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120"/>
              <w:spacing w:after="0" w:line="180" w:lineRule="exact"/>
              <w:rPr>
                <w:sz w:val="20"/>
                <w:szCs w:val="20"/>
                <w:color w:val="auto"/>
              </w:rPr>
            </w:pPr>
            <w:r>
              <w:rPr>
                <w:rFonts w:ascii="Arial" w:cs="Arial" w:eastAsia="Arial" w:hAnsi="Arial"/>
                <w:sz w:val="17"/>
                <w:szCs w:val="17"/>
                <w:b w:val="1"/>
                <w:bCs w:val="1"/>
                <w:color w:val="auto"/>
              </w:rPr>
              <w:t>July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95"/>
              <w:spacing w:after="0" w:line="180" w:lineRule="exact"/>
              <w:rPr>
                <w:sz w:val="20"/>
                <w:szCs w:val="20"/>
                <w:color w:val="auto"/>
              </w:rPr>
            </w:pPr>
            <w:r>
              <w:rPr>
                <w:rFonts w:ascii="Arial" w:cs="Arial" w:eastAsia="Arial" w:hAnsi="Arial"/>
                <w:sz w:val="17"/>
                <w:szCs w:val="17"/>
                <w:b w:val="1"/>
                <w:bCs w:val="1"/>
                <w:color w:val="auto"/>
                <w:w w:val="98"/>
              </w:rPr>
              <w:t>July 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b w:val="1"/>
                <w:bCs w:val="1"/>
                <w:color w:val="auto"/>
                <w:w w:val="82"/>
              </w:rPr>
              <w:t>(Thousands)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770,828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692,379</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193,114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rPr>
              <w:t>Non-cash and other reconciling items: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7"/>
                <w:szCs w:val="17"/>
                <w:color w:val="auto"/>
              </w:rPr>
              <w:t>Amortization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14,959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Amortization of operating lease 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7"/>
                <w:szCs w:val="17"/>
                <w:color w:val="auto"/>
              </w:rPr>
              <w:t>Deferred income taxes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(37,060)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(52,513)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Stock-based compensation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38,781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36,738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7"/>
                <w:szCs w:val="17"/>
                <w:color w:val="auto"/>
              </w:rPr>
              <w:t>Impairments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15,166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rPr>
              <w:t>Changes in (net of effects from businesses acquired and divested):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(461,117)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(1,132,039)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(615,353)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7"/>
                <w:szCs w:val="17"/>
                <w:color w:val="auto"/>
              </w:rPr>
              <w:t>Inventories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4"/>
              </w:rPr>
              <w:t>(1,173,124)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4"/>
              </w:rPr>
              <w:t>(1,218,871)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(409,075)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1,131,225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620,973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Accrued expenses and other, net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134,448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Net cash flows (used for) provided by operating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(713,703)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(219,310)</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90,949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rPr>
              <w:t>Issuance of notes, net of discounts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498,615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299,973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297,660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Repayments of public notes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(354,336)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(305,077)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rPr>
              <w:t>Borrowings under accounts receivable securitization,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258,000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274,900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Borrowings (repayments) under senior unsecured credit facility,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728,182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(231,680)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w w:val="98"/>
              </w:rPr>
              <w:t>Borrowings (repayments) under bank credit facilities and other debt,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(96,209)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235,047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Repurchases of common stock</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(221,730)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rPr>
              <w:t>Dividends paid on common stock</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(106,325)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(98,490)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Other, net</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(16,653)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bottom w:val="single" w:sz="8" w:color="CCEEFF"/>
            </w:tcBorders>
          </w:tcPr>
          <w:p>
            <w:pPr>
              <w:ind w:left="400"/>
              <w:spacing w:after="0" w:line="189" w:lineRule="exact"/>
              <w:rPr>
                <w:sz w:val="20"/>
                <w:szCs w:val="20"/>
                <w:color w:val="auto"/>
              </w:rPr>
            </w:pPr>
            <w:r>
              <w:rPr>
                <w:rFonts w:ascii="Arial" w:cs="Arial" w:eastAsia="Arial" w:hAnsi="Arial"/>
                <w:sz w:val="17"/>
                <w:szCs w:val="17"/>
                <w:color w:val="auto"/>
              </w:rPr>
              <w:t>Net cash flows provided by (used for) financing activities</w:t>
            </w:r>
          </w:p>
        </w:tc>
        <w:tc>
          <w:tcPr>
            <w:tcW w:w="4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1,054,756</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156,059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6"/>
              </w:rPr>
              <w:t>(314,013)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Purchases of property, plant and equipment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(194,674)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80"/>
              <w:spacing w:after="0"/>
              <w:rPr>
                <w:sz w:val="20"/>
                <w:szCs w:val="20"/>
                <w:color w:val="auto"/>
              </w:rPr>
            </w:pPr>
            <w:r>
              <w:rPr>
                <w:rFonts w:ascii="Arial" w:cs="Arial" w:eastAsia="Arial" w:hAnsi="Arial"/>
                <w:sz w:val="17"/>
                <w:szCs w:val="17"/>
                <w:color w:val="auto"/>
              </w:rPr>
              <w:t>Acquisitions of assets and businesses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Proceeds from liquidation of Company owned life insurance policies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net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(16,877)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Net cash flows (used for) provided by investing activities</w:t>
            </w: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(211,551)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51,299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w w:val="99"/>
              </w:rPr>
              <w:t>Effect of currency exchange rate changes on cash and cash equivalents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 increase (decrease)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134,537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(45,998)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(277,347)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 at beginning of period</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153,693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199,691</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477,038</w:t>
            </w:r>
          </w:p>
        </w:tc>
        <w:tc>
          <w:tcPr>
            <w:tcW w:w="0" w:type="dxa"/>
            <w:vAlign w:val="bottom"/>
          </w:tcPr>
          <w:p>
            <w:pPr>
              <w:spacing w:after="0"/>
              <w:rPr>
                <w:sz w:val="1"/>
                <w:szCs w:val="1"/>
                <w:color w:val="auto"/>
              </w:rPr>
            </w:pPr>
          </w:p>
        </w:tc>
      </w:tr>
      <w:tr>
        <w:trPr>
          <w:trHeight w:val="189"/>
        </w:trPr>
        <w:tc>
          <w:tcPr>
            <w:tcW w:w="5440" w:type="dxa"/>
            <w:vAlign w:val="bottom"/>
            <w:gridSpan w:val="2"/>
          </w:tcPr>
          <w:p>
            <w:pPr>
              <w:spacing w:after="0" w:line="189" w:lineRule="exact"/>
              <w:rPr>
                <w:sz w:val="20"/>
                <w:szCs w:val="20"/>
                <w:color w:val="auto"/>
              </w:rPr>
            </w:pPr>
            <w:r>
              <w:rPr>
                <w:rFonts w:ascii="Arial" w:cs="Arial" w:eastAsia="Arial" w:hAnsi="Arial"/>
                <w:sz w:val="17"/>
                <w:szCs w:val="17"/>
                <w:color w:val="auto"/>
              </w:rPr>
              <w:t>— at end of period</w:t>
            </w:r>
          </w:p>
        </w:tc>
        <w:tc>
          <w:tcPr>
            <w:tcW w:w="4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288,230</w:t>
            </w:r>
          </w:p>
        </w:tc>
        <w:tc>
          <w:tcPr>
            <w:tcW w:w="1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153,693</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199,691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 cash flow information (Note 15)</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43" w:lineRule="exact"/>
        <w:rPr>
          <w:sz w:val="20"/>
          <w:szCs w:val="20"/>
          <w:color w:val="auto"/>
        </w:rPr>
      </w:pPr>
    </w:p>
    <w:p>
      <w:pPr>
        <w:ind w:left="60" w:right="99" w:firstLine="427"/>
        <w:spacing w:after="0" w:line="310"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include the accounts of Avnet,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majority-owned and controlled subsidiaries (the “Company” or “Avnet”). All intercompany and intracompany accounts and transactions have been eliminated.</w:t>
      </w:r>
    </w:p>
    <w:p>
      <w:pPr>
        <w:spacing w:after="0" w:line="143" w:lineRule="exact"/>
        <w:rPr>
          <w:sz w:val="20"/>
          <w:szCs w:val="20"/>
          <w:color w:val="auto"/>
        </w:rPr>
      </w:pPr>
    </w:p>
    <w:p>
      <w:pPr>
        <w:ind w:left="60" w:right="539" w:firstLine="427"/>
        <w:spacing w:after="0" w:line="324"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period amounts have been reclassified or combined to conform to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presentation.</w:t>
      </w:r>
    </w:p>
    <w:p>
      <w:pPr>
        <w:spacing w:after="0" w:line="130" w:lineRule="exact"/>
        <w:rPr>
          <w:sz w:val="20"/>
          <w:szCs w:val="20"/>
          <w:color w:val="auto"/>
        </w:rPr>
      </w:pPr>
    </w:p>
    <w:p>
      <w:pPr>
        <w:ind w:left="60" w:right="619" w:firstLine="427"/>
        <w:spacing w:after="0" w:line="318"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 operates on a “52/53 week” fiscal year, which ends on the Saturday closest to</w:t>
      </w:r>
      <w:r>
        <w:rPr>
          <w:rFonts w:ascii="Arial" w:cs="Arial" w:eastAsia="Arial" w:hAnsi="Arial"/>
          <w:sz w:val="18"/>
          <w:szCs w:val="18"/>
          <w:i w:val="1"/>
          <w:iCs w:val="1"/>
          <w:color w:val="auto"/>
        </w:rPr>
        <w:t xml:space="preserve"> </w:t>
      </w:r>
      <w:r>
        <w:rPr>
          <w:rFonts w:ascii="Arial" w:cs="Arial" w:eastAsia="Arial" w:hAnsi="Arial"/>
          <w:sz w:val="18"/>
          <w:szCs w:val="18"/>
          <w:color w:val="auto"/>
        </w:rPr>
        <w:t>June 30th. Fiscal 2023 and 2022 contain 52 weeks compared to 53 weeks in fiscal 2021. Unless otherwise noted, all references to “fiscal” or “year” shall mean the Company’s fiscal year.</w:t>
      </w:r>
    </w:p>
    <w:p>
      <w:pPr>
        <w:spacing w:after="0" w:line="136" w:lineRule="exact"/>
        <w:rPr>
          <w:sz w:val="20"/>
          <w:szCs w:val="20"/>
          <w:color w:val="auto"/>
        </w:rPr>
      </w:pPr>
    </w:p>
    <w:p>
      <w:pPr>
        <w:ind w:left="60" w:right="179" w:firstLine="427"/>
        <w:spacing w:after="0" w:line="304" w:lineRule="auto"/>
        <w:rPr>
          <w:sz w:val="20"/>
          <w:szCs w:val="20"/>
          <w:color w:val="auto"/>
        </w:rPr>
      </w:pPr>
      <w:r>
        <w:rPr>
          <w:rFonts w:ascii="Arial" w:cs="Arial" w:eastAsia="Arial" w:hAnsi="Arial"/>
          <w:sz w:val="18"/>
          <w:szCs w:val="18"/>
          <w:i w:val="1"/>
          <w:iCs w:val="1"/>
          <w:color w:val="auto"/>
        </w:rPr>
        <w:t xml:space="preserve">Management estimates </w:t>
      </w:r>
      <w:r>
        <w:rPr>
          <w:rFonts w:ascii="Arial" w:cs="Arial" w:eastAsia="Arial" w:hAnsi="Arial"/>
          <w:sz w:val="18"/>
          <w:szCs w:val="18"/>
          <w:color w:val="auto"/>
        </w:rPr>
        <w:t>— The preparation of financial statements in conformity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61" w:lineRule="exact"/>
        <w:rPr>
          <w:sz w:val="20"/>
          <w:szCs w:val="20"/>
          <w:color w:val="auto"/>
        </w:rPr>
      </w:pPr>
    </w:p>
    <w:p>
      <w:pPr>
        <w:ind w:left="60" w:right="459" w:firstLine="427"/>
        <w:spacing w:after="0" w:line="32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an original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including money market funds to be cash equivalents.</w:t>
      </w:r>
    </w:p>
    <w:p>
      <w:pPr>
        <w:spacing w:after="0" w:line="130" w:lineRule="exact"/>
        <w:rPr>
          <w:sz w:val="20"/>
          <w:szCs w:val="20"/>
          <w:color w:val="auto"/>
        </w:rPr>
      </w:pPr>
    </w:p>
    <w:p>
      <w:pPr>
        <w:ind w:left="60" w:right="179" w:firstLine="427"/>
        <w:spacing w:after="0" w:line="343" w:lineRule="auto"/>
        <w:rPr>
          <w:sz w:val="20"/>
          <w:szCs w:val="20"/>
          <w:color w:val="auto"/>
        </w:rPr>
      </w:pPr>
      <w:r>
        <w:rPr>
          <w:rFonts w:ascii="Arial" w:cs="Arial" w:eastAsia="Arial" w:hAnsi="Arial"/>
          <w:sz w:val="16"/>
          <w:szCs w:val="16"/>
          <w:i w:val="1"/>
          <w:iCs w:val="1"/>
          <w:color w:val="auto"/>
        </w:rPr>
        <w:t xml:space="preserve">Receivables – </w:t>
      </w:r>
      <w:r>
        <w:rPr>
          <w:rFonts w:ascii="Arial" w:cs="Arial" w:eastAsia="Arial" w:hAnsi="Arial"/>
          <w:sz w:val="16"/>
          <w:szCs w:val="16"/>
          <w:color w:val="auto"/>
        </w:rPr>
        <w:t>Receivables, predominately comprised of customer trade accounts, are reported at amortized cost, net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 specific risk characteristics, such as changes in customer behavior, economic and industry changes, or other relevant factors. Expected credit losses are estimated on a pooled basis when similar risk characteristics exist.</w:t>
      </w:r>
    </w:p>
    <w:p>
      <w:pPr>
        <w:spacing w:after="0" w:line="137" w:lineRule="exact"/>
        <w:rPr>
          <w:sz w:val="20"/>
          <w:szCs w:val="20"/>
          <w:color w:val="auto"/>
        </w:rPr>
      </w:pPr>
    </w:p>
    <w:p>
      <w:pPr>
        <w:ind w:left="60" w:right="59" w:firstLine="427"/>
        <w:spacing w:after="0" w:line="301"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comprised principally of finished goods, are stated at the lower of cost or net realizable</w:t>
      </w:r>
      <w:r>
        <w:rPr>
          <w:rFonts w:ascii="Arial" w:cs="Arial" w:eastAsia="Arial" w:hAnsi="Arial"/>
          <w:sz w:val="18"/>
          <w:szCs w:val="18"/>
          <w:i w:val="1"/>
          <w:iCs w:val="1"/>
          <w:color w:val="auto"/>
        </w:rPr>
        <w:t xml:space="preserve"> </w:t>
      </w:r>
      <w:r>
        <w:rPr>
          <w:rFonts w:ascii="Arial" w:cs="Arial" w:eastAsia="Arial" w:hAnsi="Arial"/>
          <w:sz w:val="18"/>
          <w:szCs w:val="18"/>
          <w:color w:val="auto"/>
        </w:rPr>
        <w:t>value. Inventory cost includes the purchase price of finished goods and any freight cost incurred to receive the inventory into the Company’s distribution centers. The Company regularly reviews the cost of inventory against its estimated net realizable value, considering historical experience and any contractual rights of return, stock rotations, vendor rebates, excess, and obsolescence allowances, or price protections provided by the Company’s suppliers. It records the lower of cost or net realizable value write-down if any inventories have a cost in excess of such inventories’ estimated net realizable value.</w:t>
      </w:r>
    </w:p>
    <w:p>
      <w:pPr>
        <w:spacing w:after="0" w:line="154" w:lineRule="exact"/>
        <w:rPr>
          <w:sz w:val="20"/>
          <w:szCs w:val="20"/>
          <w:color w:val="auto"/>
        </w:rPr>
      </w:pPr>
    </w:p>
    <w:p>
      <w:pPr>
        <w:ind w:left="60" w:right="99" w:firstLine="427"/>
        <w:spacing w:after="0" w:line="349" w:lineRule="auto"/>
        <w:rPr>
          <w:sz w:val="20"/>
          <w:szCs w:val="20"/>
          <w:color w:val="auto"/>
        </w:rPr>
      </w:pPr>
      <w:r>
        <w:rPr>
          <w:rFonts w:ascii="Arial" w:cs="Arial" w:eastAsia="Arial" w:hAnsi="Arial"/>
          <w:sz w:val="16"/>
          <w:szCs w:val="16"/>
          <w:i w:val="1"/>
          <w:iCs w:val="1"/>
          <w:color w:val="auto"/>
        </w:rPr>
        <w:t xml:space="preserve">Depreciation, amortization and useful lives </w:t>
      </w:r>
      <w:r>
        <w:rPr>
          <w:rFonts w:ascii="Arial" w:cs="Arial" w:eastAsia="Arial" w:hAnsi="Arial"/>
          <w:sz w:val="16"/>
          <w:szCs w:val="16"/>
          <w:color w:val="auto"/>
        </w:rPr>
        <w:t>— The Company reports property, plant, and equipment at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Cost includes the price paid to acquire or construct the assets, required installation costs, interest capitalized during the construction period, and any expenditure that substantially adds to the value or substantially extends the useful life of an existing asset. Additionally, the Company capitalizes qualified costs related to software obtained or developed for internal use as a component of property, plant, and equipment. Software obtained for</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59"/>
        <w:spacing w:after="0" w:line="364" w:lineRule="auto"/>
        <w:rPr>
          <w:sz w:val="20"/>
          <w:szCs w:val="20"/>
          <w:color w:val="auto"/>
        </w:rPr>
      </w:pPr>
      <w:r>
        <w:rPr>
          <w:rFonts w:ascii="Arial" w:cs="Arial" w:eastAsia="Arial" w:hAnsi="Arial"/>
          <w:sz w:val="16"/>
          <w:szCs w:val="16"/>
          <w:color w:val="auto"/>
        </w:rPr>
        <w:t>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08"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Property, plant, and equipment is depreciated using the straight-line method over its estimated useful lives. The estimated useful lives for property, plant, and equipment are typically as follows: buildings (30 years); machinery, fixtures and equipment (2-10 years); information technology hardware and software (2-10 years); and leasehold improvements (over the applicable lease term or economic useful life, if shorter).</w:t>
      </w:r>
    </w:p>
    <w:p>
      <w:pPr>
        <w:spacing w:after="0" w:line="159"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The Company amortizes intangible assets acquired in business combinations or asset combinations using the straight-line method over the estimated economic useful lives of the intangible assets from the date of acquisition, which is generally between 5-10 years.</w:t>
      </w:r>
    </w:p>
    <w:p>
      <w:pPr>
        <w:spacing w:after="0" w:line="143" w:lineRule="exact"/>
        <w:rPr>
          <w:sz w:val="20"/>
          <w:szCs w:val="20"/>
          <w:color w:val="auto"/>
        </w:rPr>
      </w:pPr>
    </w:p>
    <w:p>
      <w:pPr>
        <w:ind w:left="60" w:right="119" w:firstLine="427"/>
        <w:spacing w:after="0" w:line="320" w:lineRule="auto"/>
        <w:rPr>
          <w:sz w:val="20"/>
          <w:szCs w:val="20"/>
          <w:color w:val="auto"/>
        </w:rPr>
      </w:pPr>
      <w:r>
        <w:rPr>
          <w:rFonts w:ascii="Arial" w:cs="Arial" w:eastAsia="Arial" w:hAnsi="Arial"/>
          <w:sz w:val="17"/>
          <w:szCs w:val="17"/>
          <w:i w:val="1"/>
          <w:iCs w:val="1"/>
          <w:color w:val="auto"/>
        </w:rPr>
        <w:t xml:space="preserve">Long-lived asset impairment </w:t>
      </w:r>
      <w:r>
        <w:rPr>
          <w:rFonts w:ascii="Arial" w:cs="Arial" w:eastAsia="Arial" w:hAnsi="Arial"/>
          <w:sz w:val="17"/>
          <w:szCs w:val="17"/>
          <w:color w:val="auto"/>
        </w:rPr>
        <w:t>— Long-lived assets, including property, plant, equipment, intangible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lease assets, are 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adjusts the carrying value and remaining useful life when appropriate.</w:t>
      </w:r>
    </w:p>
    <w:p>
      <w:pPr>
        <w:spacing w:after="0" w:line="144"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Substantially all the Company’s leases are classified as operating leases and are predominately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real property for distribution centers, office space, and integration facilities, with a lease term of up to 15 years. The Company’s equipment leases are primarily for automobiles, distribution center equipment and office equipment, which are not material to the consolidated financial statements.</w:t>
      </w:r>
    </w:p>
    <w:p>
      <w:pPr>
        <w:spacing w:after="0" w:line="159"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The Company determines if an arrangement contains a lease at inception.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147" w:lineRule="exact"/>
        <w:rPr>
          <w:sz w:val="20"/>
          <w:szCs w:val="20"/>
          <w:color w:val="auto"/>
        </w:rPr>
      </w:pPr>
    </w:p>
    <w:p>
      <w:pPr>
        <w:ind w:left="60" w:right="59" w:firstLine="427"/>
        <w:spacing w:after="0" w:line="346" w:lineRule="auto"/>
        <w:rPr>
          <w:sz w:val="20"/>
          <w:szCs w:val="20"/>
          <w:color w:val="auto"/>
        </w:rPr>
      </w:pPr>
      <w:r>
        <w:rPr>
          <w:rFonts w:ascii="Arial" w:cs="Arial" w:eastAsia="Arial" w:hAnsi="Arial"/>
          <w:sz w:val="16"/>
          <w:szCs w:val="16"/>
          <w:color w:val="auto"/>
        </w:rPr>
        <w:t>The Company’s leases generally do not provide an implicit borrowing rate, as such, the discount rate used to calculate present value is based upon an estimate of the Company’s secured borrowing rate, which varies based on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59" w:firstLine="427"/>
        <w:spacing w:after="0" w:line="32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purchase price of acquired businesses over the estimated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to the individual assets acquired and liabilities assumed. The Company does not amortize goodwill, but instead tests goodwill for impairment at least annually in the fourth quarter. If necessary, the Company records any impairment resulting from such goodwill impairment testing as a component of operating expenses included within goodwill and intangible asset impairment expenses in the consolidated statements of operations. Impairment testing is performed at the reporting unit level, which is defined as the same, or one level below, an operating segment. The Company will perform an interim impairment test between required annual tests if facts and circumstances indicate that it is more-likely-than-not that the fair value of a reporting unit that has goodwill is less than its carrying value.</w:t>
      </w:r>
    </w:p>
    <w:p>
      <w:pPr>
        <w:spacing w:after="0" w:line="149"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spacing w:after="0" w:line="136" w:lineRule="exact"/>
        <w:rPr>
          <w:sz w:val="20"/>
          <w:szCs w:val="20"/>
          <w:color w:val="auto"/>
        </w:rPr>
      </w:pPr>
    </w:p>
    <w:p>
      <w:pPr>
        <w:ind w:left="60" w:right="79" w:firstLine="427"/>
        <w:spacing w:after="0" w:line="305" w:lineRule="auto"/>
        <w:rPr>
          <w:sz w:val="20"/>
          <w:szCs w:val="20"/>
          <w:color w:val="auto"/>
        </w:rPr>
      </w:pPr>
      <w:r>
        <w:rPr>
          <w:rFonts w:ascii="Arial" w:cs="Arial" w:eastAsia="Arial" w:hAnsi="Arial"/>
          <w:sz w:val="18"/>
          <w:szCs w:val="18"/>
          <w:color w:val="auto"/>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reverse is true, then the Company measures a goodwill impairment loss based on such difference.</w:t>
      </w:r>
    </w:p>
    <w:p>
      <w:pPr>
        <w:spacing w:after="0" w:line="150" w:lineRule="exact"/>
        <w:rPr>
          <w:sz w:val="20"/>
          <w:szCs w:val="20"/>
          <w:color w:val="auto"/>
        </w:rPr>
      </w:pPr>
    </w:p>
    <w:p>
      <w:pPr>
        <w:ind w:left="60" w:right="259" w:firstLine="427"/>
        <w:spacing w:after="0" w:line="346" w:lineRule="auto"/>
        <w:rPr>
          <w:sz w:val="20"/>
          <w:szCs w:val="20"/>
          <w:color w:val="auto"/>
        </w:rPr>
      </w:pPr>
      <w:r>
        <w:rPr>
          <w:rFonts w:ascii="Arial" w:cs="Arial" w:eastAsia="Arial" w:hAnsi="Arial"/>
          <w:sz w:val="16"/>
          <w:szCs w:val="16"/>
          <w:color w:val="auto"/>
        </w:rPr>
        <w:t>The Company evaluates each quarter if facts and circumstances indicate that it is more-likely-than-not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pacing w:after="0" w:line="137" w:lineRule="exact"/>
        <w:rPr>
          <w:sz w:val="20"/>
          <w:szCs w:val="20"/>
          <w:color w:val="auto"/>
        </w:rPr>
      </w:pPr>
    </w:p>
    <w:p>
      <w:pPr>
        <w:ind w:left="60" w:right="59" w:firstLine="427"/>
        <w:spacing w:after="0" w:line="322"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The assets and liabilities of foreign operations are translated into U.S. Dollars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each balance sheet date, with the related translation adjustments reported as a separate component of shareholders’ equity and comprehensive income (loss). Results of operations are translated using the average exchange rates prevailing throughout the reporting period. Transactions denominated in currencies other than the functional currency of the Avnet subsidiaries that are party to the transactions are remeasured at exchange rates in effect at each balance sheet date or upon settlement of the transaction. Gains and losses from such remeasurements are recorded in the consolidated statements of operations as a component of “Other expense, net.”</w:t>
      </w:r>
    </w:p>
    <w:p>
      <w:pPr>
        <w:spacing w:after="0" w:line="135" w:lineRule="exact"/>
        <w:rPr>
          <w:sz w:val="20"/>
          <w:szCs w:val="20"/>
          <w:color w:val="auto"/>
        </w:rPr>
      </w:pPr>
    </w:p>
    <w:p>
      <w:pPr>
        <w:ind w:left="60" w:right="139" w:firstLine="427"/>
        <w:spacing w:after="0" w:line="32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follows the asset and liability method of accounting for income taxes.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w:t>
      </w:r>
    </w:p>
    <w:p>
      <w:pPr>
        <w:sectPr>
          <w:pgSz w:w="11900" w:h="16838" w:orient="portrait"/>
          <w:cols w:equalWidth="0" w:num="1">
            <w:col w:w="9019"/>
          </w:cols>
          <w:pgMar w:left="1440" w:top="517" w:right="1440"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79"/>
        <w:spacing w:after="0" w:line="304" w:lineRule="auto"/>
        <w:rPr>
          <w:sz w:val="20"/>
          <w:szCs w:val="20"/>
          <w:color w:val="auto"/>
        </w:rPr>
      </w:pPr>
      <w:r>
        <w:rPr>
          <w:rFonts w:ascii="Arial" w:cs="Arial" w:eastAsia="Arial" w:hAnsi="Arial"/>
          <w:sz w:val="18"/>
          <w:szCs w:val="18"/>
          <w:color w:val="auto"/>
        </w:rPr>
        <w:t>differences are expected to be recovered or settled. The effect on deferred income tax assets and liabilities of a change in tax rates is recognized within income tax expense in the period in which the new tax rate is enacted. Based upon historical and estimated levels of future taxable income and analysis of other key factors, the Company may increase or decrease a valuation allowance against its deferred tax assets, as deemed necessary, to adjust such assets to their estimated net realizable value.</w:t>
      </w:r>
    </w:p>
    <w:p>
      <w:pPr>
        <w:spacing w:after="0" w:line="147" w:lineRule="exact"/>
        <w:rPr>
          <w:sz w:val="20"/>
          <w:szCs w:val="20"/>
          <w:color w:val="auto"/>
        </w:rPr>
      </w:pPr>
    </w:p>
    <w:p>
      <w:pPr>
        <w:ind w:left="60" w:right="79" w:firstLine="427"/>
        <w:spacing w:after="0" w:line="350"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more-likely-than-not to be sustained upon examination by the relevant tax authorities. Differences between the estimated and actual outcomes of these matters may result in future changes in estimates to such unrecognized tax benefits. Any such changes in estimates may impact the Company’s effective tax rate. In accordance with the Company’s accounting policies, accrued interest and penalties related to unrecognized tax benefits are recorded as a component of income tax expense.</w:t>
      </w:r>
    </w:p>
    <w:p>
      <w:pPr>
        <w:spacing w:after="0" w:line="118" w:lineRule="exact"/>
        <w:rPr>
          <w:sz w:val="20"/>
          <w:szCs w:val="20"/>
          <w:color w:val="auto"/>
        </w:rPr>
      </w:pPr>
    </w:p>
    <w:p>
      <w:pPr>
        <w:ind w:left="60" w:right="179" w:firstLine="427"/>
        <w:spacing w:after="0" w:line="31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at the point at which control of the underlying products are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the customer, which includes determining whether products are distinct and separate performance obligations. For electronic component and related product sales, transfer of control to the customer generally occurs upon product shipment, but it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supplier and then recognizes revenue when control of the product transfers to the customer. The Company does not have material product warranty obligations, because the assurance type product warranties provided by the component manufacturers are passed through to the Company’s customers.</w:t>
      </w:r>
    </w:p>
    <w:p>
      <w:pPr>
        <w:spacing w:after="0" w:line="156" w:lineRule="exact"/>
        <w:rPr>
          <w:sz w:val="20"/>
          <w:szCs w:val="20"/>
          <w:color w:val="auto"/>
        </w:rPr>
      </w:pPr>
    </w:p>
    <w:p>
      <w:pPr>
        <w:jc w:val="both"/>
        <w:ind w:left="60" w:right="199" w:firstLine="427"/>
        <w:spacing w:after="0" w:line="306" w:lineRule="auto"/>
        <w:rPr>
          <w:sz w:val="20"/>
          <w:szCs w:val="20"/>
          <w:color w:val="auto"/>
        </w:rPr>
      </w:pPr>
      <w:r>
        <w:rPr>
          <w:rFonts w:ascii="Arial" w:cs="Arial" w:eastAsia="Arial" w:hAnsi="Arial"/>
          <w:sz w:val="18"/>
          <w:szCs w:val="18"/>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w:t>
      </w:r>
    </w:p>
    <w:p>
      <w:pPr>
        <w:spacing w:after="0" w:line="146" w:lineRule="exact"/>
        <w:rPr>
          <w:sz w:val="20"/>
          <w:szCs w:val="20"/>
          <w:color w:val="auto"/>
        </w:rPr>
      </w:pPr>
    </w:p>
    <w:p>
      <w:pPr>
        <w:ind w:left="60" w:right="359" w:firstLine="427"/>
        <w:spacing w:after="0" w:line="350" w:lineRule="auto"/>
        <w:rPr>
          <w:sz w:val="20"/>
          <w:szCs w:val="20"/>
          <w:color w:val="auto"/>
        </w:rPr>
      </w:pPr>
      <w:r>
        <w:rPr>
          <w:rFonts w:ascii="Arial" w:cs="Arial" w:eastAsia="Arial" w:hAnsi="Arial"/>
          <w:sz w:val="16"/>
          <w:szCs w:val="16"/>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18"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59" w:firstLine="427"/>
        <w:spacing w:after="0" w:line="349" w:lineRule="auto"/>
        <w:rPr>
          <w:sz w:val="20"/>
          <w:szCs w:val="20"/>
          <w:color w:val="auto"/>
        </w:rPr>
      </w:pPr>
      <w:r>
        <w:rPr>
          <w:rFonts w:ascii="Arial" w:cs="Arial" w:eastAsia="Arial" w:hAnsi="Arial"/>
          <w:sz w:val="16"/>
          <w:szCs w:val="16"/>
          <w:color w:val="auto"/>
        </w:rPr>
        <w:t>The company has contracts with certain customers where the company's performance obligation is to arrange for the products or services to be provided by another party. In these arrangements, as the company assumes an agency relationship in the transaction, revenue is recognized in the amount of the net fee associated with serving as an agent. These arrangements primarily relate to the sale of supplier software services and supply chain services for the coordination, holding and delivery of inventory for which the company does not assume the risks and rewards of ownership.</w:t>
      </w:r>
    </w:p>
    <w:p>
      <w:pPr>
        <w:spacing w:after="0" w:line="120" w:lineRule="exact"/>
        <w:rPr>
          <w:sz w:val="20"/>
          <w:szCs w:val="20"/>
          <w:color w:val="auto"/>
        </w:rPr>
      </w:pPr>
    </w:p>
    <w:p>
      <w:pPr>
        <w:ind w:left="60" w:right="119" w:firstLine="427"/>
        <w:spacing w:after="0" w:line="326" w:lineRule="auto"/>
        <w:rPr>
          <w:sz w:val="20"/>
          <w:szCs w:val="20"/>
          <w:color w:val="auto"/>
        </w:rPr>
      </w:pPr>
      <w:r>
        <w:rPr>
          <w:rFonts w:ascii="Arial" w:cs="Arial" w:eastAsia="Arial" w:hAnsi="Arial"/>
          <w:sz w:val="17"/>
          <w:szCs w:val="17"/>
          <w:color w:val="auto"/>
        </w:rPr>
        <w:t>Sales tax and other tax amounts collected from customers for remittance to governmental authorities are excluded from revenue. The Company accounts for shipping and handling of product as a fulfillment activity. The Company does not have any payment terms that exceed one year from the point it has satisfied the related performance obligations. Tariffs are included in sales as the company has enforceable rights to additional consideration to cover the cost of tariffs. Other taxes imposed by governmental authorities on the company's revenue producing activities with customers, such as sales taxes and value added taxes, are excluded from net sales.</w:t>
      </w:r>
    </w:p>
    <w:p>
      <w:pPr>
        <w:spacing w:after="0" w:line="135" w:lineRule="exact"/>
        <w:rPr>
          <w:sz w:val="20"/>
          <w:szCs w:val="20"/>
          <w:color w:val="auto"/>
        </w:rPr>
      </w:pPr>
    </w:p>
    <w:p>
      <w:pPr>
        <w:ind w:left="60" w:right="139" w:firstLine="427"/>
        <w:spacing w:after="0" w:line="325" w:lineRule="auto"/>
        <w:rPr>
          <w:sz w:val="20"/>
          <w:szCs w:val="20"/>
          <w:color w:val="auto"/>
        </w:rPr>
      </w:pPr>
      <w:r>
        <w:rPr>
          <w:rFonts w:ascii="Arial" w:cs="Arial" w:eastAsia="Arial" w:hAnsi="Arial"/>
          <w:sz w:val="17"/>
          <w:szCs w:val="17"/>
          <w:i w:val="1"/>
          <w:iCs w:val="1"/>
          <w:color w:val="auto"/>
        </w:rPr>
        <w:t xml:space="preserve">Vendor allowances and consideration </w:t>
      </w:r>
      <w:r>
        <w:rPr>
          <w:rFonts w:ascii="Arial" w:cs="Arial" w:eastAsia="Arial" w:hAnsi="Arial"/>
          <w:sz w:val="17"/>
          <w:szCs w:val="17"/>
          <w:color w:val="auto"/>
        </w:rPr>
        <w:t>— Consideration received from suppliers for price protection, product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multiple periods.</w:t>
      </w:r>
    </w:p>
    <w:p>
      <w:pPr>
        <w:spacing w:after="0" w:line="148" w:lineRule="exact"/>
        <w:rPr>
          <w:sz w:val="20"/>
          <w:szCs w:val="20"/>
          <w:color w:val="auto"/>
        </w:rPr>
      </w:pPr>
    </w:p>
    <w:p>
      <w:pPr>
        <w:ind w:left="60" w:right="79" w:firstLine="427"/>
        <w:spacing w:after="0" w:line="329" w:lineRule="auto"/>
        <w:rPr>
          <w:sz w:val="20"/>
          <w:szCs w:val="20"/>
          <w:color w:val="auto"/>
        </w:rPr>
      </w:pPr>
      <w:r>
        <w:rPr>
          <w:rFonts w:ascii="Arial" w:cs="Arial" w:eastAsia="Arial" w:hAnsi="Arial"/>
          <w:sz w:val="17"/>
          <w:szCs w:val="17"/>
          <w:i w:val="1"/>
          <w:iCs w:val="1"/>
          <w:color w:val="auto"/>
        </w:rPr>
        <w:t xml:space="preserve">Comprehensive income (loss) </w:t>
      </w:r>
      <w:r>
        <w:rPr>
          <w:rFonts w:ascii="Arial" w:cs="Arial" w:eastAsia="Arial" w:hAnsi="Arial"/>
          <w:sz w:val="17"/>
          <w:szCs w:val="17"/>
          <w:color w:val="auto"/>
        </w:rPr>
        <w:t>— Comprehensive income (loss) represents net income for the year adjusted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shareholders’ equity. Accumulated comprehensive income (loss) items impacting comprehensive income (loss) includes foreign currency translation, unrealized gains and losses on derivative instruments designated and qualifying as net investment hedges, and the impact of the Company’s pension liability adjustments, net of tax.</w:t>
      </w:r>
    </w:p>
    <w:p>
      <w:pPr>
        <w:spacing w:after="0" w:line="130" w:lineRule="exact"/>
        <w:rPr>
          <w:sz w:val="20"/>
          <w:szCs w:val="20"/>
          <w:color w:val="auto"/>
        </w:rPr>
      </w:pPr>
    </w:p>
    <w:p>
      <w:pPr>
        <w:ind w:left="60" w:right="239" w:firstLine="427"/>
        <w:spacing w:after="0" w:line="321"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measures stock-based payments at fair value and generally recognizes</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operating expense in the consolidated statements of operations over the requisite service period.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w:t>
      </w:r>
    </w:p>
    <w:p>
      <w:pPr>
        <w:spacing w:after="0" w:line="149" w:lineRule="exact"/>
        <w:rPr>
          <w:sz w:val="20"/>
          <w:szCs w:val="20"/>
          <w:color w:val="auto"/>
        </w:rPr>
      </w:pPr>
    </w:p>
    <w:p>
      <w:pPr>
        <w:ind w:left="60" w:right="199" w:firstLine="427"/>
        <w:spacing w:after="0" w:line="342" w:lineRule="auto"/>
        <w:rPr>
          <w:sz w:val="20"/>
          <w:szCs w:val="20"/>
          <w:color w:val="auto"/>
        </w:rPr>
      </w:pPr>
      <w:r>
        <w:rPr>
          <w:rFonts w:ascii="Arial" w:cs="Arial" w:eastAsia="Arial" w:hAnsi="Arial"/>
          <w:sz w:val="16"/>
          <w:szCs w:val="16"/>
          <w:i w:val="1"/>
          <w:iCs w:val="1"/>
          <w:color w:val="auto"/>
        </w:rPr>
        <w:t xml:space="preserve">Restructuring and exit activities </w:t>
      </w:r>
      <w:r>
        <w:rPr>
          <w:rFonts w:ascii="Arial" w:cs="Arial" w:eastAsia="Arial" w:hAnsi="Arial"/>
          <w:sz w:val="16"/>
          <w:szCs w:val="16"/>
          <w:color w:val="auto"/>
        </w:rPr>
        <w:t>— The determination of when the Company accrues for involuntary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and accounts for one-time benefit arrangements in accordance with ASC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and impairments of long-lived assets, which are expensed in accordance with ASC 420 </w:t>
      </w:r>
      <w:r>
        <w:rPr>
          <w:rFonts w:ascii="Arial" w:cs="Arial" w:eastAsia="Arial" w:hAnsi="Arial"/>
          <w:sz w:val="16"/>
          <w:szCs w:val="16"/>
          <w:i w:val="1"/>
          <w:iCs w:val="1"/>
          <w:color w:val="auto"/>
        </w:rPr>
        <w:t>Exit or Disposal Cost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Obligations </w:t>
      </w:r>
      <w:r>
        <w:rPr>
          <w:rFonts w:ascii="Arial" w:cs="Arial" w:eastAsia="Arial" w:hAnsi="Arial"/>
          <w:sz w:val="16"/>
          <w:szCs w:val="16"/>
          <w:color w:val="auto"/>
        </w:rPr>
        <w:t>and ASC 360</w:t>
      </w:r>
      <w:r>
        <w:rPr>
          <w:rFonts w:ascii="Arial" w:cs="Arial" w:eastAsia="Arial" w:hAnsi="Arial"/>
          <w:sz w:val="16"/>
          <w:szCs w:val="16"/>
          <w:i w:val="1"/>
          <w:iCs w:val="1"/>
          <w:color w:val="auto"/>
        </w:rPr>
        <w:t xml:space="preserve"> Property, Plant and Equipment</w:t>
      </w:r>
      <w:r>
        <w:rPr>
          <w:rFonts w:ascii="Arial" w:cs="Arial" w:eastAsia="Arial" w:hAnsi="Arial"/>
          <w:sz w:val="16"/>
          <w:szCs w:val="16"/>
          <w:color w:val="auto"/>
        </w:rPr>
        <w:t>, respectively.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239" w:firstLine="427"/>
        <w:spacing w:after="0" w:line="324" w:lineRule="auto"/>
        <w:rPr>
          <w:sz w:val="20"/>
          <w:szCs w:val="20"/>
          <w:color w:val="auto"/>
        </w:rPr>
      </w:pPr>
      <w:r>
        <w:rPr>
          <w:rFonts w:ascii="Arial" w:cs="Arial" w:eastAsia="Arial" w:hAnsi="Arial"/>
          <w:sz w:val="18"/>
          <w:szCs w:val="18"/>
          <w:i w:val="1"/>
          <w:iCs w:val="1"/>
          <w:color w:val="auto"/>
        </w:rPr>
        <w:t xml:space="preserve">Gain on legal settlements — </w:t>
      </w:r>
      <w:r>
        <w:rPr>
          <w:rFonts w:ascii="Arial" w:cs="Arial" w:eastAsia="Arial" w:hAnsi="Arial"/>
          <w:sz w:val="18"/>
          <w:szCs w:val="18"/>
          <w:color w:val="auto"/>
        </w:rPr>
        <w:t>The Company recognizes gains on legal settlements only when such gains are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or realizable.</w:t>
      </w:r>
    </w:p>
    <w:p>
      <w:pPr>
        <w:spacing w:after="0" w:line="130" w:lineRule="exact"/>
        <w:rPr>
          <w:sz w:val="20"/>
          <w:szCs w:val="20"/>
          <w:color w:val="auto"/>
        </w:rPr>
      </w:pPr>
    </w:p>
    <w:p>
      <w:pPr>
        <w:ind w:left="60" w:right="139" w:firstLine="427"/>
        <w:spacing w:after="0" w:line="347"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a concentration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22" w:lineRule="exact"/>
        <w:rPr>
          <w:sz w:val="20"/>
          <w:szCs w:val="20"/>
          <w:color w:val="auto"/>
        </w:rPr>
      </w:pPr>
    </w:p>
    <w:p>
      <w:pPr>
        <w:ind w:left="60" w:right="119" w:firstLine="427"/>
        <w:spacing w:after="0" w:line="340"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 The Company measures financial assets and liabilities at fair value based upon an exit price,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representing the amount that would be received from the sale of an asset, or paid to transfer a liability, in an orderly transaction between market participants.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2023, 2022, and 2021, there were no transfers of assets measured at fair value between the three levels of the fair value hierarchy. The carrying amounts of the Company’s financial instruments, including cash equivalents, receivables, and accounts payable approximate their fair values at July 1, 2023, due to the short-term nature of these assets and liabilities. At July 1, 2023, and July 2, 2022, the Company had $3.7 million and $5.4 million, respectively, of cash equivalents that were measured at fair value based upon Level 1 criteria.</w:t>
      </w:r>
    </w:p>
    <w:p>
      <w:pPr>
        <w:spacing w:after="0" w:line="143" w:lineRule="exact"/>
        <w:rPr>
          <w:sz w:val="20"/>
          <w:szCs w:val="20"/>
          <w:color w:val="auto"/>
        </w:rPr>
      </w:pPr>
    </w:p>
    <w:p>
      <w:pPr>
        <w:ind w:left="60" w:right="59" w:firstLine="427"/>
        <w:spacing w:after="0" w:line="320"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 Equity investments in businesses or start-up companies (“ventures”) are accounted for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including impairments for investments in ventures, if any, are recorded in “Other expense, net” in the Company’s consolidated statements of operations. As of July 1, 2023, the Company’s investments in ventures was not material to the consolidated balance sheets or consolidated statements of operations.</w:t>
      </w:r>
    </w:p>
    <w:p>
      <w:pPr>
        <w:spacing w:after="0" w:line="152" w:lineRule="exact"/>
        <w:rPr>
          <w:sz w:val="20"/>
          <w:szCs w:val="20"/>
          <w:color w:val="auto"/>
        </w:rPr>
      </w:pPr>
    </w:p>
    <w:p>
      <w:pPr>
        <w:ind w:left="60" w:right="219" w:firstLine="427"/>
        <w:spacing w:after="0" w:line="344" w:lineRule="auto"/>
        <w:rPr>
          <w:sz w:val="20"/>
          <w:szCs w:val="20"/>
          <w:color w:val="auto"/>
        </w:rPr>
      </w:pPr>
      <w:r>
        <w:rPr>
          <w:rFonts w:ascii="Arial" w:cs="Arial" w:eastAsia="Arial" w:hAnsi="Arial"/>
          <w:sz w:val="16"/>
          <w:szCs w:val="16"/>
          <w:i w:val="1"/>
          <w:iCs w:val="1"/>
          <w:color w:val="auto"/>
        </w:rPr>
        <w:t xml:space="preserve">Environmental liabilities </w:t>
      </w:r>
      <w:r>
        <w:rPr>
          <w:rFonts w:ascii="Arial" w:cs="Arial" w:eastAsia="Arial" w:hAnsi="Arial"/>
          <w:sz w:val="16"/>
          <w:szCs w:val="16"/>
          <w:color w:val="auto"/>
        </w:rPr>
        <w:t>— The Company accrues for environmental liabilities when it is probable that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incurred and the associated amounts can be reasonably estimated. The Company uses a third-party specialist to assist in appropriately measuring its obligations associated with environmental liabilities. Such liabilities are adjusted as new information develops or circumstances change. The Company does not discount its environmental liabilities as the timing of the anticipated cash payments is not fixed or readily determinable. The Company’s estimate of its potential liability is independent of any potential recovery of insurance proceeds or indemnification arrangements and the Company’s environmental liabilities have not been reduced for potential insurance recoveries.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9" w:firstLine="427"/>
        <w:spacing w:after="0" w:line="324" w:lineRule="auto"/>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 During fiscal 2023, the Company did not adopt any new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pronouncements that had a material impact on the Company’s consolidated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Derivative financial instruments</w:t>
      </w:r>
    </w:p>
    <w:p>
      <w:pPr>
        <w:spacing w:after="0" w:line="229" w:lineRule="exact"/>
        <w:rPr>
          <w:sz w:val="20"/>
          <w:szCs w:val="20"/>
          <w:color w:val="auto"/>
        </w:rPr>
      </w:pPr>
    </w:p>
    <w:p>
      <w:pPr>
        <w:ind w:left="60" w:right="99" w:firstLine="427"/>
        <w:spacing w:after="0" w:line="301" w:lineRule="auto"/>
        <w:rPr>
          <w:sz w:val="20"/>
          <w:szCs w:val="20"/>
          <w:color w:val="auto"/>
        </w:rPr>
      </w:pPr>
      <w:r>
        <w:rPr>
          <w:rFonts w:ascii="Arial" w:cs="Arial" w:eastAsia="Arial" w:hAnsi="Arial"/>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67" w:lineRule="exact"/>
        <w:rPr>
          <w:sz w:val="20"/>
          <w:szCs w:val="20"/>
          <w:color w:val="auto"/>
        </w:rPr>
      </w:pPr>
    </w:p>
    <w:p>
      <w:pPr>
        <w:ind w:left="60" w:right="59" w:firstLine="427"/>
        <w:spacing w:after="0" w:line="341" w:lineRule="auto"/>
        <w:rPr>
          <w:sz w:val="20"/>
          <w:szCs w:val="20"/>
          <w:color w:val="auto"/>
        </w:rPr>
      </w:pPr>
      <w:r>
        <w:rPr>
          <w:rFonts w:ascii="Arial" w:cs="Arial" w:eastAsia="Arial" w:hAnsi="Arial"/>
          <w:sz w:val="16"/>
          <w:szCs w:val="16"/>
          <w:color w:val="auto"/>
        </w:rPr>
        <w:t>The Company uses economic hedges to reduce this risk utilizing natural hedging (i.e.,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fair value of forward foreign exchange contracts is based upon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26" w:lineRule="exact"/>
        <w:rPr>
          <w:sz w:val="20"/>
          <w:szCs w:val="20"/>
          <w:color w:val="auto"/>
        </w:rPr>
      </w:pPr>
    </w:p>
    <w:p>
      <w:pPr>
        <w:ind w:left="60" w:right="139" w:firstLine="427"/>
        <w:spacing w:after="0" w:line="323" w:lineRule="auto"/>
        <w:rPr>
          <w:sz w:val="20"/>
          <w:szCs w:val="20"/>
          <w:color w:val="auto"/>
        </w:rPr>
      </w:pPr>
      <w:r>
        <w:rPr>
          <w:rFonts w:ascii="Arial" w:cs="Arial" w:eastAsia="Arial" w:hAnsi="Arial"/>
          <w:sz w:val="17"/>
          <w:szCs w:val="17"/>
          <w:color w:val="auto"/>
        </w:rPr>
        <w:t>During the third quarter of fiscal 2023, the Company entered into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upon Level 2 criteria under the ASC 820 fair value hierarchy.</w:t>
      </w:r>
    </w:p>
    <w:p>
      <w:pPr>
        <w:spacing w:after="0" w:line="136"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539" w:firstLine="427"/>
        <w:spacing w:after="0" w:line="324" w:lineRule="auto"/>
        <w:rPr>
          <w:sz w:val="20"/>
          <w:szCs w:val="20"/>
          <w:color w:val="auto"/>
        </w:rPr>
      </w:pPr>
      <w:r>
        <w:rPr>
          <w:rFonts w:ascii="Arial" w:cs="Arial" w:eastAsia="Arial" w:hAnsi="Arial"/>
          <w:sz w:val="18"/>
          <w:szCs w:val="18"/>
          <w:color w:val="auto"/>
        </w:rPr>
        <w:t>The locations and fair values of the Company’s derivative financial instruments in the Company’s consolidated balance sheets are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July 2,</w:t>
            </w:r>
          </w:p>
        </w:tc>
      </w:tr>
      <w:tr>
        <w:trPr>
          <w:trHeight w:val="241"/>
        </w:trPr>
        <w:tc>
          <w:tcPr>
            <w:tcW w:w="1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2022</w:t>
            </w:r>
          </w:p>
        </w:tc>
      </w:tr>
      <w:tr>
        <w:trPr>
          <w:trHeight w:val="203"/>
        </w:trPr>
        <w:tc>
          <w:tcPr>
            <w:tcW w:w="16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6"/>
          </w:tcPr>
          <w:p>
            <w:pPr>
              <w:jc w:val="right"/>
              <w:ind w:right="512"/>
              <w:spacing w:after="0" w:line="202" w:lineRule="exact"/>
              <w:rPr>
                <w:sz w:val="20"/>
                <w:szCs w:val="20"/>
                <w:color w:val="auto"/>
              </w:rPr>
            </w:pPr>
            <w:r>
              <w:rPr>
                <w:rFonts w:ascii="Arial" w:cs="Arial" w:eastAsia="Arial" w:hAnsi="Arial"/>
                <w:sz w:val="18"/>
                <w:szCs w:val="18"/>
                <w:b w:val="1"/>
                <w:bCs w:val="1"/>
                <w:color w:val="auto"/>
              </w:rPr>
              <w:t>(Thousands)</w:t>
            </w: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hedges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69,104</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24,907</w:t>
            </w:r>
          </w:p>
        </w:tc>
      </w:tr>
      <w:tr>
        <w:trPr>
          <w:trHeight w:val="216"/>
        </w:trPr>
        <w:tc>
          <w:tcPr>
            <w:tcW w:w="5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68,594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29,663</w:t>
            </w:r>
          </w:p>
        </w:tc>
      </w:tr>
      <w:tr>
        <w:trPr>
          <w:trHeight w:val="216"/>
        </w:trPr>
        <w:tc>
          <w:tcPr>
            <w:tcW w:w="1640" w:type="dxa"/>
            <w:vAlign w:val="bottom"/>
          </w:tcPr>
          <w:p>
            <w:pPr>
              <w:ind w:left="20"/>
              <w:spacing w:after="0"/>
              <w:rPr>
                <w:sz w:val="20"/>
                <w:szCs w:val="20"/>
                <w:color w:val="auto"/>
              </w:rPr>
            </w:pPr>
            <w:r>
              <w:rPr>
                <w:rFonts w:ascii="Arial" w:cs="Arial" w:eastAsia="Arial" w:hAnsi="Arial"/>
                <w:sz w:val="18"/>
                <w:szCs w:val="18"/>
                <w:color w:val="auto"/>
                <w:w w:val="94"/>
              </w:rPr>
              <w:t>Cross-currency swap</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1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22,849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8900" w:type="dxa"/>
            <w:vAlign w:val="bottom"/>
            <w:gridSpan w:val="14"/>
          </w:tcPr>
          <w:p>
            <w:pPr>
              <w:jc w:val="right"/>
              <w:ind w:right="312"/>
              <w:spacing w:after="0"/>
              <w:rPr>
                <w:sz w:val="20"/>
                <w:szCs w:val="20"/>
                <w:color w:val="auto"/>
              </w:rPr>
            </w:pPr>
            <w:r>
              <w:rPr>
                <w:rFonts w:ascii="Arial" w:cs="Arial" w:eastAsia="Arial" w:hAnsi="Arial"/>
                <w:sz w:val="18"/>
                <w:szCs w:val="18"/>
                <w:color w:val="auto"/>
                <w:w w:val="95"/>
              </w:rPr>
              <w:t>The locations of derivative financial instruments on the Company’s consolidated statements of operations are as</w:t>
            </w:r>
          </w:p>
        </w:tc>
      </w:tr>
      <w:tr>
        <w:trPr>
          <w:trHeight w:val="257"/>
        </w:trPr>
        <w:tc>
          <w:tcPr>
            <w:tcW w:w="1640" w:type="dxa"/>
            <w:vAlign w:val="bottom"/>
          </w:tcPr>
          <w:p>
            <w:pPr>
              <w:ind w:left="20"/>
              <w:spacing w:after="0"/>
              <w:rPr>
                <w:sz w:val="20"/>
                <w:szCs w:val="20"/>
                <w:color w:val="auto"/>
              </w:rPr>
            </w:pPr>
            <w:r>
              <w:rPr>
                <w:rFonts w:ascii="Arial" w:cs="Arial" w:eastAsia="Arial" w:hAnsi="Arial"/>
                <w:sz w:val="18"/>
                <w:szCs w:val="18"/>
                <w:color w:val="auto"/>
              </w:rPr>
              <w:t>follows:</w:t>
            </w:r>
          </w:p>
        </w:tc>
        <w:tc>
          <w:tcPr>
            <w:tcW w:w="3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44"/>
        </w:trPr>
        <w:tc>
          <w:tcPr>
            <w:tcW w:w="1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7"/>
                <w:szCs w:val="17"/>
                <w:b w:val="1"/>
                <w:bCs w:val="1"/>
                <w:color w:val="auto"/>
                <w:w w:val="93"/>
              </w:rPr>
              <w:t>Years Ended</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81"/>
        </w:trPr>
        <w:tc>
          <w:tcPr>
            <w:tcW w:w="16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line="180" w:lineRule="exact"/>
              <w:rPr>
                <w:sz w:val="20"/>
                <w:szCs w:val="20"/>
                <w:color w:val="auto"/>
              </w:rPr>
            </w:pPr>
            <w:r>
              <w:rPr>
                <w:rFonts w:ascii="Arial" w:cs="Arial" w:eastAsia="Arial" w:hAnsi="Arial"/>
                <w:sz w:val="17"/>
                <w:szCs w:val="17"/>
                <w:b w:val="1"/>
                <w:bCs w:val="1"/>
                <w:color w:val="auto"/>
              </w:rPr>
              <w:t>July 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spacing w:after="0" w:line="180" w:lineRule="exact"/>
              <w:rPr>
                <w:sz w:val="20"/>
                <w:szCs w:val="20"/>
                <w:color w:val="auto"/>
              </w:rPr>
            </w:pPr>
            <w:r>
              <w:rPr>
                <w:rFonts w:ascii="Arial" w:cs="Arial" w:eastAsia="Arial" w:hAnsi="Arial"/>
                <w:sz w:val="17"/>
                <w:szCs w:val="17"/>
                <w:b w:val="1"/>
                <w:bCs w:val="1"/>
                <w:color w:val="auto"/>
              </w:rPr>
              <w:t>July 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52"/>
              <w:spacing w:after="0" w:line="180" w:lineRule="exact"/>
              <w:rPr>
                <w:sz w:val="20"/>
                <w:szCs w:val="20"/>
                <w:color w:val="auto"/>
              </w:rPr>
            </w:pPr>
            <w:r>
              <w:rPr>
                <w:rFonts w:ascii="Arial" w:cs="Arial" w:eastAsia="Arial" w:hAnsi="Arial"/>
                <w:sz w:val="17"/>
                <w:szCs w:val="17"/>
                <w:b w:val="1"/>
                <w:bCs w:val="1"/>
                <w:color w:val="auto"/>
                <w:w w:val="94"/>
              </w:rPr>
              <w:t>July 3,</w:t>
            </w:r>
          </w:p>
        </w:tc>
      </w:tr>
      <w:tr>
        <w:trPr>
          <w:trHeight w:val="231"/>
        </w:trPr>
        <w:tc>
          <w:tcPr>
            <w:tcW w:w="1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7"/>
                <w:szCs w:val="17"/>
                <w:b w:val="1"/>
                <w:bCs w:val="1"/>
                <w:color w:val="auto"/>
              </w:rPr>
              <w:t>2022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7"/>
                <w:szCs w:val="17"/>
                <w:b w:val="1"/>
                <w:bCs w:val="1"/>
                <w:color w:val="auto"/>
              </w:rPr>
              <w:t>2021</w:t>
            </w:r>
          </w:p>
        </w:tc>
      </w:tr>
      <w:tr>
        <w:trPr>
          <w:trHeight w:val="189"/>
        </w:trPr>
        <w:tc>
          <w:tcPr>
            <w:tcW w:w="16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spacing w:after="0" w:line="189" w:lineRule="exact"/>
              <w:rPr>
                <w:sz w:val="20"/>
                <w:szCs w:val="20"/>
                <w:color w:val="auto"/>
              </w:rPr>
            </w:pPr>
            <w:r>
              <w:rPr>
                <w:rFonts w:ascii="Arial" w:cs="Arial" w:eastAsia="Arial" w:hAnsi="Arial"/>
                <w:sz w:val="17"/>
                <w:szCs w:val="17"/>
                <w:b w:val="1"/>
                <w:bCs w:val="1"/>
                <w:color w:val="auto"/>
                <w:w w:val="94"/>
              </w:rPr>
              <w:t>(Thousands)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Economic hedges</w:t>
            </w:r>
          </w:p>
        </w:tc>
        <w:tc>
          <w:tcPr>
            <w:tcW w:w="3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40,454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(37,336)</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center"/>
              <w:ind w:right="72"/>
              <w:spacing w:after="0"/>
              <w:rPr>
                <w:sz w:val="20"/>
                <w:szCs w:val="20"/>
                <w:color w:val="auto"/>
              </w:rPr>
            </w:pPr>
            <w:r>
              <w:rPr>
                <w:rFonts w:ascii="Arial" w:cs="Arial" w:eastAsia="Arial" w:hAnsi="Arial"/>
                <w:sz w:val="17"/>
                <w:szCs w:val="17"/>
                <w:color w:val="auto"/>
                <w:w w:val="91"/>
              </w:rPr>
              <w:t>(21,605)</w:t>
            </w:r>
          </w:p>
        </w:tc>
      </w:tr>
      <w:tr>
        <w:trPr>
          <w:trHeight w:val="230"/>
        </w:trPr>
        <w:tc>
          <w:tcPr>
            <w:tcW w:w="1640" w:type="dxa"/>
            <w:vAlign w:val="bottom"/>
          </w:tcPr>
          <w:p>
            <w:pPr>
              <w:ind w:left="20"/>
              <w:spacing w:after="0"/>
              <w:rPr>
                <w:sz w:val="20"/>
                <w:szCs w:val="20"/>
                <w:color w:val="auto"/>
              </w:rPr>
            </w:pPr>
            <w:r>
              <w:rPr>
                <w:rFonts w:ascii="Arial" w:cs="Arial" w:eastAsia="Arial" w:hAnsi="Arial"/>
                <w:sz w:val="17"/>
                <w:szCs w:val="17"/>
                <w:color w:val="auto"/>
              </w:rPr>
              <w:t>Cross currency swap</w:t>
            </w:r>
          </w:p>
        </w:tc>
        <w:tc>
          <w:tcPr>
            <w:tcW w:w="3460" w:type="dxa"/>
            <w:vAlign w:val="bottom"/>
          </w:tcPr>
          <w:p>
            <w:pPr>
              <w:ind w:left="120"/>
              <w:spacing w:after="0"/>
              <w:rPr>
                <w:sz w:val="20"/>
                <w:szCs w:val="20"/>
                <w:color w:val="auto"/>
              </w:rPr>
            </w:pPr>
            <w:r>
              <w:rPr>
                <w:rFonts w:ascii="Arial" w:cs="Arial" w:eastAsia="Arial" w:hAnsi="Arial"/>
                <w:sz w:val="17"/>
                <w:szCs w:val="17"/>
                <w:color w:val="auto"/>
              </w:rPr>
              <w:t>Interest and other financing expense, net</w:t>
            </w:r>
          </w:p>
        </w:tc>
        <w:tc>
          <w:tcPr>
            <w:tcW w:w="120" w:type="dxa"/>
            <w:vAlign w:val="bottom"/>
          </w:tcPr>
          <w:p>
            <w:pPr>
              <w:spacing w:after="0"/>
              <w:rPr>
                <w:sz w:val="20"/>
                <w:szCs w:val="20"/>
                <w:color w:val="auto"/>
              </w:rPr>
            </w:pPr>
          </w:p>
        </w:tc>
        <w:tc>
          <w:tcPr>
            <w:tcW w:w="1000" w:type="dxa"/>
            <w:vAlign w:val="bottom"/>
          </w:tcPr>
          <w:p>
            <w:pPr>
              <w:jc w:val="right"/>
              <w:ind w:right="215"/>
              <w:spacing w:after="0"/>
              <w:rPr>
                <w:sz w:val="20"/>
                <w:szCs w:val="20"/>
                <w:color w:val="auto"/>
              </w:rPr>
            </w:pPr>
            <w:r>
              <w:rPr>
                <w:rFonts w:ascii="Arial" w:cs="Arial" w:eastAsia="Arial" w:hAnsi="Arial"/>
                <w:sz w:val="17"/>
                <w:szCs w:val="17"/>
                <w:color w:val="auto"/>
              </w:rPr>
              <w:t>1,635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Shareholders’ equity</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Accumulated comprehensive loss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includes the balances within “Accumulated other comprehensive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right="615"/>
        <w:spacing w:after="0" w:line="307" w:lineRule="auto"/>
        <w:rPr>
          <w:sz w:val="20"/>
          <w:szCs w:val="20"/>
          <w:color w:val="auto"/>
        </w:rPr>
      </w:pPr>
      <w:r>
        <w:rPr>
          <w:rFonts w:ascii="Arial" w:cs="Arial" w:eastAsia="Arial" w:hAnsi="Arial"/>
          <w:sz w:val="18"/>
          <w:szCs w:val="18"/>
          <w:color w:val="auto"/>
        </w:rPr>
        <w:t>Accumulated pension liability adjustments, net of income taxes Total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-198755</wp:posOffset>
            </wp:positionV>
            <wp:extent cx="564896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July 1,</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July 2,</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July 3,</w:t>
            </w:r>
          </w:p>
        </w:tc>
      </w:tr>
      <w:tr>
        <w:trPr>
          <w:trHeight w:val="241"/>
        </w:trPr>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r>
      <w:tr>
        <w:trPr>
          <w:trHeight w:val="204"/>
        </w:trPr>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b w:val="1"/>
                <w:bCs w:val="1"/>
                <w:color w:val="auto"/>
                <w:w w:val="79"/>
              </w:rPr>
              <w:t>(Thousands)</w:t>
            </w: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bl>
    <w:p>
      <w:pPr>
        <w:ind w:left="145" w:hanging="145"/>
        <w:spacing w:after="0"/>
        <w:tabs>
          <w:tab w:leader="none" w:pos="1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(328,975)  $ (370,612)  $  (46,473)</w:t>
      </w:r>
    </w:p>
    <w:p>
      <w:pPr>
        <w:spacing w:after="0" w:line="7" w:lineRule="exact"/>
        <w:rPr>
          <w:rFonts w:ascii="Arial" w:cs="Arial" w:eastAsia="Arial" w:hAnsi="Arial"/>
          <w:sz w:val="18"/>
          <w:szCs w:val="18"/>
          <w:color w:val="auto"/>
        </w:rPr>
      </w:pPr>
    </w:p>
    <w:p>
      <w:pPr>
        <w:ind w:left="245"/>
        <w:spacing w:after="0"/>
        <w:rPr>
          <w:rFonts w:ascii="Arial" w:cs="Arial" w:eastAsia="Arial" w:hAnsi="Arial"/>
          <w:sz w:val="18"/>
          <w:szCs w:val="18"/>
          <w:color w:val="auto"/>
        </w:rPr>
      </w:pPr>
      <w:r>
        <w:rPr>
          <w:rFonts w:ascii="Arial" w:cs="Arial" w:eastAsia="Arial" w:hAnsi="Arial"/>
          <w:sz w:val="18"/>
          <w:szCs w:val="18"/>
          <w:color w:val="auto"/>
        </w:rPr>
        <w:t>(80,406)(110,636)</w:t>
      </w:r>
      <w:r>
        <w:rPr>
          <w:rFonts w:ascii="Arial" w:cs="Arial" w:eastAsia="Arial" w:hAnsi="Arial"/>
          <w:sz w:val="16"/>
          <w:szCs w:val="16"/>
          <w:color w:val="auto"/>
        </w:rPr>
        <w:t>(107,274)</w:t>
      </w:r>
    </w:p>
    <w:p>
      <w:pPr>
        <w:spacing w:after="0" w:line="22" w:lineRule="exact"/>
        <w:rPr>
          <w:sz w:val="20"/>
          <w:szCs w:val="20"/>
          <w:color w:val="auto"/>
        </w:rPr>
      </w:pPr>
    </w:p>
    <w:p>
      <w:pPr>
        <w:ind w:left="5"/>
        <w:spacing w:after="0"/>
        <w:tabs>
          <w:tab w:leader="none" w:pos="1024" w:val="left"/>
          <w:tab w:leader="none" w:pos="2064" w:val="left"/>
        </w:tabs>
        <w:rPr>
          <w:sz w:val="20"/>
          <w:szCs w:val="20"/>
          <w:color w:val="auto"/>
        </w:rPr>
      </w:pPr>
      <w:r>
        <w:rPr>
          <w:rFonts w:ascii="Arial" w:cs="Arial" w:eastAsia="Arial" w:hAnsi="Arial"/>
          <w:sz w:val="18"/>
          <w:szCs w:val="18"/>
          <w:u w:val="single" w:color="auto"/>
          <w:color w:val="auto"/>
        </w:rPr>
        <w:t>$ (409,381)</w:t>
        <w:tab/>
        <w:t>$ (481,248)</w:t>
      </w:r>
      <w:r>
        <w:rPr>
          <w:sz w:val="20"/>
          <w:szCs w:val="20"/>
          <w:color w:val="auto"/>
        </w:rPr>
        <w:tab/>
      </w:r>
      <w:r>
        <w:rPr>
          <w:rFonts w:ascii="Arial" w:cs="Arial" w:eastAsia="Arial" w:hAnsi="Arial"/>
          <w:sz w:val="16"/>
          <w:szCs w:val="16"/>
          <w:u w:val="single" w:color="auto"/>
          <w:color w:val="auto"/>
        </w:rPr>
        <w:t>$ (153,747)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860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5235" w:space="720"/>
            <w:col w:w="3064"/>
          </w:cols>
          <w:pgMar w:left="1440" w:top="517" w:right="1440" w:bottom="1440" w:gutter="0" w:footer="0" w:header="0"/>
          <w:type w:val="continuous"/>
        </w:sectPr>
      </w:pPr>
    </w:p>
    <w:p>
      <w:pPr>
        <w:ind w:left="60" w:right="339" w:firstLine="427"/>
        <w:spacing w:after="0" w:line="357" w:lineRule="auto"/>
        <w:rPr>
          <w:sz w:val="20"/>
          <w:szCs w:val="20"/>
          <w:color w:val="auto"/>
        </w:rPr>
      </w:pPr>
      <w:r>
        <w:rPr>
          <w:rFonts w:ascii="Arial" w:cs="Arial" w:eastAsia="Arial" w:hAnsi="Arial"/>
          <w:sz w:val="17"/>
          <w:szCs w:val="17"/>
          <w:color w:val="auto"/>
        </w:rPr>
        <w:t>Substantially all amounts reclassified out of “Accumulated comprehensive loss, net of tax”, to operating expenses during fiscal 2023, 2022, and 2021 related to net periodic pension costs as discussed further in Note 10.</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Share repurchase program</w:t>
      </w:r>
    </w:p>
    <w:p>
      <w:pPr>
        <w:spacing w:after="0" w:line="239" w:lineRule="exact"/>
        <w:rPr>
          <w:sz w:val="20"/>
          <w:szCs w:val="20"/>
          <w:color w:val="auto"/>
        </w:rPr>
      </w:pPr>
    </w:p>
    <w:p>
      <w:pPr>
        <w:ind w:left="60" w:right="279" w:firstLine="427"/>
        <w:spacing w:after="0" w:line="395" w:lineRule="auto"/>
        <w:rPr>
          <w:sz w:val="20"/>
          <w:szCs w:val="20"/>
          <w:color w:val="auto"/>
        </w:rPr>
      </w:pPr>
      <w:r>
        <w:rPr>
          <w:rFonts w:ascii="Arial" w:cs="Arial" w:eastAsia="Arial" w:hAnsi="Arial"/>
          <w:sz w:val="16"/>
          <w:szCs w:val="16"/>
          <w:color w:val="auto"/>
        </w:rPr>
        <w:t>During fiscal 2023, the Company repurchased 5.1 million shares under existing programs for a total cost of $212.8 million. As of July 1, 2023, the Company had $318.5 million remaining under its new share repurchase authorization.</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fiscal 2023, the Company paid dividends of $1.16 per common share and $106.3 million in total.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4. Receivables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320" w:type="dxa"/>
            <w:vAlign w:val="bottom"/>
          </w:tcPr>
          <w:p>
            <w:pPr>
              <w:ind w:left="440"/>
              <w:spacing w:after="0"/>
              <w:rPr>
                <w:sz w:val="20"/>
                <w:szCs w:val="20"/>
                <w:color w:val="auto"/>
              </w:rPr>
            </w:pPr>
            <w:r>
              <w:rPr>
                <w:rFonts w:ascii="Arial" w:cs="Arial" w:eastAsia="Arial" w:hAnsi="Arial"/>
                <w:sz w:val="18"/>
                <w:szCs w:val="18"/>
                <w:color w:val="auto"/>
                <w:w w:val="96"/>
              </w:rPr>
              <w:t>The Company’s receivables and allowance for credit losses were as follows: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July 1,</w:t>
            </w:r>
          </w:p>
        </w:tc>
        <w:tc>
          <w:tcPr>
            <w:tcW w:w="2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r>
      <w:tr>
        <w:trPr>
          <w:trHeight w:val="241"/>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4,876,631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4,414,904</w:t>
            </w:r>
          </w:p>
        </w:tc>
        <w:tc>
          <w:tcPr>
            <w:tcW w:w="20" w:type="dxa"/>
            <w:vAlign w:val="bottom"/>
          </w:tcPr>
          <w:p>
            <w:pPr>
              <w:spacing w:after="0"/>
              <w:rPr>
                <w:sz w:val="18"/>
                <w:szCs w:val="18"/>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(112,843)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(113,902)</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had the following activity in the allowance for credit losses during fiscal 2023 and fiscal 2022:</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July 1,</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r>
      <w:tr>
        <w:trPr>
          <w:trHeight w:val="241"/>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Credit Loss Provisions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31,489</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Russian-Ukraine conflict Credit Loss Provisions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Credit Loss Recoveries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Write Offs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(18,552)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w:t>
            </w:r>
          </w:p>
        </w:tc>
        <w:tc>
          <w:tcPr>
            <w:tcW w:w="20" w:type="dxa"/>
            <w:vAlign w:val="bottom"/>
          </w:tcPr>
          <w:p>
            <w:pPr>
              <w:spacing w:after="0"/>
              <w:rPr>
                <w:sz w:val="18"/>
                <w:szCs w:val="18"/>
                <w:color w:val="auto"/>
              </w:rPr>
            </w:pPr>
          </w:p>
        </w:tc>
      </w:tr>
      <w:tr>
        <w:trPr>
          <w:trHeight w:val="223"/>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Effect and 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20" w:type="dxa"/>
            <w:vAlign w:val="bottom"/>
          </w:tcPr>
          <w:p>
            <w:pPr>
              <w:spacing w:after="0"/>
              <w:rPr>
                <w:sz w:val="19"/>
                <w:szCs w:val="19"/>
                <w:color w:val="auto"/>
              </w:rPr>
            </w:pPr>
          </w:p>
        </w:tc>
      </w:tr>
      <w:tr>
        <w:trPr>
          <w:trHeight w:val="21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the period</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113,902</w:t>
            </w:r>
          </w:p>
        </w:tc>
        <w:tc>
          <w:tcPr>
            <w:tcW w:w="2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427"/>
        <w:spacing w:after="0" w:line="306" w:lineRule="auto"/>
        <w:rPr>
          <w:sz w:val="20"/>
          <w:szCs w:val="20"/>
          <w:color w:val="auto"/>
        </w:rPr>
      </w:pPr>
      <w:r>
        <w:rPr>
          <w:rFonts w:ascii="Arial" w:cs="Arial" w:eastAsia="Arial" w:hAnsi="Arial"/>
          <w:sz w:val="18"/>
          <w:szCs w:val="18"/>
          <w:color w:val="auto"/>
        </w:rPr>
        <w:t>During fiscal 2022, the Company incurred $26.3 million of expense, primarily related to $17.2 million of credit loss provisions associated with accounts receivable from Russian customers that were no longer considered collectible. The remaining $9.1 million of expenses were related to product write downs and other costs associated with the wind-down of the Company’s business operations in Russia and Ukraine.</w:t>
      </w:r>
    </w:p>
    <w:p>
      <w:pPr>
        <w:spacing w:after="0" w:line="3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plant and equipment, net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Property, plant and equipment are recorded at cost, less accumulated depreciation, and consist of the following:</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1, 2023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July 2, 2022</w:t>
            </w:r>
          </w:p>
        </w:tc>
        <w:tc>
          <w:tcPr>
            <w:tcW w:w="60" w:type="dxa"/>
            <w:vAlign w:val="bottom"/>
          </w:tcPr>
          <w:p>
            <w:pPr>
              <w:spacing w:after="0"/>
              <w:rPr>
                <w:sz w:val="20"/>
                <w:szCs w:val="20"/>
                <w:color w:val="auto"/>
              </w:rPr>
            </w:pPr>
          </w:p>
        </w:tc>
      </w:tr>
      <w:tr>
        <w:trPr>
          <w:trHeight w:val="203"/>
        </w:trPr>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590"/>
              <w:spacing w:after="0" w:line="202" w:lineRule="exact"/>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108,236</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114,622</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259,745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249,053</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hardware and software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842,759</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137,745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119,917</w:t>
            </w:r>
          </w:p>
        </w:tc>
        <w:tc>
          <w:tcPr>
            <w:tcW w:w="60" w:type="dxa"/>
            <w:vAlign w:val="bottom"/>
            <w:tcBorders>
              <w:bottom w:val="single" w:sz="8" w:color="CCEEFF"/>
            </w:tcBorders>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gross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1,326,351</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(1,109,631)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(1,038,335)</w:t>
            </w:r>
          </w:p>
        </w:tc>
        <w:tc>
          <w:tcPr>
            <w:tcW w:w="60" w:type="dxa"/>
            <w:vAlign w:val="bottom"/>
            <w:tcBorders>
              <w:bottom w:val="single" w:sz="8" w:color="CCEEFF"/>
            </w:tcBorders>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net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288,016</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Land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21,408</w:t>
            </w:r>
          </w:p>
        </w:tc>
        <w:tc>
          <w:tcPr>
            <w:tcW w:w="60" w:type="dxa"/>
            <w:vAlign w:val="bottom"/>
          </w:tcPr>
          <w:p>
            <w:pPr>
              <w:spacing w:after="0"/>
              <w:rPr>
                <w:sz w:val="18"/>
                <w:szCs w:val="18"/>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138,978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15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441,557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315,204</w:t>
            </w:r>
          </w:p>
        </w:tc>
        <w:tc>
          <w:tcPr>
            <w:tcW w:w="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79" w:firstLine="427"/>
        <w:spacing w:after="0" w:line="395" w:lineRule="auto"/>
        <w:rPr>
          <w:sz w:val="20"/>
          <w:szCs w:val="20"/>
          <w:color w:val="auto"/>
        </w:rPr>
      </w:pPr>
      <w:r>
        <w:rPr>
          <w:rFonts w:ascii="Arial" w:cs="Arial" w:eastAsia="Arial" w:hAnsi="Arial"/>
          <w:sz w:val="16"/>
          <w:szCs w:val="16"/>
          <w:color w:val="auto"/>
        </w:rPr>
        <w:t>Depreciation expense related to property, plant, and equipment, was $82.6 million, $87.4 million and $90.9 million in fiscal 2023, 2022, and 2021, respectively. Interest expense capitalized during fiscal 2023, 2022, and 2021 was not material.</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480" w:right="5339" w:hanging="430"/>
        <w:spacing w:after="0" w:line="511" w:lineRule="auto"/>
        <w:tabs>
          <w:tab w:leader="none" w:pos="23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 assets, and impairments </w:t>
      </w:r>
      <w:r>
        <w:rPr>
          <w:rFonts w:ascii="Arial" w:cs="Arial" w:eastAsia="Arial" w:hAnsi="Arial"/>
          <w:sz w:val="18"/>
          <w:szCs w:val="18"/>
          <w:i w:val="1"/>
          <w:iCs w:val="1"/>
          <w:color w:val="auto"/>
        </w:rPr>
        <w:t>Goodwill</w:t>
      </w:r>
    </w:p>
    <w:p>
      <w:pPr>
        <w:ind w:left="480"/>
        <w:spacing w:after="0"/>
        <w:rPr>
          <w:sz w:val="20"/>
          <w:szCs w:val="20"/>
          <w:color w:val="auto"/>
        </w:rPr>
      </w:pPr>
      <w:r>
        <w:rPr>
          <w:rFonts w:ascii="Arial" w:cs="Arial" w:eastAsia="Arial" w:hAnsi="Arial"/>
          <w:sz w:val="18"/>
          <w:szCs w:val="18"/>
          <w:color w:val="auto"/>
        </w:rPr>
        <w:t>The following table presents the change in goodwill balances by reportable segment for fiscal year 2023.</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2, 2022 </w:t>
            </w:r>
            <w:r>
              <w:rPr>
                <w:rFonts w:ascii="Arial" w:cs="Arial" w:eastAsia="Arial" w:hAnsi="Arial"/>
                <w:sz w:val="25"/>
                <w:szCs w:val="25"/>
                <w:color w:val="auto"/>
                <w:vertAlign w:val="superscript"/>
              </w:rPr>
              <w:t>(1)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467,307</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758,833</w:t>
            </w: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21,796</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1, 2023 </w:t>
            </w:r>
            <w:r>
              <w:rPr>
                <w:rFonts w:ascii="Arial" w:cs="Arial" w:eastAsia="Arial" w:hAnsi="Arial"/>
                <w:sz w:val="25"/>
                <w:szCs w:val="25"/>
                <w:color w:val="auto"/>
                <w:vertAlign w:val="superscript"/>
              </w:rPr>
              <w:t>(1)</w:t>
            </w: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483,800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780,629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58" w:lineRule="exact"/>
        <w:rPr>
          <w:sz w:val="20"/>
          <w:szCs w:val="20"/>
          <w:color w:val="auto"/>
        </w:rPr>
      </w:pPr>
    </w:p>
    <w:p>
      <w:pPr>
        <w:ind w:left="300" w:hanging="250"/>
        <w:spacing w:after="0"/>
        <w:tabs>
          <w:tab w:leader="none" w:pos="300" w:val="left"/>
        </w:tabs>
        <w:numPr>
          <w:ilvl w:val="0"/>
          <w:numId w:val="12"/>
        </w:numPr>
        <w:rPr>
          <w:rFonts w:ascii="Arial" w:cs="Arial" w:eastAsia="Arial" w:hAnsi="Arial"/>
          <w:sz w:val="12"/>
          <w:szCs w:val="12"/>
          <w:color w:val="auto"/>
        </w:rPr>
      </w:pPr>
      <w:r>
        <w:rPr>
          <w:rFonts w:ascii="Arial" w:cs="Arial" w:eastAsia="Arial" w:hAnsi="Arial"/>
          <w:sz w:val="16"/>
          <w:szCs w:val="16"/>
          <w:color w:val="auto"/>
        </w:rPr>
        <w:t>Includes accumulated impairment of $1,482,677 from prior fiscal years.</w:t>
      </w:r>
    </w:p>
    <w:p>
      <w:pPr>
        <w:spacing w:after="0" w:line="203"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0" w:right="159" w:firstLine="427"/>
        <w:spacing w:after="0" w:line="310" w:lineRule="auto"/>
        <w:rPr>
          <w:sz w:val="20"/>
          <w:szCs w:val="20"/>
          <w:color w:val="auto"/>
        </w:rPr>
      </w:pPr>
      <w:r>
        <w:rPr>
          <w:rFonts w:ascii="Arial" w:cs="Arial" w:eastAsia="Arial" w:hAnsi="Arial"/>
          <w:sz w:val="18"/>
          <w:szCs w:val="18"/>
          <w:color w:val="auto"/>
        </w:rPr>
        <w:t>The net book value of intangible assets was $6.5 million as of July 1, 2023, which is not material to the consolidated financial statements. Intangible asset amortization expense was $6.0 million, $15.0 million, and $41.0 million for fiscal 2023, 2022, and 2021, respectively.</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5120" w:type="dxa"/>
            <w:vAlign w:val="bottom"/>
          </w:tcPr>
          <w:p>
            <w:pPr>
              <w:ind w:left="420"/>
              <w:spacing w:after="0"/>
              <w:rPr>
                <w:sz w:val="20"/>
                <w:szCs w:val="20"/>
                <w:color w:val="auto"/>
              </w:rPr>
            </w:pPr>
            <w:r>
              <w:rPr>
                <w:rFonts w:ascii="Arial" w:cs="Arial" w:eastAsia="Arial" w:hAnsi="Arial"/>
                <w:sz w:val="18"/>
                <w:szCs w:val="18"/>
                <w:color w:val="auto"/>
              </w:rPr>
              <w:t>Short-term debt consists of the following (in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0"/>
        </w:trPr>
        <w:tc>
          <w:tcPr>
            <w:tcW w:w="512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July 1,</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9"/>
              </w:rPr>
              <w:t>July 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July 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w:t>
            </w:r>
          </w:p>
        </w:tc>
      </w:tr>
      <w:tr>
        <w:trPr>
          <w:trHeight w:val="241"/>
        </w:trPr>
        <w:tc>
          <w:tcPr>
            <w:tcW w:w="512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gridSpan w:val="3"/>
          </w:tcPr>
          <w:p>
            <w:pPr>
              <w:jc w:val="right"/>
              <w:ind w:right="270"/>
              <w:spacing w:after="0" w:line="202" w:lineRule="exact"/>
              <w:rPr>
                <w:sz w:val="20"/>
                <w:szCs w:val="20"/>
                <w:color w:val="auto"/>
              </w:rPr>
            </w:pPr>
            <w:r>
              <w:rPr>
                <w:rFonts w:ascii="Arial" w:cs="Arial" w:eastAsia="Arial" w:hAnsi="Arial"/>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10"/>
              <w:spacing w:after="0" w:line="202" w:lineRule="exact"/>
              <w:rPr>
                <w:sz w:val="20"/>
                <w:szCs w:val="20"/>
                <w:color w:val="auto"/>
              </w:rPr>
            </w:pPr>
            <w:r>
              <w:rPr>
                <w:rFonts w:ascii="Arial" w:cs="Arial" w:eastAsia="Arial" w:hAnsi="Arial"/>
                <w:sz w:val="18"/>
                <w:szCs w:val="18"/>
                <w:b w:val="1"/>
                <w:bCs w:val="1"/>
                <w:color w:val="auto"/>
                <w:w w:val="89"/>
              </w:rPr>
              <w:t>Carrying</w:t>
            </w:r>
          </w:p>
        </w:tc>
        <w:tc>
          <w:tcPr>
            <w:tcW w:w="14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36"/>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short-term debt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70,636</w:t>
            </w: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174,422</w:t>
            </w:r>
          </w:p>
        </w:tc>
        <w:tc>
          <w:tcPr>
            <w:tcW w:w="60" w:type="dxa"/>
            <w:vAlign w:val="bottom"/>
            <w:shd w:val="clear" w:color="auto" w:fill="CCEEFF"/>
          </w:tcPr>
          <w:p>
            <w:pPr>
              <w:spacing w:after="0"/>
              <w:rPr>
                <w:sz w:val="20"/>
                <w:szCs w:val="20"/>
                <w:color w:val="auto"/>
              </w:rPr>
            </w:pPr>
          </w:p>
        </w:tc>
      </w:tr>
      <w:tr>
        <w:trPr>
          <w:trHeight w:val="203"/>
        </w:trPr>
        <w:tc>
          <w:tcPr>
            <w:tcW w:w="5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Short-term debt</w:t>
            </w:r>
          </w:p>
        </w:tc>
        <w:tc>
          <w:tcPr>
            <w:tcW w:w="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center"/>
              <w:ind w:left="50"/>
              <w:spacing w:after="0" w:line="203" w:lineRule="exact"/>
              <w:rPr>
                <w:sz w:val="20"/>
                <w:szCs w:val="20"/>
                <w:color w:val="auto"/>
              </w:rPr>
            </w:pPr>
            <w:r>
              <w:rPr>
                <w:rFonts w:ascii="Arial" w:cs="Arial" w:eastAsia="Arial" w:hAnsi="Arial"/>
                <w:sz w:val="18"/>
                <w:szCs w:val="18"/>
                <w:color w:val="auto"/>
                <w:w w:val="90"/>
              </w:rPr>
              <w:t>70,636</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174,422</w:t>
            </w:r>
          </w:p>
        </w:tc>
        <w:tc>
          <w:tcPr>
            <w:tcW w:w="60" w:type="dxa"/>
            <w:vAlign w:val="bottom"/>
            <w:tcBorders>
              <w:top w:val="single" w:sz="8" w:color="CCEEFF"/>
            </w:tcBorders>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359" w:firstLine="427"/>
        <w:spacing w:after="0" w:line="310" w:lineRule="auto"/>
        <w:rPr>
          <w:sz w:val="20"/>
          <w:szCs w:val="20"/>
          <w:color w:val="auto"/>
        </w:rPr>
      </w:pPr>
      <w:r>
        <w:rPr>
          <w:rFonts w:ascii="Arial" w:cs="Arial" w:eastAsia="Arial" w:hAnsi="Arial"/>
          <w:sz w:val="18"/>
          <w:szCs w:val="18"/>
          <w:color w:val="auto"/>
        </w:rPr>
        <w:t>Other short-term debt consists primarily of various committed and uncommitted lines of credit and other forms of bank debt with financial institutions utilized primarily to support the ongoing working capital requirements of the Company, including its foreign operations.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20" w:type="dxa"/>
            <w:vAlign w:val="bottom"/>
          </w:tcPr>
          <w:p>
            <w:pPr>
              <w:ind w:left="420"/>
              <w:spacing w:after="0"/>
              <w:rPr>
                <w:sz w:val="20"/>
                <w:szCs w:val="20"/>
                <w:color w:val="auto"/>
              </w:rPr>
            </w:pPr>
            <w:r>
              <w:rPr>
                <w:rFonts w:ascii="Arial" w:cs="Arial" w:eastAsia="Arial" w:hAnsi="Arial"/>
                <w:sz w:val="18"/>
                <w:szCs w:val="18"/>
                <w:color w:val="auto"/>
              </w:rPr>
              <w:t>Long-term debt consists of the following (in thousands):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0"/>
        </w:trPr>
        <w:tc>
          <w:tcPr>
            <w:tcW w:w="502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1,</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6"/>
              </w:rPr>
              <w:t>July 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July 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w:t>
            </w:r>
          </w:p>
        </w:tc>
      </w:tr>
      <w:tr>
        <w:trPr>
          <w:trHeight w:val="241"/>
        </w:trPr>
        <w:tc>
          <w:tcPr>
            <w:tcW w:w="50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10"/>
        </w:trPr>
        <w:tc>
          <w:tcPr>
            <w:tcW w:w="50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3"/>
          </w:tcPr>
          <w:p>
            <w:pPr>
              <w:ind w:left="340"/>
              <w:spacing w:after="0" w:line="202" w:lineRule="exact"/>
              <w:rPr>
                <w:sz w:val="20"/>
                <w:szCs w:val="20"/>
                <w:color w:val="auto"/>
              </w:rPr>
            </w:pPr>
            <w:r>
              <w:rPr>
                <w:rFonts w:ascii="Arial" w:cs="Arial" w:eastAsia="Arial" w:hAnsi="Arial"/>
                <w:sz w:val="18"/>
                <w:szCs w:val="18"/>
                <w:b w:val="1"/>
                <w:bCs w:val="1"/>
                <w:color w:val="auto"/>
              </w:rPr>
              <w:t>Interest Rate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50"/>
              <w:spacing w:after="0" w:line="202" w:lineRule="exact"/>
              <w:rPr>
                <w:sz w:val="20"/>
                <w:szCs w:val="20"/>
                <w:color w:val="auto"/>
              </w:rPr>
            </w:pPr>
            <w:r>
              <w:rPr>
                <w:rFonts w:ascii="Arial" w:cs="Arial" w:eastAsia="Arial" w:hAnsi="Arial"/>
                <w:sz w:val="18"/>
                <w:szCs w:val="18"/>
                <w:b w:val="1"/>
                <w:bCs w:val="1"/>
                <w:color w:val="auto"/>
                <w:w w:val="86"/>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w w:val="93"/>
              </w:rPr>
              <w:t>Accounts receivable securitization program (due December 2024)</w:t>
            </w:r>
          </w:p>
        </w:tc>
        <w:tc>
          <w:tcPr>
            <w:tcW w:w="900" w:type="dxa"/>
            <w:vAlign w:val="bottom"/>
          </w:tcPr>
          <w:p>
            <w:pPr>
              <w:ind w:left="360"/>
              <w:spacing w:after="0"/>
              <w:rPr>
                <w:sz w:val="20"/>
                <w:szCs w:val="20"/>
                <w:color w:val="auto"/>
              </w:rPr>
            </w:pPr>
            <w:r>
              <w:rPr>
                <w:rFonts w:ascii="Arial" w:cs="Arial" w:eastAsia="Arial" w:hAnsi="Arial"/>
                <w:sz w:val="18"/>
                <w:szCs w:val="18"/>
                <w:color w:val="auto"/>
                <w:w w:val="92"/>
              </w:rPr>
              <w:t>5.99 %</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555,800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297,800</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Facility (due August 2027)</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4.85 %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Public notes due: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2026</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4.63 %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ind w:left="100"/>
              <w:spacing w:after="0"/>
              <w:rPr>
                <w:sz w:val="20"/>
                <w:szCs w:val="20"/>
                <w:color w:val="auto"/>
              </w:rPr>
            </w:pPr>
            <w:r>
              <w:rPr>
                <w:rFonts w:ascii="Arial" w:cs="Arial" w:eastAsia="Arial" w:hAnsi="Arial"/>
                <w:sz w:val="18"/>
                <w:szCs w:val="18"/>
                <w:color w:val="auto"/>
              </w:rPr>
              <w:t>May 2031</w:t>
            </w:r>
          </w:p>
        </w:tc>
        <w:tc>
          <w:tcPr>
            <w:tcW w:w="900" w:type="dxa"/>
            <w:vAlign w:val="bottom"/>
          </w:tcPr>
          <w:p>
            <w:pPr>
              <w:ind w:left="360"/>
              <w:spacing w:after="0"/>
              <w:rPr>
                <w:sz w:val="20"/>
                <w:szCs w:val="20"/>
                <w:color w:val="auto"/>
              </w:rPr>
            </w:pPr>
            <w:r>
              <w:rPr>
                <w:rFonts w:ascii="Arial" w:cs="Arial" w:eastAsia="Arial" w:hAnsi="Arial"/>
                <w:sz w:val="18"/>
                <w:szCs w:val="18"/>
                <w:color w:val="auto"/>
                <w:w w:val="92"/>
              </w:rPr>
              <w:t>3.00 %</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2032</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5.50 %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23"/>
        </w:trPr>
        <w:tc>
          <w:tcPr>
            <w:tcW w:w="5020" w:type="dxa"/>
            <w:vAlign w:val="bottom"/>
          </w:tcPr>
          <w:p>
            <w:pPr>
              <w:ind w:left="100"/>
              <w:spacing w:after="0"/>
              <w:rPr>
                <w:sz w:val="20"/>
                <w:szCs w:val="20"/>
                <w:color w:val="auto"/>
              </w:rPr>
            </w:pPr>
            <w:r>
              <w:rPr>
                <w:rFonts w:ascii="Arial" w:cs="Arial" w:eastAsia="Arial" w:hAnsi="Arial"/>
                <w:sz w:val="18"/>
                <w:szCs w:val="18"/>
                <w:color w:val="auto"/>
              </w:rPr>
              <w:t>March 2028</w:t>
            </w:r>
          </w:p>
        </w:tc>
        <w:tc>
          <w:tcPr>
            <w:tcW w:w="900" w:type="dxa"/>
            <w:vAlign w:val="bottom"/>
          </w:tcPr>
          <w:p>
            <w:pPr>
              <w:ind w:left="360"/>
              <w:spacing w:after="0"/>
              <w:rPr>
                <w:sz w:val="20"/>
                <w:szCs w:val="20"/>
                <w:color w:val="auto"/>
              </w:rPr>
            </w:pPr>
            <w:r>
              <w:rPr>
                <w:rFonts w:ascii="Arial" w:cs="Arial" w:eastAsia="Arial" w:hAnsi="Arial"/>
                <w:sz w:val="18"/>
                <w:szCs w:val="18"/>
                <w:color w:val="auto"/>
                <w:w w:val="92"/>
              </w:rPr>
              <w:t>6.25 %</w:t>
            </w:r>
          </w:p>
        </w:tc>
        <w:tc>
          <w:tcPr>
            <w:tcW w:w="18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before discount and debt issuance costs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3,002,352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1,447,800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(10,400)</w:t>
            </w:r>
          </w:p>
        </w:tc>
        <w:tc>
          <w:tcPr>
            <w:tcW w:w="60" w:type="dxa"/>
            <w:vAlign w:val="bottom"/>
            <w:tcBorders>
              <w:bottom w:val="single" w:sz="8" w:color="CCEEFF"/>
            </w:tcBorders>
          </w:tcPr>
          <w:p>
            <w:pPr>
              <w:spacing w:after="0"/>
              <w:rPr>
                <w:sz w:val="19"/>
                <w:szCs w:val="19"/>
                <w:color w:val="auto"/>
              </w:rPr>
            </w:pPr>
          </w:p>
        </w:tc>
      </w:tr>
      <w:tr>
        <w:trPr>
          <w:trHeight w:val="216"/>
        </w:trPr>
        <w:tc>
          <w:tcPr>
            <w:tcW w:w="5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2,988,029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1,437,400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59" w:firstLine="427"/>
        <w:spacing w:after="0" w:line="318" w:lineRule="auto"/>
        <w:rPr>
          <w:sz w:val="20"/>
          <w:szCs w:val="20"/>
          <w:color w:val="auto"/>
        </w:rPr>
      </w:pPr>
      <w:r>
        <w:rPr>
          <w:rFonts w:ascii="Arial" w:cs="Arial" w:eastAsia="Arial" w:hAnsi="Arial"/>
          <w:sz w:val="17"/>
          <w:szCs w:val="17"/>
          <w:color w:val="auto"/>
        </w:rPr>
        <w:t>In December 2022, the Company amended and extended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$650.0 million, which was amended in May 2023 to increase the borrowing capacity to $700.0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$1.27 billion and $1.12 billion at July 1, 2023, and July 2, 2022, respectively. The Securitization Program contains certain covenants relating to the quality of the receivables sold. There were $555.8 million and $297.8 million borrowings outstanding under the Securitization Program as of July 1, 2023, and as of July 2, 2022, respectively.</w:t>
      </w:r>
    </w:p>
    <w:p>
      <w:pPr>
        <w:spacing w:after="0" w:line="145" w:lineRule="exact"/>
        <w:rPr>
          <w:sz w:val="20"/>
          <w:szCs w:val="20"/>
          <w:color w:val="auto"/>
        </w:rPr>
      </w:pPr>
    </w:p>
    <w:p>
      <w:pPr>
        <w:ind w:left="60" w:right="59" w:firstLine="427"/>
        <w:spacing w:after="0" w:line="345" w:lineRule="auto"/>
        <w:rPr>
          <w:sz w:val="20"/>
          <w:szCs w:val="20"/>
          <w:color w:val="auto"/>
        </w:rPr>
      </w:pPr>
      <w:r>
        <w:rPr>
          <w:rFonts w:ascii="Arial" w:cs="Arial" w:eastAsia="Arial" w:hAnsi="Arial"/>
          <w:sz w:val="16"/>
          <w:szCs w:val="16"/>
          <w:color w:val="auto"/>
        </w:rPr>
        <w:t>In 2022, the Company amended and extended its five-year $1.50 billion revolving credit facility (the “Credit Facility”) with a syndicate of banks, which expires in August 2027. It consists of revolving credit facilities and the issuance of up to $200.0 million of letters of credit and up to $300.0 million of loans in certain approved currencies.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July 1, 2023. At July 1, 2023, and July 2, 2022, there were $0.9 million and $1.2 million, respectively, in letters of credit issued under the Credit Facility.</w:t>
      </w:r>
    </w:p>
    <w:p>
      <w:pPr>
        <w:spacing w:after="0" w:line="125"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8"/>
          <w:szCs w:val="18"/>
          <w:color w:val="auto"/>
        </w:rPr>
        <w:t>In March 2023, the Company issued $500.0 million in aggregate principal amount of 6.250% Notes due 2028. The related discount and issuance costs will be amortized to interest expense over the term of the notes and are not considered material to the consolidated financial statements. Interest is payable semi-annually, in arrears, in March and September, commencing September 2023.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AVNET, INC. AND SUBSIDIARIES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w w:val="92"/>
              </w:rPr>
              <w:t>Aggregate debt maturities for the next five fiscal years and thereafter are as follows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2025</w:t>
            </w:r>
          </w:p>
        </w:tc>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6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2027</w:t>
            </w:r>
          </w:p>
        </w:tc>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6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1,296,552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3,072,988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Discount and debt issuance costs – unamortized</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3,058,665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99" w:firstLine="427"/>
        <w:spacing w:after="0" w:line="304" w:lineRule="auto"/>
        <w:rPr>
          <w:sz w:val="20"/>
          <w:szCs w:val="20"/>
          <w:color w:val="auto"/>
        </w:rPr>
      </w:pPr>
      <w:r>
        <w:rPr>
          <w:rFonts w:ascii="Arial" w:cs="Arial" w:eastAsia="Arial" w:hAnsi="Arial"/>
          <w:sz w:val="18"/>
          <w:szCs w:val="18"/>
          <w:color w:val="auto"/>
        </w:rPr>
        <w:t>At July 1, 2023, the carrying value and fair value of the Company’s total debt was $3.06 billion and $2.98 billion, respectively. At July 2, 2022, the carrying value and fair value of the Company’s total debt was $1.61 billion and $1.55 billion, respectively. Fair value for the public notes was estimated based upon quoted market prices (Level 1) and, for other forms of debt, fair value approximates carrying value due to the market based variable nature of the interest rates on those debt facilities (Level 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expenses and other</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consist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1, 2023</w:t>
            </w:r>
          </w:p>
        </w:tc>
        <w:tc>
          <w:tcPr>
            <w:tcW w:w="18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6"/>
              </w:rPr>
              <w:t>July 2,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253,790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242,898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operating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203,083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202,885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and banking costs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restructuring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16,011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property, plant and equipment</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28,771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2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71,792</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Total accrued expenses and other</w:t>
            </w:r>
          </w:p>
        </w:tc>
        <w:tc>
          <w:tcPr>
            <w:tcW w:w="29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753,130</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89"/>
              </w:rPr>
              <w:t>591,020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vMerge w:val="restart"/>
          </w:tcPr>
          <w:p>
            <w:pPr>
              <w:jc w:val="right"/>
              <w:ind w:right="1890"/>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Income taxes</w:t>
      </w:r>
    </w:p>
    <w:p>
      <w:pPr>
        <w:spacing w:after="0" w:line="148"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The components of income tax expense (benefit) (“tax provision”) are included in the table below. The tax provision for deferred income taxes results from temporary differences arising primarily from net operating losses, inventories valuation, receivables valuation, suspended interest deductions, certain accrued amounts, and depreciation and amortization, net of any changes to valuation allowances.</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89"/>
              </w:rPr>
              <w:t>Years Ended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July 1, 2023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July 2, 2022</w:t>
            </w:r>
          </w:p>
        </w:tc>
        <w:tc>
          <w:tcPr>
            <w:tcW w:w="20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July 3, 2021</w:t>
            </w:r>
          </w:p>
        </w:tc>
        <w:tc>
          <w:tcPr>
            <w:tcW w:w="60" w:type="dxa"/>
            <w:vAlign w:val="bottom"/>
          </w:tcPr>
          <w:p>
            <w:pPr>
              <w:spacing w:after="0"/>
              <w:rPr>
                <w:sz w:val="19"/>
                <w:szCs w:val="19"/>
                <w:color w:val="auto"/>
              </w:rPr>
            </w:pPr>
          </w:p>
        </w:tc>
      </w:tr>
      <w:tr>
        <w:trPr>
          <w:trHeight w:val="203"/>
        </w:trPr>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10"/>
              <w:spacing w:after="0" w:line="202" w:lineRule="exact"/>
              <w:rPr>
                <w:sz w:val="20"/>
                <w:szCs w:val="20"/>
                <w:color w:val="auto"/>
              </w:rPr>
            </w:pPr>
            <w:r>
              <w:rPr>
                <w:rFonts w:ascii="Arial" w:cs="Arial" w:eastAsia="Arial" w:hAnsi="Arial"/>
                <w:sz w:val="18"/>
                <w:szCs w:val="18"/>
                <w:b w:val="1"/>
                <w:bCs w:val="1"/>
                <w:color w:val="auto"/>
                <w:w w:val="90"/>
              </w:rPr>
              <w:t>(Thousands)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Federal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64,224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58,512</w:t>
            </w:r>
          </w:p>
        </w:tc>
        <w:tc>
          <w:tcPr>
            <w:tcW w:w="44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(62,445)</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6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173,450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126,522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21,530</w:t>
            </w:r>
          </w:p>
        </w:tc>
        <w:tc>
          <w:tcPr>
            <w:tcW w:w="60" w:type="dxa"/>
            <w:vAlign w:val="bottom"/>
            <w:tcBorders>
              <w:bottom w:val="single" w:sz="8" w:color="CCEEFF"/>
            </w:tcBorders>
          </w:tcPr>
          <w:p>
            <w:pPr>
              <w:spacing w:after="0"/>
              <w:rPr>
                <w:sz w:val="19"/>
                <w:szCs w:val="19"/>
                <w:color w:val="auto"/>
              </w:rPr>
            </w:pPr>
          </w:p>
        </w:tc>
      </w:tr>
      <w:tr>
        <w:trPr>
          <w:trHeight w:val="236"/>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taxes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245,539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193,905</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(45,638)</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rPr>
              <w:t>Deferred: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r>
      <w:tr>
        <w:trPr>
          <w:trHeight w:val="236"/>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35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Total deferred taxes</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(52,950)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25,453</w:t>
            </w:r>
          </w:p>
        </w:tc>
        <w:tc>
          <w:tcPr>
            <w:tcW w:w="60" w:type="dxa"/>
            <w:vAlign w:val="bottom"/>
            <w:tcBorders>
              <w:bottom w:val="single" w:sz="8" w:color="CCEEFF"/>
            </w:tcBorders>
          </w:tcPr>
          <w:p>
            <w:pPr>
              <w:spacing w:after="0"/>
              <w:rPr>
                <w:sz w:val="18"/>
                <w:szCs w:val="18"/>
                <w:color w:val="auto"/>
              </w:rPr>
            </w:pPr>
          </w:p>
        </w:tc>
      </w:tr>
      <w:tr>
        <w:trPr>
          <w:trHeight w:val="21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140,955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The tax provision is computed based upon income (loss) before income taxes from both U.S. and foreign operations. U.S. income (loss) before income taxes was $250.8 million, $197.1 million and, $(89.4) million, in fiscal 2023, 2022, and 2021, respectively, and foreign income before income taxes was $732.1 million, $636.3 million, and $262.3 million, in fiscal 2023, 2022, and 2021, respectively.</w:t>
      </w:r>
    </w:p>
    <w:p>
      <w:pPr>
        <w:spacing w:after="0" w:line="146" w:lineRule="exact"/>
        <w:rPr>
          <w:sz w:val="20"/>
          <w:szCs w:val="20"/>
          <w:color w:val="auto"/>
        </w:rPr>
      </w:pPr>
    </w:p>
    <w:p>
      <w:pPr>
        <w:ind w:left="60" w:right="499" w:firstLine="427"/>
        <w:spacing w:after="0" w:line="340" w:lineRule="auto"/>
        <w:rPr>
          <w:sz w:val="20"/>
          <w:szCs w:val="20"/>
          <w:color w:val="auto"/>
        </w:rPr>
      </w:pPr>
      <w:r>
        <w:rPr>
          <w:rFonts w:ascii="Arial" w:cs="Arial" w:eastAsia="Arial" w:hAnsi="Arial"/>
          <w:sz w:val="18"/>
          <w:szCs w:val="18"/>
          <w:color w:val="auto"/>
        </w:rPr>
        <w:t>The Company asserts that all of its unremitted foreign earnings are permanently reinvested, and any unrecorded liabilities related to this assertion are not material.</w:t>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Reconciliations of the federal statutory tax rate to the effective tax rates are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1, 2023</w:t>
            </w: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2, 2022</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0"/>
              </w:rPr>
              <w:t>July 3,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21.0 %</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21.0 %</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Tax on foreign income, net of valuation allowances</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4"/>
              </w:rPr>
              <w:t>Establishment/release of valuation allowances, net of U.S. tax expense</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unrecognized tax benefit reserves</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Tax audit settlements</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Impact of surrender of Company owned life insurance policies</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Impact on foreign currency translation loss</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Impact of the CARES Act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Impairments of investments</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54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Effective tax rate</w:t>
            </w:r>
          </w:p>
        </w:tc>
        <w:tc>
          <w:tcPr>
            <w:tcW w:w="10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21.6 %</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16.9 %</w:t>
            </w:r>
          </w:p>
        </w:tc>
        <w:tc>
          <w:tcPr>
            <w:tcW w:w="200" w:type="dxa"/>
            <w:vAlign w:val="bottom"/>
          </w:tcPr>
          <w:p>
            <w:pPr>
              <w:spacing w:after="0"/>
              <w:rPr>
                <w:sz w:val="17"/>
                <w:szCs w:val="17"/>
                <w:color w:val="auto"/>
              </w:rPr>
            </w:pPr>
          </w:p>
        </w:tc>
        <w:tc>
          <w:tcPr>
            <w:tcW w:w="9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jc w:val="right"/>
              <w:ind w:right="750"/>
              <w:spacing w:after="0"/>
              <w:rPr>
                <w:sz w:val="20"/>
                <w:szCs w:val="20"/>
                <w:color w:val="auto"/>
              </w:rPr>
            </w:pPr>
            <w:r>
              <w:rPr>
                <w:rFonts w:ascii="Arial" w:cs="Arial" w:eastAsia="Arial" w:hAnsi="Arial"/>
                <w:sz w:val="18"/>
                <w:szCs w:val="18"/>
                <w:color w:val="auto"/>
              </w:rPr>
              <w:t>53</w:t>
            </w: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Tax rates on foreign income represents the impact of the difference between foreign rates and the U.S. federal statutory rate applied to foreign income or loss, foreign income taxed in the U.S. at rates other than its statutory rate, and the impact of valuation allowances previously established against the Company’s otherwise realizable foreign deferred tax assets, which are primarily net operating loss carry-forwards.</w:t>
      </w:r>
    </w:p>
    <w:p>
      <w:pPr>
        <w:spacing w:after="0" w:line="78" w:lineRule="exact"/>
        <w:rPr>
          <w:sz w:val="20"/>
          <w:szCs w:val="20"/>
          <w:color w:val="auto"/>
        </w:rPr>
      </w:pPr>
    </w:p>
    <w:p>
      <w:pPr>
        <w:ind w:left="60" w:right="119" w:firstLine="427"/>
        <w:spacing w:after="0" w:line="329" w:lineRule="auto"/>
        <w:rPr>
          <w:sz w:val="20"/>
          <w:szCs w:val="20"/>
          <w:color w:val="auto"/>
        </w:rPr>
      </w:pPr>
      <w:r>
        <w:rPr>
          <w:rFonts w:ascii="Arial" w:cs="Arial" w:eastAsia="Arial" w:hAnsi="Arial"/>
          <w:sz w:val="17"/>
          <w:szCs w:val="17"/>
          <w:color w:val="auto"/>
        </w:rPr>
        <w:t>Avnet’s effective tax rate on income before income taxes was 21.6% in fiscal 2023 as compared with an effective tax rate of 16.9% on fiscal 2022 income before income taxes. Included in the fiscal 2023 effective tax rate are U.S. state taxes, tax expense related to the increase to valuation allowances against the deferred tax assets, the impact of mix of income in higher tax jurisdictions and the tax benefit arising from a foreign currency translation loss.</w:t>
      </w:r>
    </w:p>
    <w:p>
      <w:pPr>
        <w:spacing w:after="0" w:line="62" w:lineRule="exact"/>
        <w:rPr>
          <w:sz w:val="20"/>
          <w:szCs w:val="20"/>
          <w:color w:val="auto"/>
        </w:rPr>
      </w:pPr>
    </w:p>
    <w:p>
      <w:pPr>
        <w:ind w:left="60" w:right="99" w:firstLine="427"/>
        <w:spacing w:after="0" w:line="321" w:lineRule="auto"/>
        <w:rPr>
          <w:sz w:val="20"/>
          <w:szCs w:val="20"/>
          <w:color w:val="auto"/>
        </w:rPr>
      </w:pPr>
      <w:r>
        <w:rPr>
          <w:rFonts w:ascii="Arial" w:cs="Arial" w:eastAsia="Arial" w:hAnsi="Arial"/>
          <w:sz w:val="17"/>
          <w:szCs w:val="17"/>
          <w:color w:val="auto"/>
        </w:rPr>
        <w:t xml:space="preserve">The Company applies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jurisdiction-by-jurisdiction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72" w:lineRule="exact"/>
        <w:rPr>
          <w:sz w:val="20"/>
          <w:szCs w:val="20"/>
          <w:color w:val="auto"/>
        </w:rPr>
      </w:pPr>
    </w:p>
    <w:p>
      <w:pPr>
        <w:ind w:left="60" w:right="579" w:firstLine="427"/>
        <w:spacing w:after="0" w:line="324" w:lineRule="auto"/>
        <w:rPr>
          <w:sz w:val="20"/>
          <w:szCs w:val="20"/>
          <w:color w:val="auto"/>
        </w:rPr>
      </w:pPr>
      <w:r>
        <w:rPr>
          <w:rFonts w:ascii="Arial" w:cs="Arial" w:eastAsia="Arial" w:hAnsi="Arial"/>
          <w:sz w:val="18"/>
          <w:szCs w:val="18"/>
          <w:color w:val="auto"/>
        </w:rPr>
        <w:t>The significant components of deferred tax assets and liabilities, included in “other assets” on the consolidated balance sheets, are as follows: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1,</w:t>
            </w: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w:t>
            </w:r>
          </w:p>
        </w:tc>
      </w:tr>
      <w:tr>
        <w:trPr>
          <w:trHeight w:val="241"/>
        </w:trPr>
        <w:tc>
          <w:tcPr>
            <w:tcW w:w="6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r>
      <w:tr>
        <w:trPr>
          <w:trHeight w:val="203"/>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4"/>
          </w:tcPr>
          <w:p>
            <w:pPr>
              <w:jc w:val="right"/>
              <w:ind w:right="430"/>
              <w:spacing w:after="0" w:line="202" w:lineRule="exact"/>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Federal, state and foreign 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211,719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226,072</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Inventories valuation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29,798</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56,256</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Receivables valuation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18,321</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deductions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29,358</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Various accrued liabilities and other</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101,713</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47,717</w:t>
            </w:r>
          </w:p>
        </w:tc>
        <w:tc>
          <w:tcPr>
            <w:tcW w:w="80" w:type="dxa"/>
            <w:vAlign w:val="bottom"/>
            <w:tcBorders>
              <w:bottom w:val="single" w:sz="8" w:color="CCEEFF"/>
            </w:tcBorders>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419,047</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Pr>
          <w:p>
            <w:pPr>
              <w:ind w:left="120"/>
              <w:spacing w:after="0"/>
              <w:rPr>
                <w:sz w:val="20"/>
                <w:szCs w:val="20"/>
                <w:color w:val="auto"/>
              </w:rPr>
            </w:pPr>
            <w:r>
              <w:rPr>
                <w:rFonts w:ascii="Arial" w:cs="Arial" w:eastAsia="Arial" w:hAnsi="Arial"/>
                <w:sz w:val="18"/>
                <w:szCs w:val="18"/>
                <w:color w:val="auto"/>
              </w:rPr>
              <w:t>Less — valuation allowances</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(207,744)</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(207,889)</w:t>
            </w:r>
          </w:p>
        </w:tc>
      </w:tr>
      <w:tr>
        <w:trPr>
          <w:trHeight w:val="216"/>
        </w:trPr>
        <w:tc>
          <w:tcPr>
            <w:tcW w:w="6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242,069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(54,799)</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(54,632)</w:t>
            </w:r>
          </w:p>
        </w:tc>
      </w:tr>
      <w:tr>
        <w:trPr>
          <w:trHeight w:val="203"/>
        </w:trPr>
        <w:tc>
          <w:tcPr>
            <w:tcW w:w="68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187,270</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156,526</w:t>
            </w:r>
          </w:p>
        </w:tc>
        <w:tc>
          <w:tcPr>
            <w:tcW w:w="80" w:type="dxa"/>
            <w:vAlign w:val="bottom"/>
            <w:tcBorders>
              <w:top w:val="single" w:sz="8" w:color="CCEEFF"/>
            </w:tcBorders>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39" w:firstLine="427"/>
        <w:spacing w:after="0" w:line="306" w:lineRule="auto"/>
        <w:rPr>
          <w:sz w:val="20"/>
          <w:szCs w:val="20"/>
          <w:color w:val="auto"/>
        </w:rPr>
      </w:pPr>
      <w:r>
        <w:rPr>
          <w:rFonts w:ascii="Arial" w:cs="Arial" w:eastAsia="Arial" w:hAnsi="Arial"/>
          <w:sz w:val="18"/>
          <w:szCs w:val="18"/>
          <w:color w:val="auto"/>
        </w:rPr>
        <w:t>The change in valuation allowances in fiscal 2023 from fiscal 2022 was related to a $4.5 million increase resulting from current year activities, and a $4.7 million decrease resulting from changing foreign exchange rates. An income tax refund receivable of $56.1 million, associated with the fiscal 2021 income tax benefit, is classified within Receivables on the consolidated balance sheets.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99" w:firstLine="427"/>
        <w:spacing w:after="0" w:line="346" w:lineRule="auto"/>
        <w:rPr>
          <w:sz w:val="20"/>
          <w:szCs w:val="20"/>
          <w:color w:val="auto"/>
        </w:rPr>
      </w:pPr>
      <w:r>
        <w:rPr>
          <w:rFonts w:ascii="Arial" w:cs="Arial" w:eastAsia="Arial" w:hAnsi="Arial"/>
          <w:sz w:val="16"/>
          <w:szCs w:val="16"/>
          <w:color w:val="auto"/>
        </w:rPr>
        <w:t>As of July 1, 2023, the Company had net operating and capital loss carry-forwards of approximately $1.09 billion, of which $6.8 million will expire during fiscal 2024 and fiscal 2025, substantially all of which have full valuation allowances, $245.7 million have expiration dates ranging from fiscal 2026 to fiscal 2042, and the remaining $839.5 million have no expiration date. A significant portion of these losses are not expected to be realized in the foreseeable future and have valuation allowances against them. The carrying value of the Company’s net operating and capital loss carry-forwards depends on the Company’s ability to generate sufficient future taxable income in certain tax jurisdictions.</w:t>
      </w:r>
    </w:p>
    <w:p>
      <w:pPr>
        <w:spacing w:after="0" w:line="56" w:lineRule="exact"/>
        <w:rPr>
          <w:sz w:val="20"/>
          <w:szCs w:val="20"/>
          <w:color w:val="auto"/>
        </w:rPr>
      </w:pPr>
    </w:p>
    <w:p>
      <w:pPr>
        <w:ind w:left="60" w:right="279" w:firstLine="427"/>
        <w:spacing w:after="0" w:line="323" w:lineRule="auto"/>
        <w:rPr>
          <w:sz w:val="20"/>
          <w:szCs w:val="20"/>
          <w:color w:val="auto"/>
        </w:rPr>
      </w:pPr>
      <w:r>
        <w:rPr>
          <w:rFonts w:ascii="Arial" w:cs="Arial" w:eastAsia="Arial" w:hAnsi="Arial"/>
          <w:sz w:val="17"/>
          <w:szCs w:val="17"/>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July 1, 2023, unrecognized tax benefits were $130.5 million. The estimated liability for unrecognized tax benefits included accrued interest expense and penalties of $27.7 million and $25.3 million, net of applicable state tax benefits, as of the end of fiscal 2023 and 2022, respectively.</w:t>
      </w:r>
    </w:p>
    <w:p>
      <w:pPr>
        <w:spacing w:after="0" w:line="69" w:lineRule="exact"/>
        <w:rPr>
          <w:sz w:val="20"/>
          <w:szCs w:val="20"/>
          <w:color w:val="auto"/>
        </w:rPr>
      </w:pPr>
    </w:p>
    <w:p>
      <w:pPr>
        <w:ind w:left="60" w:right="259" w:firstLine="427"/>
        <w:spacing w:after="0" w:line="340" w:lineRule="auto"/>
        <w:rPr>
          <w:sz w:val="20"/>
          <w:szCs w:val="20"/>
          <w:color w:val="auto"/>
        </w:rPr>
      </w:pPr>
      <w:r>
        <w:rPr>
          <w:rFonts w:ascii="Arial" w:cs="Arial" w:eastAsia="Arial" w:hAnsi="Arial"/>
          <w:sz w:val="18"/>
          <w:szCs w:val="18"/>
          <w:color w:val="auto"/>
        </w:rPr>
        <w:t>Reconciliations of the beginning and ending liability balances for unrecognized tax benefits, excluding interest and penalties, are as follows: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July 1, 2023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July 2, 2022</w:t>
            </w:r>
          </w:p>
        </w:tc>
        <w:tc>
          <w:tcPr>
            <w:tcW w:w="60" w:type="dxa"/>
            <w:vAlign w:val="bottom"/>
          </w:tcPr>
          <w:p>
            <w:pPr>
              <w:spacing w:after="0"/>
              <w:rPr>
                <w:sz w:val="20"/>
                <w:szCs w:val="20"/>
                <w:color w:val="auto"/>
              </w:rPr>
            </w:pPr>
          </w:p>
        </w:tc>
      </w:tr>
      <w:tr>
        <w:trPr>
          <w:trHeight w:val="203"/>
        </w:trPr>
        <w:tc>
          <w:tcPr>
            <w:tcW w:w="5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6"/>
          </w:tcPr>
          <w:p>
            <w:pPr>
              <w:jc w:val="right"/>
              <w:ind w:right="450"/>
              <w:spacing w:after="0" w:line="202" w:lineRule="exact"/>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7"/>
                <w:szCs w:val="17"/>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109,285</w:t>
            </w:r>
          </w:p>
        </w:tc>
        <w:tc>
          <w:tcPr>
            <w:tcW w:w="1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118,660</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Additions for tax positions taken in prior periods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in prior periods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Additions for tax positions taken in current period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1,269</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Reductions related to the lapse of applicable statutes of limitations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(3,883)</w:t>
            </w:r>
          </w:p>
        </w:tc>
        <w:tc>
          <w:tcPr>
            <w:tcW w:w="60" w:type="dxa"/>
            <w:vAlign w:val="bottom"/>
          </w:tcPr>
          <w:p>
            <w:pPr>
              <w:spacing w:after="0"/>
              <w:rPr>
                <w:sz w:val="18"/>
                <w:szCs w:val="18"/>
                <w:color w:val="auto"/>
              </w:rPr>
            </w:pPr>
          </w:p>
        </w:tc>
      </w:tr>
      <w:tr>
        <w:trPr>
          <w:trHeight w:val="23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related to foreign currency translation</w:t>
            </w: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780" w:type="dxa"/>
            <w:vAlign w:val="bottom"/>
          </w:tcPr>
          <w:p>
            <w:pPr>
              <w:spacing w:after="0" w:line="203" w:lineRule="exact"/>
              <w:rPr>
                <w:sz w:val="20"/>
                <w:szCs w:val="20"/>
                <w:color w:val="auto"/>
              </w:rPr>
            </w:pPr>
            <w:r>
              <w:rPr>
                <w:rFonts w:ascii="Arial" w:cs="Arial" w:eastAsia="Arial" w:hAnsi="Arial"/>
                <w:sz w:val="18"/>
                <w:szCs w:val="18"/>
                <w:color w:val="auto"/>
              </w:rPr>
              <w:t>Balance at end of year</w:t>
            </w:r>
          </w:p>
        </w:tc>
        <w:tc>
          <w:tcPr>
            <w:tcW w:w="102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102,841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109,285</w:t>
            </w:r>
          </w:p>
        </w:tc>
        <w:tc>
          <w:tcPr>
            <w:tcW w:w="6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The evaluation of uncertain income tax positions requires management to estimate the ability of the Company to sustain its position with applicable tax authorities and estimate the final benefit to the Company. If the actual outcomes differ from the Company’s estimates, there could be an impact on the consolidated financial statements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beyond the Company’s control. The effects of settling tax positions with tax authorities and statute expirations may significantly impact the estimate for unrecognized tax benefits. Within the next twelve months, the Company estimates that approximately $32.2 million of these liabilities for unrecognized tax benefits will be settled by the expiration of the statutes of limitations or through settlements with the tax authorities. The expected cash payment related to the settlement of these contingencies is approximately $1.0 million.</w:t>
      </w:r>
    </w:p>
    <w:p>
      <w:pPr>
        <w:spacing w:after="0" w:line="144"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2017. The years remaining subject to audit, by major jurisdiction, are as follows: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tbl>
      <w:tblPr>
        <w:tblLayout w:type="fixed"/>
        <w:tblInd w:w="60" w:type="dxa"/>
        <w:tblCellMar>
          <w:top w:w="0" w:type="dxa"/>
          <w:left w:w="0" w:type="dxa"/>
          <w:bottom w:w="0" w:type="dxa"/>
          <w:right w:w="0" w:type="dxa"/>
        </w:tblCellMar>
      </w:tblPr>
      <w:tr>
        <w:trPr>
          <w:trHeight w:val="207"/>
        </w:trPr>
        <w:tc>
          <w:tcPr>
            <w:tcW w:w="75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803"/>
        </w:trPr>
        <w:tc>
          <w:tcPr>
            <w:tcW w:w="1260" w:type="dxa"/>
            <w:vAlign w:val="bottom"/>
            <w:tcBorders>
              <w:top w:val="single" w:sz="8" w:color="0000EE"/>
            </w:tcBorders>
          </w:tcPr>
          <w:p>
            <w:pPr>
              <w:spacing w:after="0"/>
              <w:rPr>
                <w:sz w:val="24"/>
                <w:szCs w:val="24"/>
                <w:color w:val="auto"/>
              </w:rPr>
            </w:pPr>
          </w:p>
        </w:tc>
        <w:tc>
          <w:tcPr>
            <w:tcW w:w="6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AVNET, INC. AND SUBSIDIARIES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6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2"/>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Jurisdiction</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Fiscal Year</w:t>
            </w:r>
          </w:p>
        </w:tc>
      </w:tr>
      <w:tr>
        <w:trPr>
          <w:trHeight w:val="216"/>
        </w:trPr>
        <w:tc>
          <w:tcPr>
            <w:tcW w:w="7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United States (Federal and state)</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2017,2019 - 2023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Taiwan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2017 - 2023</w:t>
            </w:r>
          </w:p>
        </w:tc>
        <w:tc>
          <w:tcPr>
            <w:tcW w:w="60" w:type="dxa"/>
            <w:vAlign w:val="bottom"/>
          </w:tcPr>
          <w:p>
            <w:pPr>
              <w:spacing w:after="0"/>
              <w:rPr>
                <w:sz w:val="18"/>
                <w:szCs w:val="18"/>
                <w:color w:val="auto"/>
              </w:rPr>
            </w:pPr>
          </w:p>
        </w:tc>
      </w:tr>
      <w:tr>
        <w:trPr>
          <w:trHeight w:val="216"/>
        </w:trPr>
        <w:tc>
          <w:tcPr>
            <w:tcW w:w="7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Hong Kong</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2017 - 2023</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Germany</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2019 - 2023</w:t>
            </w:r>
          </w:p>
        </w:tc>
        <w:tc>
          <w:tcPr>
            <w:tcW w:w="60" w:type="dxa"/>
            <w:vAlign w:val="bottom"/>
          </w:tcPr>
          <w:p>
            <w:pPr>
              <w:spacing w:after="0"/>
              <w:rPr>
                <w:sz w:val="18"/>
                <w:szCs w:val="18"/>
                <w:color w:val="auto"/>
              </w:rPr>
            </w:pPr>
          </w:p>
        </w:tc>
      </w:tr>
      <w:tr>
        <w:trPr>
          <w:trHeight w:val="216"/>
        </w:trPr>
        <w:tc>
          <w:tcPr>
            <w:tcW w:w="7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Singapore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2018 - 2023</w:t>
            </w:r>
          </w:p>
        </w:tc>
        <w:tc>
          <w:tcPr>
            <w:tcW w:w="60" w:type="dxa"/>
            <w:vAlign w:val="bottom"/>
            <w:shd w:val="clear" w:color="auto" w:fill="CCEEFF"/>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Belgium</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2021 - 2023</w:t>
            </w:r>
          </w:p>
        </w:tc>
        <w:tc>
          <w:tcPr>
            <w:tcW w:w="60" w:type="dxa"/>
            <w:vAlign w:val="bottom"/>
          </w:tcPr>
          <w:p>
            <w:pPr>
              <w:spacing w:after="0"/>
              <w:rPr>
                <w:sz w:val="18"/>
                <w:szCs w:val="18"/>
                <w:color w:val="auto"/>
              </w:rPr>
            </w:pPr>
          </w:p>
        </w:tc>
      </w:tr>
      <w:tr>
        <w:trPr>
          <w:trHeight w:val="243"/>
        </w:trPr>
        <w:tc>
          <w:tcPr>
            <w:tcW w:w="7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2021 - 2023</w:t>
            </w:r>
          </w:p>
        </w:tc>
        <w:tc>
          <w:tcPr>
            <w:tcW w:w="60" w:type="dxa"/>
            <w:vAlign w:val="bottom"/>
            <w:shd w:val="clear" w:color="auto" w:fill="CCEEFF"/>
          </w:tcPr>
          <w:p>
            <w:pPr>
              <w:spacing w:after="0"/>
              <w:rPr>
                <w:sz w:val="21"/>
                <w:szCs w:val="21"/>
                <w:color w:val="auto"/>
              </w:rPr>
            </w:pPr>
          </w:p>
        </w:tc>
      </w:tr>
      <w:tr>
        <w:trPr>
          <w:trHeight w:val="243"/>
        </w:trPr>
        <w:tc>
          <w:tcPr>
            <w:tcW w:w="7540" w:type="dxa"/>
            <w:vAlign w:val="bottom"/>
            <w:gridSpan w:val="3"/>
          </w:tcPr>
          <w:p>
            <w:pPr>
              <w:spacing w:after="0"/>
              <w:rPr>
                <w:sz w:val="20"/>
                <w:szCs w:val="20"/>
                <w:color w:val="auto"/>
              </w:rPr>
            </w:pPr>
            <w:r>
              <w:rPr>
                <w:rFonts w:ascii="Arial" w:cs="Arial" w:eastAsia="Arial" w:hAnsi="Arial"/>
                <w:sz w:val="18"/>
                <w:szCs w:val="18"/>
                <w:color w:val="auto"/>
              </w:rPr>
              <w:t>Canada</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2017 - 2023</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Pension and retirement plans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Pension Plan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w:t>
      </w:r>
    </w:p>
    <w:p>
      <w:pPr>
        <w:spacing w:after="0" w:line="239" w:lineRule="exact"/>
        <w:rPr>
          <w:sz w:val="20"/>
          <w:szCs w:val="20"/>
          <w:color w:val="auto"/>
        </w:rPr>
      </w:pPr>
    </w:p>
    <w:p>
      <w:pPr>
        <w:ind w:left="60" w:right="59" w:firstLine="427"/>
        <w:spacing w:after="0" w:line="302" w:lineRule="auto"/>
        <w:rPr>
          <w:sz w:val="20"/>
          <w:szCs w:val="20"/>
          <w:color w:val="auto"/>
        </w:rPr>
      </w:pPr>
      <w:r>
        <w:rPr>
          <w:rFonts w:ascii="Arial" w:cs="Arial" w:eastAsia="Arial" w:hAnsi="Arial"/>
          <w:sz w:val="18"/>
          <w:szCs w:val="18"/>
          <w:color w:val="auto"/>
        </w:rPr>
        <w:t>The Plan meets the definition of a defined benefit plan and, as a result, the Company applies ASC 715 pension accounting to the Plan. The Plan is a cash balance plan that is similar in nature to a defined contribution plan in that a participant’s benefit is defined in terms of stated account balances. The Plan allows the Company to apply any earnings on the Plan’s investments, beyond the fixed return provided to participants, toward the Company’s future cash funding obligations. Employees are eligible to participate in the Plan following the first year of service during which they worked at least 1,000 hours.</w:t>
      </w:r>
    </w:p>
    <w:p>
      <w:pPr>
        <w:spacing w:after="0" w:line="152" w:lineRule="exact"/>
        <w:rPr>
          <w:sz w:val="20"/>
          <w:szCs w:val="20"/>
          <w:color w:val="auto"/>
        </w:rPr>
      </w:pPr>
    </w:p>
    <w:p>
      <w:pPr>
        <w:ind w:left="60" w:right="99" w:firstLine="427"/>
        <w:spacing w:after="0" w:line="336" w:lineRule="auto"/>
        <w:rPr>
          <w:sz w:val="20"/>
          <w:szCs w:val="20"/>
          <w:color w:val="auto"/>
        </w:rPr>
      </w:pPr>
      <w:r>
        <w:rPr>
          <w:rFonts w:ascii="Arial" w:cs="Arial" w:eastAsia="Arial" w:hAnsi="Arial"/>
          <w:sz w:val="17"/>
          <w:szCs w:val="17"/>
          <w:color w:val="auto"/>
        </w:rPr>
        <w:t>The Plan provides defined benefits pursuant to a cash balance feature whereby a participant accumulates a benefit based upon a percentage of current salary, which varies with age, and interest credits. The Company uses its fiscal year end as the measurement date for determining pension expense and benefit obligations for each fiscal year.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359" w:firstLine="427"/>
        <w:spacing w:after="0" w:line="324" w:lineRule="auto"/>
        <w:rPr>
          <w:sz w:val="20"/>
          <w:szCs w:val="20"/>
          <w:color w:val="auto"/>
        </w:rPr>
      </w:pPr>
      <w:r>
        <w:rPr>
          <w:rFonts w:ascii="Arial" w:cs="Arial" w:eastAsia="Arial" w:hAnsi="Arial"/>
          <w:sz w:val="18"/>
          <w:szCs w:val="18"/>
          <w:color w:val="auto"/>
        </w:rPr>
        <w:t>The following table outlines changes in benefit obligations, plan assets, and the funded status of the Plan as of the end of fiscal 2023 and 2022:</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July 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4"/>
          </w:tcPr>
          <w:p>
            <w:pPr>
              <w:jc w:val="right"/>
              <w:ind w:right="410"/>
              <w:spacing w:after="0" w:line="202" w:lineRule="exact"/>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Benefit obligations at beginning of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614,359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Actuarial gain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Settlements paid</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(116,511)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40" w:type="dxa"/>
            <w:vAlign w:val="bottom"/>
            <w:tcBorders>
              <w:top w:val="single" w:sz="8" w:color="CCEEFF"/>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Benefit obligations at end of year</w:t>
            </w:r>
          </w:p>
        </w:tc>
        <w:tc>
          <w:tcPr>
            <w:tcW w:w="2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471,401</w:t>
            </w:r>
          </w:p>
        </w:tc>
        <w:tc>
          <w:tcPr>
            <w:tcW w:w="18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614,359</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Changes in plan 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Fair value of plan assets at beginning of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638,894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772,279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Actual return on plan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Settlements paid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(116,511)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Contributions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Fair value of plan assets at end of year</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504,348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Funded status of the plan recognized as a non-current asset</w:t>
            </w: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32,947</w:t>
            </w:r>
          </w:p>
        </w:tc>
        <w:tc>
          <w:tcPr>
            <w:tcW w:w="18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Unrecognized net actuarial losses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Unamortized prior service cost</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spacing w:after="0" w:line="195" w:lineRule="exact"/>
              <w:rPr>
                <w:sz w:val="20"/>
                <w:szCs w:val="20"/>
                <w:color w:val="auto"/>
              </w:rPr>
            </w:pPr>
            <w:r>
              <w:rPr>
                <w:rFonts w:ascii="Arial" w:cs="Arial" w:eastAsia="Arial" w:hAnsi="Arial"/>
                <w:sz w:val="18"/>
                <w:szCs w:val="18"/>
                <w:color w:val="auto"/>
                <w:w w:val="92"/>
              </w:rPr>
              <w:t>Other changes in plan assets and benefit obligations recognized in other comprehensive</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5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income: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actuarial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Amortization of net actuarial losses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80"/>
              <w:spacing w:after="0"/>
              <w:rPr>
                <w:sz w:val="20"/>
                <w:szCs w:val="20"/>
                <w:color w:val="auto"/>
              </w:rPr>
            </w:pPr>
            <w:r>
              <w:rPr>
                <w:rFonts w:ascii="Arial" w:cs="Arial" w:eastAsia="Arial" w:hAnsi="Arial"/>
                <w:sz w:val="18"/>
                <w:szCs w:val="18"/>
                <w:color w:val="auto"/>
              </w:rPr>
              <w:t>Net loss recognized due to benefit obligation settlement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119" w:firstLine="427"/>
        <w:spacing w:after="0" w:line="310" w:lineRule="auto"/>
        <w:rPr>
          <w:sz w:val="20"/>
          <w:szCs w:val="20"/>
          <w:color w:val="auto"/>
        </w:rPr>
      </w:pPr>
      <w:r>
        <w:rPr>
          <w:rFonts w:ascii="Arial" w:cs="Arial" w:eastAsia="Arial" w:hAnsi="Arial"/>
          <w:sz w:val="18"/>
          <w:szCs w:val="18"/>
          <w:color w:val="auto"/>
        </w:rPr>
        <w:t>Included in “Accumulated other comprehensive loss” at July 1, 2023, is an expense of $148.9 million of net actuarial losses that have not yet been recognized in net periodic pension cost, of which $0.2 million is expected to be recognized as a component of net periodic pension cost during fiscal 2024.</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99" w:firstLine="427"/>
        <w:spacing w:after="0" w:line="322" w:lineRule="auto"/>
        <w:rPr>
          <w:sz w:val="20"/>
          <w:szCs w:val="20"/>
          <w:color w:val="auto"/>
        </w:rPr>
      </w:pPr>
      <w:r>
        <w:rPr>
          <w:rFonts w:ascii="Arial" w:cs="Arial" w:eastAsia="Arial" w:hAnsi="Arial"/>
          <w:sz w:val="17"/>
          <w:szCs w:val="17"/>
          <w:color w:val="auto"/>
        </w:rPr>
        <w:t>In June 2023, the Company settled a portion of its pension liability related to certain retirees and terminated vested employees in the Company’s U.S. pension plan through the transfer of the benefit obligation to a third-party insurance company. This transfer of the benefit obligation triggered settlement accounting which required immediate recognition of a portion of the accumulated losses associated with the transferred benefit obligations. Consequently, the Company recognized non-cash settlement expense of $37.4 million in fiscal 2023, which is included in Gain on legal settlement and other on the Company’s consolidated statement of operations. The settlement resulted in a reduction to the projected benefit obligation and a corresponding decrease to plan assets.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40" w:type="dxa"/>
            <w:vAlign w:val="bottom"/>
          </w:tcPr>
          <w:p>
            <w:pPr>
              <w:ind w:left="420"/>
              <w:spacing w:after="0"/>
              <w:rPr>
                <w:sz w:val="20"/>
                <w:szCs w:val="20"/>
                <w:color w:val="auto"/>
              </w:rPr>
            </w:pPr>
            <w:r>
              <w:rPr>
                <w:rFonts w:ascii="Arial" w:cs="Arial" w:eastAsia="Arial" w:hAnsi="Arial"/>
                <w:sz w:val="18"/>
                <w:szCs w:val="18"/>
                <w:color w:val="auto"/>
                <w:w w:val="91"/>
              </w:rPr>
              <w:t>Assumptions used to calculate actuarial present values of benefit obligations are as follows: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8"/>
        </w:trPr>
        <w:tc>
          <w:tcPr>
            <w:tcW w:w="7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4.8 %</w:t>
            </w:r>
          </w:p>
        </w:tc>
      </w:tr>
    </w:tbl>
    <w:p>
      <w:pPr>
        <w:spacing w:after="0" w:line="188"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The discount rate selected by the Company for the Plan reflects the current rate at which the underlying liability could be settled at the measurement date as of July 1, 2023. The estimated discount rate in fiscal 2023 and fiscal 2022 was based on the spot yield curve approach, which applies the individual spot rates from a highly rated bond yield curve to each future year’s estimated cash flows.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80" w:type="dxa"/>
            <w:vAlign w:val="bottom"/>
          </w:tcPr>
          <w:p>
            <w:pPr>
              <w:ind w:left="440"/>
              <w:spacing w:after="0"/>
              <w:rPr>
                <w:sz w:val="20"/>
                <w:szCs w:val="20"/>
                <w:color w:val="auto"/>
              </w:rPr>
            </w:pPr>
            <w:r>
              <w:rPr>
                <w:rFonts w:ascii="Arial" w:cs="Arial" w:eastAsia="Arial" w:hAnsi="Arial"/>
                <w:sz w:val="18"/>
                <w:szCs w:val="18"/>
                <w:color w:val="auto"/>
                <w:w w:val="98"/>
              </w:rPr>
              <w:t>The weighted-average assumptions used to determine net benefit costs are as follows: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8"/>
        </w:trPr>
        <w:tc>
          <w:tcPr>
            <w:tcW w:w="72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4.6 %</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2.5 %</w:t>
            </w: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7.0 %</w:t>
            </w: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7.0 %</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3.5 %</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3.5 %</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Interest crediting rate</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4.0 %</w:t>
            </w:r>
          </w:p>
        </w:tc>
        <w:tc>
          <w:tcPr>
            <w:tcW w:w="24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4.0 %</w:t>
            </w: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Components of net periodic pension cost for the Plan during the last three fiscal years are as follows: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87"/>
              </w:rPr>
              <w:t>Years Ended</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July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July 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July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2"/>
              </w:rPr>
              <w:t>(Thousands)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60" w:type="dxa"/>
            <w:vAlign w:val="bottom"/>
            <w:tcBorders>
              <w:top w:val="single" w:sz="8" w:color="CCEEFF"/>
            </w:tcBorders>
          </w:tcPr>
          <w:p>
            <w:pPr>
              <w:ind w:left="80"/>
              <w:spacing w:after="0" w:line="176" w:lineRule="exact"/>
              <w:rPr>
                <w:sz w:val="20"/>
                <w:szCs w:val="20"/>
                <w:color w:val="auto"/>
              </w:rPr>
            </w:pPr>
            <w:r>
              <w:rPr>
                <w:rFonts w:ascii="Arial" w:cs="Arial" w:eastAsia="Arial" w:hAnsi="Arial"/>
                <w:sz w:val="18"/>
                <w:szCs w:val="18"/>
                <w:color w:val="auto"/>
              </w:rPr>
              <w:t>Total net periodic pension cost within selling, general and administrative</w:t>
            </w: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(48,860)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(49,135)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loss recognized due to benefit obligation settlement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92"/>
              </w:rPr>
              <w:t>Total net periodic pension benefit within other income (expense), net and gain</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on legal settlements and other</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periodic pension cost (benefit)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 made $8.0 million and $14.0 million of contributions in fiscal 2023 and fiscal 2022, respectively,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expects to make approximately $8.0 million of contributions in fiscal 2024.</w:t>
      </w:r>
    </w:p>
    <w:p>
      <w:pPr>
        <w:spacing w:after="0" w:line="225" w:lineRule="exact"/>
        <w:rPr>
          <w:sz w:val="20"/>
          <w:szCs w:val="20"/>
          <w:color w:val="auto"/>
        </w:rPr>
      </w:pPr>
    </w:p>
    <w:p>
      <w:pPr>
        <w:ind w:left="60" w:right="739" w:firstLine="427"/>
        <w:spacing w:after="0" w:line="324" w:lineRule="auto"/>
        <w:rPr>
          <w:sz w:val="20"/>
          <w:szCs w:val="20"/>
          <w:color w:val="auto"/>
        </w:rPr>
      </w:pPr>
      <w:r>
        <w:rPr>
          <w:rFonts w:ascii="Arial" w:cs="Arial" w:eastAsia="Arial" w:hAnsi="Arial"/>
          <w:sz w:val="18"/>
          <w:szCs w:val="18"/>
          <w:color w:val="auto"/>
        </w:rPr>
        <w:t>Benefit payments are expected to be paid to Plan participants as follows for the next five fiscal years and the aggregate for the five years thereafter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54,860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2025</w:t>
            </w:r>
          </w:p>
        </w:tc>
        <w:tc>
          <w:tcPr>
            <w:tcW w:w="4200" w:type="dxa"/>
            <w:vAlign w:val="bottom"/>
          </w:tcPr>
          <w:p>
            <w:pPr>
              <w:jc w:val="right"/>
              <w:ind w:right="10"/>
              <w:spacing w:after="0"/>
              <w:rPr>
                <w:sz w:val="20"/>
                <w:szCs w:val="20"/>
                <w:color w:val="auto"/>
              </w:rPr>
            </w:pPr>
            <w:r>
              <w:rPr>
                <w:rFonts w:ascii="Arial" w:cs="Arial" w:eastAsia="Arial" w:hAnsi="Arial"/>
                <w:sz w:val="18"/>
                <w:szCs w:val="18"/>
                <w:color w:val="auto"/>
              </w:rPr>
              <w:t>39,951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40,046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2027</w:t>
            </w:r>
          </w:p>
        </w:tc>
        <w:tc>
          <w:tcPr>
            <w:tcW w:w="4200" w:type="dxa"/>
            <w:vAlign w:val="bottom"/>
          </w:tcPr>
          <w:p>
            <w:pPr>
              <w:jc w:val="right"/>
              <w:ind w:right="10"/>
              <w:spacing w:after="0"/>
              <w:rPr>
                <w:sz w:val="20"/>
                <w:szCs w:val="20"/>
                <w:color w:val="auto"/>
              </w:rPr>
            </w:pPr>
            <w:r>
              <w:rPr>
                <w:rFonts w:ascii="Arial" w:cs="Arial" w:eastAsia="Arial" w:hAnsi="Arial"/>
                <w:sz w:val="18"/>
                <w:szCs w:val="18"/>
                <w:color w:val="auto"/>
              </w:rPr>
              <w:t>39,698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4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41,729</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2029 through 2033</w:t>
            </w:r>
          </w:p>
        </w:tc>
        <w:tc>
          <w:tcPr>
            <w:tcW w:w="4200" w:type="dxa"/>
            <w:vAlign w:val="bottom"/>
          </w:tcPr>
          <w:p>
            <w:pPr>
              <w:jc w:val="right"/>
              <w:ind w:right="10"/>
              <w:spacing w:after="0"/>
              <w:rPr>
                <w:sz w:val="20"/>
                <w:szCs w:val="20"/>
                <w:color w:val="auto"/>
              </w:rPr>
            </w:pPr>
            <w:r>
              <w:rPr>
                <w:rFonts w:ascii="Arial" w:cs="Arial" w:eastAsia="Arial" w:hAnsi="Arial"/>
                <w:sz w:val="18"/>
                <w:szCs w:val="18"/>
                <w:color w:val="auto"/>
              </w:rPr>
              <w:t>194,798</w:t>
            </w:r>
          </w:p>
        </w:tc>
      </w:tr>
    </w:tbl>
    <w:p>
      <w:pPr>
        <w:spacing w:after="0" w:line="187"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The Plan’s assets are held in trust and were allocated as follows as of the measurement date at the end of fiscal 2023 and 2022:</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1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75 %</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30 %</w:t>
            </w:r>
          </w:p>
        </w:tc>
        <w:tc>
          <w:tcPr>
            <w:tcW w:w="22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24 %</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1 %</w:t>
            </w:r>
          </w:p>
        </w:tc>
      </w:tr>
    </w:tbl>
    <w:p>
      <w:pPr>
        <w:spacing w:after="0" w:line="188" w:lineRule="exact"/>
        <w:rPr>
          <w:sz w:val="20"/>
          <w:szCs w:val="20"/>
          <w:color w:val="auto"/>
        </w:rPr>
      </w:pPr>
    </w:p>
    <w:p>
      <w:pPr>
        <w:ind w:left="60" w:right="59" w:firstLine="427"/>
        <w:spacing w:after="0" w:line="342" w:lineRule="auto"/>
        <w:rPr>
          <w:sz w:val="20"/>
          <w:szCs w:val="20"/>
          <w:color w:val="auto"/>
        </w:rPr>
      </w:pPr>
      <w:r>
        <w:rPr>
          <w:rFonts w:ascii="Arial" w:cs="Arial" w:eastAsia="Arial" w:hAnsi="Arial"/>
          <w:sz w:val="16"/>
          <w:szCs w:val="16"/>
          <w:color w:val="auto"/>
        </w:rPr>
        <w:t>The general investment objectives of the Plan are to maximize returns through a diversified investment portfolio to earn annualized returns that exceed the long-term cost of funding the Plan’s pension obligations while maintaining reasonable and prudent levels of risk. The expected return on the Plan’s assets in fiscal 2024 is currently 7.0%, which is the average rate of earnings expected on the funds invested or to be invested to provide for the benefits included in the benefit obligation based upon the targeted investment allocations. In making this assumption, the Company evaluated expectations regarding future rates of return for the investment portfolio, along with the historical and expected distribution of investments by asset class and the historical rates of return for each of those asset classes. The mix of return seeking and fixed income investments is typically diversified. The Plan’s assets do not include any investments in Avnet common stock. As of July 1, 2023, the Company’s target allocation for the Plan’s investment portfolio is for return seeking investments to represent approximately 65% of the investment portfolio. The majority of the remaining investment portfolio is invested in fixed income investments, which typically have lower risks, but also lower returns.</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July 1, 2023:</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Net Asset Value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3"/>
        </w:trPr>
        <w:tc>
          <w:tcPr>
            <w:tcW w:w="2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70"/>
              </w:rPr>
              <w:t>(Thousands)</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Return Seeking Investments: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138,533</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108,936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108,936</w:t>
            </w: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High yield credit and bonds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90,767</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118,456</w:t>
            </w:r>
          </w:p>
        </w:tc>
        <w:tc>
          <w:tcPr>
            <w:tcW w:w="100" w:type="dxa"/>
            <w:vAlign w:val="bottom"/>
            <w:shd w:val="clear" w:color="auto" w:fill="CCEEFF"/>
          </w:tcPr>
          <w:p>
            <w:pPr>
              <w:spacing w:after="0"/>
              <w:rPr>
                <w:sz w:val="18"/>
                <w:szCs w:val="18"/>
                <w:color w:val="auto"/>
              </w:rPr>
            </w:pPr>
          </w:p>
        </w:tc>
      </w:tr>
      <w:tr>
        <w:trPr>
          <w:trHeight w:val="223"/>
        </w:trPr>
        <w:tc>
          <w:tcPr>
            <w:tcW w:w="2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32,267</w:t>
            </w:r>
          </w:p>
        </w:tc>
        <w:tc>
          <w:tcPr>
            <w:tcW w:w="100" w:type="dxa"/>
            <w:vAlign w:val="bottom"/>
            <w:tcBorders>
              <w:bottom w:val="single" w:sz="8" w:color="CCEEFF"/>
            </w:tcBorders>
          </w:tcPr>
          <w:p>
            <w:pPr>
              <w:spacing w:after="0"/>
              <w:rPr>
                <w:sz w:val="19"/>
                <w:szCs w:val="19"/>
                <w:color w:val="auto"/>
              </w:rPr>
            </w:pPr>
          </w:p>
        </w:tc>
      </w:tr>
      <w:tr>
        <w:trPr>
          <w:trHeight w:val="216"/>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488,959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504,348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Certain investments included in the table above are measured at fair value using the net asset value per share (or its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equivalent) practical expedient and are not included in the three levels of the fair value hierarchy.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July 2, 2022:</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Level 3</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Asset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3"/>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b w:val="1"/>
                <w:bCs w:val="1"/>
                <w:color w:val="auto"/>
                <w:w w:val="70"/>
              </w:rPr>
              <w:t>(Thousands)</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Return Seeking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219,407</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149,975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149,975</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High yield credit and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109,253</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122,912</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32,064</w:t>
            </w:r>
          </w:p>
        </w:tc>
        <w:tc>
          <w:tcPr>
            <w:tcW w:w="10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633,611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638,894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219" w:firstLine="427"/>
        <w:spacing w:after="0" w:line="340" w:lineRule="auto"/>
        <w:rPr>
          <w:sz w:val="20"/>
          <w:szCs w:val="20"/>
          <w:color w:val="auto"/>
        </w:rPr>
      </w:pPr>
      <w:r>
        <w:rPr>
          <w:rFonts w:ascii="Arial" w:cs="Arial" w:eastAsia="Arial" w:hAnsi="Arial"/>
          <w:sz w:val="18"/>
          <w:szCs w:val="18"/>
          <w:color w:val="auto"/>
        </w:rPr>
        <w:t>Each of these investments may be redeemed without restrictions in the normal course of business and there were no material unfunded commitments as of July 1, 2023.</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7"/>
                <w:szCs w:val="17"/>
                <w:color w:val="auto"/>
              </w:rPr>
            </w:pPr>
          </w:p>
        </w:tc>
        <w:tc>
          <w:tcPr>
            <w:tcW w:w="88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July 2,</w:t>
            </w:r>
          </w:p>
        </w:tc>
      </w:tr>
      <w:tr>
        <w:trPr>
          <w:trHeight w:val="241"/>
        </w:trPr>
        <w:tc>
          <w:tcPr>
            <w:tcW w:w="6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68,664</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25,737</w:t>
            </w:r>
          </w:p>
        </w:tc>
      </w:tr>
      <w:tr>
        <w:trPr>
          <w:trHeight w:val="216"/>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94,401</w:t>
            </w: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operating lease payments as of July 1, 2023, are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160" w:type="dxa"/>
            <w:vAlign w:val="bottom"/>
          </w:tcPr>
          <w:p>
            <w:pPr>
              <w:spacing w:after="0"/>
              <w:rPr>
                <w:sz w:val="20"/>
                <w:szCs w:val="20"/>
                <w:color w:val="auto"/>
              </w:rPr>
            </w:pPr>
          </w:p>
        </w:tc>
        <w:tc>
          <w:tcPr>
            <w:tcW w:w="40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58,071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3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1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3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7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spacing w:after="0" w:line="203" w:lineRule="exact"/>
              <w:rPr>
                <w:sz w:val="20"/>
                <w:szCs w:val="20"/>
                <w:color w:val="auto"/>
              </w:rPr>
            </w:pPr>
            <w:r>
              <w:rPr>
                <w:rFonts w:ascii="Arial" w:cs="Arial" w:eastAsia="Arial" w:hAnsi="Arial"/>
                <w:sz w:val="18"/>
                <w:szCs w:val="18"/>
                <w:color w:val="auto"/>
              </w:rPr>
              <w:t>Total future operating lease payments</w:t>
            </w:r>
          </w:p>
        </w:tc>
        <w:tc>
          <w:tcPr>
            <w:tcW w:w="3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287,451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Total imputed interest on operating lease liabilities</w:t>
            </w:r>
          </w:p>
        </w:tc>
        <w:tc>
          <w:tcPr>
            <w:tcW w:w="37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Total operating lease liabilities</w:t>
            </w:r>
          </w:p>
        </w:tc>
        <w:tc>
          <w:tcPr>
            <w:tcW w:w="370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242,413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700" w:type="dxa"/>
            <w:vAlign w:val="bottom"/>
            <w:vMerge w:val="restart"/>
          </w:tcPr>
          <w:p>
            <w:pPr>
              <w:jc w:val="right"/>
              <w:ind w:right="3070"/>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40" w:type="dxa"/>
            <w:vAlign w:val="bottom"/>
          </w:tcPr>
          <w:p>
            <w:pPr>
              <w:ind w:left="44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58"/>
        </w:trPr>
        <w:tc>
          <w:tcPr>
            <w:tcW w:w="6640" w:type="dxa"/>
            <w:vAlign w:val="bottom"/>
          </w:tcPr>
          <w:p>
            <w:pPr>
              <w:spacing w:after="0"/>
              <w:rPr>
                <w:sz w:val="24"/>
                <w:szCs w:val="24"/>
                <w:color w:val="auto"/>
              </w:rPr>
            </w:pPr>
          </w:p>
        </w:tc>
        <w:tc>
          <w:tcPr>
            <w:tcW w:w="22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6640" w:type="dxa"/>
            <w:vAlign w:val="bottom"/>
          </w:tcPr>
          <w:p>
            <w:pPr>
              <w:spacing w:after="0"/>
              <w:rPr>
                <w:sz w:val="17"/>
                <w:szCs w:val="17"/>
                <w:color w:val="auto"/>
              </w:rPr>
            </w:pPr>
          </w:p>
        </w:tc>
        <w:tc>
          <w:tcPr>
            <w:tcW w:w="11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July 1,</w:t>
            </w:r>
          </w:p>
        </w:tc>
        <w:tc>
          <w:tcPr>
            <w:tcW w:w="10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July 2,</w:t>
            </w:r>
          </w:p>
        </w:tc>
      </w:tr>
      <w:tr>
        <w:trPr>
          <w:trHeight w:val="241"/>
        </w:trPr>
        <w:tc>
          <w:tcPr>
            <w:tcW w:w="664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Term and Discount Rate</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1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8.8</w:t>
            </w: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Weighted-average discount rate</w:t>
            </w:r>
          </w:p>
        </w:tc>
        <w:tc>
          <w:tcPr>
            <w:tcW w:w="1060" w:type="dxa"/>
            <w:vAlign w:val="bottom"/>
          </w:tcPr>
          <w:p>
            <w:pPr>
              <w:ind w:left="600"/>
              <w:spacing w:after="0"/>
              <w:rPr>
                <w:sz w:val="20"/>
                <w:szCs w:val="20"/>
                <w:color w:val="auto"/>
              </w:rPr>
            </w:pPr>
            <w:r>
              <w:rPr>
                <w:rFonts w:ascii="Arial" w:cs="Arial" w:eastAsia="Arial" w:hAnsi="Arial"/>
                <w:sz w:val="18"/>
                <w:szCs w:val="18"/>
                <w:color w:val="auto"/>
                <w:w w:val="95"/>
              </w:rPr>
              <w:t>3.8 %</w:t>
            </w:r>
          </w:p>
        </w:tc>
        <w:tc>
          <w:tcPr>
            <w:tcW w:w="120" w:type="dxa"/>
            <w:vAlign w:val="bottom"/>
          </w:tcPr>
          <w:p>
            <w:pPr>
              <w:spacing w:after="0"/>
              <w:rPr>
                <w:sz w:val="20"/>
                <w:szCs w:val="20"/>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w w:val="99"/>
              </w:rPr>
              <w:t>3.8 %</w:t>
            </w: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7"/>
                <w:szCs w:val="17"/>
                <w:color w:val="auto"/>
              </w:rPr>
            </w:pPr>
          </w:p>
        </w:tc>
        <w:tc>
          <w:tcPr>
            <w:tcW w:w="88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July 2,</w:t>
            </w:r>
          </w:p>
        </w:tc>
      </w:tr>
      <w:tr>
        <w:trPr>
          <w:trHeight w:val="241"/>
        </w:trPr>
        <w:tc>
          <w:tcPr>
            <w:tcW w:w="6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58,111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57,016</w:t>
            </w: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Stock-based compensation</w:t>
      </w:r>
    </w:p>
    <w:p>
      <w:pPr>
        <w:spacing w:after="0" w:line="243"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The Company measures all stock-based payments at fair value and recognizes related expense within selling, general and administrative expenses in the consolidated statements of operations over the requisite service period (generally the vesting period). During fiscal 2023, 2022, and 2021, the Company recorded stock-based compensation expense of $38.8 million, $36.7 million, and $29.3 million, respectively, for all forms of stock-based compensation awards.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plan</w:t>
      </w:r>
    </w:p>
    <w:p>
      <w:pPr>
        <w:spacing w:after="0" w:line="239"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At July 1, 2023, the Company had 7.1 million shares of common stock reserved for stock-based payments, which consisted of 1.2 million shares for unvested or unexercised stock options, 4.6 million shares available for stock-based awards under plans approved by shareholders, and 1.4 million shares for restricted stock units and performance share units granted but not yet vested.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right="99" w:firstLine="427"/>
        <w:spacing w:after="0" w:line="334" w:lineRule="auto"/>
        <w:rPr>
          <w:sz w:val="20"/>
          <w:szCs w:val="20"/>
          <w:color w:val="auto"/>
        </w:rPr>
      </w:pPr>
      <w:r>
        <w:rPr>
          <w:rFonts w:ascii="Arial" w:cs="Arial" w:eastAsia="Arial" w:hAnsi="Arial"/>
          <w:sz w:val="17"/>
          <w:szCs w:val="17"/>
          <w:color w:val="auto"/>
        </w:rPr>
        <w:t>Service based stock option grants have a contractual life of ten years, vest in 25% increments on each anniversary of the grant date, commencing with the first anniversary, and require an exercise price of 100% of the fair market value of common stock at the date of grant. Stock-based compensation expense associated with all stock options during fiscal 2023, 2022, and 2021, was $1.0 million, $3.6 million, and $0.4 million, respectively.</w:t>
      </w:r>
    </w:p>
    <w:p>
      <w:pPr>
        <w:spacing w:after="0" w:line="127" w:lineRule="exact"/>
        <w:rPr>
          <w:sz w:val="20"/>
          <w:szCs w:val="20"/>
          <w:color w:val="auto"/>
        </w:rPr>
      </w:pPr>
    </w:p>
    <w:p>
      <w:pPr>
        <w:ind w:left="60" w:right="299" w:firstLine="427"/>
        <w:spacing w:after="0" w:line="324" w:lineRule="auto"/>
        <w:rPr>
          <w:sz w:val="20"/>
          <w:szCs w:val="20"/>
          <w:color w:val="auto"/>
        </w:rPr>
      </w:pPr>
      <w:r>
        <w:rPr>
          <w:rFonts w:ascii="Arial" w:cs="Arial" w:eastAsia="Arial" w:hAnsi="Arial"/>
          <w:sz w:val="18"/>
          <w:szCs w:val="18"/>
          <w:color w:val="auto"/>
        </w:rPr>
        <w:t>There were no stock options granted in fiscal 2023 and the unamortized stock-based compensation associated with unvested options was not material as of July 1, 2023.</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59" w:firstLine="427"/>
        <w:spacing w:after="0" w:line="329" w:lineRule="auto"/>
        <w:rPr>
          <w:sz w:val="20"/>
          <w:szCs w:val="20"/>
          <w:color w:val="auto"/>
        </w:rPr>
      </w:pPr>
      <w:r>
        <w:rPr>
          <w:rFonts w:ascii="Arial" w:cs="Arial" w:eastAsia="Arial" w:hAnsi="Arial"/>
          <w:sz w:val="17"/>
          <w:szCs w:val="17"/>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July 1, 2023, 1.2 million shares previously awarded have not yet vested. Stock-based compensation expense associated with restricted stock units was $30.5 million, $29.5 million, and $27.5 million for fiscal years 2023, 2022, and 2021, respectively.</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non-vested restricted stock units during fiscal 2023:</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Grant-Date</w:t>
            </w:r>
          </w:p>
        </w:tc>
      </w:tr>
      <w:tr>
        <w:trPr>
          <w:trHeight w:val="241"/>
        </w:trPr>
        <w:tc>
          <w:tcPr>
            <w:tcW w:w="64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2,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1,313,182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802,424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Borders>
              <w:bottom w:val="single" w:sz="8" w:color="CCEEFF"/>
            </w:tcBorders>
          </w:tcPr>
          <w:p>
            <w:pPr>
              <w:spacing w:after="0"/>
              <w:rPr>
                <w:sz w:val="19"/>
                <w:szCs w:val="19"/>
                <w:color w:val="auto"/>
              </w:rPr>
            </w:pPr>
          </w:p>
        </w:tc>
      </w:tr>
      <w:tr>
        <w:trPr>
          <w:trHeight w:val="21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1,214,120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39" w:firstLine="427"/>
        <w:spacing w:after="0" w:line="397" w:lineRule="auto"/>
        <w:rPr>
          <w:sz w:val="20"/>
          <w:szCs w:val="20"/>
          <w:color w:val="auto"/>
        </w:rPr>
      </w:pPr>
      <w:r>
        <w:rPr>
          <w:rFonts w:ascii="Arial" w:cs="Arial" w:eastAsia="Arial" w:hAnsi="Arial"/>
          <w:sz w:val="15"/>
          <w:szCs w:val="15"/>
          <w:color w:val="auto"/>
        </w:rPr>
        <w:t>As of July 1, 2023, there was $20.1 million of total unrecognized compensation expense related to non-vested restricted stock units, which is expected to be recognized over a weighted-average period of 2.1 years. The total fair value of restricted stock units vested during fiscal 2023, 2022, and 2021, was $28.6 million, $26.6 million, and $25.8 million, respectively.</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25" w:lineRule="exact"/>
        <w:rPr>
          <w:sz w:val="20"/>
          <w:szCs w:val="20"/>
          <w:color w:val="auto"/>
        </w:rPr>
      </w:pPr>
    </w:p>
    <w:p>
      <w:pPr>
        <w:ind w:left="60" w:right="299" w:firstLine="427"/>
        <w:spacing w:after="0" w:line="304" w:lineRule="auto"/>
        <w:rPr>
          <w:sz w:val="20"/>
          <w:szCs w:val="20"/>
          <w:color w:val="auto"/>
        </w:rPr>
      </w:pPr>
      <w:r>
        <w:rPr>
          <w:rFonts w:ascii="Arial" w:cs="Arial" w:eastAsia="Arial" w:hAnsi="Arial"/>
          <w:sz w:val="18"/>
          <w:szCs w:val="18"/>
          <w:color w:val="auto"/>
        </w:rPr>
        <w:t>Certain eligible employees, including Avnet’s executive officers, may receive a portion of their long-term stock-based compensation through the performance share program. Through grants of performance share units, this program provides for the vesting of underlying shares of Avnet’s common stock at the end of the third year performance period, based on the Company achieving certain performance goals that the Compensation Committee of the Board of Directors establishes for a three year period.</w:t>
      </w:r>
    </w:p>
    <w:p>
      <w:pPr>
        <w:spacing w:after="0" w:line="161" w:lineRule="exact"/>
        <w:rPr>
          <w:sz w:val="20"/>
          <w:szCs w:val="20"/>
          <w:color w:val="auto"/>
        </w:rPr>
      </w:pPr>
    </w:p>
    <w:p>
      <w:pPr>
        <w:ind w:left="60" w:right="199" w:firstLine="427"/>
        <w:spacing w:after="0" w:line="349" w:lineRule="auto"/>
        <w:rPr>
          <w:sz w:val="20"/>
          <w:szCs w:val="20"/>
          <w:color w:val="auto"/>
        </w:rPr>
      </w:pPr>
      <w:r>
        <w:rPr>
          <w:rFonts w:ascii="Arial" w:cs="Arial" w:eastAsia="Arial" w:hAnsi="Arial"/>
          <w:sz w:val="16"/>
          <w:szCs w:val="16"/>
          <w:color w:val="auto"/>
        </w:rPr>
        <w:t>During fiscal 2023, the Company granted 0.2 million performance share units. During fiscal 2022 and 2021, the Company granted no performance share units. The actual amount of performance share units vested at the end of each three-year period is measured by the level of achievement of performance goals and can range from 0% to 200% of the award grant. During fiscal 2023, 2022, and 2021, the Company recognized stock-based compensation expense (benefit) associated with the Performance Share Program of $5.6 million, $2.0 million, and $(0.2) million, respectively.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60" w:right="179" w:firstLine="427"/>
        <w:spacing w:after="0" w:line="311"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65" w:lineRule="exact"/>
        <w:rPr>
          <w:sz w:val="20"/>
          <w:szCs w:val="20"/>
          <w:color w:val="auto"/>
        </w:rPr>
      </w:pPr>
    </w:p>
    <w:p>
      <w:pPr>
        <w:ind w:left="60" w:right="419" w:firstLine="427"/>
        <w:spacing w:after="0" w:line="310" w:lineRule="auto"/>
        <w:rPr>
          <w:sz w:val="20"/>
          <w:szCs w:val="20"/>
          <w:color w:val="auto"/>
        </w:rPr>
      </w:pPr>
      <w:r>
        <w:rPr>
          <w:rFonts w:ascii="Arial" w:cs="Arial" w:eastAsia="Arial" w:hAnsi="Arial"/>
          <w:sz w:val="18"/>
          <w:szCs w:val="18"/>
          <w:color w:val="auto"/>
        </w:rPr>
        <w:t>As of July 1, 2023, and July 2, 2022, the Company had aggregate estimated liabilities of $22.7 million and $14.7 million, respectively, classified within accrued expenses and other for such compliance-related matters that were reasonably estimable as of such dates.</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Gain on Legal Settlements and Other</w:t>
      </w:r>
    </w:p>
    <w:p>
      <w:pPr>
        <w:spacing w:after="0" w:line="252" w:lineRule="exact"/>
        <w:rPr>
          <w:sz w:val="20"/>
          <w:szCs w:val="20"/>
          <w:color w:val="auto"/>
        </w:rPr>
      </w:pPr>
    </w:p>
    <w:p>
      <w:pPr>
        <w:ind w:left="60" w:right="259" w:firstLine="427"/>
        <w:spacing w:after="0" w:line="306" w:lineRule="auto"/>
        <w:rPr>
          <w:sz w:val="20"/>
          <w:szCs w:val="20"/>
          <w:color w:val="auto"/>
        </w:rPr>
      </w:pPr>
      <w:r>
        <w:rPr>
          <w:rFonts w:ascii="Arial" w:cs="Arial" w:eastAsia="Arial" w:hAnsi="Arial"/>
          <w:sz w:val="18"/>
          <w:szCs w:val="18"/>
          <w:color w:val="auto"/>
        </w:rPr>
        <w:t>During fiscal 2023, the Company recorded a gain on legal settlements of $74.4 million in connection with the settlement of claims filed against certain manufacturers of capacitors. During fiscal 2023, the Company received $69.9 million in cash related to these settlements, which were classified as operating cash flows in the Company’s consolidated statements of cash flows.</w:t>
      </w:r>
    </w:p>
    <w:p>
      <w:pPr>
        <w:spacing w:after="0" w:line="146"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Subsequent to the end of fiscal 2023, the Company reached an additional legal settlement with a manufacturer of capacitors for approximately $85.9 million net of legal costs, which under the terms of the settlement will be realized in the first quarter of fiscal 2024.</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14. Earnings per share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July 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July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July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9"/>
          </w:tcPr>
          <w:p>
            <w:pPr>
              <w:jc w:val="center"/>
              <w:spacing w:after="0" w:line="202" w:lineRule="exact"/>
              <w:rPr>
                <w:sz w:val="20"/>
                <w:szCs w:val="20"/>
                <w:color w:val="auto"/>
              </w:rPr>
            </w:pPr>
            <w:r>
              <w:rPr>
                <w:rFonts w:ascii="Arial" w:cs="Arial" w:eastAsia="Arial" w:hAnsi="Arial"/>
                <w:sz w:val="18"/>
                <w:szCs w:val="18"/>
                <w:b w:val="1"/>
                <w:bCs w:val="1"/>
                <w:color w:val="auto"/>
                <w:w w:val="88"/>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770,828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692,379</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193,114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effect of dilutive stock-based compensation awards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100,168</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8.37</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Stock options excluded from earnings per share calculation due to an anti-dilutive</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20"/>
              <w:spacing w:after="0"/>
              <w:rPr>
                <w:sz w:val="20"/>
                <w:szCs w:val="20"/>
                <w:color w:val="auto"/>
              </w:rPr>
            </w:pPr>
            <w:r>
              <w:rPr>
                <w:rFonts w:ascii="Arial" w:cs="Arial" w:eastAsia="Arial" w:hAnsi="Arial"/>
                <w:sz w:val="18"/>
                <w:szCs w:val="18"/>
                <w:color w:val="auto"/>
              </w:rPr>
              <w:t>effect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918"/>
        </w:trPr>
        <w:tc>
          <w:tcPr>
            <w:tcW w:w="5980" w:type="dxa"/>
            <w:vAlign w:val="bottom"/>
            <w:gridSpan w:val="2"/>
          </w:tcPr>
          <w:p>
            <w:pPr>
              <w:jc w:val="right"/>
              <w:ind w:right="133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Additional cash flow information</w:t>
      </w:r>
    </w:p>
    <w:p>
      <w:pPr>
        <w:spacing w:after="0" w:line="243" w:lineRule="exact"/>
        <w:rPr>
          <w:sz w:val="20"/>
          <w:szCs w:val="20"/>
          <w:color w:val="auto"/>
        </w:rPr>
      </w:pPr>
    </w:p>
    <w:p>
      <w:pPr>
        <w:ind w:left="60" w:right="279" w:firstLine="427"/>
        <w:spacing w:after="0" w:line="324" w:lineRule="auto"/>
        <w:rPr>
          <w:sz w:val="20"/>
          <w:szCs w:val="20"/>
          <w:color w:val="auto"/>
        </w:rPr>
      </w:pPr>
      <w:r>
        <w:rPr>
          <w:rFonts w:ascii="Arial" w:cs="Arial" w:eastAsia="Arial" w:hAnsi="Arial"/>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July 2,</w:t>
            </w: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w:t>
            </w:r>
          </w:p>
        </w:tc>
      </w:tr>
      <w:tr>
        <w:trPr>
          <w:trHeight w:val="241"/>
        </w:trPr>
        <w:tc>
          <w:tcPr>
            <w:tcW w:w="22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9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3"/>
        </w:trPr>
        <w:tc>
          <w:tcPr>
            <w:tcW w:w="22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72"/>
              </w:rPr>
              <w:t>(Thousands)</w:t>
            </w: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$ 16,798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$ 30,788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$ 15,842</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Periodic pension cost (benefit) </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30,424</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(3,449)</w:t>
            </w:r>
          </w:p>
        </w:tc>
        <w:tc>
          <w:tcPr>
            <w:tcW w:w="720" w:type="dxa"/>
            <w:vAlign w:val="bottom"/>
          </w:tcPr>
          <w:p>
            <w:pPr>
              <w:jc w:val="right"/>
              <w:spacing w:after="0"/>
              <w:rPr>
                <w:sz w:val="20"/>
                <w:szCs w:val="20"/>
                <w:color w:val="auto"/>
              </w:rPr>
            </w:pPr>
            <w:r>
              <w:rPr>
                <w:rFonts w:ascii="Arial" w:cs="Arial" w:eastAsia="Arial" w:hAnsi="Arial"/>
                <w:sz w:val="18"/>
                <w:szCs w:val="18"/>
                <w:color w:val="auto"/>
              </w:rPr>
              <w:t>5,392</w:t>
            </w:r>
          </w:p>
        </w:tc>
        <w:tc>
          <w:tcPr>
            <w:tcW w:w="80" w:type="dxa"/>
            <w:vAlign w:val="bottom"/>
          </w:tcPr>
          <w:p>
            <w:pPr>
              <w:spacing w:after="0"/>
              <w:rPr>
                <w:sz w:val="18"/>
                <w:szCs w:val="18"/>
                <w:color w:val="auto"/>
              </w:rPr>
            </w:pPr>
          </w:p>
        </w:tc>
      </w:tr>
      <w:tr>
        <w:trPr>
          <w:trHeight w:val="23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0"/>
                <w:szCs w:val="20"/>
                <w:color w:val="auto"/>
              </w:rPr>
            </w:pPr>
          </w:p>
        </w:tc>
      </w:tr>
      <w:tr>
        <w:trPr>
          <w:trHeight w:val="203"/>
        </w:trPr>
        <w:tc>
          <w:tcPr>
            <w:tcW w:w="6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$ 52,142</w:t>
            </w: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$ 34,116</w:t>
            </w:r>
          </w:p>
        </w:tc>
        <w:tc>
          <w:tcPr>
            <w:tcW w:w="1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$ 22,512</w:t>
            </w:r>
          </w:p>
        </w:tc>
        <w:tc>
          <w:tcPr>
            <w:tcW w:w="80" w:type="dxa"/>
            <w:vAlign w:val="bottom"/>
            <w:tcBorders>
              <w:top w:val="single" w:sz="8" w:color="CCEEFF"/>
            </w:tcBorders>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2240" w:type="dxa"/>
            <w:vAlign w:val="bottom"/>
            <w:tcBorders>
              <w:bottom w:val="single" w:sz="8" w:color="0D0D0D"/>
            </w:tcBorders>
          </w:tcPr>
          <w:p>
            <w:pPr>
              <w:spacing w:after="0"/>
              <w:rPr>
                <w:sz w:val="4"/>
                <w:szCs w:val="4"/>
                <w:color w:val="auto"/>
              </w:rPr>
            </w:pPr>
          </w:p>
        </w:tc>
        <w:tc>
          <w:tcPr>
            <w:tcW w:w="4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bl>
    <w:p>
      <w:pPr>
        <w:spacing w:after="0" w:line="44" w:lineRule="exact"/>
        <w:rPr>
          <w:sz w:val="20"/>
          <w:szCs w:val="20"/>
          <w:color w:val="auto"/>
        </w:rPr>
      </w:pPr>
    </w:p>
    <w:p>
      <w:pPr>
        <w:ind w:left="200" w:hanging="150"/>
        <w:spacing w:after="0"/>
        <w:tabs>
          <w:tab w:leader="none" w:pos="20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net loss recognized due to benefit obligation settlement of $37,350</w:t>
      </w:r>
      <w:r>
        <w:rPr>
          <w:rFonts w:ascii="Arial" w:cs="Arial" w:eastAsia="Arial" w:hAnsi="Arial"/>
          <w:sz w:val="12"/>
          <w:szCs w:val="12"/>
          <w:color w:val="auto"/>
        </w:rPr>
        <w:t>.</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3"/>
              </w:rPr>
              <w:t>Years 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4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July 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July 3,</w:t>
            </w:r>
          </w:p>
        </w:tc>
        <w:tc>
          <w:tcPr>
            <w:tcW w:w="60" w:type="dxa"/>
            <w:vAlign w:val="bottom"/>
          </w:tcPr>
          <w:p>
            <w:pPr>
              <w:spacing w:after="0"/>
              <w:rPr>
                <w:sz w:val="19"/>
                <w:szCs w:val="19"/>
                <w:color w:val="auto"/>
              </w:rPr>
            </w:pPr>
          </w:p>
        </w:tc>
      </w:tr>
      <w:tr>
        <w:trPr>
          <w:trHeight w:val="241"/>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30"/>
        </w:trPr>
        <w:tc>
          <w:tcPr>
            <w:tcW w:w="4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70"/>
              </w:rPr>
              <w:t>(Thousands)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470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28,771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20,275</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7,131</w:t>
            </w:r>
          </w:p>
        </w:tc>
        <w:tc>
          <w:tcPr>
            <w:tcW w:w="60" w:type="dxa"/>
            <w:vAlign w:val="bottom"/>
          </w:tcPr>
          <w:p>
            <w:pPr>
              <w:spacing w:after="0"/>
              <w:rPr>
                <w:sz w:val="21"/>
                <w:szCs w:val="21"/>
                <w:color w:val="auto"/>
              </w:rPr>
            </w:pP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470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8,955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470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261,586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112,327</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98,509</w:t>
            </w:r>
          </w:p>
        </w:tc>
        <w:tc>
          <w:tcPr>
            <w:tcW w:w="60" w:type="dxa"/>
            <w:vAlign w:val="bottom"/>
          </w:tcPr>
          <w:p>
            <w:pPr>
              <w:spacing w:after="0"/>
              <w:rPr>
                <w:sz w:val="21"/>
                <w:szCs w:val="21"/>
                <w:color w:val="auto"/>
              </w:rPr>
            </w:pPr>
          </w:p>
        </w:tc>
      </w:tr>
      <w:tr>
        <w:trPr>
          <w:trHeight w:val="243"/>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payments, net</w:t>
            </w: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216,780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83,387</w:t>
            </w:r>
          </w:p>
        </w:tc>
        <w:tc>
          <w:tcPr>
            <w:tcW w:w="6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ind w:left="60" w:right="339" w:firstLine="427"/>
        <w:spacing w:after="0" w:line="395"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Electronic Components (“EC”) and Farnell (“Farnell”) are the Company’s reportable segments (“operating groups”).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tbl>
      <w:tblPr>
        <w:tblLayout w:type="fixed"/>
        <w:tblInd w:w="40" w:type="dxa"/>
        <w:tblCellMar>
          <w:top w:w="0" w:type="dxa"/>
          <w:left w:w="0" w:type="dxa"/>
          <w:bottom w:w="0" w:type="dxa"/>
          <w:right w:w="0" w:type="dxa"/>
        </w:tblCellMar>
      </w:tblPr>
      <w:tr>
        <w:trPr>
          <w:trHeight w:val="207"/>
        </w:trPr>
        <w:tc>
          <w:tcPr>
            <w:tcW w:w="4620" w:type="dxa"/>
            <w:vAlign w:val="bottom"/>
            <w:gridSpan w:val="4"/>
          </w:tcPr>
          <w:p>
            <w:pPr>
              <w:ind w:left="20"/>
              <w:spacing w:after="0"/>
              <w:rPr>
                <w:sz w:val="20"/>
                <w:szCs w:val="20"/>
                <w:color w:val="auto"/>
              </w:rPr>
            </w:pPr>
            <w:r>
              <w:rPr>
                <w:rFonts w:ascii="Arial" w:cs="Arial" w:eastAsia="Arial" w:hAnsi="Arial"/>
                <w:sz w:val="18"/>
                <w:szCs w:val="18"/>
                <w:color w:val="0000EE"/>
              </w:rPr>
              <w:t>Table of Contents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AVNET,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80" w:type="dxa"/>
            <w:vAlign w:val="bottom"/>
            <w:gridSpan w:val="9"/>
          </w:tcPr>
          <w:p>
            <w:pPr>
              <w:ind w:left="22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July 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July 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July 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6"/>
              </w:rPr>
              <w:t>(Millions)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24,802.6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22,503.3</w:t>
            </w:r>
          </w:p>
        </w:tc>
        <w:tc>
          <w:tcPr>
            <w:tcW w:w="2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18,030.5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26,536.9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24,310.7</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19,534.7</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1,179.6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872.0</w:t>
            </w:r>
          </w:p>
        </w:tc>
        <w:tc>
          <w:tcPr>
            <w:tcW w:w="2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Restructuring, integration and other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Russian-Ukraine conflict related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8,863.4</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Farnell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12,477.2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10,388.5</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8,925.4</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Depreciation &amp; amortization expense:</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Farnell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Sales, by geographic area:</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(1)</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6,807.7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5,896.0</w:t>
            </w:r>
          </w:p>
        </w:tc>
        <w:tc>
          <w:tcPr>
            <w:tcW w:w="24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Asia</w:t>
            </w:r>
            <w:r>
              <w:rPr>
                <w:rFonts w:ascii="Arial" w:cs="Arial" w:eastAsia="Arial" w:hAnsi="Arial"/>
                <w:sz w:val="25"/>
                <w:szCs w:val="25"/>
                <w:color w:val="auto"/>
                <w:vertAlign w:val="superscript"/>
              </w:rPr>
              <w:t>(3)</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10,499.8</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10,576.6</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26,536.9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24,310.7</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Property, plant and equipment, net, by geographic area:</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(4)</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(5)</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441.6</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359" w:hanging="330"/>
        <w:spacing w:after="0" w:line="324"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sales in the United States of $6.35 billion, $5.48 billion, and $4.35 billion for fiscal 2023, 2022, and 2021,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0" w:lineRule="exact"/>
        <w:rPr>
          <w:sz w:val="20"/>
          <w:szCs w:val="20"/>
          <w:color w:val="auto"/>
        </w:rPr>
      </w:pPr>
    </w:p>
    <w:p>
      <w:pPr>
        <w:ind w:left="380" w:right="159" w:hanging="330"/>
        <w:spacing w:after="0" w:line="31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sales in Germany and Belgium of $3.89 billion and $1.55 billion, respectively, for fiscal 2023. Includes sales in Germany and Belgium of $3.16 billion and $1.37 billion, respectively, for fiscal 2022. Includes sales in Germany and Belgium of $2.42 billion and $1.12 billion, respectively, for fiscal 2021.</w:t>
      </w:r>
    </w:p>
    <w:p>
      <w:pPr>
        <w:spacing w:after="0" w:line="21" w:lineRule="exact"/>
        <w:rPr>
          <w:rFonts w:ascii="Arial" w:cs="Arial" w:eastAsia="Arial" w:hAnsi="Arial"/>
          <w:sz w:val="18"/>
          <w:szCs w:val="18"/>
          <w:color w:val="auto"/>
        </w:rPr>
      </w:pPr>
    </w:p>
    <w:p>
      <w:pPr>
        <w:ind w:left="380" w:right="439" w:hanging="330"/>
        <w:spacing w:after="0" w:line="352"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sales of $4.23 billion, $3.40 billion, and $1.50 billion in Taiwan, China (including Hong Kong), and Singapore, respectively, for fiscal 2023. Includes sales of $4.64 billion, $3.38 billion, and $1.32 billion in Taiwan, China (including Hong Kong), and Singapore, respectively, for fiscal 2022. Includes sales of $3.93 billion, $2.79 billion, and $1.04 billion in Taiwan, China (including Hong Kong), and Singapore, respectively, for fiscal 2021.</w:t>
      </w:r>
    </w:p>
    <w:p>
      <w:pPr>
        <w:ind w:left="380" w:right="119" w:hanging="330"/>
        <w:spacing w:after="0" w:line="324"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property, plant and equipment, net, of $101.9 million, $112.4 million, and $142.7 million in the United States for fiscal 2023, 2022, and 2021, respectively.</w:t>
      </w:r>
    </w:p>
    <w:p>
      <w:pPr>
        <w:spacing w:after="0" w:line="8" w:lineRule="exact"/>
        <w:rPr>
          <w:rFonts w:ascii="Arial" w:cs="Arial" w:eastAsia="Arial" w:hAnsi="Arial"/>
          <w:sz w:val="18"/>
          <w:szCs w:val="18"/>
          <w:color w:val="auto"/>
        </w:rPr>
      </w:pPr>
    </w:p>
    <w:p>
      <w:pPr>
        <w:ind w:left="380" w:right="79" w:hanging="330"/>
        <w:spacing w:after="0" w:line="354"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property, plant and equipment, net, of $196.0 million, $92.6 million, and $15.5 million in Germany, the UK, and Belgium, respectively, for fiscal 2023. Fiscal 2022 includes property, plant and equipment, net, of $67.6 million, $79.8 million, and $16.7 million in Germany, the UK, and Belgium, respectively. Fiscal 2021 includes property, plant and equipment, net, of $77.9 million, $83.5 million, and $20.9 million in Germany, the UK, and Belgium, respectively.</w:t>
      </w:r>
    </w:p>
    <w:p>
      <w:pPr>
        <w:spacing w:after="0" w:line="116" w:lineRule="exact"/>
        <w:rPr>
          <w:sz w:val="20"/>
          <w:szCs w:val="20"/>
          <w:color w:val="auto"/>
        </w:rPr>
      </w:pPr>
    </w:p>
    <w:p>
      <w:pPr>
        <w:ind w:left="60" w:right="199" w:firstLine="427"/>
        <w:spacing w:after="0" w:line="324" w:lineRule="auto"/>
        <w:rPr>
          <w:sz w:val="20"/>
          <w:szCs w:val="20"/>
          <w:color w:val="auto"/>
        </w:rPr>
      </w:pPr>
      <w:r>
        <w:rPr>
          <w:rFonts w:ascii="Arial" w:cs="Arial" w:eastAsia="Arial" w:hAnsi="Arial"/>
          <w:sz w:val="18"/>
          <w:szCs w:val="18"/>
          <w:color w:val="auto"/>
        </w:rPr>
        <w:t>Listed in the table below are the Company’s major product categories and the related sales for each of the past three fiscal years: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7"/>
                <w:szCs w:val="17"/>
                <w:color w:val="auto"/>
              </w:rPr>
            </w:pPr>
          </w:p>
        </w:tc>
        <w:tc>
          <w:tcPr>
            <w:tcW w:w="9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2"/>
              </w:rPr>
              <w:t>July 2,</w:t>
            </w:r>
          </w:p>
        </w:tc>
        <w:tc>
          <w:tcPr>
            <w:tcW w:w="60" w:type="dxa"/>
            <w:vAlign w:val="bottom"/>
          </w:tcPr>
          <w:p>
            <w:pPr>
              <w:spacing w:after="0"/>
              <w:rPr>
                <w:sz w:val="17"/>
                <w:szCs w:val="17"/>
                <w:color w:val="auto"/>
              </w:rPr>
            </w:pPr>
          </w:p>
        </w:tc>
        <w:tc>
          <w:tcPr>
            <w:tcW w:w="8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July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6"/>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$ 21,366.5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$ 18,380.2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$ 14,722.8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4,150.6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4,639.1</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499.0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628.2</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$ 26,536.9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$ 24,310.7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$ 19,534.7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vMerge w:val="restart"/>
          </w:tcPr>
          <w:p>
            <w:pPr>
              <w:jc w:val="right"/>
              <w:ind w:right="1350"/>
              <w:spacing w:after="0"/>
              <w:rPr>
                <w:sz w:val="20"/>
                <w:szCs w:val="20"/>
                <w:color w:val="auto"/>
              </w:rPr>
            </w:pPr>
            <w:r>
              <w:rPr>
                <w:rFonts w:ascii="Arial" w:cs="Arial" w:eastAsia="Arial" w:hAnsi="Arial"/>
                <w:sz w:val="18"/>
                <w:szCs w:val="18"/>
                <w:color w:val="auto"/>
              </w:rPr>
              <w:t>66</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Restructuring expenses</w:t>
      </w:r>
    </w:p>
    <w:p>
      <w:pPr>
        <w:spacing w:after="0" w:line="216" w:lineRule="exact"/>
        <w:rPr>
          <w:sz w:val="20"/>
          <w:szCs w:val="20"/>
          <w:color w:val="auto"/>
        </w:rPr>
      </w:pPr>
    </w:p>
    <w:p>
      <w:pPr>
        <w:ind w:left="60" w:right="239" w:firstLine="427"/>
        <w:spacing w:after="0" w:line="310" w:lineRule="auto"/>
        <w:rPr>
          <w:sz w:val="20"/>
          <w:szCs w:val="20"/>
          <w:color w:val="auto"/>
        </w:rPr>
      </w:pPr>
      <w:r>
        <w:rPr>
          <w:rFonts w:ascii="Arial" w:cs="Arial" w:eastAsia="Arial" w:hAnsi="Arial"/>
          <w:sz w:val="18"/>
          <w:szCs w:val="18"/>
          <w:color w:val="auto"/>
        </w:rPr>
        <w:t>During fiscal 2023, the Company incurred restructuring expenses primarily related to the planned closure of a distribution center intended to reduce future operating expenses. The following table presents the activity incurred during fiscal 2023:</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Facility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Asset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Severance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Exit Costs</w:t>
            </w:r>
          </w:p>
        </w:tc>
        <w:tc>
          <w:tcPr>
            <w:tcW w:w="20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Impairments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3"/>
        </w:trPr>
        <w:tc>
          <w:tcPr>
            <w:tcW w:w="3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4"/>
          </w:tcPr>
          <w:p>
            <w:pPr>
              <w:jc w:val="right"/>
              <w:ind w:right="670"/>
              <w:spacing w:after="0" w:line="202" w:lineRule="exact"/>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Fiscal 2023 restructuring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17,355</w:t>
            </w:r>
          </w:p>
        </w:tc>
      </w:tr>
      <w:tr>
        <w:trPr>
          <w:trHeight w:val="216"/>
        </w:trPr>
        <w:tc>
          <w:tcPr>
            <w:tcW w:w="306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36"/>
        </w:trPr>
        <w:tc>
          <w:tcPr>
            <w:tcW w:w="3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Non-cash amounts</w:t>
            </w: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03"/>
        </w:trPr>
        <w:tc>
          <w:tcPr>
            <w:tcW w:w="3060" w:type="dxa"/>
            <w:vAlign w:val="bottom"/>
          </w:tcPr>
          <w:p>
            <w:pPr>
              <w:spacing w:after="0" w:line="203" w:lineRule="exact"/>
              <w:rPr>
                <w:sz w:val="20"/>
                <w:szCs w:val="20"/>
                <w:color w:val="auto"/>
              </w:rPr>
            </w:pPr>
            <w:r>
              <w:rPr>
                <w:rFonts w:ascii="Arial" w:cs="Arial" w:eastAsia="Arial" w:hAnsi="Arial"/>
                <w:sz w:val="18"/>
                <w:szCs w:val="18"/>
                <w:color w:val="auto"/>
              </w:rPr>
              <w:t>Balance at July 1, 2023</w:t>
            </w:r>
          </w:p>
        </w:tc>
        <w:tc>
          <w:tcPr>
            <w:tcW w:w="5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15,507</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16,011</w:t>
            </w:r>
          </w:p>
        </w:tc>
      </w:tr>
      <w:tr>
        <w:trPr>
          <w:trHeight w:val="20"/>
        </w:trPr>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0" w:right="139" w:firstLine="427"/>
        <w:spacing w:after="0" w:line="304" w:lineRule="auto"/>
        <w:rPr>
          <w:sz w:val="20"/>
          <w:szCs w:val="20"/>
          <w:color w:val="auto"/>
        </w:rPr>
      </w:pPr>
      <w:r>
        <w:rPr>
          <w:rFonts w:ascii="Arial" w:cs="Arial" w:eastAsia="Arial" w:hAnsi="Arial"/>
          <w:sz w:val="18"/>
          <w:szCs w:val="18"/>
          <w:color w:val="auto"/>
        </w:rPr>
        <w:t>Severance expense recorded in fiscal 2023 related primarily to the planned reduction of over 200 employees associated with the planned closure of a distribution center. Facility exit costs primarily consist of liabilities for the closure of facilities. Asset impairments relate to the impairment of property, plant and equipment as a result of the underlying restructuring actions taken in fiscal 2023. The Company expects the majority of the remaining severance and facility exit costs to be paid by the end of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0" w:right="1539" w:hanging="426"/>
        <w:spacing w:after="0" w:line="2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ind w:left="60" w:right="79" w:firstLine="427"/>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left="60" w:right="59" w:firstLine="427"/>
        <w:spacing w:after="0" w:line="287" w:lineRule="auto"/>
        <w:rPr>
          <w:sz w:val="20"/>
          <w:szCs w:val="20"/>
          <w:color w:val="auto"/>
        </w:rPr>
      </w:pPr>
      <w:r>
        <w:rPr>
          <w:rFonts w:ascii="Arial" w:cs="Arial" w:eastAsia="Arial" w:hAnsi="Arial"/>
          <w:sz w:val="16"/>
          <w:szCs w:val="16"/>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July 1, 2023. In making this assessment, management used the 2013 framework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and concluded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Company maintained effective internal control over financial reporting as of July 1, 2023.</w:t>
      </w:r>
    </w:p>
    <w:p>
      <w:pPr>
        <w:spacing w:after="0" w:line="131" w:lineRule="exact"/>
        <w:rPr>
          <w:sz w:val="20"/>
          <w:szCs w:val="20"/>
          <w:color w:val="auto"/>
        </w:rPr>
      </w:pPr>
    </w:p>
    <w:p>
      <w:pPr>
        <w:ind w:left="60" w:right="479" w:firstLine="427"/>
        <w:spacing w:after="0" w:line="263" w:lineRule="auto"/>
        <w:rPr>
          <w:sz w:val="20"/>
          <w:szCs w:val="20"/>
          <w:color w:val="auto"/>
        </w:rPr>
      </w:pPr>
      <w:r>
        <w:rPr>
          <w:rFonts w:ascii="Arial" w:cs="Arial" w:eastAsia="Arial" w:hAnsi="Arial"/>
          <w:sz w:val="18"/>
          <w:szCs w:val="18"/>
          <w:color w:val="auto"/>
        </w:rPr>
        <w:t>The Company’s independent registered public accounting firm, KPMG LLP, has audited the effectiveness of the Company’s internal controls over financial reporting as of July 1, 2023, as stated in its audit report which is included herein.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99" w:firstLine="427"/>
        <w:spacing w:after="0" w:line="286" w:lineRule="auto"/>
        <w:rPr>
          <w:sz w:val="20"/>
          <w:szCs w:val="20"/>
          <w:color w:val="auto"/>
        </w:rPr>
      </w:pPr>
      <w:r>
        <w:rPr>
          <w:rFonts w:ascii="Arial" w:cs="Arial" w:eastAsia="Arial" w:hAnsi="Arial"/>
          <w:sz w:val="17"/>
          <w:szCs w:val="17"/>
          <w:color w:val="auto"/>
        </w:rPr>
        <w:t>During the fourth quarter of fiscal 2023,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ind w:left="60" w:right="379" w:firstLine="427"/>
        <w:spacing w:after="0" w:line="263" w:lineRule="auto"/>
        <w:rPr>
          <w:sz w:val="20"/>
          <w:szCs w:val="20"/>
          <w:color w:val="auto"/>
        </w:rPr>
      </w:pPr>
      <w:r>
        <w:rPr>
          <w:rFonts w:ascii="Arial" w:cs="Arial" w:eastAsia="Arial" w:hAnsi="Arial"/>
          <w:sz w:val="18"/>
          <w:szCs w:val="18"/>
          <w:color w:val="auto"/>
        </w:rPr>
        <w:t>During the three months ended July 1, 2023, no director or officer of the Company adopted or terminated a “Rule 10b5-1 trading arrangement” or “non-Rule 10b5-1 trading arrangement,” as each term is defined in Item 408(a) of Regulation S-K.</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10 is incorporated in this Report by reference to the Company’s definitive proxy statement relating to the Annual Meeting of Stockholders scheduled to be held on November 16, 2023.</w:t>
      </w:r>
    </w:p>
    <w:p>
      <w:pPr>
        <w:spacing w:after="0" w:line="149" w:lineRule="exact"/>
        <w:rPr>
          <w:sz w:val="20"/>
          <w:szCs w:val="20"/>
          <w:color w:val="auto"/>
        </w:rPr>
      </w:pPr>
    </w:p>
    <w:p>
      <w:pPr>
        <w:ind w:left="60" w:right="79" w:firstLine="427"/>
        <w:spacing w:after="0" w:line="268" w:lineRule="auto"/>
        <w:rPr>
          <w:sz w:val="20"/>
          <w:szCs w:val="20"/>
          <w:color w:val="auto"/>
        </w:rPr>
      </w:pPr>
      <w:r>
        <w:rPr>
          <w:rFonts w:ascii="Arial" w:cs="Arial" w:eastAsia="Arial" w:hAnsi="Arial"/>
          <w:sz w:val="17"/>
          <w:szCs w:val="17"/>
          <w:color w:val="auto"/>
        </w:rPr>
        <w:t>On May 22, 2023, the Board of Directors amended the Company’s By-Laws, effective immediately (“Amended By-Laws”). The By-Laws were amended to, among other things, clarify and enhance procedural mechanics and disclosure requirement under Section 1.14 in connection with shareholder proposals and nominations of directors and to address the new Rule 14a-19 of the Exchange Act, known as the Universal Proxy Rule. Under the Amended By-Laws, for annual meetings, the deadline for delivery of Shareholder Notice and specified Nominee Materials, if applicable, is based on the anniversary of the prior annual meeting date versus the anniversary of the filing date of the prior proxy statement. Therefore, for the 2023 Annual Shareholder Meeting, Shareholder Notice and Nominee Materials were required to be delivered no earlier than June 20, 2023, and no later than July 20, 2023. The Amended By-Laws further require additional obligations from or disclosures regarding the Proposing Shareholder, proposed nominees and other known persons working with the Proposing Shareholder, including obligations to update information provided in the Shareholder Notice and Nominee Materials and to attend the shareholder meeting to present the business specified in the Shareholder Notice. It also clarified that a Proposing Shareholder may nominate up to the number of directors to be elected at the applicable meeting and may not make additional or substitute nominations after the Shareholder Notice and Nominee Materials deadlines expire.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11 is incorporated in this Report by reference to the Company’s definitive proxy statement relating to the Annual Meeting of Stockholders scheduled to be held on November 16, 2023.</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65"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12 is incorporated in this Report by reference to the Company’s definitive proxy statement relating to the Annual Meeting of Stockholders scheduled to be held on November 16,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54"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13 is incorporated in this Report by reference to the Company’s definitive proxy statement relating to the Annual Meeting of Shareholders scheduled to be held on November 16, 2023.</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54"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14 is incorporated in this Report by reference to the Company’s definitive proxy statement relating to the Annual Meeting of Stockholders scheduled to be held on November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financial statements and supplementary data are listed in the index included under Item 8 of this Report.</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as part of this report.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gridSpan w:val="19"/>
          </w:tcPr>
          <w:p>
            <w:pPr>
              <w:ind w:left="2400"/>
              <w:spacing w:after="0"/>
              <w:rPr>
                <w:sz w:val="20"/>
                <w:szCs w:val="20"/>
                <w:color w:val="auto"/>
              </w:rPr>
            </w:pPr>
            <w:r>
              <w:rPr>
                <w:rFonts w:ascii="Arial" w:cs="Arial" w:eastAsia="Arial" w:hAnsi="Arial"/>
                <w:sz w:val="18"/>
                <w:szCs w:val="18"/>
                <w:b w:val="1"/>
                <w:bCs w:val="1"/>
                <w:color w:val="auto"/>
              </w:rPr>
              <w:t>INDEX TO EXHIBITS</w:t>
            </w:r>
          </w:p>
        </w:tc>
      </w:tr>
      <w:tr>
        <w:trPr>
          <w:trHeight w:val="319"/>
        </w:trPr>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Exhibit</w:t>
            </w:r>
          </w:p>
        </w:tc>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7760" w:type="dxa"/>
            <w:vAlign w:val="bottom"/>
            <w:gridSpan w:val="19"/>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7760" w:type="dxa"/>
            <w:vAlign w:val="bottom"/>
            <w:tcBorders>
              <w:top w:val="single" w:sz="8" w:color="auto"/>
            </w:tcBorders>
            <w:gridSpan w:val="19"/>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Restated Certificate of Incorporation of the Company (incorporated herein by reference to Exhibit 3(i) to</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the Company’s Current Report on Form 8-K filed on February 12, 2001).</w:t>
              </w:r>
            </w:hyperlink>
          </w:p>
        </w:tc>
        <w:tc>
          <w:tcPr>
            <w:tcW w:w="2260" w:type="dxa"/>
            <w:vAlign w:val="bottom"/>
            <w:tcBorders>
              <w:top w:val="single" w:sz="8" w:color="0000EE"/>
            </w:tcBorders>
            <w:gridSpan w:val="9"/>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439"/>
        </w:trPr>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7760" w:type="dxa"/>
            <w:vAlign w:val="bottom"/>
            <w:gridSpan w:val="19"/>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By-laws of the Company, as amended May 22, 2023 (incorporated herein by reference to Exhibit 3.1 to the</w:t>
              </w:r>
            </w:hyperlink>
          </w:p>
        </w:tc>
      </w:tr>
      <w:tr>
        <w:trPr>
          <w:trHeight w:val="237"/>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40" w:type="dxa"/>
            <w:vAlign w:val="bottom"/>
            <w:tcBorders>
              <w:top w:val="single" w:sz="8" w:color="0000EE"/>
            </w:tcBorders>
            <w:gridSpan w:val="18"/>
          </w:tcPr>
          <w:p>
            <w:pPr>
              <w:spacing w:after="0"/>
              <w:rPr>
                <w:rFonts w:ascii="Arial" w:cs="Arial" w:eastAsia="Arial" w:hAnsi="Arial"/>
                <w:sz w:val="18"/>
                <w:szCs w:val="18"/>
                <w:color w:val="0000EE"/>
              </w:rPr>
            </w:pPr>
            <w:hyperlink r:id="rId85">
              <w:r>
                <w:rPr>
                  <w:rFonts w:ascii="Arial" w:cs="Arial" w:eastAsia="Arial" w:hAnsi="Arial"/>
                  <w:sz w:val="18"/>
                  <w:szCs w:val="18"/>
                  <w:color w:val="0000EE"/>
                </w:rPr>
                <w:t>Company’s Current Report on Form 8-K filed on May 24, 2023).</w:t>
              </w:r>
            </w:hyperlink>
          </w:p>
        </w:tc>
        <w:tc>
          <w:tcPr>
            <w:tcW w:w="2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26"/>
        </w:trPr>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24"/>
                <w:szCs w:val="24"/>
                <w:color w:val="auto"/>
              </w:rPr>
            </w:pPr>
          </w:p>
        </w:tc>
        <w:tc>
          <w:tcPr>
            <w:tcW w:w="7760" w:type="dxa"/>
            <w:vAlign w:val="bottom"/>
            <w:gridSpan w:val="19"/>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Description of Registrant’s Securities (incorporated herein by reference to Exhibit 4.1 to the Company’s</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Annual Report on Form 10-K filed on August 15, 2019).</w:t>
              </w:r>
            </w:hyperlink>
          </w:p>
        </w:tc>
        <w:tc>
          <w:tcPr>
            <w:tcW w:w="280" w:type="dxa"/>
            <w:vAlign w:val="bottom"/>
            <w:gridSpan w:val="7"/>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80" w:type="dxa"/>
            <w:vAlign w:val="bottom"/>
          </w:tcPr>
          <w:p>
            <w:pPr>
              <w:spacing w:after="0"/>
              <w:rPr>
                <w:sz w:val="24"/>
                <w:szCs w:val="24"/>
                <w:color w:val="auto"/>
              </w:rPr>
            </w:pPr>
          </w:p>
        </w:tc>
        <w:tc>
          <w:tcPr>
            <w:tcW w:w="7760" w:type="dxa"/>
            <w:vAlign w:val="bottom"/>
            <w:gridSpan w:val="19"/>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Indenture dated as of June 22, 2010, between the Company and Computershare Trust Company, National</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Association as successor to and Wells Fargo Bank, National Association, as Trustee, providing for the</w:t>
              </w:r>
            </w:hyperlink>
          </w:p>
        </w:tc>
        <w:tc>
          <w:tcPr>
            <w:tcW w:w="220" w:type="dxa"/>
            <w:vAlign w:val="bottom"/>
            <w:tcBorders>
              <w:top w:val="single" w:sz="8" w:color="0000EE"/>
            </w:tcBorders>
            <w:gridSpan w:val="4"/>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issuance of Debt Securities in one or more series (incorporated herein by reference to Exhibit 4.1 to the</w:t>
              </w:r>
            </w:hyperlink>
          </w:p>
        </w:tc>
        <w:tc>
          <w:tcPr>
            <w:tcW w:w="32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Company’s Current Report on Form 8-K filed on June 22, 2010).</w:t>
              </w:r>
            </w:hyperlink>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25"/>
        </w:trPr>
        <w:tc>
          <w:tcPr>
            <w:tcW w:w="8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80" w:type="dxa"/>
            <w:vAlign w:val="bottom"/>
          </w:tcPr>
          <w:p>
            <w:pPr>
              <w:spacing w:after="0"/>
              <w:rPr>
                <w:sz w:val="24"/>
                <w:szCs w:val="24"/>
                <w:color w:val="auto"/>
              </w:rPr>
            </w:pPr>
          </w:p>
        </w:tc>
        <w:tc>
          <w:tcPr>
            <w:tcW w:w="7660" w:type="dxa"/>
            <w:vAlign w:val="bottom"/>
            <w:tcBorders>
              <w:bottom w:val="single" w:sz="8" w:color="0000EE"/>
            </w:tcBorders>
            <w:gridSpan w:val="17"/>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Officers’ Certificate establishing the terms of the 4.625% Notes due 2026 (incorporated herein by</w:t>
              </w:r>
            </w:hyperlink>
          </w:p>
        </w:tc>
        <w:tc>
          <w:tcPr>
            <w:tcW w:w="10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reference to Exhibit 4.1 to the Company’s Current Report on Form 8-K filed on March 22, 2016).</w:t>
              </w:r>
            </w:hyperlink>
          </w:p>
        </w:tc>
        <w:tc>
          <w:tcPr>
            <w:tcW w:w="740" w:type="dxa"/>
            <w:vAlign w:val="bottom"/>
            <w:gridSpan w:val="11"/>
          </w:tcPr>
          <w:p>
            <w:pPr>
              <w:spacing w:after="0"/>
              <w:rPr>
                <w:sz w:val="17"/>
                <w:szCs w:val="17"/>
                <w:color w:val="auto"/>
              </w:rPr>
            </w:pPr>
          </w:p>
        </w:tc>
      </w:tr>
      <w:tr>
        <w:trPr>
          <w:trHeight w:val="425"/>
        </w:trPr>
        <w:tc>
          <w:tcPr>
            <w:tcW w:w="8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80" w:type="dxa"/>
            <w:vAlign w:val="bottom"/>
          </w:tcPr>
          <w:p>
            <w:pPr>
              <w:spacing w:after="0"/>
              <w:rPr>
                <w:sz w:val="24"/>
                <w:szCs w:val="24"/>
                <w:color w:val="auto"/>
              </w:rPr>
            </w:pPr>
          </w:p>
        </w:tc>
        <w:tc>
          <w:tcPr>
            <w:tcW w:w="7760" w:type="dxa"/>
            <w:vAlign w:val="bottom"/>
            <w:gridSpan w:val="19"/>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Form of Officer’s Certificate setting forth the terms of the 3.00% Notes due 2031 (incorporated herein by</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reference to Exhibit 4.1 to the Company’s Current Report on Form 8-K filed on May 5, 2021).</w:t>
              </w:r>
            </w:hyperlink>
          </w:p>
        </w:tc>
        <w:tc>
          <w:tcPr>
            <w:tcW w:w="180" w:type="dxa"/>
            <w:vAlign w:val="bottom"/>
            <w:gridSpan w:val="4"/>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80" w:type="dxa"/>
            <w:vAlign w:val="bottom"/>
          </w:tcPr>
          <w:p>
            <w:pPr>
              <w:spacing w:after="0"/>
              <w:rPr>
                <w:sz w:val="24"/>
                <w:szCs w:val="24"/>
                <w:color w:val="auto"/>
              </w:rPr>
            </w:pPr>
          </w:p>
        </w:tc>
        <w:tc>
          <w:tcPr>
            <w:tcW w:w="7760" w:type="dxa"/>
            <w:vAlign w:val="bottom"/>
            <w:gridSpan w:val="19"/>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Form of Officer’s Certificate setting forth the terms of the 5.50% Notes due 2032 (incorporated herein by</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reference to Exhibit 4.1 to the Company’s Current Report on Form 8-K filed on May 16, 2022).</w:t>
              </w:r>
            </w:hyperlink>
          </w:p>
        </w:tc>
        <w:tc>
          <w:tcPr>
            <w:tcW w:w="700" w:type="dxa"/>
            <w:vAlign w:val="bottom"/>
            <w:tcBorders>
              <w:top w:val="single" w:sz="8" w:color="0000EE"/>
            </w:tcBorders>
            <w:gridSpan w:val="9"/>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39"/>
        </w:trPr>
        <w:tc>
          <w:tcPr>
            <w:tcW w:w="8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80" w:type="dxa"/>
            <w:vAlign w:val="bottom"/>
          </w:tcPr>
          <w:p>
            <w:pPr>
              <w:spacing w:after="0"/>
              <w:rPr>
                <w:sz w:val="24"/>
                <w:szCs w:val="24"/>
                <w:color w:val="auto"/>
              </w:rPr>
            </w:pPr>
          </w:p>
        </w:tc>
        <w:tc>
          <w:tcPr>
            <w:tcW w:w="7600" w:type="dxa"/>
            <w:vAlign w:val="bottom"/>
            <w:tcBorders>
              <w:bottom w:val="single" w:sz="8" w:color="0000EE"/>
            </w:tcBorders>
            <w:gridSpan w:val="16"/>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Officers’ Certificate setting forth the terms of the 6.25% Notes due 2028 (incorporated herein by</w:t>
              </w:r>
            </w:hyperlink>
          </w:p>
        </w:tc>
        <w:tc>
          <w:tcPr>
            <w:tcW w:w="1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reference to Exhibit 4.1 to the Company’s Current Report on Form 8-K filed on March 8, 2023).</w:t>
              </w:r>
            </w:hyperlink>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900" w:type="dxa"/>
            <w:vAlign w:val="bottom"/>
            <w:gridSpan w:val="6"/>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465"/>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Arial" w:cs="Arial" w:eastAsia="Arial" w:hAnsi="Arial"/>
                <w:sz w:val="18"/>
                <w:szCs w:val="18"/>
                <w:color w:val="auto"/>
                <w:w w:val="97"/>
              </w:rPr>
              <w:t>Note: The total amount of securities authorized under any other instrument that defines the rights of</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gridSpan w:val="19"/>
          </w:tcPr>
          <w:p>
            <w:pPr>
              <w:spacing w:after="0"/>
              <w:rPr>
                <w:sz w:val="20"/>
                <w:szCs w:val="20"/>
                <w:color w:val="auto"/>
              </w:rPr>
            </w:pPr>
            <w:r>
              <w:rPr>
                <w:rFonts w:ascii="Arial" w:cs="Arial" w:eastAsia="Arial" w:hAnsi="Arial"/>
                <w:sz w:val="18"/>
                <w:szCs w:val="18"/>
                <w:color w:val="auto"/>
                <w:w w:val="92"/>
              </w:rPr>
              <w:t>holders of the Company’s long-term debt does not exceed 10% of the total assets of the Company and its</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gridSpan w:val="19"/>
          </w:tcPr>
          <w:p>
            <w:pPr>
              <w:spacing w:after="0"/>
              <w:rPr>
                <w:sz w:val="20"/>
                <w:szCs w:val="20"/>
                <w:color w:val="auto"/>
              </w:rPr>
            </w:pPr>
            <w:r>
              <w:rPr>
                <w:rFonts w:ascii="Arial" w:cs="Arial" w:eastAsia="Arial" w:hAnsi="Arial"/>
                <w:sz w:val="18"/>
                <w:szCs w:val="18"/>
                <w:color w:val="auto"/>
                <w:w w:val="90"/>
              </w:rPr>
              <w:t>subsidiaries on a consolidated basis. Therefore, these instruments are not required to be filed as exhibits to</w:t>
            </w:r>
          </w:p>
        </w:tc>
      </w:tr>
      <w:tr>
        <w:trPr>
          <w:trHeight w:val="230"/>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gridSpan w:val="19"/>
          </w:tcPr>
          <w:p>
            <w:pPr>
              <w:spacing w:after="0"/>
              <w:rPr>
                <w:sz w:val="20"/>
                <w:szCs w:val="20"/>
                <w:color w:val="auto"/>
              </w:rPr>
            </w:pPr>
            <w:r>
              <w:rPr>
                <w:rFonts w:ascii="Arial" w:cs="Arial" w:eastAsia="Arial" w:hAnsi="Arial"/>
                <w:sz w:val="18"/>
                <w:szCs w:val="18"/>
                <w:color w:val="auto"/>
                <w:w w:val="92"/>
              </w:rPr>
              <w:t>this Report. The Company agrees to furnish copies of such instruments to the Commission upon request.</w:t>
            </w:r>
          </w:p>
        </w:tc>
      </w:tr>
      <w:tr>
        <w:trPr>
          <w:trHeight w:val="445"/>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60" w:type="dxa"/>
            <w:vAlign w:val="bottom"/>
            <w:gridSpan w:val="19"/>
          </w:tcPr>
          <w:p>
            <w:pPr>
              <w:spacing w:after="0"/>
              <w:rPr>
                <w:sz w:val="20"/>
                <w:szCs w:val="20"/>
                <w:color w:val="auto"/>
              </w:rPr>
            </w:pPr>
            <w:r>
              <w:rPr>
                <w:rFonts w:ascii="Arial" w:cs="Arial" w:eastAsia="Arial" w:hAnsi="Arial"/>
                <w:sz w:val="18"/>
                <w:szCs w:val="18"/>
                <w:b w:val="1"/>
                <w:bCs w:val="1"/>
                <w:color w:val="auto"/>
              </w:rPr>
              <w:t>Executive Compensation Plans and Arrangements</w:t>
            </w:r>
          </w:p>
        </w:tc>
      </w:tr>
      <w:tr>
        <w:trPr>
          <w:trHeight w:val="391"/>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7760" w:type="dxa"/>
            <w:vAlign w:val="bottom"/>
            <w:gridSpan w:val="19"/>
          </w:tcPr>
          <w:p>
            <w:pPr>
              <w:spacing w:after="0"/>
              <w:rPr>
                <w:rFonts w:ascii="Arial" w:cs="Arial" w:eastAsia="Arial" w:hAnsi="Arial"/>
                <w:sz w:val="18"/>
                <w:szCs w:val="18"/>
                <w:color w:val="0000EE"/>
                <w:w w:val="99"/>
              </w:rPr>
            </w:pPr>
            <w:hyperlink r:id="rId92">
              <w:r>
                <w:rPr>
                  <w:rFonts w:ascii="Arial" w:cs="Arial" w:eastAsia="Arial" w:hAnsi="Arial"/>
                  <w:sz w:val="18"/>
                  <w:szCs w:val="18"/>
                  <w:color w:val="0000EE"/>
                  <w:w w:val="99"/>
                </w:rPr>
                <w:t>Letter Agreement between the Company and Philip R. Gallagher as Chief Executive Officer dated</w:t>
              </w:r>
            </w:hyperlink>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4040" w:type="dxa"/>
            <w:vAlign w:val="bottom"/>
            <w:gridSpan w:val="8"/>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gridSpan w:val="19"/>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November 17, 2020 (incorporated herein by reference to Exhibit 10.2 to the Company’s Quarterly Report</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on Form 10-Q filed on January 29, 2021).</w:t>
              </w:r>
            </w:hyperlink>
          </w:p>
        </w:tc>
        <w:tc>
          <w:tcPr>
            <w:tcW w:w="4560" w:type="dxa"/>
            <w:vAlign w:val="bottom"/>
            <w:tcBorders>
              <w:top w:val="single" w:sz="8" w:color="0000EE"/>
            </w:tcBorders>
            <w:gridSpan w:val="14"/>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884"/>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gridSpan w:val="2"/>
          </w:tcPr>
          <w:p>
            <w:pPr>
              <w:ind w:left="3220"/>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right="199" w:hanging="872"/>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93">
        <w:r>
          <w:rPr>
            <w:rFonts w:ascii="Arial" w:cs="Arial" w:eastAsia="Arial" w:hAnsi="Arial"/>
            <w:sz w:val="18"/>
            <w:szCs w:val="18"/>
            <w:u w:val="single" w:color="auto"/>
            <w:color w:val="0000EE"/>
          </w:rPr>
          <w:t>Letter Agreement between the Company and Kenneth Jacobson as Chief Financial Officer dated August</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30, 2022 (incorporated herein by reference to Exhibit 10.2 to the Company’s Current Report on Form 8-K</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filed on September 6, 2022).</w:t>
        </w:r>
      </w:hyperlink>
    </w:p>
    <w:p>
      <w:pPr>
        <w:spacing w:after="0" w:line="211" w:lineRule="exact"/>
        <w:rPr>
          <w:rFonts w:ascii="Arial" w:cs="Arial" w:eastAsia="Arial" w:hAnsi="Arial"/>
          <w:sz w:val="18"/>
          <w:szCs w:val="18"/>
          <w:u w:val="single" w:color="auto"/>
          <w:color w:val="0000EE"/>
        </w:rPr>
      </w:pPr>
    </w:p>
    <w:p>
      <w:pPr>
        <w:ind w:left="1200" w:right="119" w:hanging="872"/>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94">
        <w:r>
          <w:rPr>
            <w:rFonts w:ascii="Arial" w:cs="Arial" w:eastAsia="Arial" w:hAnsi="Arial"/>
            <w:sz w:val="18"/>
            <w:szCs w:val="18"/>
            <w:u w:val="single" w:color="auto"/>
            <w:color w:val="0000EE"/>
          </w:rPr>
          <w:t>Form of Letter Agreement between the Company and Ken Arnold, Max Chan, Michael McCoy and</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Elizabeth McMullen (incorporated herein by reference to Exhibit 10.2 to the Company’s Annual Report on</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Form 10-K filed on August 17, 2017).</w:t>
        </w:r>
      </w:hyperlink>
    </w:p>
    <w:p>
      <w:pPr>
        <w:spacing w:after="0" w:line="211" w:lineRule="exact"/>
        <w:rPr>
          <w:rFonts w:ascii="Arial" w:cs="Arial" w:eastAsia="Arial" w:hAnsi="Arial"/>
          <w:sz w:val="18"/>
          <w:szCs w:val="18"/>
          <w:u w:val="single" w:color="auto"/>
          <w:color w:val="0000EE"/>
        </w:rPr>
      </w:pPr>
    </w:p>
    <w:p>
      <w:pPr>
        <w:jc w:val="both"/>
        <w:ind w:left="1200" w:right="359" w:hanging="872"/>
        <w:spacing w:after="0" w:line="311" w:lineRule="auto"/>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95">
        <w:r>
          <w:rPr>
            <w:rFonts w:ascii="Arial" w:cs="Arial" w:eastAsia="Arial" w:hAnsi="Arial"/>
            <w:sz w:val="16"/>
            <w:szCs w:val="16"/>
            <w:u w:val="single" w:color="auto"/>
            <w:color w:val="0000EE"/>
          </w:rPr>
          <w:t>Form of Change of Control Agreement between the Company and Philip Gallagher, Kenneth Jacobson,</w:t>
        </w:r>
      </w:hyperlink>
      <w:r>
        <w:rPr>
          <w:rFonts w:ascii="Arial" w:cs="Arial" w:eastAsia="Arial" w:hAnsi="Arial"/>
          <w:sz w:val="16"/>
          <w:szCs w:val="16"/>
          <w:u w:val="single" w:color="auto"/>
          <w:color w:val="0000EE"/>
        </w:rPr>
        <w:t xml:space="preserve"> </w:t>
      </w:r>
      <w:hyperlink r:id="rId95">
        <w:r>
          <w:rPr>
            <w:rFonts w:ascii="Arial" w:cs="Arial" w:eastAsia="Arial" w:hAnsi="Arial"/>
            <w:sz w:val="16"/>
            <w:szCs w:val="16"/>
            <w:u w:val="single" w:color="auto"/>
            <w:color w:val="0000EE"/>
          </w:rPr>
          <w:t>Ken Arnold, Max Chan, Michael McCoy, and Elizabeth McMullen (incorporated herein by reference to</w:t>
        </w:r>
      </w:hyperlink>
      <w:r>
        <w:rPr>
          <w:rFonts w:ascii="Arial" w:cs="Arial" w:eastAsia="Arial" w:hAnsi="Arial"/>
          <w:sz w:val="16"/>
          <w:szCs w:val="16"/>
          <w:u w:val="single" w:color="auto"/>
          <w:color w:val="0000EE"/>
        </w:rPr>
        <w:t xml:space="preserve"> </w:t>
      </w:r>
      <w:hyperlink r:id="rId95">
        <w:r>
          <w:rPr>
            <w:rFonts w:ascii="Arial" w:cs="Arial" w:eastAsia="Arial" w:hAnsi="Arial"/>
            <w:sz w:val="16"/>
            <w:szCs w:val="16"/>
            <w:u w:val="single" w:color="auto"/>
            <w:color w:val="0000EE"/>
          </w:rPr>
          <w:t>Exhibit 10.3 to the Company’s Current Report on Form 8-K filed on February 15, 2011).</w:t>
        </w:r>
      </w:hyperlink>
    </w:p>
    <w:p>
      <w:pPr>
        <w:spacing w:after="0" w:line="149" w:lineRule="exact"/>
        <w:rPr>
          <w:rFonts w:ascii="Arial" w:cs="Arial" w:eastAsia="Arial" w:hAnsi="Arial"/>
          <w:sz w:val="16"/>
          <w:szCs w:val="16"/>
          <w:u w:val="single" w:color="auto"/>
          <w:color w:val="0000EE"/>
        </w:rPr>
      </w:pPr>
    </w:p>
    <w:p>
      <w:pPr>
        <w:ind w:left="1200" w:right="139" w:hanging="872"/>
        <w:spacing w:after="0" w:line="342" w:lineRule="auto"/>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96">
        <w:r>
          <w:rPr>
            <w:rFonts w:ascii="Arial" w:cs="Arial" w:eastAsia="Arial" w:hAnsi="Arial"/>
            <w:sz w:val="16"/>
            <w:szCs w:val="16"/>
            <w:u w:val="single" w:color="auto"/>
            <w:color w:val="0000EE"/>
          </w:rPr>
          <w:t>Form of Indemnity Agreement between the Company and its directors and officers (incorporated herein by</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reference to Exhibit 10.1 to the Company’s Quarterly Report on Form 10-Q filed on May 8, 2006).</w:t>
        </w:r>
      </w:hyperlink>
    </w:p>
    <w:p>
      <w:pPr>
        <w:spacing w:after="0" w:line="137" w:lineRule="exact"/>
        <w:rPr>
          <w:sz w:val="20"/>
          <w:szCs w:val="20"/>
          <w:color w:val="auto"/>
        </w:rPr>
      </w:pPr>
    </w:p>
    <w:p>
      <w:pPr>
        <w:ind w:left="32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97">
        <w:r>
          <w:rPr>
            <w:rFonts w:ascii="Arial" w:cs="Arial" w:eastAsia="Arial" w:hAnsi="Arial"/>
            <w:sz w:val="16"/>
            <w:szCs w:val="16"/>
            <w:u w:val="single" w:color="auto"/>
            <w:color w:val="0000EE"/>
          </w:rPr>
          <w:t>Avnet Executive Severance Plan (Effective as of August 10, 2017) (incorporated herein by reference to</w:t>
        </w:r>
      </w:hyperlink>
    </w:p>
    <w:p>
      <w:pPr>
        <w:spacing w:after="0" w:line="23" w:lineRule="exact"/>
        <w:rPr>
          <w:sz w:val="20"/>
          <w:szCs w:val="20"/>
          <w:color w:val="auto"/>
        </w:rPr>
      </w:pPr>
    </w:p>
    <w:p>
      <w:pPr>
        <w:jc w:val="center"/>
        <w:ind w:right="59"/>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Exhibit 10.1 to the Company’s Quarterly Report on Form 10-Q filed on October 30, 2017).</w:t>
        </w:r>
      </w:hyperlink>
    </w:p>
    <w:p>
      <w:pPr>
        <w:spacing w:after="0" w:line="224" w:lineRule="exact"/>
        <w:rPr>
          <w:sz w:val="20"/>
          <w:szCs w:val="20"/>
          <w:color w:val="auto"/>
        </w:rPr>
      </w:pPr>
    </w:p>
    <w:p>
      <w:pPr>
        <w:ind w:left="1200" w:right="499" w:hanging="872"/>
        <w:spacing w:after="0" w:line="342" w:lineRule="auto"/>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98">
        <w:r>
          <w:rPr>
            <w:rFonts w:ascii="Arial" w:cs="Arial" w:eastAsia="Arial" w:hAnsi="Arial"/>
            <w:sz w:val="16"/>
            <w:szCs w:val="16"/>
            <w:u w:val="single" w:color="auto"/>
            <w:color w:val="0000EE"/>
          </w:rPr>
          <w:t>Avnet Supplemental Executive Officers’ Retirement Plan (2013 Restatement) (incorporated herein by</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reference to Exhibit 10.13 to the Company’s Annual Report on Form 10-K filed on August 9, 2013).</w:t>
        </w:r>
      </w:hyperlink>
    </w:p>
    <w:p>
      <w:pPr>
        <w:spacing w:after="0" w:line="124" w:lineRule="exact"/>
        <w:rPr>
          <w:sz w:val="20"/>
          <w:szCs w:val="20"/>
          <w:color w:val="auto"/>
        </w:rPr>
      </w:pPr>
    </w:p>
    <w:p>
      <w:pPr>
        <w:ind w:left="1200" w:right="599" w:hanging="872"/>
        <w:spacing w:after="0" w:line="277"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99">
        <w:r>
          <w:rPr>
            <w:rFonts w:ascii="Arial" w:cs="Arial" w:eastAsia="Arial" w:hAnsi="Arial"/>
            <w:sz w:val="18"/>
            <w:szCs w:val="18"/>
            <w:u w:val="single" w:color="auto"/>
            <w:color w:val="0000EE"/>
          </w:rPr>
          <w:t>Avnet Restoration Plan (2013 Restatement) (incorporated herein by reference to Exhibit 10.14 to the</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Company’s Annual Report on Form 10-K filed on August 9, 2013).</w:t>
        </w:r>
      </w:hyperlink>
    </w:p>
    <w:p>
      <w:pPr>
        <w:spacing w:after="0" w:line="170" w:lineRule="exact"/>
        <w:rPr>
          <w:sz w:val="20"/>
          <w:szCs w:val="20"/>
          <w:color w:val="auto"/>
        </w:rPr>
      </w:pPr>
    </w:p>
    <w:p>
      <w:pPr>
        <w:ind w:left="1200" w:right="199" w:hanging="872"/>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00">
        <w:r>
          <w:rPr>
            <w:rFonts w:ascii="Arial" w:cs="Arial" w:eastAsia="Arial" w:hAnsi="Arial"/>
            <w:sz w:val="18"/>
            <w:szCs w:val="18"/>
            <w:u w:val="single" w:color="auto"/>
            <w:color w:val="0000EE"/>
          </w:rPr>
          <w:t>Avnet, Inc. 2010 Stock Compensation Plan (Amended and Restated Effective as of May 8, 2018).</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(incorporated herein by reference to Exhibit 10.8 to the Company’s Annual Report on Form 10-K filed on</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August 17, 2018).</w:t>
        </w:r>
      </w:hyperlink>
    </w:p>
    <w:p>
      <w:pPr>
        <w:spacing w:after="0" w:line="184" w:lineRule="exact"/>
        <w:rPr>
          <w:rFonts w:ascii="Arial" w:cs="Arial" w:eastAsia="Arial" w:hAnsi="Arial"/>
          <w:sz w:val="18"/>
          <w:szCs w:val="18"/>
          <w:u w:val="single" w:color="auto"/>
          <w:color w:val="0000EE"/>
        </w:rPr>
      </w:pPr>
    </w:p>
    <w:p>
      <w:pPr>
        <w:ind w:left="28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01">
        <w:r>
          <w:rPr>
            <w:rFonts w:ascii="Arial" w:cs="Arial" w:eastAsia="Arial" w:hAnsi="Arial"/>
            <w:sz w:val="16"/>
            <w:szCs w:val="16"/>
            <w:u w:val="single" w:color="auto"/>
            <w:color w:val="0000EE"/>
          </w:rPr>
          <w:t>Avnet, Inc. 2010 Stock Compensation Plan:</w:t>
        </w:r>
      </w:hyperlink>
    </w:p>
    <w:p>
      <w:pPr>
        <w:spacing w:after="0" w:line="23"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16"/>
        </w:numPr>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Form of non-qualified stock option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16"/>
        </w:numPr>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Form of incentive stock option term sheet</w:t>
        </w:r>
      </w:hyperlink>
    </w:p>
    <w:p>
      <w:pPr>
        <w:spacing w:after="0" w:line="9"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16"/>
        </w:numPr>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Form of performance stock unit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16"/>
        </w:numPr>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Form of restricted stock unit term sheet</w:t>
        </w:r>
      </w:hyperlink>
    </w:p>
    <w:p>
      <w:pPr>
        <w:spacing w:after="0" w:line="9" w:lineRule="exact"/>
        <w:rPr>
          <w:rFonts w:ascii="Arial" w:cs="Arial" w:eastAsia="Arial" w:hAnsi="Arial"/>
          <w:sz w:val="18"/>
          <w:szCs w:val="18"/>
          <w:u w:val="single" w:color="auto"/>
          <w:color w:val="0000EE"/>
        </w:rPr>
      </w:pPr>
    </w:p>
    <w:p>
      <w:pPr>
        <w:ind w:left="1200" w:right="279"/>
        <w:spacing w:after="0" w:line="260" w:lineRule="auto"/>
        <w:rPr>
          <w:rFonts w:ascii="Arial" w:cs="Arial" w:eastAsia="Arial" w:hAnsi="Arial"/>
          <w:sz w:val="18"/>
          <w:szCs w:val="18"/>
          <w:u w:val="single" w:color="auto"/>
          <w:color w:val="0000EE"/>
        </w:rPr>
      </w:pPr>
      <w:hyperlink r:id="rId101">
        <w:r>
          <w:rPr>
            <w:rFonts w:ascii="Arial" w:cs="Arial" w:eastAsia="Arial" w:hAnsi="Arial"/>
            <w:sz w:val="18"/>
            <w:szCs w:val="18"/>
            <w:color w:val="0000EE"/>
          </w:rPr>
          <w:t>(incorporated herein by reference to Exhibit 10.1 to the Company’s Current Report on Form 8-K filed on</w:t>
        </w:r>
      </w:hyperlink>
      <w:r>
        <w:rPr>
          <w:rFonts w:ascii="Arial" w:cs="Arial" w:eastAsia="Arial" w:hAnsi="Arial"/>
          <w:sz w:val="18"/>
          <w:szCs w:val="18"/>
          <w:color w:val="0000EE"/>
        </w:rPr>
        <w:t xml:space="preserve"> </w:t>
      </w:r>
      <w:hyperlink r:id="rId101">
        <w:r>
          <w:rPr>
            <w:rFonts w:ascii="Arial" w:cs="Arial" w:eastAsia="Arial" w:hAnsi="Arial"/>
            <w:sz w:val="18"/>
            <w:szCs w:val="18"/>
            <w:u w:val="single" w:color="auto"/>
            <w:color w:val="0000EE"/>
          </w:rPr>
          <w:t>August 10,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7942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4794250" cy="8890"/>
                    </a:xfrm>
                    <a:prstGeom prst="rect">
                      <a:avLst/>
                    </a:prstGeom>
                    <a:noFill/>
                  </pic:spPr>
                </pic:pic>
              </a:graphicData>
            </a:graphic>
          </wp:anchor>
        </w:drawing>
      </w:r>
    </w:p>
    <w:p>
      <w:pPr>
        <w:spacing w:after="0" w:line="165" w:lineRule="exact"/>
        <w:rPr>
          <w:sz w:val="20"/>
          <w:szCs w:val="20"/>
          <w:color w:val="auto"/>
        </w:rPr>
      </w:pPr>
    </w:p>
    <w:p>
      <w:pPr>
        <w:jc w:val="both"/>
        <w:ind w:left="1200" w:right="199" w:hanging="914"/>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03">
        <w:r>
          <w:rPr>
            <w:rFonts w:ascii="Arial" w:cs="Arial" w:eastAsia="Arial" w:hAnsi="Arial"/>
            <w:sz w:val="18"/>
            <w:szCs w:val="18"/>
            <w:u w:val="single" w:color="auto"/>
            <w:color w:val="0000EE"/>
          </w:rPr>
          <w:t>Avnet, Inc. 2013 Stock Compensation and Incentive Plan (Amended and Restated Effective as of May 8,</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2018). (incorporated herein by reference to Exhibit 10.10 to the Company’s Annual Report on Form 10-K</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filed on August 17, 2018).</w:t>
        </w:r>
      </w:hyperlink>
    </w:p>
    <w:p>
      <w:pPr>
        <w:spacing w:after="0" w:line="197" w:lineRule="exact"/>
        <w:rPr>
          <w:rFonts w:ascii="Arial" w:cs="Arial" w:eastAsia="Arial" w:hAnsi="Arial"/>
          <w:sz w:val="18"/>
          <w:szCs w:val="18"/>
          <w:u w:val="single" w:color="auto"/>
          <w:color w:val="0000EE"/>
        </w:rPr>
      </w:pPr>
    </w:p>
    <w:p>
      <w:pPr>
        <w:ind w:left="28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04">
        <w:r>
          <w:rPr>
            <w:rFonts w:ascii="Arial" w:cs="Arial" w:eastAsia="Arial" w:hAnsi="Arial"/>
            <w:sz w:val="16"/>
            <w:szCs w:val="16"/>
            <w:u w:val="single" w:color="auto"/>
            <w:color w:val="0000EE"/>
          </w:rPr>
          <w:t>Avnet, Inc. 2013 Stock Compensation and Incentive Plan:</w:t>
        </w:r>
      </w:hyperlink>
    </w:p>
    <w:p>
      <w:pPr>
        <w:spacing w:after="0" w:line="23"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17"/>
        </w:numPr>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Form of restricted stock unit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17"/>
        </w:numPr>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Form of nonqualified stock option term sheet</w:t>
        </w:r>
      </w:hyperlink>
    </w:p>
    <w:p>
      <w:pPr>
        <w:spacing w:after="0" w:line="9"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17"/>
        </w:numPr>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Form of performance-based stock option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17"/>
        </w:numPr>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Form of performance stock unit term sheet</w:t>
        </w:r>
      </w:hyperlink>
    </w:p>
    <w:p>
      <w:pPr>
        <w:spacing w:after="0" w:line="9" w:lineRule="exact"/>
        <w:rPr>
          <w:rFonts w:ascii="Arial" w:cs="Arial" w:eastAsia="Arial" w:hAnsi="Arial"/>
          <w:sz w:val="18"/>
          <w:szCs w:val="18"/>
          <w:u w:val="single" w:color="auto"/>
          <w:color w:val="0000EE"/>
        </w:rPr>
      </w:pPr>
    </w:p>
    <w:p>
      <w:pPr>
        <w:ind w:left="1200" w:right="119"/>
        <w:spacing w:after="0" w:line="260" w:lineRule="auto"/>
        <w:rPr>
          <w:rFonts w:ascii="Arial" w:cs="Arial" w:eastAsia="Arial" w:hAnsi="Arial"/>
          <w:sz w:val="18"/>
          <w:szCs w:val="18"/>
          <w:u w:val="single" w:color="auto"/>
          <w:color w:val="0000EE"/>
        </w:rPr>
      </w:pPr>
      <w:hyperlink r:id="rId104">
        <w:r>
          <w:rPr>
            <w:rFonts w:ascii="Arial" w:cs="Arial" w:eastAsia="Arial" w:hAnsi="Arial"/>
            <w:sz w:val="18"/>
            <w:szCs w:val="18"/>
            <w:color w:val="0000EE"/>
          </w:rPr>
          <w:t>(incorporated herein by reference to Exhibit 10.15 to the Company’s Annual Report on Form 10-K filed on</w:t>
        </w:r>
      </w:hyperlink>
      <w:r>
        <w:rPr>
          <w:rFonts w:ascii="Arial" w:cs="Arial" w:eastAsia="Arial" w:hAnsi="Arial"/>
          <w:sz w:val="18"/>
          <w:szCs w:val="18"/>
          <w:color w:val="0000EE"/>
        </w:rPr>
        <w:t xml:space="preserve"> </w:t>
      </w:r>
      <w:hyperlink r:id="rId104">
        <w:r>
          <w:rPr>
            <w:rFonts w:ascii="Arial" w:cs="Arial" w:eastAsia="Arial" w:hAnsi="Arial"/>
            <w:sz w:val="18"/>
            <w:szCs w:val="18"/>
            <w:u w:val="single" w:color="auto"/>
            <w:color w:val="0000EE"/>
          </w:rPr>
          <w:t>August 17,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8958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4895850" cy="8255"/>
                    </a:xfrm>
                    <a:prstGeom prst="rect">
                      <a:avLst/>
                    </a:prstGeom>
                    <a:noFill/>
                  </pic:spPr>
                </pic:pic>
              </a:graphicData>
            </a:graphic>
          </wp:anchor>
        </w:drawing>
      </w:r>
    </w:p>
    <w:p>
      <w:pPr>
        <w:spacing w:after="0" w:line="179" w:lineRule="exact"/>
        <w:rPr>
          <w:sz w:val="20"/>
          <w:szCs w:val="20"/>
          <w:color w:val="auto"/>
        </w:rPr>
      </w:pPr>
    </w:p>
    <w:p>
      <w:pPr>
        <w:ind w:left="1200" w:right="199" w:hanging="917"/>
        <w:spacing w:after="0" w:line="259"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06">
        <w:r>
          <w:rPr>
            <w:rFonts w:ascii="Arial" w:cs="Arial" w:eastAsia="Arial" w:hAnsi="Arial"/>
            <w:sz w:val="18"/>
            <w:szCs w:val="18"/>
            <w:u w:val="single" w:color="auto"/>
            <w:color w:val="0000EE"/>
          </w:rPr>
          <w:t>Avnet, Inc. 2016 Stock Compensation and Incentive Plan (Amended and Restated Effective as of May 8,</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2018). (incorporated herein by reference to Exhibit 10.12 to the Company’s Annual Report on Form 10-K</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filed on August 17, 2018). Refer to Exhibit 10.12, above, for the form of awards under the 2016 Stock</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Compensation and Incentive Plan.</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right="139" w:hanging="917"/>
        <w:spacing w:after="0" w:line="277"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08">
        <w:r>
          <w:rPr>
            <w:rFonts w:ascii="Arial" w:cs="Arial" w:eastAsia="Arial" w:hAnsi="Arial"/>
            <w:sz w:val="18"/>
            <w:szCs w:val="18"/>
            <w:u w:val="single" w:color="auto"/>
            <w:color w:val="0000EE"/>
          </w:rPr>
          <w:t>Avnet, Inc. 2021 Stock Compensation and Incentive Plan (incorporated herein by reference to Exhibit 10.2</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to the Company’s Quarterly Report on Form 10-Q filed on April 29, 2022).</w:t>
        </w:r>
      </w:hyperlink>
    </w:p>
    <w:p>
      <w:pPr>
        <w:spacing w:after="0" w:line="170" w:lineRule="exact"/>
        <w:rPr>
          <w:sz w:val="20"/>
          <w:szCs w:val="20"/>
          <w:color w:val="auto"/>
        </w:rPr>
      </w:pPr>
    </w:p>
    <w:p>
      <w:pPr>
        <w:ind w:left="28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09">
        <w:r>
          <w:rPr>
            <w:rFonts w:ascii="Arial" w:cs="Arial" w:eastAsia="Arial" w:hAnsi="Arial"/>
            <w:sz w:val="16"/>
            <w:szCs w:val="16"/>
            <w:u w:val="single" w:color="auto"/>
            <w:color w:val="0000EE"/>
          </w:rPr>
          <w:t>Avnet, Inc. 2021 Stock Compensation and Incentive Plan:</w:t>
        </w:r>
      </w:hyperlink>
    </w:p>
    <w:p>
      <w:pPr>
        <w:spacing w:after="0" w:line="23" w:lineRule="exact"/>
        <w:rPr>
          <w:sz w:val="20"/>
          <w:szCs w:val="20"/>
          <w:color w:val="auto"/>
        </w:rPr>
      </w:pPr>
    </w:p>
    <w:p>
      <w:pPr>
        <w:ind w:left="1440" w:hanging="242"/>
        <w:spacing w:after="0"/>
        <w:tabs>
          <w:tab w:leader="none" w:pos="1440" w:val="left"/>
        </w:tabs>
        <w:numPr>
          <w:ilvl w:val="0"/>
          <w:numId w:val="18"/>
        </w:numPr>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Form of Award Letter for Restricted Stock Unit Award</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18"/>
        </w:numPr>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Form of Award Letter for Performance Stock Unit Award</w:t>
        </w:r>
      </w:hyperlink>
    </w:p>
    <w:p>
      <w:pPr>
        <w:spacing w:after="0" w:line="9"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18"/>
        </w:numPr>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Award Letter for Nonqualified Stock Option Award</w:t>
        </w:r>
      </w:hyperlink>
    </w:p>
    <w:p>
      <w:pPr>
        <w:spacing w:after="0" w:line="9" w:lineRule="exact"/>
        <w:rPr>
          <w:rFonts w:ascii="Arial" w:cs="Arial" w:eastAsia="Arial" w:hAnsi="Arial"/>
          <w:sz w:val="18"/>
          <w:szCs w:val="18"/>
          <w:u w:val="single" w:color="auto"/>
          <w:color w:val="0000EE"/>
        </w:rPr>
      </w:pPr>
    </w:p>
    <w:p>
      <w:pPr>
        <w:ind w:left="1200" w:right="259"/>
        <w:spacing w:after="0" w:line="260" w:lineRule="auto"/>
        <w:rPr>
          <w:rFonts w:ascii="Arial" w:cs="Arial" w:eastAsia="Arial" w:hAnsi="Arial"/>
          <w:sz w:val="18"/>
          <w:szCs w:val="18"/>
          <w:u w:val="single" w:color="auto"/>
          <w:color w:val="0000EE"/>
        </w:rPr>
      </w:pPr>
      <w:hyperlink r:id="rId111">
        <w:r>
          <w:rPr>
            <w:rFonts w:ascii="Arial" w:cs="Arial" w:eastAsia="Arial" w:hAnsi="Arial"/>
            <w:sz w:val="18"/>
            <w:szCs w:val="18"/>
            <w:color w:val="0000EE"/>
          </w:rPr>
          <w:t>(incorporated herein by reference to Exhibit 10.3 to the Company’s Quarterly Report on Form 10-Q filed</w:t>
        </w:r>
      </w:hyperlink>
      <w:r>
        <w:rPr>
          <w:rFonts w:ascii="Arial" w:cs="Arial" w:eastAsia="Arial" w:hAnsi="Arial"/>
          <w:sz w:val="18"/>
          <w:szCs w:val="18"/>
          <w:color w:val="0000EE"/>
        </w:rPr>
        <w:t xml:space="preserve"> </w:t>
      </w:r>
      <w:hyperlink r:id="rId111">
        <w:r>
          <w:rPr>
            <w:rFonts w:ascii="Arial" w:cs="Arial" w:eastAsia="Arial" w:hAnsi="Arial"/>
            <w:sz w:val="18"/>
            <w:szCs w:val="18"/>
            <w:u w:val="single" w:color="auto"/>
            <w:color w:val="0000EE"/>
          </w:rPr>
          <w:t>on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7974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4797425" cy="8255"/>
                    </a:xfrm>
                    <a:prstGeom prst="rect">
                      <a:avLst/>
                    </a:prstGeom>
                    <a:noFill/>
                  </pic:spPr>
                </pic:pic>
              </a:graphicData>
            </a:graphic>
          </wp:anchor>
        </w:drawing>
      </w:r>
    </w:p>
    <w:p>
      <w:pPr>
        <w:spacing w:after="0" w:line="165" w:lineRule="exact"/>
        <w:rPr>
          <w:sz w:val="20"/>
          <w:szCs w:val="20"/>
          <w:color w:val="auto"/>
        </w:rPr>
      </w:pPr>
    </w:p>
    <w:p>
      <w:pPr>
        <w:jc w:val="both"/>
        <w:ind w:left="1200" w:right="79" w:hanging="917"/>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13">
        <w:r>
          <w:rPr>
            <w:rFonts w:ascii="Arial" w:cs="Arial" w:eastAsia="Arial" w:hAnsi="Arial"/>
            <w:sz w:val="18"/>
            <w:szCs w:val="18"/>
            <w:u w:val="single" w:color="auto"/>
            <w:color w:val="0000EE"/>
          </w:rPr>
          <w:t>Avnet, Inc. Deferred Compensation Plan for Outside Directors (Amended and Restated Effective as of May</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8, 2018) (incorporated herein by reference to Exhibit 10.5 to the Company’s Annual Report on Form 10-K</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filed on August 17, 2018).</w:t>
        </w:r>
      </w:hyperlink>
    </w:p>
    <w:p>
      <w:pPr>
        <w:spacing w:after="0" w:line="180" w:lineRule="exact"/>
        <w:rPr>
          <w:rFonts w:ascii="Arial" w:cs="Arial" w:eastAsia="Arial" w:hAnsi="Arial"/>
          <w:sz w:val="18"/>
          <w:szCs w:val="18"/>
          <w:u w:val="single" w:color="auto"/>
          <w:color w:val="0000EE"/>
        </w:rPr>
      </w:pPr>
    </w:p>
    <w:p>
      <w:pPr>
        <w:ind w:left="1200"/>
        <w:spacing w:after="0"/>
        <w:rPr>
          <w:sz w:val="20"/>
          <w:szCs w:val="20"/>
          <w:color w:val="auto"/>
        </w:rPr>
      </w:pPr>
      <w:r>
        <w:rPr>
          <w:rFonts w:ascii="Arial" w:cs="Arial" w:eastAsia="Arial" w:hAnsi="Arial"/>
          <w:sz w:val="18"/>
          <w:szCs w:val="18"/>
          <w:b w:val="1"/>
          <w:bCs w:val="1"/>
          <w:color w:val="auto"/>
        </w:rPr>
        <w:t>Bank Agreements</w:t>
      </w:r>
    </w:p>
    <w:p>
      <w:pPr>
        <w:spacing w:after="0" w:line="229" w:lineRule="exact"/>
        <w:rPr>
          <w:rFonts w:ascii="Arial" w:cs="Arial" w:eastAsia="Arial" w:hAnsi="Arial"/>
          <w:sz w:val="18"/>
          <w:szCs w:val="18"/>
          <w:u w:val="single" w:color="auto"/>
          <w:color w:val="0000EE"/>
        </w:rPr>
      </w:pPr>
    </w:p>
    <w:p>
      <w:pPr>
        <w:ind w:left="280"/>
        <w:spacing w:after="0"/>
        <w:tabs>
          <w:tab w:leader="none" w:pos="11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Securitization Program</w:t>
      </w:r>
    </w:p>
    <w:p>
      <w:pPr>
        <w:spacing w:after="0" w:line="225" w:lineRule="exact"/>
        <w:rPr>
          <w:rFonts w:ascii="Arial" w:cs="Arial" w:eastAsia="Arial" w:hAnsi="Arial"/>
          <w:sz w:val="18"/>
          <w:szCs w:val="18"/>
          <w:u w:val="single" w:color="auto"/>
          <w:color w:val="0000EE"/>
        </w:rPr>
      </w:pPr>
    </w:p>
    <w:p>
      <w:pPr>
        <w:ind w:left="1200" w:right="319" w:hanging="2"/>
        <w:spacing w:after="0" w:line="311" w:lineRule="auto"/>
        <w:tabs>
          <w:tab w:leader="none" w:pos="1445" w:val="left"/>
        </w:tabs>
        <w:numPr>
          <w:ilvl w:val="0"/>
          <w:numId w:val="19"/>
        </w:numPr>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Receivables Sale Agreement: (1) Second Amended and Restated Receivables Sale Agreement, dated</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August 16, 2018, between Avnet, Inc. and Avnet Receivables Corporation (incorporated herein by</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reference to Exhibit 10.2 to the Company’s Current Report on Form 8-K filed on August 17, 2018).</w:t>
        </w:r>
      </w:hyperlink>
    </w:p>
    <w:p>
      <w:pPr>
        <w:spacing w:after="0" w:line="149" w:lineRule="exact"/>
        <w:rPr>
          <w:rFonts w:ascii="Arial" w:cs="Arial" w:eastAsia="Arial" w:hAnsi="Arial"/>
          <w:sz w:val="16"/>
          <w:szCs w:val="16"/>
          <w:u w:val="single" w:color="auto"/>
          <w:color w:val="0000EE"/>
        </w:rPr>
      </w:pPr>
    </w:p>
    <w:p>
      <w:pPr>
        <w:jc w:val="both"/>
        <w:ind w:left="1200" w:right="239" w:hanging="2"/>
        <w:spacing w:after="0" w:line="286" w:lineRule="auto"/>
        <w:tabs>
          <w:tab w:leader="none" w:pos="1455" w:val="left"/>
        </w:tabs>
        <w:numPr>
          <w:ilvl w:val="0"/>
          <w:numId w:val="20"/>
        </w:numPr>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Amendment No. 1 to the Second Amended and Restated Receivables Sale Agreement, dated July 31,</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2020, among Avnet, Inc. and Avnet Receivables Corporation (incorporated herein by reference to Exhibit</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10.2 to the Company’s Current Report on Form 8-K filed on August 6, 2020).</w:t>
        </w:r>
      </w:hyperlink>
    </w:p>
    <w:p>
      <w:pPr>
        <w:spacing w:after="0" w:line="165" w:lineRule="exact"/>
        <w:rPr>
          <w:rFonts w:ascii="Arial" w:cs="Arial" w:eastAsia="Arial" w:hAnsi="Arial"/>
          <w:sz w:val="17"/>
          <w:szCs w:val="17"/>
          <w:u w:val="single" w:color="auto"/>
          <w:color w:val="0000EE"/>
        </w:rPr>
      </w:pPr>
    </w:p>
    <w:p>
      <w:pPr>
        <w:ind w:left="1200" w:right="99" w:hanging="2"/>
        <w:spacing w:after="0" w:line="301" w:lineRule="auto"/>
        <w:tabs>
          <w:tab w:leader="none" w:pos="1455" w:val="left"/>
        </w:tabs>
        <w:numPr>
          <w:ilvl w:val="0"/>
          <w:numId w:val="21"/>
        </w:numPr>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Receivables Purchase Agreement: (1) Fourth Amended and Restated Receivables Purchase Agreement,</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dated August 16, 2018, among Avnet, Inc., Avnet Receivables Corporation, the companies and financial</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institutions party thereto and Wells Fargo Bank, N.A., as agent (incorporated herein by reference to Exhibit</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10.1 to the Company’s Current Report on Form 8-K filed on August 17, 2018).</w:t>
        </w:r>
      </w:hyperlink>
    </w:p>
    <w:p>
      <w:pPr>
        <w:spacing w:after="0" w:line="157" w:lineRule="exact"/>
        <w:rPr>
          <w:rFonts w:ascii="Arial" w:cs="Arial" w:eastAsia="Arial" w:hAnsi="Arial"/>
          <w:sz w:val="16"/>
          <w:szCs w:val="16"/>
          <w:u w:val="single" w:color="auto"/>
          <w:color w:val="0000EE"/>
        </w:rPr>
      </w:pPr>
    </w:p>
    <w:p>
      <w:pPr>
        <w:ind w:left="1200" w:right="139" w:hanging="2"/>
        <w:spacing w:after="0" w:line="279" w:lineRule="auto"/>
        <w:tabs>
          <w:tab w:leader="none" w:pos="1455" w:val="left"/>
        </w:tabs>
        <w:numPr>
          <w:ilvl w:val="0"/>
          <w:numId w:val="22"/>
        </w:numPr>
        <w:rPr>
          <w:rFonts w:ascii="Arial" w:cs="Arial" w:eastAsia="Arial" w:hAnsi="Arial"/>
          <w:sz w:val="17"/>
          <w:szCs w:val="17"/>
          <w:u w:val="single" w:color="auto"/>
          <w:color w:val="0000EE"/>
        </w:rPr>
      </w:pPr>
      <w:hyperlink r:id="rId117">
        <w:r>
          <w:rPr>
            <w:rFonts w:ascii="Arial" w:cs="Arial" w:eastAsia="Arial" w:hAnsi="Arial"/>
            <w:sz w:val="17"/>
            <w:szCs w:val="17"/>
            <w:u w:val="single" w:color="auto"/>
            <w:color w:val="0000EE"/>
          </w:rPr>
          <w:t>Amendment No. 1 to Fourth Amended and Restated Receivables Purchase Agreement, dated February</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28, 2020, among Avnet, Inc., Avnet Receivables Corporation, the companies and financial institutions</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party thereto and Wells Fargo Bank, N.A., as agent (incorporated herein by reference to Exhibit 10.1 to the</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Company’s Annual Report on Form 10-Q filed on May 1, 2020).</w:t>
        </w:r>
      </w:hyperlink>
    </w:p>
    <w:p>
      <w:pPr>
        <w:spacing w:after="0" w:line="171" w:lineRule="exact"/>
        <w:rPr>
          <w:rFonts w:ascii="Arial" w:cs="Arial" w:eastAsia="Arial" w:hAnsi="Arial"/>
          <w:sz w:val="17"/>
          <w:szCs w:val="17"/>
          <w:u w:val="single" w:color="auto"/>
          <w:color w:val="0000EE"/>
        </w:rPr>
      </w:pPr>
    </w:p>
    <w:p>
      <w:pPr>
        <w:jc w:val="both"/>
        <w:ind w:left="1200" w:right="259" w:hanging="2"/>
        <w:spacing w:after="0" w:line="279" w:lineRule="auto"/>
        <w:tabs>
          <w:tab w:leader="none" w:pos="1455" w:val="left"/>
        </w:tabs>
        <w:numPr>
          <w:ilvl w:val="0"/>
          <w:numId w:val="22"/>
        </w:numPr>
        <w:rPr>
          <w:rFonts w:ascii="Arial" w:cs="Arial" w:eastAsia="Arial" w:hAnsi="Arial"/>
          <w:sz w:val="17"/>
          <w:szCs w:val="17"/>
          <w:u w:val="single" w:color="auto"/>
          <w:color w:val="0000EE"/>
        </w:rPr>
      </w:pPr>
      <w:hyperlink r:id="rId118">
        <w:r>
          <w:rPr>
            <w:rFonts w:ascii="Arial" w:cs="Arial" w:eastAsia="Arial" w:hAnsi="Arial"/>
            <w:sz w:val="17"/>
            <w:szCs w:val="17"/>
            <w:u w:val="single" w:color="auto"/>
            <w:color w:val="0000EE"/>
          </w:rPr>
          <w:t>Amendment No. 2 to the Fourth Amended and Restated Receivables Purchase Agreement, dated July</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31, 2020, among Avnet, Inc., Avnet Receivables Corporation, Wells Fargo Bank, N.A., as agent, and the</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companies and financial institutions party thereto (incorporated herein by reference to Exhibit 10.1 to the</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Company’s Current Report on Form 8-K filed on August 6, 2020).</w:t>
        </w:r>
      </w:hyperlink>
    </w:p>
    <w:p>
      <w:pPr>
        <w:spacing w:after="0" w:line="171" w:lineRule="exact"/>
        <w:rPr>
          <w:rFonts w:ascii="Arial" w:cs="Arial" w:eastAsia="Arial" w:hAnsi="Arial"/>
          <w:sz w:val="17"/>
          <w:szCs w:val="17"/>
          <w:u w:val="single" w:color="auto"/>
          <w:color w:val="0000EE"/>
        </w:rPr>
      </w:pPr>
    </w:p>
    <w:p>
      <w:pPr>
        <w:jc w:val="both"/>
        <w:ind w:left="1200" w:right="219" w:hanging="2"/>
        <w:spacing w:after="0" w:line="279" w:lineRule="auto"/>
        <w:tabs>
          <w:tab w:leader="none" w:pos="1455" w:val="left"/>
        </w:tabs>
        <w:numPr>
          <w:ilvl w:val="0"/>
          <w:numId w:val="22"/>
        </w:numPr>
        <w:rPr>
          <w:rFonts w:ascii="Arial" w:cs="Arial" w:eastAsia="Arial" w:hAnsi="Arial"/>
          <w:sz w:val="17"/>
          <w:szCs w:val="17"/>
          <w:u w:val="single" w:color="auto"/>
          <w:color w:val="0000EE"/>
        </w:rPr>
      </w:pPr>
      <w:hyperlink r:id="rId119">
        <w:r>
          <w:rPr>
            <w:rFonts w:ascii="Arial" w:cs="Arial" w:eastAsia="Arial" w:hAnsi="Arial"/>
            <w:sz w:val="17"/>
            <w:szCs w:val="17"/>
            <w:u w:val="single" w:color="auto"/>
            <w:color w:val="0000EE"/>
          </w:rPr>
          <w:t>Amendment No. 3 to the Fourth Amended and Restated Receivables Purchase Agreement, dated July</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30, 2021, among Avnet, Inc., Avnet Receivables Corporation, Wells Fargo Bank, N.A., as agent, and the</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companies and financial institutions party thereto (incorporated herein by reference to Exhibit 10.18B4 to</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the Company’s Annual Report on Form 10-K filed on August 12, 2022).</w:t>
        </w:r>
      </w:hyperlink>
    </w:p>
    <w:p>
      <w:pPr>
        <w:spacing w:after="0" w:line="171" w:lineRule="exact"/>
        <w:rPr>
          <w:rFonts w:ascii="Arial" w:cs="Arial" w:eastAsia="Arial" w:hAnsi="Arial"/>
          <w:sz w:val="17"/>
          <w:szCs w:val="17"/>
          <w:u w:val="single" w:color="auto"/>
          <w:color w:val="0000EE"/>
        </w:rPr>
      </w:pPr>
    </w:p>
    <w:p>
      <w:pPr>
        <w:ind w:left="1200" w:right="139" w:hanging="2"/>
        <w:spacing w:after="0" w:line="279" w:lineRule="auto"/>
        <w:tabs>
          <w:tab w:leader="none" w:pos="1455" w:val="left"/>
        </w:tabs>
        <w:numPr>
          <w:ilvl w:val="0"/>
          <w:numId w:val="22"/>
        </w:numPr>
        <w:rPr>
          <w:rFonts w:ascii="Arial" w:cs="Arial" w:eastAsia="Arial" w:hAnsi="Arial"/>
          <w:sz w:val="17"/>
          <w:szCs w:val="17"/>
          <w:u w:val="single" w:color="auto"/>
          <w:color w:val="0000EE"/>
        </w:rPr>
      </w:pPr>
      <w:hyperlink r:id="rId120">
        <w:r>
          <w:rPr>
            <w:rFonts w:ascii="Arial" w:cs="Arial" w:eastAsia="Arial" w:hAnsi="Arial"/>
            <w:sz w:val="17"/>
            <w:szCs w:val="17"/>
            <w:u w:val="single" w:color="auto"/>
            <w:color w:val="0000EE"/>
          </w:rPr>
          <w:t>Amendment No. 4 to the Fourth Amended and Restated Receivables Purchase Agreement, dated</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August 16, 2021, among Avnet, Inc., Avnet Receivables Corporation, Wells Fargo Bank, N.A., as agent,</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and the companies and financial institutions party thereto (incorporated herein by reference to Exhibit 10.1</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to the Company’s Current Report on Form 8-K filed on August 18, 2021).</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3"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right="139" w:hanging="2"/>
        <w:spacing w:after="0" w:line="279" w:lineRule="auto"/>
        <w:tabs>
          <w:tab w:leader="none" w:pos="1455" w:val="left"/>
        </w:tabs>
        <w:numPr>
          <w:ilvl w:val="1"/>
          <w:numId w:val="23"/>
        </w:numPr>
        <w:rPr>
          <w:rFonts w:ascii="Arial" w:cs="Arial" w:eastAsia="Arial" w:hAnsi="Arial"/>
          <w:sz w:val="17"/>
          <w:szCs w:val="17"/>
          <w:u w:val="single" w:color="auto"/>
          <w:color w:val="0000EE"/>
        </w:rPr>
      </w:pPr>
      <w:hyperlink r:id="rId122">
        <w:r>
          <w:rPr>
            <w:rFonts w:ascii="Arial" w:cs="Arial" w:eastAsia="Arial" w:hAnsi="Arial"/>
            <w:sz w:val="17"/>
            <w:szCs w:val="17"/>
            <w:u w:val="single" w:color="auto"/>
            <w:color w:val="0000EE"/>
          </w:rPr>
          <w:t>Amendment No. 5 to the Fourth Amended and Restated Receivables Purchase Agreement, dated</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January 10, 2022, among Avnet, Inc., Avnet Receivables Corporation, Wells Fargo Bank, N.A., as agent,</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and the companies and financial institutions party thereto (incorporated herein by reference to Exhibit 10.1</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to the Company’s Quarterly Report on Form 10-Q filed on April 29, 2022).</w:t>
        </w:r>
      </w:hyperlink>
    </w:p>
    <w:p>
      <w:pPr>
        <w:spacing w:after="0" w:line="171" w:lineRule="exact"/>
        <w:rPr>
          <w:rFonts w:ascii="Arial" w:cs="Arial" w:eastAsia="Arial" w:hAnsi="Arial"/>
          <w:sz w:val="17"/>
          <w:szCs w:val="17"/>
          <w:u w:val="single" w:color="auto"/>
          <w:color w:val="0000EE"/>
        </w:rPr>
      </w:pPr>
    </w:p>
    <w:p>
      <w:pPr>
        <w:ind w:left="1200" w:right="99" w:hanging="2"/>
        <w:spacing w:after="0" w:line="279" w:lineRule="auto"/>
        <w:tabs>
          <w:tab w:leader="none" w:pos="1455" w:val="left"/>
        </w:tabs>
        <w:numPr>
          <w:ilvl w:val="1"/>
          <w:numId w:val="23"/>
        </w:numPr>
        <w:rPr>
          <w:rFonts w:ascii="Arial" w:cs="Arial" w:eastAsia="Arial" w:hAnsi="Arial"/>
          <w:sz w:val="17"/>
          <w:szCs w:val="17"/>
          <w:u w:val="single" w:color="auto"/>
          <w:color w:val="0000EE"/>
        </w:rPr>
      </w:pPr>
      <w:hyperlink r:id="rId123">
        <w:r>
          <w:rPr>
            <w:rFonts w:ascii="Arial" w:cs="Arial" w:eastAsia="Arial" w:hAnsi="Arial"/>
            <w:sz w:val="17"/>
            <w:szCs w:val="17"/>
            <w:u w:val="single" w:color="auto"/>
            <w:color w:val="0000EE"/>
          </w:rPr>
          <w:t>Amendment No. 6 to the Fourth Amended and Restated Receivables Purchase Agreement, dated</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December 16, 2022, among Avnet, Inc., Avnet Receivables Corporation, Wells Fargo Bank, N.A., as agent,</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and the companies and financial institutions party thereto (incorporated herein by reference to Exhibit 10.1</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to the Company’s Current Report on Form 8-K filed on December 21, 2022).</w:t>
        </w:r>
      </w:hyperlink>
    </w:p>
    <w:p>
      <w:pPr>
        <w:spacing w:after="0" w:line="171" w:lineRule="exact"/>
        <w:rPr>
          <w:rFonts w:ascii="Arial" w:cs="Arial" w:eastAsia="Arial" w:hAnsi="Arial"/>
          <w:sz w:val="17"/>
          <w:szCs w:val="17"/>
          <w:u w:val="single" w:color="auto"/>
          <w:color w:val="0000EE"/>
        </w:rPr>
      </w:pPr>
    </w:p>
    <w:p>
      <w:pPr>
        <w:ind w:left="1200" w:right="239" w:hanging="284"/>
        <w:spacing w:after="0" w:line="263" w:lineRule="auto"/>
        <w:rPr>
          <w:rFonts w:ascii="Arial" w:cs="Arial" w:eastAsia="Arial" w:hAnsi="Arial"/>
          <w:sz w:val="17"/>
          <w:szCs w:val="17"/>
          <w:u w:val="single" w:color="auto"/>
          <w:color w:val="0000EE"/>
        </w:rPr>
      </w:pPr>
      <w:r>
        <w:rPr>
          <w:rFonts w:ascii="Arial" w:cs="Arial" w:eastAsia="Arial" w:hAnsi="Arial"/>
          <w:sz w:val="18"/>
          <w:szCs w:val="18"/>
          <w:color w:val="auto"/>
        </w:rPr>
        <w:t xml:space="preserve">* </w:t>
      </w:r>
      <w:r>
        <w:rPr>
          <w:rFonts w:ascii="Arial" w:cs="Arial" w:eastAsia="Arial" w:hAnsi="Arial"/>
          <w:sz w:val="18"/>
          <w:szCs w:val="18"/>
          <w:u w:val="single" w:color="auto"/>
          <w:color w:val="0000EE"/>
        </w:rPr>
        <w:t>(8) Amendment No. 7 to the Fourth Amended and Restated Receivables Purchase Agreement, dated May</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12, 2023, among Avnet, Inc., Avnet Receivables Corporation, Wells Fargo Bank, N.A., as agent, and the companies and financial institutions party thereto.</w:t>
      </w:r>
    </w:p>
    <w:p>
      <w:pPr>
        <w:spacing w:after="0" w:line="184" w:lineRule="exact"/>
        <w:rPr>
          <w:rFonts w:ascii="Arial" w:cs="Arial" w:eastAsia="Arial" w:hAnsi="Arial"/>
          <w:sz w:val="17"/>
          <w:szCs w:val="17"/>
          <w:u w:val="single" w:color="auto"/>
          <w:color w:val="0000EE"/>
        </w:rPr>
      </w:pPr>
    </w:p>
    <w:p>
      <w:pPr>
        <w:ind w:left="280"/>
        <w:spacing w:after="0"/>
        <w:tabs>
          <w:tab w:leader="none" w:pos="11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Credit Facility</w:t>
      </w:r>
    </w:p>
    <w:p>
      <w:pPr>
        <w:spacing w:after="0" w:line="23" w:lineRule="exact"/>
        <w:rPr>
          <w:rFonts w:ascii="Arial" w:cs="Arial" w:eastAsia="Arial" w:hAnsi="Arial"/>
          <w:sz w:val="17"/>
          <w:szCs w:val="17"/>
          <w:u w:val="single" w:color="auto"/>
          <w:color w:val="0000EE"/>
        </w:rPr>
      </w:pPr>
    </w:p>
    <w:p>
      <w:pPr>
        <w:ind w:left="1200" w:right="79" w:hanging="2"/>
        <w:spacing w:after="0" w:line="253" w:lineRule="auto"/>
        <w:tabs>
          <w:tab w:leader="none" w:pos="1444" w:val="left"/>
        </w:tabs>
        <w:numPr>
          <w:ilvl w:val="0"/>
          <w:numId w:val="24"/>
        </w:numPr>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Amended and Restated Credit Agreement dated as of June 28, 2018, among Avnet, Inc., each subsidiary</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of the Company party thereto, Bank of America, N.A., as administrative agent, and each lender party</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thereto (incorporated herein by reference to Exhibit 10.1 to the Company’s Current Report on Form 8-K</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filed on July 2, 2018).</w:t>
        </w:r>
      </w:hyperlink>
    </w:p>
    <w:p>
      <w:pPr>
        <w:spacing w:after="0" w:line="192" w:lineRule="exact"/>
        <w:rPr>
          <w:rFonts w:ascii="Arial" w:cs="Arial" w:eastAsia="Arial" w:hAnsi="Arial"/>
          <w:sz w:val="18"/>
          <w:szCs w:val="18"/>
          <w:u w:val="single" w:color="auto"/>
          <w:color w:val="0000EE"/>
        </w:rPr>
      </w:pPr>
    </w:p>
    <w:p>
      <w:pPr>
        <w:ind w:left="1200" w:right="119" w:hanging="2"/>
        <w:spacing w:after="0" w:line="259" w:lineRule="auto"/>
        <w:tabs>
          <w:tab w:leader="none" w:pos="1455" w:val="left"/>
        </w:tabs>
        <w:numPr>
          <w:ilvl w:val="0"/>
          <w:numId w:val="24"/>
        </w:numPr>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Amendment No. 1 to the Amended and Restated Credit Agreement, dated August 4, 2020, among</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Avnet, Inc, Avnet Holding Europe BVBA, Bank of America, N.A., as administrative agent, and the lenders</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party thereto (incorporated herein by reference to Exhibit 10.3 to the Company’s Current Report on Form</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8-K filed on August 6, 2020).</w:t>
        </w:r>
      </w:hyperlink>
    </w:p>
    <w:p>
      <w:pPr>
        <w:spacing w:after="0" w:line="186" w:lineRule="exact"/>
        <w:rPr>
          <w:rFonts w:ascii="Arial" w:cs="Arial" w:eastAsia="Arial" w:hAnsi="Arial"/>
          <w:sz w:val="18"/>
          <w:szCs w:val="18"/>
          <w:u w:val="single" w:color="auto"/>
          <w:color w:val="0000EE"/>
        </w:rPr>
      </w:pPr>
    </w:p>
    <w:p>
      <w:pPr>
        <w:ind w:left="1200" w:right="219" w:hanging="2"/>
        <w:spacing w:after="0" w:line="259" w:lineRule="auto"/>
        <w:tabs>
          <w:tab w:leader="none" w:pos="1445" w:val="left"/>
        </w:tabs>
        <w:numPr>
          <w:ilvl w:val="0"/>
          <w:numId w:val="24"/>
        </w:numPr>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Amendment No. 2 to the Amended and Restated Credit Agreement, dated December 21, 2021, among</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Avnet, Inc., Avnet Holdings Europe BVBA and Bank of America, N.A., as administrative agent</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(incorporated herein by reference to Exhibit 10.1 to the Company’s Quarterly Report on Form 10-Q filed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on January 28, 2022).</w:t>
        </w:r>
      </w:hyperlink>
    </w:p>
    <w:p>
      <w:pPr>
        <w:spacing w:after="0" w:line="186" w:lineRule="exact"/>
        <w:rPr>
          <w:rFonts w:ascii="Arial" w:cs="Arial" w:eastAsia="Arial" w:hAnsi="Arial"/>
          <w:sz w:val="18"/>
          <w:szCs w:val="18"/>
          <w:u w:val="single" w:color="auto"/>
          <w:color w:val="0000EE"/>
        </w:rPr>
      </w:pPr>
    </w:p>
    <w:p>
      <w:pPr>
        <w:ind w:left="1200" w:right="179" w:hanging="2"/>
        <w:spacing w:after="0" w:line="259" w:lineRule="auto"/>
        <w:tabs>
          <w:tab w:leader="none" w:pos="1455" w:val="left"/>
        </w:tabs>
        <w:numPr>
          <w:ilvl w:val="0"/>
          <w:numId w:val="24"/>
        </w:numPr>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Second Amended and Restated Credit Agreement dated as of August 2, 2022, among Avnet, Inc., each</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subsidiary of the Company party thereto, Bank of America, N.A. as the administrative agent, and each</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lender party thereto (incorporated herein by reference to Exhibit 10.1 to the Company’s Current Report on</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Form 8-K filed on August 3, 2022).</w:t>
        </w:r>
      </w:hyperlink>
    </w:p>
    <w:p>
      <w:pPr>
        <w:spacing w:after="0" w:line="186" w:lineRule="exact"/>
        <w:rPr>
          <w:rFonts w:ascii="Arial" w:cs="Arial" w:eastAsia="Arial" w:hAnsi="Arial"/>
          <w:sz w:val="18"/>
          <w:szCs w:val="18"/>
          <w:u w:val="single" w:color="auto"/>
          <w:color w:val="0000EE"/>
        </w:rPr>
      </w:pPr>
    </w:p>
    <w:p>
      <w:pPr>
        <w:ind w:left="1200" w:right="219" w:hanging="2"/>
        <w:spacing w:after="0" w:line="279" w:lineRule="auto"/>
        <w:tabs>
          <w:tab w:leader="none" w:pos="1445" w:val="left"/>
        </w:tabs>
        <w:numPr>
          <w:ilvl w:val="0"/>
          <w:numId w:val="24"/>
        </w:numPr>
        <w:rPr>
          <w:rFonts w:ascii="Arial" w:cs="Arial" w:eastAsia="Arial" w:hAnsi="Arial"/>
          <w:sz w:val="17"/>
          <w:szCs w:val="17"/>
          <w:u w:val="single" w:color="auto"/>
          <w:color w:val="0000EE"/>
        </w:rPr>
      </w:pPr>
      <w:hyperlink r:id="rId128">
        <w:r>
          <w:rPr>
            <w:rFonts w:ascii="Arial" w:cs="Arial" w:eastAsia="Arial" w:hAnsi="Arial"/>
            <w:sz w:val="17"/>
            <w:szCs w:val="17"/>
            <w:u w:val="single" w:color="auto"/>
            <w:color w:val="0000EE"/>
          </w:rPr>
          <w:t>Amendment No. 1 to the Second Amended and Restated Credit Agreement, dated as of November 29,</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2022, among Avnet, Inc., each subsidiary of the Company party thereto, Bank of America, N.A., as the</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administrative agent, and each lender party thereto (incorporated by reference to Exhibit 10.2 to the</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Company’s Quarterly Report on Form 10-Q filed on February 3, 2023).</w:t>
        </w:r>
      </w:hyperlink>
    </w:p>
    <w:p>
      <w:pPr>
        <w:spacing w:after="0" w:line="154" w:lineRule="exact"/>
        <w:rPr>
          <w:rFonts w:ascii="Arial" w:cs="Arial" w:eastAsia="Arial" w:hAnsi="Arial"/>
          <w:sz w:val="17"/>
          <w:szCs w:val="17"/>
          <w:u w:val="single" w:color="auto"/>
          <w:color w:val="0000EE"/>
        </w:rPr>
      </w:pPr>
    </w:p>
    <w:tbl>
      <w:tblPr>
        <w:tblLayout w:type="fixed"/>
        <w:tblInd w:w="320" w:type="dxa"/>
        <w:tblCellMar>
          <w:top w:w="0" w:type="dxa"/>
          <w:left w:w="0" w:type="dxa"/>
          <w:bottom w:w="0" w:type="dxa"/>
          <w:right w:w="0" w:type="dxa"/>
        </w:tblCellMar>
      </w:tblPr>
      <w:tr>
        <w:trPr>
          <w:trHeight w:val="207"/>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21.1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List of subsidiaries of the Company as of July 1, 2023.</w:t>
            </w:r>
          </w:p>
        </w:tc>
        <w:tc>
          <w:tcPr>
            <w:tcW w:w="3680" w:type="dxa"/>
            <w:vAlign w:val="bottom"/>
            <w:gridSpan w:val="4"/>
          </w:tcPr>
          <w:p>
            <w:pPr>
              <w:spacing w:after="0"/>
              <w:rPr>
                <w:sz w:val="18"/>
                <w:szCs w:val="18"/>
                <w:color w:val="auto"/>
              </w:rPr>
            </w:pPr>
          </w:p>
        </w:tc>
      </w:tr>
      <w:tr>
        <w:trPr>
          <w:trHeight w:val="412"/>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23.1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Consent of KPMG LLP.</w:t>
            </w:r>
          </w:p>
        </w:tc>
        <w:tc>
          <w:tcPr>
            <w:tcW w:w="5880" w:type="dxa"/>
            <w:vAlign w:val="bottom"/>
            <w:gridSpan w:val="5"/>
          </w:tcPr>
          <w:p>
            <w:pPr>
              <w:spacing w:after="0"/>
              <w:rPr>
                <w:sz w:val="24"/>
                <w:szCs w:val="24"/>
                <w:color w:val="auto"/>
              </w:rPr>
            </w:pPr>
          </w:p>
        </w:tc>
      </w:tr>
      <w:tr>
        <w:trPr>
          <w:trHeight w:val="412"/>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24.1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Power of Attorney (incorporated by reference to the signature page of this Annual Report on Form 10-K).</w:t>
            </w:r>
          </w:p>
        </w:tc>
      </w:tr>
      <w:tr>
        <w:trPr>
          <w:trHeight w:val="412"/>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31.1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620" w:type="dxa"/>
            <w:vAlign w:val="bottom"/>
            <w:gridSpan w:val="6"/>
          </w:tcPr>
          <w:p>
            <w:pPr>
              <w:spacing w:after="0"/>
              <w:rPr>
                <w:sz w:val="20"/>
                <w:szCs w:val="20"/>
                <w:color w:val="auto"/>
              </w:rPr>
            </w:pPr>
            <w:r>
              <w:rPr>
                <w:rFonts w:ascii="Arial" w:cs="Arial" w:eastAsia="Arial" w:hAnsi="Arial"/>
                <w:sz w:val="18"/>
                <w:szCs w:val="18"/>
                <w:color w:val="0000EE"/>
                <w:w w:val="97"/>
              </w:rPr>
              <w:t>Certification of Chief Executive Officer pursuant to Section 302 of the Sarbanes-Oxley Act of 2002.</w:t>
            </w:r>
          </w:p>
        </w:tc>
      </w:tr>
      <w:tr>
        <w:trPr>
          <w:trHeight w:val="412"/>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31.2</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71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32.1</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2360" w:type="dxa"/>
            <w:vAlign w:val="bottom"/>
            <w:gridSpan w:val="3"/>
          </w:tcPr>
          <w:p>
            <w:pPr>
              <w:spacing w:after="0"/>
              <w:rPr>
                <w:sz w:val="24"/>
                <w:szCs w:val="24"/>
                <w:color w:val="auto"/>
              </w:rPr>
            </w:pPr>
          </w:p>
        </w:tc>
      </w:tr>
      <w:tr>
        <w:trPr>
          <w:trHeight w:val="412"/>
        </w:trPr>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32.2</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2360" w:type="dxa"/>
            <w:vAlign w:val="bottom"/>
            <w:gridSpan w:val="3"/>
          </w:tcPr>
          <w:p>
            <w:pPr>
              <w:spacing w:after="0"/>
              <w:rPr>
                <w:sz w:val="24"/>
                <w:szCs w:val="24"/>
                <w:color w:val="auto"/>
              </w:rPr>
            </w:pPr>
          </w:p>
        </w:tc>
      </w:tr>
    </w:tbl>
    <w:p>
      <w:pPr>
        <w:spacing w:after="0" w:line="200" w:lineRule="exact"/>
        <w:rPr>
          <w:rFonts w:ascii="Arial" w:cs="Arial" w:eastAsia="Arial" w:hAnsi="Arial"/>
          <w:sz w:val="17"/>
          <w:szCs w:val="17"/>
          <w:u w:val="single" w:color="auto"/>
          <w:color w:val="0000EE"/>
        </w:rPr>
      </w:pPr>
    </w:p>
    <w:p>
      <w:pPr>
        <w:sectPr>
          <w:pgSz w:w="11900" w:h="16838" w:orient="portrait"/>
          <w:cols w:equalWidth="0" w:num="1">
            <w:col w:w="9019"/>
          </w:cols>
          <w:pgMar w:left="1440" w:top="517" w:right="1440" w:bottom="1440" w:gutter="0" w:footer="0" w:header="0"/>
        </w:sectPr>
      </w:pPr>
    </w:p>
    <w:p>
      <w:pPr>
        <w:spacing w:after="0" w:line="245"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100" w:type="dxa"/>
            <w:vAlign w:val="bottom"/>
          </w:tcPr>
          <w:p>
            <w:pPr>
              <w:ind w:left="10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720" w:type="dxa"/>
            <w:vAlign w:val="bottom"/>
          </w:tcPr>
          <w:p>
            <w:pPr>
              <w:ind w:left="20"/>
              <w:spacing w:after="0"/>
              <w:rPr>
                <w:sz w:val="20"/>
                <w:szCs w:val="20"/>
                <w:color w:val="auto"/>
              </w:rPr>
            </w:pPr>
            <w:r>
              <w:rPr>
                <w:rFonts w:ascii="Arial" w:cs="Arial" w:eastAsia="Arial" w:hAnsi="Arial"/>
                <w:sz w:val="18"/>
                <w:szCs w:val="18"/>
                <w:color w:val="auto"/>
                <w:w w:val="93"/>
              </w:rPr>
              <w:t>101.SCH</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100" w:type="dxa"/>
            <w:vAlign w:val="bottom"/>
          </w:tcPr>
          <w:p>
            <w:pPr>
              <w:ind w:left="10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5100" w:type="dxa"/>
            <w:vAlign w:val="bottom"/>
          </w:tcPr>
          <w:p>
            <w:pPr>
              <w:ind w:left="10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10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720" w:type="dxa"/>
            <w:vAlign w:val="bottom"/>
          </w:tcPr>
          <w:p>
            <w:pPr>
              <w:ind w:left="20"/>
              <w:spacing w:after="0"/>
              <w:rPr>
                <w:sz w:val="20"/>
                <w:szCs w:val="20"/>
                <w:color w:val="auto"/>
              </w:rPr>
            </w:pPr>
            <w:r>
              <w:rPr>
                <w:rFonts w:ascii="Arial" w:cs="Arial" w:eastAsia="Arial" w:hAnsi="Arial"/>
                <w:sz w:val="18"/>
                <w:szCs w:val="18"/>
                <w:color w:val="auto"/>
                <w:w w:val="94"/>
              </w:rPr>
              <w:t>101.PRE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100" w:type="dxa"/>
            <w:vAlign w:val="bottom"/>
          </w:tcPr>
          <w:p>
            <w:pPr>
              <w:ind w:left="100"/>
              <w:spacing w:after="0"/>
              <w:rPr>
                <w:sz w:val="20"/>
                <w:szCs w:val="20"/>
                <w:color w:val="auto"/>
              </w:rPr>
            </w:pPr>
            <w:r>
              <w:rPr>
                <w:rFonts w:ascii="Arial" w:cs="Arial" w:eastAsia="Arial" w:hAnsi="Arial"/>
                <w:sz w:val="18"/>
                <w:szCs w:val="18"/>
                <w:color w:val="auto"/>
                <w:w w:val="91"/>
              </w:rPr>
              <w:t>Inline XBRL Taxonomy Extension Presentation Linkbase Document.</w:t>
            </w:r>
          </w:p>
        </w:tc>
      </w:tr>
      <w:tr>
        <w:trPr>
          <w:trHeight w:val="432"/>
        </w:trPr>
        <w:tc>
          <w:tcPr>
            <w:tcW w:w="720" w:type="dxa"/>
            <w:vAlign w:val="bottom"/>
          </w:tcPr>
          <w:p>
            <w:pPr>
              <w:ind w:left="20"/>
              <w:spacing w:after="0"/>
              <w:rPr>
                <w:sz w:val="20"/>
                <w:szCs w:val="20"/>
                <w:color w:val="auto"/>
              </w:rPr>
            </w:pPr>
            <w:r>
              <w:rPr>
                <w:rFonts w:ascii="Arial" w:cs="Arial" w:eastAsia="Arial" w:hAnsi="Arial"/>
                <w:sz w:val="18"/>
                <w:szCs w:val="18"/>
                <w:color w:val="auto"/>
                <w:w w:val="95"/>
              </w:rPr>
              <w:t>101.DEF</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100" w:type="dxa"/>
            <w:vAlign w:val="bottom"/>
          </w:tcPr>
          <w:p>
            <w:pPr>
              <w:ind w:left="100"/>
              <w:spacing w:after="0"/>
              <w:rPr>
                <w:sz w:val="20"/>
                <w:szCs w:val="20"/>
                <w:color w:val="auto"/>
              </w:rPr>
            </w:pPr>
            <w:r>
              <w:rPr>
                <w:rFonts w:ascii="Arial" w:cs="Arial" w:eastAsia="Arial" w:hAnsi="Arial"/>
                <w:sz w:val="18"/>
                <w:szCs w:val="18"/>
                <w:color w:val="auto"/>
                <w:w w:val="96"/>
              </w:rPr>
              <w:t>Inline XBRL Taxonomy Extension Definition Linkbase Document.</w:t>
            </w:r>
          </w:p>
        </w:tc>
      </w:tr>
    </w:tbl>
    <w:p>
      <w:pPr>
        <w:spacing w:after="0" w:line="202" w:lineRule="exact"/>
        <w:rPr>
          <w:sz w:val="20"/>
          <w:szCs w:val="20"/>
          <w:color w:val="auto"/>
        </w:rPr>
      </w:pPr>
    </w:p>
    <w:p>
      <w:pPr>
        <w:ind w:left="1200" w:right="819" w:hanging="853"/>
        <w:spacing w:after="0" w:line="277" w:lineRule="auto"/>
        <w:tabs>
          <w:tab w:leader="none" w:pos="9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w:t>
      </w:r>
    </w:p>
    <w:p>
      <w:pPr>
        <w:spacing w:after="0" w:line="39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ind w:left="520" w:hanging="37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-473075</wp:posOffset>
            </wp:positionV>
            <wp:extent cx="1414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July 1, 2023, July 2, 2022, and July 3,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Balance at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Charged to</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Beginning of</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Expense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End of</w:t>
            </w:r>
          </w:p>
        </w:tc>
      </w:tr>
      <w:tr>
        <w:trPr>
          <w:trHeight w:val="223"/>
        </w:trPr>
        <w:tc>
          <w:tcPr>
            <w:tcW w:w="31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Account Description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(Income)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Accounts</w:t>
            </w:r>
          </w:p>
        </w:tc>
        <w:tc>
          <w:tcPr>
            <w:tcW w:w="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Deductions</w:t>
            </w:r>
          </w:p>
        </w:tc>
        <w:tc>
          <w:tcPr>
            <w:tcW w:w="60" w:type="dxa"/>
            <w:vAlign w:val="bottom"/>
          </w:tcPr>
          <w:p>
            <w:pPr>
              <w:spacing w:after="0"/>
              <w:rPr>
                <w:sz w:val="19"/>
                <w:szCs w:val="19"/>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r>
      <w:tr>
        <w:trPr>
          <w:trHeight w:val="203"/>
        </w:trPr>
        <w:tc>
          <w:tcPr>
            <w:tcW w:w="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86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75"/>
              </w:rPr>
              <w:t>(Thousands)</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2023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Allowance for credit losses</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113,902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16,798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32"/>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  (17,857)(a)</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  112,843</w:t>
            </w:r>
          </w:p>
        </w:tc>
        <w:tc>
          <w:tcPr>
            <w:tcW w:w="60" w:type="dxa"/>
            <w:vAlign w:val="bottom"/>
          </w:tcPr>
          <w:p>
            <w:pPr>
              <w:spacing w:after="0"/>
              <w:rPr>
                <w:sz w:val="17"/>
                <w:szCs w:val="17"/>
                <w:color w:val="auto"/>
              </w:rPr>
            </w:pPr>
          </w:p>
        </w:tc>
      </w:tr>
      <w:tr>
        <w:trPr>
          <w:trHeight w:val="161"/>
        </w:trPr>
        <w:tc>
          <w:tcPr>
            <w:tcW w:w="20" w:type="dxa"/>
            <w:vAlign w:val="bottom"/>
          </w:tcPr>
          <w:p>
            <w:pPr>
              <w:spacing w:after="0"/>
              <w:rPr>
                <w:sz w:val="14"/>
                <w:szCs w:val="14"/>
                <w:color w:val="auto"/>
              </w:rPr>
            </w:pPr>
          </w:p>
        </w:tc>
        <w:tc>
          <w:tcPr>
            <w:tcW w:w="3080" w:type="dxa"/>
            <w:vAlign w:val="bottom"/>
            <w:gridSpan w:val="2"/>
            <w:shd w:val="clear" w:color="auto" w:fill="CCEEFF"/>
          </w:tcPr>
          <w:p>
            <w:pPr>
              <w:ind w:left="100"/>
              <w:spacing w:after="0" w:line="161" w:lineRule="exact"/>
              <w:rPr>
                <w:sz w:val="20"/>
                <w:szCs w:val="20"/>
                <w:color w:val="auto"/>
              </w:rPr>
            </w:pPr>
            <w:r>
              <w:rPr>
                <w:rFonts w:ascii="Arial" w:cs="Arial" w:eastAsia="Arial" w:hAnsi="Arial"/>
                <w:sz w:val="18"/>
                <w:szCs w:val="18"/>
                <w:color w:val="auto"/>
                <w:w w:val="97"/>
              </w:rPr>
              <w:t>Valuation allowance on tax loss carry-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207,889</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(4,675)(c)</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207,744</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Fiscal 2022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88,160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47,990</w:t>
            </w:r>
          </w:p>
        </w:tc>
        <w:tc>
          <w:tcPr>
            <w:tcW w:w="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(22,248)(a)</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113,902</w:t>
            </w:r>
          </w:p>
        </w:tc>
        <w:tc>
          <w:tcPr>
            <w:tcW w:w="60" w:type="dxa"/>
            <w:vAlign w:val="bottom"/>
            <w:shd w:val="clear" w:color="auto" w:fill="CCEEFF"/>
          </w:tcPr>
          <w:p>
            <w:pPr>
              <w:spacing w:after="0"/>
              <w:rPr>
                <w:sz w:val="17"/>
                <w:szCs w:val="17"/>
                <w:color w:val="auto"/>
              </w:rPr>
            </w:pPr>
          </w:p>
        </w:tc>
      </w:tr>
      <w:tr>
        <w:trPr>
          <w:trHeight w:val="161"/>
        </w:trPr>
        <w:tc>
          <w:tcPr>
            <w:tcW w:w="20" w:type="dxa"/>
            <w:vAlign w:val="bottom"/>
          </w:tcPr>
          <w:p>
            <w:pPr>
              <w:spacing w:after="0"/>
              <w:rPr>
                <w:sz w:val="14"/>
                <w:szCs w:val="14"/>
                <w:color w:val="auto"/>
              </w:rPr>
            </w:pPr>
          </w:p>
        </w:tc>
        <w:tc>
          <w:tcPr>
            <w:tcW w:w="3080" w:type="dxa"/>
            <w:vAlign w:val="bottom"/>
            <w:gridSpan w:val="2"/>
          </w:tcPr>
          <w:p>
            <w:pPr>
              <w:ind w:left="100"/>
              <w:spacing w:after="0" w:line="161" w:lineRule="exact"/>
              <w:rPr>
                <w:sz w:val="20"/>
                <w:szCs w:val="20"/>
                <w:color w:val="auto"/>
              </w:rPr>
            </w:pPr>
            <w:r>
              <w:rPr>
                <w:rFonts w:ascii="Arial" w:cs="Arial" w:eastAsia="Arial" w:hAnsi="Arial"/>
                <w:sz w:val="18"/>
                <w:szCs w:val="18"/>
                <w:color w:val="auto"/>
                <w:w w:val="97"/>
              </w:rPr>
              <w:t>Valuation allowance on tax loss carry-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forwards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293,569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Arial" w:cs="Arial" w:eastAsia="Arial" w:hAnsi="Arial"/>
                <w:sz w:val="18"/>
                <w:szCs w:val="18"/>
                <w:color w:val="auto"/>
                <w:w w:val="94"/>
              </w:rPr>
              <w:t>(65,208)(e)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w w:val="99"/>
              </w:rPr>
              <w:t>(20,472)(f)</w:t>
            </w:r>
          </w:p>
        </w:tc>
        <w:tc>
          <w:tcPr>
            <w:tcW w:w="6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207,889</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2021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65,018</w:t>
            </w:r>
          </w:p>
        </w:tc>
        <w:tc>
          <w:tcPr>
            <w:tcW w:w="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15,842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2"/>
              </w:rPr>
              <w:t>17,205 (h)</w:t>
            </w:r>
          </w:p>
        </w:tc>
        <w:tc>
          <w:tcPr>
            <w:tcW w:w="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(9,905)(a)</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88,160</w:t>
            </w:r>
          </w:p>
        </w:tc>
        <w:tc>
          <w:tcPr>
            <w:tcW w:w="60" w:type="dxa"/>
            <w:vAlign w:val="bottom"/>
          </w:tcPr>
          <w:p>
            <w:pPr>
              <w:spacing w:after="0"/>
              <w:rPr>
                <w:sz w:val="17"/>
                <w:szCs w:val="17"/>
                <w:color w:val="auto"/>
              </w:rPr>
            </w:pPr>
          </w:p>
        </w:tc>
      </w:tr>
      <w:tr>
        <w:trPr>
          <w:trHeight w:val="161"/>
        </w:trPr>
        <w:tc>
          <w:tcPr>
            <w:tcW w:w="20" w:type="dxa"/>
            <w:vAlign w:val="bottom"/>
          </w:tcPr>
          <w:p>
            <w:pPr>
              <w:spacing w:after="0"/>
              <w:rPr>
                <w:sz w:val="14"/>
                <w:szCs w:val="14"/>
                <w:color w:val="auto"/>
              </w:rPr>
            </w:pPr>
          </w:p>
        </w:tc>
        <w:tc>
          <w:tcPr>
            <w:tcW w:w="3080" w:type="dxa"/>
            <w:vAlign w:val="bottom"/>
            <w:gridSpan w:val="2"/>
            <w:shd w:val="clear" w:color="auto" w:fill="CCEEFF"/>
          </w:tcPr>
          <w:p>
            <w:pPr>
              <w:ind w:left="100"/>
              <w:spacing w:after="0" w:line="161" w:lineRule="exact"/>
              <w:rPr>
                <w:sz w:val="20"/>
                <w:szCs w:val="20"/>
                <w:color w:val="auto"/>
              </w:rPr>
            </w:pPr>
            <w:r>
              <w:rPr>
                <w:rFonts w:ascii="Arial" w:cs="Arial" w:eastAsia="Arial" w:hAnsi="Arial"/>
                <w:sz w:val="18"/>
                <w:szCs w:val="18"/>
                <w:color w:val="auto"/>
                <w:w w:val="97"/>
              </w:rPr>
              <w:t>Valuation allowance on tax loss carry-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283,721</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21,357</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(11,509)(c)</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293,569</w:t>
            </w:r>
          </w:p>
        </w:tc>
        <w:tc>
          <w:tcPr>
            <w:tcW w:w="60" w:type="dxa"/>
            <w:vAlign w:val="bottom"/>
            <w:shd w:val="clear" w:color="auto" w:fill="CCEEFF"/>
          </w:tcPr>
          <w:p>
            <w:pPr>
              <w:spacing w:after="0"/>
              <w:rPr>
                <w:sz w:val="20"/>
                <w:szCs w:val="20"/>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94" w:lineRule="exact"/>
        <w:rPr>
          <w:sz w:val="20"/>
          <w:szCs w:val="20"/>
          <w:color w:val="auto"/>
        </w:rPr>
      </w:pPr>
    </w:p>
    <w:p>
      <w:pPr>
        <w:ind w:left="380" w:right="319" w:hanging="330"/>
        <w:spacing w:after="0" w:line="32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represents uncollectible receivables written off and the impact of changes in foreign currency rates during the fiscal year.</w:t>
      </w:r>
    </w:p>
    <w:p>
      <w:pPr>
        <w:spacing w:after="0" w:line="8"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represents impact of current year activities.</w:t>
      </w:r>
    </w:p>
    <w:p>
      <w:pPr>
        <w:spacing w:after="0" w:line="103" w:lineRule="exact"/>
        <w:rPr>
          <w:rFonts w:ascii="Arial" w:cs="Arial" w:eastAsia="Arial" w:hAnsi="Arial"/>
          <w:sz w:val="18"/>
          <w:szCs w:val="18"/>
          <w:color w:val="auto"/>
        </w:rPr>
      </w:pPr>
    </w:p>
    <w:p>
      <w:pPr>
        <w:ind w:left="340" w:hanging="290"/>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related to impact of foreign currency exchange on valuation allowances.</w:t>
      </w:r>
    </w:p>
    <w:p>
      <w:pPr>
        <w:spacing w:after="0" w:line="103" w:lineRule="exact"/>
        <w:rPr>
          <w:rFonts w:ascii="Arial" w:cs="Arial" w:eastAsia="Arial" w:hAnsi="Arial"/>
          <w:sz w:val="18"/>
          <w:szCs w:val="18"/>
          <w:color w:val="auto"/>
        </w:rPr>
      </w:pPr>
    </w:p>
    <w:p>
      <w:pPr>
        <w:ind w:left="380" w:right="239" w:hanging="330"/>
        <w:spacing w:after="0" w:line="31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$17,202 of credit loss provisions associated with accounts receivable from Russian customers that are no longer considered collectible. See Note 4, “Receivables and Russian-Ukraine conflict related expenses” of the notes to consolidated financial statements of this Form 10-K.</w:t>
      </w:r>
    </w:p>
    <w:p>
      <w:pPr>
        <w:spacing w:after="0" w:line="21"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represents net release of valuation allowance and impact of current year activities.</w:t>
      </w:r>
    </w:p>
    <w:p>
      <w:pPr>
        <w:spacing w:after="0" w:line="103" w:lineRule="exact"/>
        <w:rPr>
          <w:rFonts w:ascii="Arial" w:cs="Arial" w:eastAsia="Arial" w:hAnsi="Arial"/>
          <w:sz w:val="18"/>
          <w:szCs w:val="18"/>
          <w:color w:val="auto"/>
        </w:rPr>
      </w:pPr>
    </w:p>
    <w:p>
      <w:pPr>
        <w:ind w:left="380" w:right="739" w:hanging="330"/>
        <w:spacing w:after="0" w:line="32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related to impact of pension-related other comprehensive income and foreign currency exchange on valuation allowances.</w:t>
      </w:r>
    </w:p>
    <w:p>
      <w:pPr>
        <w:spacing w:after="0" w:line="8" w:lineRule="exact"/>
        <w:rPr>
          <w:rFonts w:ascii="Arial" w:cs="Arial" w:eastAsia="Arial" w:hAnsi="Arial"/>
          <w:sz w:val="18"/>
          <w:szCs w:val="18"/>
          <w:color w:val="auto"/>
        </w:rPr>
      </w:pPr>
    </w:p>
    <w:p>
      <w:pPr>
        <w:ind w:left="380" w:right="559" w:hanging="330"/>
        <w:spacing w:after="0" w:line="31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Beginning balance includes $59,018 of allowance for credit losses associated with trade accounts receivable and $6,000 of allowance for credit losses associated with notes receivable prior to the adoption of a new accounting standard discussed further in (h) below.</w:t>
      </w:r>
    </w:p>
    <w:p>
      <w:pPr>
        <w:spacing w:after="0" w:line="21" w:lineRule="exact"/>
        <w:rPr>
          <w:rFonts w:ascii="Arial" w:cs="Arial" w:eastAsia="Arial" w:hAnsi="Arial"/>
          <w:sz w:val="18"/>
          <w:szCs w:val="18"/>
          <w:color w:val="auto"/>
        </w:rPr>
      </w:pPr>
    </w:p>
    <w:p>
      <w:pPr>
        <w:jc w:val="both"/>
        <w:ind w:left="380" w:right="419" w:hanging="330"/>
        <w:spacing w:after="0" w:line="310"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adopted ASU 2016-13, “</w:t>
      </w:r>
      <w:r>
        <w:rPr>
          <w:rFonts w:ascii="Arial" w:cs="Arial" w:eastAsia="Arial" w:hAnsi="Arial"/>
          <w:sz w:val="18"/>
          <w:szCs w:val="18"/>
          <w:i w:val="1"/>
          <w:iCs w:val="1"/>
          <w:color w:val="auto"/>
        </w:rPr>
        <w:t>Financial Instruments—Credit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Instruments</w:t>
      </w:r>
      <w:r>
        <w:rPr>
          <w:rFonts w:ascii="Arial" w:cs="Arial" w:eastAsia="Arial" w:hAnsi="Arial"/>
          <w:sz w:val="18"/>
          <w:szCs w:val="18"/>
          <w:color w:val="auto"/>
        </w:rPr>
        <w:t>” on June 28, 2020, with a cumulative effect adjustment to the opening balance of</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as of the beginning of fiscal 2021.</w:t>
      </w:r>
    </w:p>
    <w:p>
      <w:pPr>
        <w:spacing w:after="0" w:line="21" w:lineRule="exact"/>
        <w:rPr>
          <w:rFonts w:ascii="Arial" w:cs="Arial" w:eastAsia="Arial" w:hAnsi="Arial"/>
          <w:sz w:val="18"/>
          <w:szCs w:val="18"/>
          <w:color w:val="auto"/>
        </w:rPr>
      </w:pPr>
    </w:p>
    <w:p>
      <w:pPr>
        <w:ind w:left="340" w:hanging="290"/>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Primarily represents impact of current year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ind w:left="60" w:right="59" w:firstLine="427"/>
        <w:spacing w:after="0" w:line="32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560" w:type="dxa"/>
            <w:vAlign w:val="bottom"/>
            <w:gridSpan w:val="2"/>
          </w:tcPr>
          <w:p>
            <w:pPr>
              <w:ind w:left="1340"/>
              <w:spacing w:after="0"/>
              <w:rPr>
                <w:sz w:val="20"/>
                <w:szCs w:val="20"/>
                <w:color w:val="auto"/>
              </w:rPr>
            </w:pPr>
            <w:r>
              <w:rPr>
                <w:rFonts w:ascii="Arial" w:cs="Arial" w:eastAsia="Arial" w:hAnsi="Arial"/>
                <w:sz w:val="18"/>
                <w:szCs w:val="18"/>
                <w:color w:val="auto"/>
              </w:rPr>
              <w:t>AVNET, INC.</w:t>
            </w:r>
          </w:p>
        </w:tc>
        <w:tc>
          <w:tcPr>
            <w:tcW w:w="3380" w:type="dxa"/>
            <w:vAlign w:val="bottom"/>
          </w:tcPr>
          <w:p>
            <w:pPr>
              <w:spacing w:after="0"/>
              <w:rPr>
                <w:sz w:val="20"/>
                <w:szCs w:val="20"/>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August 18, 2023</w:t>
            </w:r>
          </w:p>
        </w:tc>
        <w:tc>
          <w:tcPr>
            <w:tcW w:w="256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380" w:type="dxa"/>
            <w:vAlign w:val="bottom"/>
          </w:tcPr>
          <w:p>
            <w:pPr>
              <w:jc w:val="center"/>
              <w:ind w:right="770"/>
              <w:spacing w:after="0"/>
              <w:rPr>
                <w:sz w:val="20"/>
                <w:szCs w:val="20"/>
                <w:color w:val="auto"/>
              </w:rPr>
            </w:pPr>
            <w:r>
              <w:rPr>
                <w:rFonts w:ascii="Arial" w:cs="Arial" w:eastAsia="Arial" w:hAnsi="Arial"/>
                <w:sz w:val="18"/>
                <w:szCs w:val="18"/>
                <w:color w:val="auto"/>
                <w:w w:val="96"/>
              </w:rPr>
              <w:t>/s/ PHILIP R. GALLAGHER</w:t>
            </w:r>
          </w:p>
        </w:tc>
      </w:tr>
      <w:tr>
        <w:trPr>
          <w:trHeight w:val="27"/>
        </w:trPr>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2"/>
        </w:trPr>
        <w:tc>
          <w:tcPr>
            <w:tcW w:w="2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80" w:type="dxa"/>
            <w:vAlign w:val="bottom"/>
          </w:tcPr>
          <w:p>
            <w:pPr>
              <w:jc w:val="center"/>
              <w:ind w:right="770"/>
              <w:spacing w:after="0"/>
              <w:rPr>
                <w:sz w:val="20"/>
                <w:szCs w:val="20"/>
                <w:color w:val="auto"/>
              </w:rPr>
            </w:pPr>
            <w:r>
              <w:rPr>
                <w:rFonts w:ascii="Arial" w:cs="Arial" w:eastAsia="Arial" w:hAnsi="Arial"/>
                <w:sz w:val="18"/>
                <w:szCs w:val="18"/>
                <w:color w:val="auto"/>
                <w:w w:val="93"/>
              </w:rPr>
              <w:t>Philip R. Gallagher</w:t>
            </w:r>
          </w:p>
        </w:tc>
      </w:tr>
      <w:tr>
        <w:trPr>
          <w:trHeight w:val="230"/>
        </w:trPr>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80" w:type="dxa"/>
            <w:vAlign w:val="bottom"/>
          </w:tcPr>
          <w:p>
            <w:pPr>
              <w:jc w:val="center"/>
              <w:ind w:right="770"/>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42" w:lineRule="exact"/>
        <w:rPr>
          <w:sz w:val="20"/>
          <w:szCs w:val="20"/>
          <w:color w:val="auto"/>
        </w:rPr>
      </w:pPr>
    </w:p>
    <w:p>
      <w:pPr>
        <w:jc w:val="both"/>
        <w:ind w:left="60" w:right="59" w:firstLine="427"/>
        <w:spacing w:after="0" w:line="300" w:lineRule="auto"/>
        <w:rPr>
          <w:sz w:val="20"/>
          <w:szCs w:val="20"/>
          <w:color w:val="auto"/>
        </w:rPr>
      </w:pPr>
      <w:r>
        <w:rPr>
          <w:rFonts w:ascii="Arial" w:cs="Arial" w:eastAsia="Arial" w:hAnsi="Arial"/>
          <w:sz w:val="17"/>
          <w:szCs w:val="17"/>
          <w:color w:val="auto"/>
        </w:rPr>
        <w:t>KNOW ALL MEN BY THESE PRESENTS, that each person whose signature appears below hereby authorizes and appoints each of Phil R. Gallagher and Kenneth A. Jacobson his or her attorneys-in-fact, for him or her in any and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42" w:lineRule="exact"/>
        <w:rPr>
          <w:sz w:val="20"/>
          <w:szCs w:val="20"/>
          <w:color w:val="auto"/>
        </w:rPr>
      </w:pPr>
    </w:p>
    <w:p>
      <w:pPr>
        <w:jc w:val="both"/>
        <w:ind w:left="60" w:right="59" w:firstLine="427"/>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18, 2023.</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2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 PHILIP R. GALLAGHER</w:t>
            </w:r>
          </w:p>
        </w:tc>
        <w:tc>
          <w:tcPr>
            <w:tcW w:w="320" w:type="dxa"/>
            <w:vAlign w:val="bottom"/>
          </w:tcPr>
          <w:p>
            <w:pPr>
              <w:spacing w:after="0"/>
              <w:rPr>
                <w:sz w:val="21"/>
                <w:szCs w:val="21"/>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Philip R. Gallagher</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RODNEY C. ADKINS</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2"/>
              </w:rPr>
              <w:t>Chair of the Board and 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2"/>
              </w:rPr>
              <w:t>Rodney C. Adkins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CARLO BOZOTTI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Carlo Bozotti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BRENDA L. FREEMAN</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8"/>
              </w:rPr>
              <w:t>Brenda L. Freeman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 ANN JENKINS</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Jo Ann Jenkins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OLEG KHAYKIN</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Oleg Khaykin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A. LAWRENCE</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9"/>
              </w:rPr>
              <w:t>James A. Lawrence</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ERNEST MADDOCK</w:t>
            </w:r>
          </w:p>
        </w:tc>
        <w:tc>
          <w:tcPr>
            <w:tcW w:w="320" w:type="dxa"/>
            <w:vAlign w:val="bottom"/>
          </w:tcPr>
          <w:p>
            <w:pPr>
              <w:spacing w:after="0"/>
              <w:rPr>
                <w:sz w:val="23"/>
                <w:szCs w:val="2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Ernest Maddock</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AVID MODJTABAI</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6"/>
              </w:rPr>
              <w:t>Avid Modjtabai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ADALIO T. SANCHEZ</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Adalio T. Sanchez</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80" w:type="dxa"/>
            <w:vAlign w:val="bottom"/>
          </w:tcPr>
          <w:p>
            <w:pPr>
              <w:jc w:val="center"/>
              <w:spacing w:after="0"/>
              <w:rPr>
                <w:sz w:val="20"/>
                <w:szCs w:val="20"/>
                <w:color w:val="auto"/>
              </w:rPr>
            </w:pPr>
            <w:r>
              <w:rPr>
                <w:rFonts w:ascii="Arial" w:cs="Arial" w:eastAsia="Arial" w:hAnsi="Arial"/>
                <w:sz w:val="18"/>
                <w:szCs w:val="18"/>
                <w:color w:val="auto"/>
                <w:w w:val="95"/>
              </w:rPr>
              <w:t>/s/ KENNETH A. JACOBSON</w:t>
            </w:r>
          </w:p>
        </w:tc>
        <w:tc>
          <w:tcPr>
            <w:tcW w:w="32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41"/>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Kenneth A. Jacobson</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tbl>
      <w:tblPr>
        <w:tblLayout w:type="fixed"/>
        <w:tblInd w:w="220" w:type="dxa"/>
        <w:tblCellMar>
          <w:top w:w="0" w:type="dxa"/>
          <w:left w:w="0" w:type="dxa"/>
          <w:bottom w:w="0" w:type="dxa"/>
          <w:right w:w="0" w:type="dxa"/>
        </w:tblCellMar>
      </w:tblPr>
      <w:tr>
        <w:trPr>
          <w:trHeight w:val="303"/>
        </w:trPr>
        <w:tc>
          <w:tcPr>
            <w:tcW w:w="618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486"/>
        </w:trPr>
        <w:tc>
          <w:tcPr>
            <w:tcW w:w="6180" w:type="dxa"/>
            <w:vAlign w:val="bottom"/>
          </w:tcPr>
          <w:p>
            <w:pPr>
              <w:ind w:left="3740"/>
              <w:spacing w:after="0"/>
              <w:rPr>
                <w:sz w:val="20"/>
                <w:szCs w:val="20"/>
                <w:color w:val="auto"/>
              </w:rPr>
            </w:pPr>
            <w:r>
              <w:rPr>
                <w:rFonts w:ascii="Arial" w:cs="Arial" w:eastAsia="Arial" w:hAnsi="Arial"/>
                <w:sz w:val="22"/>
                <w:szCs w:val="22"/>
                <w:b w:val="1"/>
                <w:bCs w:val="1"/>
                <w:color w:val="auto"/>
              </w:rPr>
              <w:t>Avnet, Inc.</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80" w:type="dxa"/>
            <w:vAlign w:val="bottom"/>
          </w:tcPr>
          <w:p>
            <w:pPr>
              <w:ind w:left="2480"/>
              <w:spacing w:after="0"/>
              <w:rPr>
                <w:sz w:val="20"/>
                <w:szCs w:val="20"/>
                <w:color w:val="auto"/>
              </w:rPr>
            </w:pPr>
            <w:r>
              <w:rPr>
                <w:rFonts w:ascii="Arial" w:cs="Arial" w:eastAsia="Arial" w:hAnsi="Arial"/>
                <w:sz w:val="22"/>
                <w:szCs w:val="22"/>
                <w:b w:val="1"/>
                <w:bCs w:val="1"/>
                <w:color w:val="auto"/>
                <w:w w:val="99"/>
              </w:rPr>
              <w:t>Foreign and Domestic Subsidiaries</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Company Name</w:t>
            </w:r>
          </w:p>
        </w:tc>
        <w:tc>
          <w:tcPr>
            <w:tcW w:w="2400" w:type="dxa"/>
            <w:vAlign w:val="bottom"/>
            <w:shd w:val="clear" w:color="auto" w:fill="C0C0C0"/>
          </w:tcPr>
          <w:p>
            <w:pPr>
              <w:ind w:left="80"/>
              <w:spacing w:after="0"/>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Pacific Holdings)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(NZ)</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(Shanghai)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Pte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ASIC Israel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Bidco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Business Services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Components Israel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 Mexico, S.A. de C.V.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Mexico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Holdings, Inc.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 Brasil Ltda.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Brazil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Serbia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Marketing (Australia) Pty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(China)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(Shenzhen)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Turkey İthalat İhracat Sanayi ve Ticaret Limited Şirketi</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Turkey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Holdings (Japan) Kabushiki Kaisha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Japan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Sp. z.o.o.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Poland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(Freiburg)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(Malta)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Malta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Elektronische Bauelemente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France</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Italy S.r.l.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Finance International S.à 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Financial Services Asia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France S.A.S.</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Group Holdings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South Africa (Pty)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UK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Iberia S.L.U.</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Spain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India Private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India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(Canada)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1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2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6"/>
                <w:szCs w:val="16"/>
                <w:color w:val="auto"/>
              </w:rPr>
              <w:t>Avnet International Holdings UK Limited</w:t>
            </w:r>
          </w:p>
        </w:tc>
        <w:tc>
          <w:tcPr>
            <w:tcW w:w="2420" w:type="dxa"/>
            <w:vAlign w:val="bottom"/>
            <w:gridSpan w:val="2"/>
          </w:tcPr>
          <w:p>
            <w:pPr>
              <w:ind w:left="8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557"/>
        </w:trPr>
        <w:tc>
          <w:tcPr>
            <w:tcW w:w="6180" w:type="dxa"/>
            <w:vAlign w:val="bottom"/>
            <w:tcBorders>
              <w:top w:val="single" w:sz="8" w:color="C0C0C0"/>
              <w:bottom w:val="single" w:sz="8" w:color="auto"/>
            </w:tcBorders>
          </w:tcPr>
          <w:p>
            <w:pPr>
              <w:spacing w:after="0"/>
              <w:rPr>
                <w:sz w:val="24"/>
                <w:szCs w:val="24"/>
                <w:color w:val="auto"/>
              </w:rPr>
            </w:pPr>
          </w:p>
        </w:tc>
        <w:tc>
          <w:tcPr>
            <w:tcW w:w="2400" w:type="dxa"/>
            <w:vAlign w:val="bottom"/>
            <w:tcBorders>
              <w:top w:val="single" w:sz="8" w:color="C0C0C0"/>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5" w:right="1440" w:bottom="1440" w:gutter="0" w:footer="0" w:header="0"/>
        </w:sectPr>
      </w:pPr>
    </w:p>
    <w:bookmarkStart w:id="78" w:name="page79"/>
    <w:bookmarkEnd w:id="7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Kabushiki Kaisha</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Japan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Korea,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Ireland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Bernburg GmbH &amp; Co. KG</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Belgium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Malaysia Sdn Bhd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Malaysia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Mexicana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AB</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Sweden</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Norway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Oy</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Finland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Philippines Pty Ltd.,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Philippines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Receivables Corporation</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SellCo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Netherlands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Services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South Africa (Pty)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South Africa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Sunrise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(Thailand)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Thailand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Electronics Marketing (Taiwan)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Taiwan (Province of China)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Hong Kong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(China)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(Tianjin)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VELOCITY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Ireland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AVT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Beijing Vanda Yunda IT Services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Brazil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Mexico Shareholder,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CELDIS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CM Satellite Systems,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COMBINED PRECISION COMPONENTS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Dragon Innovation (HK)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Beteiligungs-Verwaltungs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EOOD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Bulgaria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GmbH &amp; Co. KG</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International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Israel (2008)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Israel</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Kft</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Hungary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OÜ</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Estonia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Italy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Romania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Slovakia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France</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 z o.o.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Poland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Spain S.L.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Spain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spol. s r.o.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Czech Republic</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Ticaret Limited Sirketi</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Turkey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TOV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Ukraine</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Druzba Za Posredovanje D.O.O.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Slovenia</w:t>
            </w:r>
          </w:p>
        </w:tc>
      </w:tr>
      <w:tr>
        <w:trPr>
          <w:trHeight w:val="557"/>
        </w:trPr>
        <w:tc>
          <w:tcPr>
            <w:tcW w:w="5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3" w:right="1440" w:bottom="1440" w:gutter="0" w:footer="0" w:header="0"/>
        </w:sectPr>
      </w:pPr>
    </w:p>
    <w:bookmarkStart w:id="79" w:name="page80"/>
    <w:bookmarkEnd w:id="7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Unipessoal Lda,</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Portugal</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Erste Holding GmbH &amp; Co. KG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Management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Zweite Holding GmbH &amp; Co. KG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EBV-Elektronik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Electrolink (PTY)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South Africa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Electron House (Overseas)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sp. zoo</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Poland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Asia Pte.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Singapore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de Mexico, S. de R.L de C.V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Mexico</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Electronics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Ireland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Finance UK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Holding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Netherlands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India Pvt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India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New Zealand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Korea, Republic of</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Pte.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Singapore</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Pty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Australia</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Sdn. Bhd.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Malaysia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US Holdings Inc.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US Holdings LLC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 de R.L. de C.V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Mexico</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Electronics (China) Co.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China</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Hong Kong</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 Company</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Taiwan (Province of China)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Erste TENVA Property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Belgium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(BELGIUM) SA</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Belgium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(FRANCE) SAS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France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(NETHERLANDS)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Netherlands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AG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Switzerland</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(IRELAND)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Ireland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(ISRAEL)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Israel</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AB</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Sweden</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SL</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Spain</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DANMARK 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Denmark</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ELECTRONIC COMPONENTS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HOLDING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ITALIA SRL</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Italy</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OVERSEAS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Import Holdings LLC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INONE HOLDINGS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Kent One Corporation</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Holdings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Pty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Australia</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Mexico Holdings LLC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Corporation</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Electronics Corporation</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OY FARNELL (FINLAND) AB</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Finland</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Phoenics Electronics Corporation</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557"/>
        </w:trPr>
        <w:tc>
          <w:tcPr>
            <w:tcW w:w="49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3" w:right="1440" w:bottom="1440" w:gutter="0" w:footer="0" w:header="0"/>
        </w:sectPr>
      </w:pPr>
    </w:p>
    <w:bookmarkStart w:id="80" w:name="page81"/>
    <w:bookmarkEnd w:id="8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(SCOTLAND)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Canada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Canada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Corp.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FUNDING SCOTTISH LIMITED PARTNERSHIP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TRUSTEES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Properties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UK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Priya Softweb Solutions Pvt.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India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SEC International Holding Company II, L.L.C.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Shanghai FR International Trading Co.,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Shenzhen Embest Technology Co.,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Société Civile Immobilière du 22 rue de Dames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Softweb Solutions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Telmil Electronics,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Belgium Comm. VA</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Financial Management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INVESTMENTS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Management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UAB "EBV Elektronik"</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Lithuania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Vanda Computer System Integration (Shanghai) Company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Venezuelan Partner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Netherlands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France SAS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Holding</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UK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YEL Electronics (China)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Hong Kong</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YEL Electronics Hong Kong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Hong Kong</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ZWEITE TENVA Property GmbH Im Technologiepark</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800"/>
        </w:trPr>
        <w:tc>
          <w:tcPr>
            <w:tcW w:w="6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3" w:right="1440" w:bottom="1440" w:gutter="0" w:footer="0" w:header="0"/>
        </w:sectPr>
      </w:pPr>
    </w:p>
    <w:bookmarkStart w:id="81" w:name="page82"/>
    <w:bookmarkEnd w:id="81"/>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ind w:left="60" w:right="239"/>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(Nos. 333-208009, 333-227100 and 333-262379) on Form S-3 and (Nos. 333-45267, 333-112062, 333-140903, 333-171291, 333-177787, 333-192289, 333-214887, 333-220133, 333-228875 and 333-262380) on Form S-8 of our report dated August 18, 2023, with respect to the consolidated financial statements of Avnet, Inc. and subsidiaries and the effectiveness of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2" w:name="page83"/>
    <w:bookmarkEnd w:id="8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Philip R. Gallagher, certify that:</w:t>
      </w:r>
    </w:p>
    <w:p>
      <w:pPr>
        <w:spacing w:after="0" w:line="225" w:lineRule="exact"/>
        <w:rPr>
          <w:sz w:val="20"/>
          <w:szCs w:val="20"/>
          <w:color w:val="auto"/>
        </w:rPr>
      </w:pPr>
    </w:p>
    <w:p>
      <w:pPr>
        <w:ind w:left="620" w:hanging="32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620" w:right="379" w:hanging="327"/>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259" w:hanging="327"/>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20" w:right="119" w:hanging="327"/>
        <w:spacing w:after="0" w:line="311"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260" w:right="119" w:hanging="319"/>
        <w:spacing w:after="0" w:line="259"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60" w:right="79" w:hanging="319"/>
        <w:spacing w:after="0" w:line="259"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60" w:right="259" w:hanging="319"/>
        <w:spacing w:after="0" w:line="263"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260" w:right="99" w:hanging="319"/>
        <w:spacing w:after="0" w:line="259"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439" w:hanging="327"/>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ind w:left="1260" w:right="439" w:hanging="319"/>
        <w:spacing w:after="0" w:line="263"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260" w:right="219" w:hanging="319"/>
        <w:spacing w:after="0" w:line="277"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18, 2023</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PHILIP R. GALLAGHER</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28117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3" w:name="page84"/>
    <w:bookmarkEnd w:id="8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Kenneth A. Jacobson, certify that:</w:t>
      </w:r>
    </w:p>
    <w:p>
      <w:pPr>
        <w:spacing w:after="0" w:line="225" w:lineRule="exact"/>
        <w:rPr>
          <w:sz w:val="20"/>
          <w:szCs w:val="20"/>
          <w:color w:val="auto"/>
        </w:rPr>
      </w:pPr>
    </w:p>
    <w:p>
      <w:pPr>
        <w:ind w:left="620" w:hanging="32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620" w:right="379" w:hanging="327"/>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259" w:hanging="327"/>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20" w:right="119" w:hanging="327"/>
        <w:spacing w:after="0" w:line="311"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340" w:right="79" w:hanging="318"/>
        <w:spacing w:after="0" w:line="259"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40" w:right="179" w:hanging="318"/>
        <w:spacing w:after="0" w:line="259"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340" w:right="179" w:hanging="318"/>
        <w:spacing w:after="0" w:line="263"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40" w:right="139" w:hanging="318"/>
        <w:spacing w:after="0" w:line="259"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439" w:hanging="327"/>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ind w:left="1340" w:right="359" w:hanging="318"/>
        <w:spacing w:after="0" w:line="263"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40" w:right="139" w:hanging="318"/>
        <w:spacing w:after="0" w:line="277" w:lineRule="auto"/>
        <w:tabs>
          <w:tab w:leader="none" w:pos="13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18, 2023</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KENNETH A. JACOBSON</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4" w:name="page85"/>
    <w:bookmarkEnd w:id="8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In connection with the Annual Report on Form 10-K for the year ended July 1, 2023 (the “Report”), I, Philip R. Gallagher, Chief Executive Officer of Avnet, Inc. (the “Company”) hereby certify that:</w:t>
      </w:r>
    </w:p>
    <w:p>
      <w:pPr>
        <w:spacing w:after="0" w:line="170" w:lineRule="exact"/>
        <w:rPr>
          <w:sz w:val="20"/>
          <w:szCs w:val="20"/>
          <w:color w:val="auto"/>
        </w:rPr>
      </w:pPr>
    </w:p>
    <w:p>
      <w:pPr>
        <w:ind w:left="1020" w:right="37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18, 2023</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31750</wp:posOffset>
            </wp:positionV>
            <wp:extent cx="28289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Annual Report on Form 10-K for the year ended July 1, 2023 (the “Report”), I, Kenneth 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Jacobson, Chief Financial Officer of Avnet, Inc. (the “Company”) hereby certify that:</w:t>
      </w:r>
    </w:p>
    <w:p>
      <w:pPr>
        <w:spacing w:after="0" w:line="211" w:lineRule="exact"/>
        <w:rPr>
          <w:sz w:val="20"/>
          <w:szCs w:val="20"/>
          <w:color w:val="auto"/>
        </w:rPr>
      </w:pPr>
    </w:p>
    <w:p>
      <w:pPr>
        <w:ind w:left="1020" w:right="379" w:hanging="32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18, 2023</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KENNETH A. JACOBSON</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86" w:name="page87"/>
    <w:bookmarkEnd w:id="86"/>
    <w:p>
      <w:pPr>
        <w:jc w:val="right"/>
        <w:ind w:right="219"/>
        <w:spacing w:after="0"/>
        <w:rPr>
          <w:sz w:val="20"/>
          <w:szCs w:val="20"/>
          <w:color w:val="auto"/>
        </w:rPr>
      </w:pPr>
      <w:r>
        <w:rPr>
          <w:rFonts w:ascii="Arial" w:cs="Arial" w:eastAsia="Arial" w:hAnsi="Arial"/>
          <w:sz w:val="20"/>
          <w:szCs w:val="20"/>
          <w:b w:val="1"/>
          <w:bCs w:val="1"/>
          <w:color w:val="auto"/>
        </w:rPr>
        <w:t>Exhibit 10.17(b)(8)</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7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FOURTH AMENDED AND RESTATED RECEIVABLES PURCHASE AGREEMENT</w:t>
      </w:r>
    </w:p>
    <w:p>
      <w:pPr>
        <w:spacing w:after="0" w:line="200" w:lineRule="exact"/>
        <w:rPr>
          <w:sz w:val="20"/>
          <w:szCs w:val="20"/>
          <w:color w:val="auto"/>
        </w:rPr>
      </w:pPr>
    </w:p>
    <w:p>
      <w:pPr>
        <w:jc w:val="both"/>
        <w:ind w:left="200" w:right="219" w:firstLine="1296"/>
        <w:spacing w:after="0" w:line="269" w:lineRule="auto"/>
        <w:rPr>
          <w:sz w:val="20"/>
          <w:szCs w:val="20"/>
          <w:color w:val="auto"/>
        </w:rPr>
      </w:pPr>
      <w:r>
        <w:rPr>
          <w:rFonts w:ascii="Arial" w:cs="Arial" w:eastAsia="Arial" w:hAnsi="Arial"/>
          <w:sz w:val="18"/>
          <w:szCs w:val="18"/>
          <w:color w:val="auto"/>
        </w:rPr>
        <w:t>This Amendment No. 7 to the Fourth Amended and Restated Receivables Purchase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dated as of May 12, 2023, among Avnet Receivables Corporation,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Avnet, Inc., a New York corporation (“</w:t>
      </w:r>
      <w:r>
        <w:rPr>
          <w:rFonts w:ascii="Arial" w:cs="Arial" w:eastAsia="Arial" w:hAnsi="Arial"/>
          <w:sz w:val="18"/>
          <w:szCs w:val="18"/>
          <w:u w:val="single" w:color="auto"/>
          <w:color w:val="auto"/>
        </w:rPr>
        <w:t>Avnet</w:t>
      </w:r>
      <w:r>
        <w:rPr>
          <w:rFonts w:ascii="Arial" w:cs="Arial" w:eastAsia="Arial" w:hAnsi="Arial"/>
          <w:sz w:val="18"/>
          <w:szCs w:val="18"/>
          <w:color w:val="auto"/>
        </w:rPr>
        <w:t>”), as initial Servicer (the Servicer together with Seller, the “</w:t>
      </w:r>
      <w:r>
        <w:rPr>
          <w:rFonts w:ascii="Arial" w:cs="Arial" w:eastAsia="Arial" w:hAnsi="Arial"/>
          <w:sz w:val="18"/>
          <w:szCs w:val="18"/>
          <w:u w:val="single" w:color="auto"/>
          <w:color w:val="auto"/>
        </w:rPr>
        <w:t>Seller Parties</w:t>
      </w:r>
      <w:r>
        <w:rPr>
          <w:rFonts w:ascii="Arial" w:cs="Arial" w:eastAsia="Arial" w:hAnsi="Arial"/>
          <w:sz w:val="18"/>
          <w:szCs w:val="18"/>
          <w:color w:val="auto"/>
        </w:rPr>
        <w:t>” and each a “</w:t>
      </w:r>
      <w:r>
        <w:rPr>
          <w:rFonts w:ascii="Arial" w:cs="Arial" w:eastAsia="Arial" w:hAnsi="Arial"/>
          <w:sz w:val="18"/>
          <w:szCs w:val="18"/>
          <w:u w:val="single" w:color="auto"/>
          <w:color w:val="auto"/>
        </w:rPr>
        <w:t>Seller Party</w:t>
      </w:r>
      <w:r>
        <w:rPr>
          <w:rFonts w:ascii="Arial" w:cs="Arial" w:eastAsia="Arial" w:hAnsi="Arial"/>
          <w:sz w:val="18"/>
          <w:szCs w:val="18"/>
          <w:color w:val="auto"/>
        </w:rPr>
        <w:t>”), each of the entities party hereto identified as a “Financial Institution” (together with any of their respective successors and assigns hereunder, the “</w:t>
      </w:r>
      <w:r>
        <w:rPr>
          <w:rFonts w:ascii="Arial" w:cs="Arial" w:eastAsia="Arial" w:hAnsi="Arial"/>
          <w:sz w:val="18"/>
          <w:szCs w:val="18"/>
          <w:u w:val="single" w:color="auto"/>
          <w:color w:val="auto"/>
        </w:rPr>
        <w:t>Financial Institutions</w:t>
      </w:r>
      <w:r>
        <w:rPr>
          <w:rFonts w:ascii="Arial" w:cs="Arial" w:eastAsia="Arial" w:hAnsi="Arial"/>
          <w:sz w:val="18"/>
          <w:szCs w:val="18"/>
          <w:color w:val="auto"/>
        </w:rPr>
        <w:t>”), each of the entities party hereto identified as a “Company” (together with any of their respective successors and assigns hereunder, the “</w:t>
      </w:r>
      <w:r>
        <w:rPr>
          <w:rFonts w:ascii="Arial" w:cs="Arial" w:eastAsia="Arial" w:hAnsi="Arial"/>
          <w:sz w:val="18"/>
          <w:szCs w:val="18"/>
          <w:u w:val="single" w:color="auto"/>
          <w:color w:val="auto"/>
        </w:rPr>
        <w:t>Companies</w:t>
      </w:r>
      <w:r>
        <w:rPr>
          <w:rFonts w:ascii="Arial" w:cs="Arial" w:eastAsia="Arial" w:hAnsi="Arial"/>
          <w:sz w:val="18"/>
          <w:szCs w:val="18"/>
          <w:color w:val="auto"/>
        </w:rPr>
        <w:t>”) and Wells Fargo Bank, N.A., as agent for the Purchasers or any successor agent hereunder (together with its successors and assigns hereunder, the “</w:t>
      </w:r>
      <w:r>
        <w:rPr>
          <w:rFonts w:ascii="Arial" w:cs="Arial" w:eastAsia="Arial" w:hAnsi="Arial"/>
          <w:sz w:val="18"/>
          <w:szCs w:val="18"/>
          <w:u w:val="single" w:color="auto"/>
          <w:color w:val="auto"/>
        </w:rPr>
        <w:t>Agent</w:t>
      </w:r>
      <w:r>
        <w:rPr>
          <w:rFonts w:ascii="Arial" w:cs="Arial" w:eastAsia="Arial" w:hAnsi="Arial"/>
          <w:sz w:val="18"/>
          <w:szCs w:val="18"/>
          <w:color w:val="auto"/>
        </w:rPr>
        <w:t>”), amending the Fourth Amended and Restated Receivables Purchase Agreement, dated as of August 16, 2018 (as amended by Amendment No. 1 thereto, dated February 28, 2020, Amendment No. 2 thereto, dated as of July 31, 2020, Amendment No. 3 thereto, dated as of July 30, 2021, Amendment No. 4 thereto, dated as of August 16, 2021, Amendment No. 5 thereto, dated as of January 10, 2022, and Amendment No. 6 thereto, dated as of December 16, 2022,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as further amended, modified or supplemented from time to time, including through the date hereof, the “</w:t>
      </w:r>
      <w:r>
        <w:rPr>
          <w:rFonts w:ascii="Arial" w:cs="Arial" w:eastAsia="Arial" w:hAnsi="Arial"/>
          <w:sz w:val="18"/>
          <w:szCs w:val="18"/>
          <w:u w:val="single" w:color="auto"/>
          <w:color w:val="auto"/>
        </w:rPr>
        <w:t>Receivables Purchase Agreement</w:t>
      </w:r>
      <w:r>
        <w:rPr>
          <w:rFonts w:ascii="Arial" w:cs="Arial" w:eastAsia="Arial" w:hAnsi="Arial"/>
          <w:sz w:val="18"/>
          <w:szCs w:val="18"/>
          <w:color w:val="auto"/>
        </w:rPr>
        <w: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0"/>
          <w:szCs w:val="20"/>
          <w:color w:val="auto"/>
        </w:rPr>
        <w:t>The parties hereto are the current parties to the Existing Agreement and they now desire to amend the Existing Agreement, subject to the terms and conditions hereof, as more particularly described herein.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are hereby acknowledged, the parties hereto hereby agree as follows:</w:t>
      </w:r>
    </w:p>
    <w:p>
      <w:pPr>
        <w:spacing w:after="0" w:line="18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Definitions Used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Capitalized terms used herein and not otherwise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shall have the respective meanings set forth for such terms in, or incorporated by reference into, the Existing Agreement.</w:t>
      </w:r>
    </w:p>
    <w:p>
      <w:pPr>
        <w:spacing w:after="0" w:line="177" w:lineRule="exact"/>
        <w:rPr>
          <w:sz w:val="20"/>
          <w:szCs w:val="20"/>
          <w:color w:val="auto"/>
        </w:rPr>
      </w:pPr>
    </w:p>
    <w:p>
      <w:pPr>
        <w:jc w:val="both"/>
        <w:ind w:left="200" w:right="219" w:firstLine="648"/>
        <w:spacing w:after="0" w:line="267"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Amendment of Existing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the Existing Agreement is hereby amended as follows:</w:t>
      </w:r>
    </w:p>
    <w:p>
      <w:pPr>
        <w:spacing w:after="0" w:line="169" w:lineRule="exact"/>
        <w:rPr>
          <w:sz w:val="20"/>
          <w:szCs w:val="20"/>
          <w:color w:val="auto"/>
        </w:rPr>
      </w:pPr>
    </w:p>
    <w:p>
      <w:pPr>
        <w:ind w:left="200" w:right="219" w:firstLine="1305"/>
        <w:spacing w:after="0" w:line="260" w:lineRule="auto"/>
        <w:tabs>
          <w:tab w:leader="none" w:pos="195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following definitions in Exhibit I of the Existing Agreement are hereby deleted in their entirety and replaced with the following:</w:t>
      </w:r>
    </w:p>
    <w:p>
      <w:pPr>
        <w:spacing w:after="0" w:line="177" w:lineRule="exact"/>
        <w:rPr>
          <w:sz w:val="20"/>
          <w:szCs w:val="20"/>
          <w:color w:val="auto"/>
        </w:rPr>
      </w:pPr>
    </w:p>
    <w:p>
      <w:pPr>
        <w:jc w:val="both"/>
        <w:ind w:left="1500" w:right="219"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Fourth Amended and Restated Receivables Purchase Agreement, dated as of August 16, 2018, as amended by Amendment No. 1 hereto, dated as of February 28, 2020, Amendment No. 2 hereto, dated as of July 31, 2020, Amendment No. 3 hereto, dated as of July 30, 2021, Amendment No. 4 hereto, dated as of August 16, 2021, Amendment No. 5 hereto, dated as of January 10, 2022, Amendment No. 6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321310</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7" w:name="page88"/>
    <w:bookmarkEnd w:id="87"/>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8" w:lineRule="exact"/>
        <w:rPr>
          <w:sz w:val="20"/>
          <w:szCs w:val="20"/>
          <w:color w:val="auto"/>
        </w:rPr>
      </w:pPr>
    </w:p>
    <w:p>
      <w:pPr>
        <w:jc w:val="both"/>
        <w:ind w:left="1500" w:right="219"/>
        <w:spacing w:after="0" w:line="250" w:lineRule="auto"/>
        <w:rPr>
          <w:sz w:val="20"/>
          <w:szCs w:val="20"/>
          <w:color w:val="auto"/>
        </w:rPr>
      </w:pPr>
      <w:r>
        <w:rPr>
          <w:rFonts w:ascii="Arial" w:cs="Arial" w:eastAsia="Arial" w:hAnsi="Arial"/>
          <w:sz w:val="20"/>
          <w:szCs w:val="20"/>
          <w:color w:val="auto"/>
        </w:rPr>
        <w:t>dated as of December 16, 2022, Amendment No. 7 hereto, dated as of May 12, 2023, and as the same may be further amended, restated, supplemented or otherwise modified and in effect from time to time.</w:t>
      </w:r>
    </w:p>
    <w:p>
      <w:pPr>
        <w:spacing w:after="0" w:line="186" w:lineRule="exact"/>
        <w:rPr>
          <w:sz w:val="20"/>
          <w:szCs w:val="20"/>
          <w:color w:val="auto"/>
        </w:rPr>
      </w:pPr>
    </w:p>
    <w:p>
      <w:pPr>
        <w:jc w:val="both"/>
        <w:ind w:left="1500" w:right="219"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Limit</w:t>
      </w:r>
      <w:r>
        <w:rPr>
          <w:rFonts w:ascii="Arial" w:cs="Arial" w:eastAsia="Arial" w:hAnsi="Arial"/>
          <w:sz w:val="20"/>
          <w:szCs w:val="20"/>
          <w:color w:val="auto"/>
        </w:rPr>
        <w:t xml:space="preserve">” means $700,000,000, as such amount may be modified in accordance with the terms of </w:t>
      </w:r>
      <w:r>
        <w:rPr>
          <w:rFonts w:ascii="Arial" w:cs="Arial" w:eastAsia="Arial" w:hAnsi="Arial"/>
          <w:sz w:val="20"/>
          <w:szCs w:val="20"/>
          <w:u w:val="single" w:color="auto"/>
          <w:color w:val="auto"/>
        </w:rPr>
        <w:t>Section 4.6(b)</w:t>
      </w:r>
      <w:r>
        <w:rPr>
          <w:rFonts w:ascii="Arial" w:cs="Arial" w:eastAsia="Arial" w:hAnsi="Arial"/>
          <w:sz w:val="20"/>
          <w:szCs w:val="20"/>
          <w:color w:val="auto"/>
        </w:rPr>
        <w:t>.</w:t>
      </w:r>
    </w:p>
    <w:p>
      <w:pPr>
        <w:spacing w:after="0" w:line="177" w:lineRule="exact"/>
        <w:rPr>
          <w:sz w:val="20"/>
          <w:szCs w:val="20"/>
          <w:color w:val="auto"/>
        </w:rPr>
      </w:pPr>
    </w:p>
    <w:p>
      <w:pPr>
        <w:ind w:left="200" w:right="219" w:firstLine="1305"/>
        <w:spacing w:after="0" w:line="260" w:lineRule="auto"/>
        <w:tabs>
          <w:tab w:leader="none" w:pos="195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Schedule A to the Existing Agreement is hereby deleted in its entirety and replaced by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w:t>
      </w:r>
    </w:p>
    <w:p>
      <w:pPr>
        <w:spacing w:after="0" w:line="171" w:lineRule="exact"/>
        <w:rPr>
          <w:sz w:val="20"/>
          <w:szCs w:val="20"/>
          <w:color w:val="auto"/>
        </w:rPr>
      </w:pPr>
    </w:p>
    <w:p>
      <w:pPr>
        <w:ind w:left="200" w:right="239" w:firstLine="648"/>
        <w:spacing w:after="0" w:line="267" w:lineRule="auto"/>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b w:val="1"/>
          <w:bCs w:val="1"/>
          <w:u w:val="single" w:color="auto"/>
          <w:color w:val="auto"/>
        </w:rPr>
        <w:t>Conditions to Effectiveness of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shall become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hereof, upon the satisfaction of the conditions precedent that:</w:t>
      </w:r>
    </w:p>
    <w:p>
      <w:pPr>
        <w:spacing w:after="0" w:line="169" w:lineRule="exact"/>
        <w:rPr>
          <w:sz w:val="20"/>
          <w:szCs w:val="20"/>
          <w:color w:val="auto"/>
        </w:rPr>
      </w:pPr>
    </w:p>
    <w:p>
      <w:pPr>
        <w:jc w:val="both"/>
        <w:ind w:left="200" w:right="219" w:firstLine="1305"/>
        <w:spacing w:after="0" w:line="250" w:lineRule="auto"/>
        <w:tabs>
          <w:tab w:leader="none" w:pos="195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Agent, each Seller Party and each Purchaser shall have received, on or before the date hereof, executed counterparts of this Amendment, duly executed by each of the parties hereto.</w:t>
      </w:r>
    </w:p>
    <w:p>
      <w:pPr>
        <w:spacing w:after="0" w:line="185" w:lineRule="exact"/>
        <w:rPr>
          <w:rFonts w:ascii="Arial" w:cs="Arial" w:eastAsia="Arial" w:hAnsi="Arial"/>
          <w:sz w:val="20"/>
          <w:szCs w:val="20"/>
          <w:color w:val="auto"/>
        </w:rPr>
      </w:pPr>
    </w:p>
    <w:p>
      <w:pPr>
        <w:jc w:val="both"/>
        <w:ind w:left="200" w:right="219" w:firstLine="1305"/>
        <w:spacing w:after="0" w:line="250" w:lineRule="auto"/>
        <w:tabs>
          <w:tab w:leader="none" w:pos="195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Upfront Fee</w:t>
      </w:r>
      <w:r>
        <w:rPr>
          <w:rFonts w:ascii="Arial" w:cs="Arial" w:eastAsia="Arial" w:hAnsi="Arial"/>
          <w:sz w:val="20"/>
          <w:szCs w:val="20"/>
          <w:color w:val="auto"/>
        </w:rPr>
        <w:t>. On the date hereof, Seller shall have paid to The Bank of Nova Scotia (or to the Agent for the benefit of The Bank of Nova Scotia), a non-refundable, fully-earned upfront fee in an amount equal to $41,666.67.</w:t>
      </w:r>
    </w:p>
    <w:p>
      <w:pPr>
        <w:spacing w:after="0" w:line="185" w:lineRule="exact"/>
        <w:rPr>
          <w:rFonts w:ascii="Arial" w:cs="Arial" w:eastAsia="Arial" w:hAnsi="Arial"/>
          <w:sz w:val="20"/>
          <w:szCs w:val="20"/>
          <w:color w:val="auto"/>
        </w:rPr>
      </w:pPr>
    </w:p>
    <w:p>
      <w:pPr>
        <w:jc w:val="both"/>
        <w:ind w:left="200" w:right="219" w:firstLine="1305"/>
        <w:spacing w:after="0" w:line="263" w:lineRule="auto"/>
        <w:tabs>
          <w:tab w:leader="none" w:pos="195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Opinion</w:t>
      </w:r>
      <w:r>
        <w:rPr>
          <w:rFonts w:ascii="Arial" w:cs="Arial" w:eastAsia="Arial" w:hAnsi="Arial"/>
          <w:sz w:val="19"/>
          <w:szCs w:val="19"/>
          <w:color w:val="auto"/>
        </w:rPr>
        <w:t>. The Agent and each Purchaser shall have received a favorable opinion from counsel to the Seller Parties, addressed to the Agent and each Purchaser, in form and substance reasonably satisfactory to the Agent and each Purchaser, addressing corporate and enforceability matters with respect to Seller, Avnet, this Amendment and the Receivables Purchase Agreement.</w:t>
      </w:r>
    </w:p>
    <w:p>
      <w:pPr>
        <w:spacing w:after="0" w:line="176" w:lineRule="exact"/>
        <w:rPr>
          <w:rFonts w:ascii="Arial" w:cs="Arial" w:eastAsia="Arial" w:hAnsi="Arial"/>
          <w:sz w:val="19"/>
          <w:szCs w:val="19"/>
          <w:color w:val="auto"/>
        </w:rPr>
      </w:pPr>
    </w:p>
    <w:p>
      <w:pPr>
        <w:jc w:val="both"/>
        <w:ind w:left="200" w:right="219" w:firstLine="1305"/>
        <w:spacing w:after="0" w:line="244" w:lineRule="auto"/>
        <w:tabs>
          <w:tab w:leader="none" w:pos="195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As of the date hereof, both before and after giving effect to this Amendment, all of the representations and warranties of each Seller Party contained in the Receivables Purchase Agreement and in each other Transaction Document shall be true and correct in all material respects as though made on the date hereof (and by its execution hereof, each Seller Party shall be deemed to have represented and warranted such).</w:t>
      </w:r>
    </w:p>
    <w:p>
      <w:pPr>
        <w:spacing w:after="0" w:line="194" w:lineRule="exact"/>
        <w:rPr>
          <w:rFonts w:ascii="Arial" w:cs="Arial" w:eastAsia="Arial" w:hAnsi="Arial"/>
          <w:sz w:val="20"/>
          <w:szCs w:val="20"/>
          <w:color w:val="auto"/>
        </w:rPr>
      </w:pPr>
    </w:p>
    <w:p>
      <w:pPr>
        <w:jc w:val="both"/>
        <w:ind w:left="200" w:right="219" w:firstLine="1305"/>
        <w:spacing w:after="0" w:line="246" w:lineRule="auto"/>
        <w:tabs>
          <w:tab w:leader="none" w:pos="195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No Amortization Event or Potential Amortization Event</w:t>
      </w:r>
      <w:r>
        <w:rPr>
          <w:rFonts w:ascii="Arial" w:cs="Arial" w:eastAsia="Arial" w:hAnsi="Arial"/>
          <w:sz w:val="20"/>
          <w:szCs w:val="20"/>
          <w:color w:val="auto"/>
        </w:rPr>
        <w:t>. As of the date hereof, both before and after giving effect to this Amendment, no Amortization Event or Potential Amortization Event shall have occurred and be continuing (and by its execution hereof, each Seller Party shall be deemed to have represented and warranted such).</w:t>
      </w:r>
    </w:p>
    <w:p>
      <w:pPr>
        <w:spacing w:after="0" w:line="185" w:lineRule="exact"/>
        <w:rPr>
          <w:sz w:val="20"/>
          <w:szCs w:val="20"/>
          <w:color w:val="auto"/>
        </w:rPr>
      </w:pPr>
    </w:p>
    <w:p>
      <w:pPr>
        <w:ind w:left="860"/>
        <w:spacing w:after="0"/>
        <w:tabs>
          <w:tab w:leader="none" w:pos="19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u w:val="single" w:color="auto"/>
          <w:color w:val="auto"/>
        </w:rPr>
        <w:t>Special Incremental Purchase; Reallocation of Purchaser Interests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200" w:right="219" w:firstLine="1305"/>
        <w:spacing w:after="0" w:line="276" w:lineRule="auto"/>
        <w:tabs>
          <w:tab w:leader="none" w:pos="19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Seller hereby requests on a one-time basis that, in connection with the increases to the Purchase Limit and Commitment occurring on the date hereof, the Purchasers make an Incremental Purchase on the terms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Special Incremental Purchase</w:t>
      </w:r>
      <w:r>
        <w:rPr>
          <w:rFonts w:ascii="Arial" w:cs="Arial" w:eastAsia="Arial" w:hAnsi="Arial"/>
          <w:sz w:val="18"/>
          <w:szCs w:val="18"/>
          <w:color w:val="auto"/>
        </w:rPr>
        <w:t xml:space="preserve">”). Each Purchaser consents to, and hereby waives the requirements of Section 1.2 of the Receivables Purchase Agreement that would otherwise be applicable to, the Special Incremental Purchase, and further agrees to pay or receive, as applicable, the amount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w:t>
      </w:r>
      <w:r>
        <w:rPr>
          <w:rFonts w:ascii="Arial" w:cs="Arial" w:eastAsia="Arial" w:hAnsi="Arial"/>
          <w:sz w:val="18"/>
          <w:szCs w:val="18"/>
          <w:u w:val="single" w:color="auto"/>
          <w:color w:val="auto"/>
        </w:rPr>
        <w:t>Reallocation Payments/Receipts</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left="200" w:right="219" w:firstLine="1305"/>
        <w:spacing w:after="0" w:line="282" w:lineRule="auto"/>
        <w:tabs>
          <w:tab w:leader="none" w:pos="19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parties hereto agree that, as of the date hereof, and after giving effect to the transactions contemplated in this Amendment, including the Special Incremental Purchase and Reallocation Payments/Receipts, the Agent will reallocate the Purchaser Interests of each Purchaser such that, after giving effect thereto, the amount of Capital related to the Purchaser Interests of each Purchaser shall be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8" w:name="page89"/>
    <w:bookmarkEnd w:id="88"/>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0" w:lineRule="exact"/>
        <w:rPr>
          <w:sz w:val="20"/>
          <w:szCs w:val="20"/>
          <w:color w:val="auto"/>
        </w:rPr>
      </w:pPr>
    </w:p>
    <w:p>
      <w:pPr>
        <w:spacing w:after="0" w:line="224" w:lineRule="exact"/>
        <w:rPr>
          <w:sz w:val="20"/>
          <w:szCs w:val="20"/>
          <w:color w:val="auto"/>
        </w:rPr>
      </w:pPr>
    </w:p>
    <w:p>
      <w:pPr>
        <w:jc w:val="both"/>
        <w:ind w:left="200" w:right="219"/>
        <w:spacing w:after="0" w:line="316" w:lineRule="auto"/>
        <w:rPr>
          <w:sz w:val="20"/>
          <w:szCs w:val="20"/>
          <w:color w:val="auto"/>
        </w:rPr>
      </w:pPr>
      <w:r>
        <w:rPr>
          <w:rFonts w:ascii="Arial" w:cs="Arial" w:eastAsia="Arial" w:hAnsi="Arial"/>
          <w:sz w:val="18"/>
          <w:szCs w:val="18"/>
          <w:color w:val="auto"/>
        </w:rPr>
        <w:t>equal to such Purchaser’s proportionate share of the Purchase Limit. For the avoidance of doubt, such reallocation may require the reallocation of Purchaser Interests from one Purchaser to another Purchaser.</w:t>
      </w:r>
    </w:p>
    <w:p>
      <w:pPr>
        <w:spacing w:after="0" w:line="130" w:lineRule="exact"/>
        <w:rPr>
          <w:sz w:val="20"/>
          <w:szCs w:val="20"/>
          <w:color w:val="auto"/>
        </w:rPr>
      </w:pPr>
    </w:p>
    <w:p>
      <w:pPr>
        <w:jc w:val="both"/>
        <w:ind w:left="200" w:right="219" w:firstLine="1305"/>
        <w:spacing w:after="0" w:line="260" w:lineRule="auto"/>
        <w:tabs>
          <w:tab w:leader="none" w:pos="1950"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On the date hereof, the Agent shall remit to any Purchaser the portion of Capital, if any, that is necessary to give effect to the reallocation of the Purchaser Interest among the Purchasers described in the preceding </w:t>
      </w:r>
      <w:r>
        <w:rPr>
          <w:rFonts w:ascii="Arial" w:cs="Arial" w:eastAsia="Arial" w:hAnsi="Arial"/>
          <w:sz w:val="19"/>
          <w:szCs w:val="19"/>
          <w:u w:val="single" w:color="auto"/>
          <w:color w:val="auto"/>
        </w:rPr>
        <w:t>clause (b)</w:t>
      </w:r>
      <w:r>
        <w:rPr>
          <w:rFonts w:ascii="Arial" w:cs="Arial" w:eastAsia="Arial" w:hAnsi="Arial"/>
          <w:sz w:val="19"/>
          <w:szCs w:val="19"/>
          <w:color w:val="auto"/>
        </w:rPr>
        <w:t>. In connection with any repayment of the Capital of any Purchaser as a result of such reallocation, Seller shall pay all interest (including breakage costs) due on the amount repaid to the date of repayment on the immediately following Settlement Date.</w:t>
      </w:r>
    </w:p>
    <w:p>
      <w:pPr>
        <w:spacing w:after="0" w:line="174" w:lineRule="exact"/>
        <w:rPr>
          <w:sz w:val="20"/>
          <w:szCs w:val="20"/>
          <w:color w:val="auto"/>
        </w:rPr>
      </w:pPr>
    </w:p>
    <w:p>
      <w:pPr>
        <w:ind w:left="860"/>
        <w:spacing w:after="0"/>
        <w:tabs>
          <w:tab w:leader="none" w:pos="19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left="200" w:right="219" w:firstLine="1305"/>
        <w:spacing w:after="0" w:line="254" w:lineRule="auto"/>
        <w:tabs>
          <w:tab w:leader="none" w:pos="195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Effect; Ratification</w:t>
      </w:r>
      <w:r>
        <w:rPr>
          <w:rFonts w:ascii="Arial" w:cs="Arial" w:eastAsia="Arial" w:hAnsi="Arial"/>
          <w:sz w:val="19"/>
          <w:szCs w:val="19"/>
          <w:color w:val="auto"/>
        </w:rPr>
        <w:t>. This Amendment is effective solely for the purposes set forth herein and shall be limited precisely as written, and shall not be deemed (i) to be a consent to, or an acknowledgment of, any amendment, waiver or modification of any other term or condition of the Existing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or any other instrument or agreement referred to therein. Each reference in the Receivables Purchase Agreement to “this Agreement,” “herein,” “hereof” and words of like import and each reference in the other Transaction Documents to the Existing Agreement or to the “Receivables Purchase Agreement” shall mean the Existing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spacing w:after="0" w:line="191" w:lineRule="exact"/>
        <w:rPr>
          <w:rFonts w:ascii="Arial" w:cs="Arial" w:eastAsia="Arial" w:hAnsi="Arial"/>
          <w:sz w:val="19"/>
          <w:szCs w:val="19"/>
          <w:color w:val="auto"/>
        </w:rPr>
      </w:pPr>
    </w:p>
    <w:p>
      <w:pPr>
        <w:jc w:val="both"/>
        <w:ind w:left="200" w:right="219" w:firstLine="1305"/>
        <w:spacing w:after="0" w:line="250" w:lineRule="auto"/>
        <w:tabs>
          <w:tab w:leader="none" w:pos="195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This Amendment is a Transaction Document executed pursuant to the Receivables Purchase Agreement and shall be construed, administered and applied in accordance with the terms and provisions thereof.</w:t>
      </w:r>
    </w:p>
    <w:p>
      <w:pPr>
        <w:spacing w:after="0" w:line="185" w:lineRule="exact"/>
        <w:rPr>
          <w:rFonts w:ascii="Arial" w:cs="Arial" w:eastAsia="Arial" w:hAnsi="Arial"/>
          <w:sz w:val="20"/>
          <w:szCs w:val="20"/>
          <w:color w:val="auto"/>
        </w:rPr>
      </w:pPr>
    </w:p>
    <w:p>
      <w:pPr>
        <w:jc w:val="both"/>
        <w:ind w:left="200" w:right="219" w:firstLine="1305"/>
        <w:spacing w:after="0" w:line="246" w:lineRule="auto"/>
        <w:tabs>
          <w:tab w:leader="none" w:pos="195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Costs, Fees and Expenses</w:t>
      </w:r>
      <w:r>
        <w:rPr>
          <w:rFonts w:ascii="Arial" w:cs="Arial" w:eastAsia="Arial" w:hAnsi="Arial"/>
          <w:sz w:val="20"/>
          <w:szCs w:val="20"/>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spacing w:after="0" w:line="191" w:lineRule="exact"/>
        <w:rPr>
          <w:rFonts w:ascii="Arial" w:cs="Arial" w:eastAsia="Arial" w:hAnsi="Arial"/>
          <w:sz w:val="20"/>
          <w:szCs w:val="20"/>
          <w:color w:val="auto"/>
        </w:rPr>
      </w:pPr>
    </w:p>
    <w:p>
      <w:pPr>
        <w:jc w:val="both"/>
        <w:ind w:left="200" w:right="219" w:firstLine="1305"/>
        <w:spacing w:after="0" w:line="250" w:lineRule="auto"/>
        <w:tabs>
          <w:tab w:leader="none" w:pos="195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such counterpart constituting an original and all of which when taken together shall constitute one and the same instrument.</w:t>
      </w:r>
    </w:p>
    <w:p>
      <w:pPr>
        <w:spacing w:after="0" w:line="185" w:lineRule="exact"/>
        <w:rPr>
          <w:rFonts w:ascii="Arial" w:cs="Arial" w:eastAsia="Arial" w:hAnsi="Arial"/>
          <w:sz w:val="20"/>
          <w:szCs w:val="20"/>
          <w:color w:val="auto"/>
        </w:rPr>
      </w:pPr>
    </w:p>
    <w:p>
      <w:pPr>
        <w:jc w:val="both"/>
        <w:ind w:left="200" w:right="219" w:firstLine="1305"/>
        <w:spacing w:after="0" w:line="263" w:lineRule="auto"/>
        <w:tabs>
          <w:tab w:leader="none" w:pos="195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176" w:lineRule="exact"/>
        <w:rPr>
          <w:rFonts w:ascii="Arial" w:cs="Arial" w:eastAsia="Arial" w:hAnsi="Arial"/>
          <w:sz w:val="19"/>
          <w:szCs w:val="19"/>
          <w:color w:val="auto"/>
        </w:rPr>
      </w:pPr>
    </w:p>
    <w:p>
      <w:pPr>
        <w:jc w:val="both"/>
        <w:ind w:left="200" w:right="219" w:firstLine="1305"/>
        <w:spacing w:after="0" w:line="263" w:lineRule="auto"/>
        <w:tabs>
          <w:tab w:leader="none" w:pos="195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176" w:lineRule="exact"/>
        <w:rPr>
          <w:rFonts w:ascii="Arial" w:cs="Arial" w:eastAsia="Arial" w:hAnsi="Arial"/>
          <w:sz w:val="19"/>
          <w:szCs w:val="19"/>
          <w:color w:val="auto"/>
        </w:rPr>
      </w:pPr>
    </w:p>
    <w:p>
      <w:pPr>
        <w:ind w:left="200" w:right="219" w:firstLine="1305"/>
        <w:spacing w:after="0" w:line="287" w:lineRule="auto"/>
        <w:tabs>
          <w:tab w:leader="none" w:pos="195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TRIAL BY JURY IN ANY JUDICIAL PROCEEDING INVOLVING, DIRECTLY OR INDIRECTLY, ANY</w:t>
      </w:r>
    </w:p>
    <w:p>
      <w:pPr>
        <w:sectPr>
          <w:pgSz w:w="11900" w:h="16838" w:orient="portrait"/>
          <w:cols w:equalWidth="0" w:num="1">
            <w:col w:w="9019"/>
          </w:cols>
          <w:pgMar w:left="1440" w:top="665" w:right="1440"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89" w:name="page90"/>
    <w:bookmarkEnd w:id="89"/>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0" w:lineRule="exact"/>
        <w:rPr>
          <w:sz w:val="20"/>
          <w:szCs w:val="20"/>
          <w:color w:val="auto"/>
        </w:rPr>
      </w:pPr>
    </w:p>
    <w:p>
      <w:pPr>
        <w:spacing w:after="0" w:line="224"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0"/>
          <w:szCs w:val="20"/>
          <w:color w:val="auto"/>
        </w:rPr>
        <w:t>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0" w:name="page91"/>
    <w:bookmarkEnd w:id="90"/>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3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9"/>
          <w:szCs w:val="19"/>
          <w:color w:val="auto"/>
        </w:rPr>
        <w:t>IN WITNESS WHEREOF, the parties hereto have caused this Amendment to be executed and delivered by their respective duly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AVNET RECEIVABLES CORPORATION,</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Buyer and as Seller</w:t>
      </w:r>
    </w:p>
    <w:p>
      <w:pPr>
        <w:spacing w:after="0" w:line="200" w:lineRule="exact"/>
        <w:rPr>
          <w:sz w:val="20"/>
          <w:szCs w:val="20"/>
          <w:color w:val="auto"/>
        </w:rPr>
      </w:pPr>
    </w:p>
    <w:p>
      <w:pPr>
        <w:spacing w:after="0" w:line="242" w:lineRule="exact"/>
        <w:rPr>
          <w:sz w:val="20"/>
          <w:szCs w:val="20"/>
          <w:color w:val="auto"/>
        </w:rPr>
      </w:pPr>
    </w:p>
    <w:tbl>
      <w:tblPr>
        <w:tblLayout w:type="fixed"/>
        <w:tblInd w:w="4180" w:type="dxa"/>
        <w:tblCellMar>
          <w:top w:w="0" w:type="dxa"/>
          <w:left w:w="0" w:type="dxa"/>
          <w:bottom w:w="0" w:type="dxa"/>
          <w:right w:w="0" w:type="dxa"/>
        </w:tblCellMar>
      </w:tblPr>
      <w:tr>
        <w:trPr>
          <w:trHeight w:val="24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Ken Jacobson</w:t>
            </w:r>
          </w:p>
        </w:tc>
      </w:tr>
      <w:tr>
        <w:trPr>
          <w:trHeight w:val="213"/>
        </w:trPr>
        <w:tc>
          <w:tcPr>
            <w:tcW w:w="64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980" w:type="dxa"/>
            <w:vAlign w:val="bottom"/>
          </w:tcPr>
          <w:p>
            <w:pPr>
              <w:ind w:left="100"/>
              <w:spacing w:after="0" w:line="212" w:lineRule="exact"/>
              <w:rPr>
                <w:sz w:val="20"/>
                <w:szCs w:val="20"/>
                <w:color w:val="auto"/>
              </w:rPr>
            </w:pPr>
            <w:r>
              <w:rPr>
                <w:rFonts w:ascii="Arial" w:cs="Arial" w:eastAsia="Arial" w:hAnsi="Arial"/>
                <w:sz w:val="20"/>
                <w:szCs w:val="20"/>
                <w:color w:val="auto"/>
              </w:rPr>
              <w:t>Ken Jacobson</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980" w:type="dxa"/>
            <w:vAlign w:val="bottom"/>
          </w:tcPr>
          <w:p>
            <w:pPr>
              <w:ind w:left="100"/>
              <w:spacing w:after="0"/>
              <w:rPr>
                <w:sz w:val="20"/>
                <w:szCs w:val="20"/>
                <w:color w:val="auto"/>
              </w:rPr>
            </w:pPr>
            <w:r>
              <w:rPr>
                <w:rFonts w:ascii="Arial" w:cs="Arial" w:eastAsia="Arial" w:hAnsi="Arial"/>
                <w:sz w:val="20"/>
                <w:szCs w:val="20"/>
                <w:color w:val="auto"/>
              </w:rPr>
              <w:t>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AVNET, INC., as Originator and as Servicer</w:t>
      </w:r>
    </w:p>
    <w:p>
      <w:pPr>
        <w:spacing w:after="0" w:line="200" w:lineRule="exact"/>
        <w:rPr>
          <w:sz w:val="20"/>
          <w:szCs w:val="20"/>
          <w:color w:val="auto"/>
        </w:rPr>
      </w:pPr>
    </w:p>
    <w:p>
      <w:pPr>
        <w:spacing w:after="0" w:line="258" w:lineRule="exact"/>
        <w:rPr>
          <w:sz w:val="20"/>
          <w:szCs w:val="20"/>
          <w:color w:val="auto"/>
        </w:rPr>
      </w:pPr>
    </w:p>
    <w:tbl>
      <w:tblPr>
        <w:tblLayout w:type="fixed"/>
        <w:tblInd w:w="4180" w:type="dxa"/>
        <w:tblCellMar>
          <w:top w:w="0" w:type="dxa"/>
          <w:left w:w="0" w:type="dxa"/>
          <w:bottom w:w="0" w:type="dxa"/>
          <w:right w:w="0" w:type="dxa"/>
        </w:tblCellMar>
      </w:tblPr>
      <w:tr>
        <w:trPr>
          <w:trHeight w:val="240"/>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Joseph Burke</w:t>
            </w:r>
          </w:p>
        </w:tc>
      </w:tr>
      <w:tr>
        <w:trPr>
          <w:trHeight w:val="213"/>
        </w:trPr>
        <w:tc>
          <w:tcPr>
            <w:tcW w:w="64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980" w:type="dxa"/>
            <w:vAlign w:val="bottom"/>
          </w:tcPr>
          <w:p>
            <w:pPr>
              <w:ind w:left="100"/>
              <w:spacing w:after="0" w:line="212" w:lineRule="exact"/>
              <w:rPr>
                <w:sz w:val="20"/>
                <w:szCs w:val="20"/>
                <w:color w:val="auto"/>
              </w:rPr>
            </w:pPr>
            <w:r>
              <w:rPr>
                <w:rFonts w:ascii="Arial" w:cs="Arial" w:eastAsia="Arial" w:hAnsi="Arial"/>
                <w:sz w:val="20"/>
                <w:szCs w:val="20"/>
                <w:color w:val="auto"/>
              </w:rPr>
              <w:t>Joseph Burke</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Title</w:t>
            </w:r>
          </w:p>
        </w:tc>
        <w:tc>
          <w:tcPr>
            <w:tcW w:w="3980" w:type="dxa"/>
            <w:vAlign w:val="bottom"/>
          </w:tcPr>
          <w:p>
            <w:pPr>
              <w:ind w:left="100"/>
              <w:spacing w:after="0"/>
              <w:rPr>
                <w:sz w:val="20"/>
                <w:szCs w:val="20"/>
                <w:color w:val="auto"/>
              </w:rPr>
            </w:pPr>
            <w:r>
              <w:rPr>
                <w:rFonts w:ascii="Arial" w:cs="Arial" w:eastAsia="Arial" w:hAnsi="Arial"/>
                <w:sz w:val="20"/>
                <w:szCs w:val="20"/>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1" w:name="page92"/>
    <w:bookmarkEnd w:id="91"/>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WELLS FARGO BANK, N.A.,</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as a Company and as a Financial Institution</w:t>
      </w:r>
    </w:p>
    <w:p>
      <w:pPr>
        <w:spacing w:after="0" w:line="195" w:lineRule="exact"/>
        <w:rPr>
          <w:sz w:val="20"/>
          <w:szCs w:val="20"/>
          <w:color w:val="auto"/>
        </w:rPr>
      </w:pPr>
    </w:p>
    <w:tbl>
      <w:tblPr>
        <w:tblLayout w:type="fixed"/>
        <w:tblInd w:w="4180" w:type="dxa"/>
        <w:tblCellMar>
          <w:top w:w="0" w:type="dxa"/>
          <w:left w:w="0" w:type="dxa"/>
          <w:bottom w:w="0" w:type="dxa"/>
          <w:right w:w="0" w:type="dxa"/>
        </w:tblCellMar>
      </w:tblPr>
      <w:tr>
        <w:trPr>
          <w:trHeight w:val="218"/>
        </w:trPr>
        <w:tc>
          <w:tcPr>
            <w:tcW w:w="640" w:type="dxa"/>
            <w:vAlign w:val="bottom"/>
          </w:tcPr>
          <w:p>
            <w:pPr>
              <w:spacing w:after="0"/>
              <w:rPr>
                <w:sz w:val="20"/>
                <w:szCs w:val="20"/>
                <w:color w:val="auto"/>
              </w:rPr>
            </w:pPr>
            <w:r>
              <w:rPr>
                <w:rFonts w:ascii="Arial" w:cs="Arial" w:eastAsia="Arial" w:hAnsi="Arial"/>
                <w:sz w:val="19"/>
                <w:szCs w:val="19"/>
                <w:color w:val="auto"/>
              </w:rPr>
              <w:t>By:</w:t>
            </w:r>
          </w:p>
        </w:tc>
        <w:tc>
          <w:tcPr>
            <w:tcW w:w="3980" w:type="dxa"/>
            <w:vAlign w:val="bottom"/>
          </w:tcPr>
          <w:p>
            <w:pPr>
              <w:ind w:left="100"/>
              <w:spacing w:after="0"/>
              <w:rPr>
                <w:sz w:val="20"/>
                <w:szCs w:val="20"/>
                <w:color w:val="auto"/>
              </w:rPr>
            </w:pPr>
            <w:r>
              <w:rPr>
                <w:rFonts w:ascii="Arial" w:cs="Arial" w:eastAsia="Arial" w:hAnsi="Arial"/>
                <w:sz w:val="19"/>
                <w:szCs w:val="19"/>
                <w:color w:val="auto"/>
              </w:rPr>
              <w:t>/s/ Chance Hausler</w:t>
            </w:r>
          </w:p>
        </w:tc>
        <w:tc>
          <w:tcPr>
            <w:tcW w:w="0" w:type="dxa"/>
            <w:vAlign w:val="bottom"/>
          </w:tcPr>
          <w:p>
            <w:pPr>
              <w:spacing w:after="0"/>
              <w:rPr>
                <w:sz w:val="1"/>
                <w:szCs w:val="1"/>
                <w:color w:val="auto"/>
              </w:rPr>
            </w:pPr>
          </w:p>
        </w:tc>
      </w:tr>
      <w:tr>
        <w:trPr>
          <w:trHeight w:val="22"/>
        </w:trPr>
        <w:tc>
          <w:tcPr>
            <w:tcW w:w="640" w:type="dxa"/>
            <w:vAlign w:val="bottom"/>
            <w:vMerge w:val="restart"/>
          </w:tcPr>
          <w:p>
            <w:pPr>
              <w:spacing w:after="0"/>
              <w:rPr>
                <w:sz w:val="20"/>
                <w:szCs w:val="20"/>
                <w:color w:val="auto"/>
              </w:rPr>
            </w:pPr>
            <w:r>
              <w:rPr>
                <w:rFonts w:ascii="Arial" w:cs="Arial" w:eastAsia="Arial" w:hAnsi="Arial"/>
                <w:sz w:val="19"/>
                <w:szCs w:val="19"/>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40" w:type="dxa"/>
            <w:vAlign w:val="bottom"/>
            <w:vMerge w:val="continue"/>
          </w:tcPr>
          <w:p>
            <w:pPr>
              <w:spacing w:after="0"/>
              <w:rPr>
                <w:sz w:val="16"/>
                <w:szCs w:val="16"/>
                <w:color w:val="auto"/>
              </w:rPr>
            </w:pPr>
          </w:p>
        </w:tc>
        <w:tc>
          <w:tcPr>
            <w:tcW w:w="3980" w:type="dxa"/>
            <w:vAlign w:val="bottom"/>
          </w:tcPr>
          <w:p>
            <w:pPr>
              <w:ind w:left="100"/>
              <w:spacing w:after="0" w:line="187" w:lineRule="exact"/>
              <w:rPr>
                <w:sz w:val="20"/>
                <w:szCs w:val="20"/>
                <w:color w:val="auto"/>
              </w:rPr>
            </w:pPr>
            <w:r>
              <w:rPr>
                <w:rFonts w:ascii="Arial" w:cs="Arial" w:eastAsia="Arial" w:hAnsi="Arial"/>
                <w:sz w:val="19"/>
                <w:szCs w:val="19"/>
                <w:color w:val="auto"/>
              </w:rPr>
              <w:t>Chance Hausler</w:t>
            </w: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Arial" w:cs="Arial" w:eastAsia="Arial" w:hAnsi="Arial"/>
                <w:sz w:val="19"/>
                <w:szCs w:val="19"/>
                <w:color w:val="auto"/>
              </w:rPr>
              <w:t>Title:</w:t>
            </w:r>
          </w:p>
        </w:tc>
        <w:tc>
          <w:tcPr>
            <w:tcW w:w="3980" w:type="dxa"/>
            <w:vAlign w:val="bottom"/>
          </w:tcPr>
          <w:p>
            <w:pPr>
              <w:ind w:left="10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WELLS FARGO BANK, N.A.,</w:t>
      </w:r>
    </w:p>
    <w:p>
      <w:pPr>
        <w:spacing w:after="0" w:line="14" w:lineRule="exact"/>
        <w:rPr>
          <w:sz w:val="20"/>
          <w:szCs w:val="20"/>
          <w:color w:val="auto"/>
        </w:rPr>
      </w:pPr>
    </w:p>
    <w:p>
      <w:pPr>
        <w:ind w:left="4180"/>
        <w:spacing w:after="0"/>
        <w:rPr>
          <w:sz w:val="20"/>
          <w:szCs w:val="20"/>
          <w:color w:val="auto"/>
        </w:rPr>
      </w:pPr>
      <w:r>
        <w:rPr>
          <w:rFonts w:ascii="Arial" w:cs="Arial" w:eastAsia="Arial" w:hAnsi="Arial"/>
          <w:sz w:val="19"/>
          <w:szCs w:val="19"/>
          <w:color w:val="auto"/>
        </w:rPr>
        <w:t>as Agent</w:t>
      </w:r>
    </w:p>
    <w:p>
      <w:pPr>
        <w:spacing w:after="0" w:line="195" w:lineRule="exact"/>
        <w:rPr>
          <w:sz w:val="20"/>
          <w:szCs w:val="20"/>
          <w:color w:val="auto"/>
        </w:rPr>
      </w:pPr>
    </w:p>
    <w:tbl>
      <w:tblPr>
        <w:tblLayout w:type="fixed"/>
        <w:tblInd w:w="4180" w:type="dxa"/>
        <w:tblCellMar>
          <w:top w:w="0" w:type="dxa"/>
          <w:left w:w="0" w:type="dxa"/>
          <w:bottom w:w="0" w:type="dxa"/>
          <w:right w:w="0" w:type="dxa"/>
        </w:tblCellMar>
      </w:tblPr>
      <w:tr>
        <w:trPr>
          <w:trHeight w:val="218"/>
        </w:trPr>
        <w:tc>
          <w:tcPr>
            <w:tcW w:w="640" w:type="dxa"/>
            <w:vAlign w:val="bottom"/>
          </w:tcPr>
          <w:p>
            <w:pPr>
              <w:spacing w:after="0"/>
              <w:rPr>
                <w:sz w:val="20"/>
                <w:szCs w:val="20"/>
                <w:color w:val="auto"/>
              </w:rPr>
            </w:pPr>
            <w:r>
              <w:rPr>
                <w:rFonts w:ascii="Arial" w:cs="Arial" w:eastAsia="Arial" w:hAnsi="Arial"/>
                <w:sz w:val="19"/>
                <w:szCs w:val="19"/>
                <w:color w:val="auto"/>
              </w:rPr>
              <w:t>By:</w:t>
            </w:r>
          </w:p>
        </w:tc>
        <w:tc>
          <w:tcPr>
            <w:tcW w:w="3980" w:type="dxa"/>
            <w:vAlign w:val="bottom"/>
          </w:tcPr>
          <w:p>
            <w:pPr>
              <w:ind w:left="100"/>
              <w:spacing w:after="0"/>
              <w:rPr>
                <w:sz w:val="20"/>
                <w:szCs w:val="20"/>
                <w:color w:val="auto"/>
              </w:rPr>
            </w:pPr>
            <w:r>
              <w:rPr>
                <w:rFonts w:ascii="Arial" w:cs="Arial" w:eastAsia="Arial" w:hAnsi="Arial"/>
                <w:sz w:val="19"/>
                <w:szCs w:val="19"/>
                <w:color w:val="auto"/>
              </w:rPr>
              <w:t>/s/ Chance Hausler</w:t>
            </w:r>
          </w:p>
        </w:tc>
        <w:tc>
          <w:tcPr>
            <w:tcW w:w="0" w:type="dxa"/>
            <w:vAlign w:val="bottom"/>
          </w:tcPr>
          <w:p>
            <w:pPr>
              <w:spacing w:after="0"/>
              <w:rPr>
                <w:sz w:val="1"/>
                <w:szCs w:val="1"/>
                <w:color w:val="auto"/>
              </w:rPr>
            </w:pPr>
          </w:p>
        </w:tc>
      </w:tr>
      <w:tr>
        <w:trPr>
          <w:trHeight w:val="22"/>
        </w:trPr>
        <w:tc>
          <w:tcPr>
            <w:tcW w:w="640" w:type="dxa"/>
            <w:vAlign w:val="bottom"/>
            <w:vMerge w:val="restart"/>
          </w:tcPr>
          <w:p>
            <w:pPr>
              <w:spacing w:after="0"/>
              <w:rPr>
                <w:sz w:val="20"/>
                <w:szCs w:val="20"/>
                <w:color w:val="auto"/>
              </w:rPr>
            </w:pPr>
            <w:r>
              <w:rPr>
                <w:rFonts w:ascii="Arial" w:cs="Arial" w:eastAsia="Arial" w:hAnsi="Arial"/>
                <w:sz w:val="19"/>
                <w:szCs w:val="19"/>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40" w:type="dxa"/>
            <w:vAlign w:val="bottom"/>
            <w:vMerge w:val="continue"/>
          </w:tcPr>
          <w:p>
            <w:pPr>
              <w:spacing w:after="0"/>
              <w:rPr>
                <w:sz w:val="16"/>
                <w:szCs w:val="16"/>
                <w:color w:val="auto"/>
              </w:rPr>
            </w:pPr>
          </w:p>
        </w:tc>
        <w:tc>
          <w:tcPr>
            <w:tcW w:w="3980" w:type="dxa"/>
            <w:vAlign w:val="bottom"/>
          </w:tcPr>
          <w:p>
            <w:pPr>
              <w:ind w:left="100"/>
              <w:spacing w:after="0" w:line="187" w:lineRule="exact"/>
              <w:rPr>
                <w:sz w:val="20"/>
                <w:szCs w:val="20"/>
                <w:color w:val="auto"/>
              </w:rPr>
            </w:pPr>
            <w:r>
              <w:rPr>
                <w:rFonts w:ascii="Arial" w:cs="Arial" w:eastAsia="Arial" w:hAnsi="Arial"/>
                <w:sz w:val="19"/>
                <w:szCs w:val="19"/>
                <w:color w:val="auto"/>
              </w:rPr>
              <w:t>Chance Hausler</w:t>
            </w:r>
          </w:p>
        </w:tc>
        <w:tc>
          <w:tcPr>
            <w:tcW w:w="0" w:type="dxa"/>
            <w:vAlign w:val="bottom"/>
          </w:tcPr>
          <w:p>
            <w:pPr>
              <w:spacing w:after="0"/>
              <w:rPr>
                <w:sz w:val="1"/>
                <w:szCs w:val="1"/>
                <w:color w:val="auto"/>
              </w:rPr>
            </w:pPr>
          </w:p>
        </w:tc>
      </w:tr>
      <w:tr>
        <w:trPr>
          <w:trHeight w:val="240"/>
        </w:trPr>
        <w:tc>
          <w:tcPr>
            <w:tcW w:w="640" w:type="dxa"/>
            <w:vAlign w:val="bottom"/>
          </w:tcPr>
          <w:p>
            <w:pPr>
              <w:spacing w:after="0"/>
              <w:rPr>
                <w:sz w:val="20"/>
                <w:szCs w:val="20"/>
                <w:color w:val="auto"/>
              </w:rPr>
            </w:pPr>
            <w:r>
              <w:rPr>
                <w:rFonts w:ascii="Arial" w:cs="Arial" w:eastAsia="Arial" w:hAnsi="Arial"/>
                <w:sz w:val="19"/>
                <w:szCs w:val="19"/>
                <w:color w:val="auto"/>
              </w:rPr>
              <w:t>Title:</w:t>
            </w:r>
          </w:p>
        </w:tc>
        <w:tc>
          <w:tcPr>
            <w:tcW w:w="3980" w:type="dxa"/>
            <w:vAlign w:val="bottom"/>
          </w:tcPr>
          <w:p>
            <w:pPr>
              <w:ind w:left="100"/>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2" w:name="page93"/>
    <w:bookmarkEnd w:id="92"/>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0" w:lineRule="exact"/>
        <w:rPr>
          <w:sz w:val="20"/>
          <w:szCs w:val="20"/>
          <w:color w:val="auto"/>
        </w:rPr>
      </w:pPr>
    </w:p>
    <w:p>
      <w:pPr>
        <w:spacing w:after="0" w:line="278"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TRUST BANK,</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a Company and as a Financial Institution</w:t>
      </w:r>
    </w:p>
    <w:p>
      <w:pPr>
        <w:spacing w:after="0" w:line="200" w:lineRule="exact"/>
        <w:rPr>
          <w:sz w:val="20"/>
          <w:szCs w:val="20"/>
          <w:color w:val="auto"/>
        </w:rPr>
      </w:pPr>
    </w:p>
    <w:p>
      <w:pPr>
        <w:spacing w:after="0" w:line="242" w:lineRule="exact"/>
        <w:rPr>
          <w:sz w:val="20"/>
          <w:szCs w:val="20"/>
          <w:color w:val="auto"/>
        </w:rPr>
      </w:pPr>
    </w:p>
    <w:tbl>
      <w:tblPr>
        <w:tblLayout w:type="fixed"/>
        <w:tblInd w:w="4180" w:type="dxa"/>
        <w:tblCellMar>
          <w:top w:w="0" w:type="dxa"/>
          <w:left w:w="0" w:type="dxa"/>
          <w:bottom w:w="0" w:type="dxa"/>
          <w:right w:w="0" w:type="dxa"/>
        </w:tblCellMar>
      </w:tblPr>
      <w:tr>
        <w:trPr>
          <w:trHeight w:val="240"/>
        </w:trPr>
        <w:tc>
          <w:tcPr>
            <w:tcW w:w="1100" w:type="dxa"/>
            <w:vAlign w:val="bottom"/>
          </w:tcPr>
          <w:p>
            <w:pPr>
              <w:spacing w:after="0"/>
              <w:rPr>
                <w:sz w:val="20"/>
                <w:szCs w:val="20"/>
                <w:color w:val="auto"/>
              </w:rPr>
            </w:pPr>
            <w:r>
              <w:rPr>
                <w:rFonts w:ascii="Arial" w:cs="Arial" w:eastAsia="Arial" w:hAnsi="Arial"/>
                <w:sz w:val="20"/>
                <w:szCs w:val="20"/>
                <w:color w:val="auto"/>
              </w:rPr>
              <w:t>By:</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Paul Cornely</w:t>
            </w:r>
          </w:p>
        </w:tc>
      </w:tr>
      <w:tr>
        <w:trPr>
          <w:trHeight w:val="213"/>
        </w:trPr>
        <w:tc>
          <w:tcPr>
            <w:tcW w:w="11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520" w:type="dxa"/>
            <w:vAlign w:val="bottom"/>
          </w:tcPr>
          <w:p>
            <w:pPr>
              <w:ind w:left="100"/>
              <w:spacing w:after="0" w:line="212" w:lineRule="exact"/>
              <w:rPr>
                <w:sz w:val="20"/>
                <w:szCs w:val="20"/>
                <w:color w:val="auto"/>
              </w:rPr>
            </w:pPr>
            <w:r>
              <w:rPr>
                <w:rFonts w:ascii="Arial" w:cs="Arial" w:eastAsia="Arial" w:hAnsi="Arial"/>
                <w:sz w:val="20"/>
                <w:szCs w:val="20"/>
                <w:color w:val="auto"/>
              </w:rPr>
              <w:t>Paul Cornely</w:t>
            </w: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auto"/>
              </w:rPr>
              <w:t>Title:</w:t>
            </w:r>
          </w:p>
        </w:tc>
        <w:tc>
          <w:tcPr>
            <w:tcW w:w="3520" w:type="dxa"/>
            <w:vAlign w:val="bottom"/>
          </w:tcPr>
          <w:p>
            <w:pPr>
              <w:ind w:left="10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3" w:name="page94"/>
    <w:bookmarkEnd w:id="93"/>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0" w:lineRule="exact"/>
        <w:rPr>
          <w:sz w:val="20"/>
          <w:szCs w:val="20"/>
          <w:color w:val="auto"/>
        </w:rPr>
      </w:pPr>
    </w:p>
    <w:p>
      <w:pPr>
        <w:spacing w:after="0" w:line="278"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LIBERTY STREET FUNDING LLC.,</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a Company</w:t>
      </w:r>
    </w:p>
    <w:p>
      <w:pPr>
        <w:spacing w:after="0" w:line="200" w:lineRule="exact"/>
        <w:rPr>
          <w:sz w:val="20"/>
          <w:szCs w:val="20"/>
          <w:color w:val="auto"/>
        </w:rPr>
      </w:pPr>
    </w:p>
    <w:p>
      <w:pPr>
        <w:spacing w:after="0" w:line="242" w:lineRule="exact"/>
        <w:rPr>
          <w:sz w:val="20"/>
          <w:szCs w:val="20"/>
          <w:color w:val="auto"/>
        </w:rPr>
      </w:pPr>
    </w:p>
    <w:tbl>
      <w:tblPr>
        <w:tblLayout w:type="fixed"/>
        <w:tblInd w:w="418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Kevin J. Corrigan</w:t>
            </w:r>
          </w:p>
        </w:tc>
      </w:tr>
      <w:tr>
        <w:trPr>
          <w:trHeight w:val="213"/>
        </w:trPr>
        <w:tc>
          <w:tcPr>
            <w:tcW w:w="10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600" w:type="dxa"/>
            <w:vAlign w:val="bottom"/>
          </w:tcPr>
          <w:p>
            <w:pPr>
              <w:ind w:left="100"/>
              <w:spacing w:after="0" w:line="212" w:lineRule="exact"/>
              <w:rPr>
                <w:sz w:val="20"/>
                <w:szCs w:val="20"/>
                <w:color w:val="auto"/>
              </w:rPr>
            </w:pPr>
            <w:r>
              <w:rPr>
                <w:rFonts w:ascii="Arial" w:cs="Arial" w:eastAsia="Arial" w:hAnsi="Arial"/>
                <w:sz w:val="20"/>
                <w:szCs w:val="20"/>
                <w:color w:val="auto"/>
              </w:rPr>
              <w:t>Kevin J. Corrigan</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3600" w:type="dxa"/>
            <w:vAlign w:val="bottom"/>
          </w:tcPr>
          <w:p>
            <w:pPr>
              <w:ind w:left="10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THE BANK OF NOVA SCOTIA,</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a Financial Institution</w:t>
      </w:r>
    </w:p>
    <w:p>
      <w:pPr>
        <w:spacing w:after="0" w:line="200" w:lineRule="exact"/>
        <w:rPr>
          <w:sz w:val="20"/>
          <w:szCs w:val="20"/>
          <w:color w:val="auto"/>
        </w:rPr>
      </w:pPr>
    </w:p>
    <w:p>
      <w:pPr>
        <w:spacing w:after="0" w:line="242" w:lineRule="exact"/>
        <w:rPr>
          <w:sz w:val="20"/>
          <w:szCs w:val="20"/>
          <w:color w:val="auto"/>
        </w:rPr>
      </w:pPr>
    </w:p>
    <w:tbl>
      <w:tblPr>
        <w:tblLayout w:type="fixed"/>
        <w:tblInd w:w="418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36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Doug Noe</w:t>
            </w:r>
          </w:p>
        </w:tc>
      </w:tr>
      <w:tr>
        <w:trPr>
          <w:trHeight w:val="213"/>
        </w:trPr>
        <w:tc>
          <w:tcPr>
            <w:tcW w:w="102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600" w:type="dxa"/>
            <w:vAlign w:val="bottom"/>
          </w:tcPr>
          <w:p>
            <w:pPr>
              <w:ind w:left="100"/>
              <w:spacing w:after="0" w:line="212" w:lineRule="exact"/>
              <w:rPr>
                <w:sz w:val="20"/>
                <w:szCs w:val="20"/>
                <w:color w:val="auto"/>
              </w:rPr>
            </w:pPr>
            <w:r>
              <w:rPr>
                <w:rFonts w:ascii="Arial" w:cs="Arial" w:eastAsia="Arial" w:hAnsi="Arial"/>
                <w:sz w:val="20"/>
                <w:szCs w:val="20"/>
                <w:color w:val="auto"/>
              </w:rPr>
              <w:t>Doug Noe</w:t>
            </w:r>
          </w:p>
        </w:tc>
      </w:t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3600" w:type="dxa"/>
            <w:vAlign w:val="bottom"/>
          </w:tcPr>
          <w:p>
            <w:pPr>
              <w:ind w:left="10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4" w:name="page95"/>
    <w:bookmarkEnd w:id="94"/>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as a Company and as a Financial Institution</w:t>
      </w:r>
    </w:p>
    <w:p>
      <w:pPr>
        <w:spacing w:after="0" w:line="200" w:lineRule="exact"/>
        <w:rPr>
          <w:sz w:val="20"/>
          <w:szCs w:val="20"/>
          <w:color w:val="auto"/>
        </w:rPr>
      </w:pPr>
    </w:p>
    <w:p>
      <w:pPr>
        <w:spacing w:after="0" w:line="242" w:lineRule="exact"/>
        <w:rPr>
          <w:sz w:val="20"/>
          <w:szCs w:val="20"/>
          <w:color w:val="auto"/>
        </w:rPr>
      </w:pPr>
    </w:p>
    <w:tbl>
      <w:tblPr>
        <w:tblLayout w:type="fixed"/>
        <w:tblInd w:w="4180" w:type="dxa"/>
        <w:tblCellMar>
          <w:top w:w="0" w:type="dxa"/>
          <w:left w:w="0" w:type="dxa"/>
          <w:bottom w:w="0" w:type="dxa"/>
          <w:right w:w="0" w:type="dxa"/>
        </w:tblCellMar>
      </w:tblPr>
      <w:tr>
        <w:trPr>
          <w:trHeight w:val="240"/>
        </w:trPr>
        <w:tc>
          <w:tcPr>
            <w:tcW w:w="1080" w:type="dxa"/>
            <w:vAlign w:val="bottom"/>
          </w:tcPr>
          <w:p>
            <w:pPr>
              <w:spacing w:after="0"/>
              <w:rPr>
                <w:sz w:val="20"/>
                <w:szCs w:val="20"/>
                <w:color w:val="auto"/>
              </w:rPr>
            </w:pPr>
            <w:r>
              <w:rPr>
                <w:rFonts w:ascii="Arial" w:cs="Arial" w:eastAsia="Arial" w:hAnsi="Arial"/>
                <w:sz w:val="20"/>
                <w:szCs w:val="20"/>
                <w:color w:val="auto"/>
              </w:rPr>
              <w:t>By:</w:t>
            </w:r>
          </w:p>
        </w:tc>
        <w:tc>
          <w:tcPr>
            <w:tcW w:w="35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Ross Glynn</w:t>
            </w:r>
          </w:p>
        </w:tc>
      </w:tr>
      <w:tr>
        <w:trPr>
          <w:trHeight w:val="213"/>
        </w:trPr>
        <w:tc>
          <w:tcPr>
            <w:tcW w:w="108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540" w:type="dxa"/>
            <w:vAlign w:val="bottom"/>
          </w:tcPr>
          <w:p>
            <w:pPr>
              <w:ind w:left="100"/>
              <w:spacing w:after="0" w:line="212" w:lineRule="exact"/>
              <w:rPr>
                <w:sz w:val="20"/>
                <w:szCs w:val="20"/>
                <w:color w:val="auto"/>
              </w:rPr>
            </w:pPr>
            <w:r>
              <w:rPr>
                <w:rFonts w:ascii="Arial" w:cs="Arial" w:eastAsia="Arial" w:hAnsi="Arial"/>
                <w:sz w:val="20"/>
                <w:szCs w:val="20"/>
                <w:color w:val="auto"/>
              </w:rPr>
              <w:t>Ross Glynn</w:t>
            </w:r>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rPr>
              <w:t>Title:</w:t>
            </w:r>
          </w:p>
        </w:tc>
        <w:tc>
          <w:tcPr>
            <w:tcW w:w="3540" w:type="dxa"/>
            <w:vAlign w:val="bottom"/>
          </w:tcPr>
          <w:p>
            <w:pPr>
              <w:ind w:left="10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5" w:name="page96"/>
    <w:bookmarkEnd w:id="95"/>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A</w:t>
      </w:r>
    </w:p>
    <w:p>
      <w:pPr>
        <w:spacing w:after="0" w:line="216" w:lineRule="exact"/>
        <w:rPr>
          <w:sz w:val="20"/>
          <w:szCs w:val="20"/>
          <w:color w:val="auto"/>
        </w:rPr>
      </w:pPr>
    </w:p>
    <w:p>
      <w:pPr>
        <w:ind w:left="2300"/>
        <w:spacing w:after="0"/>
        <w:rPr>
          <w:sz w:val="20"/>
          <w:szCs w:val="20"/>
          <w:color w:val="auto"/>
        </w:rPr>
      </w:pPr>
      <w:r>
        <w:rPr>
          <w:rFonts w:ascii="Arial" w:cs="Arial" w:eastAsia="Arial" w:hAnsi="Arial"/>
          <w:sz w:val="20"/>
          <w:szCs w:val="20"/>
          <w:color w:val="auto"/>
        </w:rPr>
        <w:t>COMMITMENTS, COMPANY PURCHASE LIMITS</w:t>
      </w:r>
    </w:p>
    <w:p>
      <w:pPr>
        <w:spacing w:after="0" w:line="16"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AND RELATED FINANCIAL INSTITUTIONS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Commitments of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5443855" cy="1036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5443855" cy="10369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560" w:type="dxa"/>
            <w:vAlign w:val="bottom"/>
            <w:gridSpan w:val="3"/>
          </w:tcPr>
          <w:p>
            <w:pPr>
              <w:ind w:left="2520"/>
              <w:spacing w:after="0"/>
              <w:rPr>
                <w:sz w:val="20"/>
                <w:szCs w:val="20"/>
                <w:color w:val="auto"/>
              </w:rPr>
            </w:pPr>
            <w:r>
              <w:rPr>
                <w:rFonts w:ascii="Arial" w:cs="Arial" w:eastAsia="Arial" w:hAnsi="Arial"/>
                <w:sz w:val="20"/>
                <w:szCs w:val="20"/>
                <w:color w:val="auto"/>
              </w:rPr>
              <w:t>Financial Institution</w:t>
            </w:r>
          </w:p>
        </w:tc>
        <w:tc>
          <w:tcPr>
            <w:tcW w:w="150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Commitment</w:t>
            </w:r>
          </w:p>
        </w:tc>
      </w:tr>
      <w:tr>
        <w:trPr>
          <w:trHeight w:val="61"/>
        </w:trPr>
        <w:tc>
          <w:tcPr>
            <w:tcW w:w="2520" w:type="dxa"/>
            <w:vAlign w:val="bottom"/>
            <w:tcBorders>
              <w:bottom w:val="single" w:sz="8" w:color="auto"/>
            </w:tcBorders>
          </w:tcPr>
          <w:p>
            <w:pPr>
              <w:spacing w:after="0"/>
              <w:rPr>
                <w:sz w:val="5"/>
                <w:szCs w:val="5"/>
                <w:color w:val="auto"/>
              </w:rPr>
            </w:pPr>
          </w:p>
        </w:tc>
        <w:tc>
          <w:tcPr>
            <w:tcW w:w="1580" w:type="dxa"/>
            <w:vAlign w:val="bottom"/>
            <w:tcBorders>
              <w:top w:val="single" w:sz="8" w:color="auto"/>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60" w:type="dxa"/>
            <w:vAlign w:val="bottom"/>
            <w:tcBorders>
              <w:top w:val="single" w:sz="8" w:color="auto"/>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68"/>
        </w:trPr>
        <w:tc>
          <w:tcPr>
            <w:tcW w:w="5560" w:type="dxa"/>
            <w:vAlign w:val="bottom"/>
            <w:gridSpan w:val="3"/>
          </w:tcPr>
          <w:p>
            <w:pPr>
              <w:ind w:left="100"/>
              <w:spacing w:after="0"/>
              <w:rPr>
                <w:sz w:val="20"/>
                <w:szCs w:val="20"/>
                <w:color w:val="auto"/>
              </w:rPr>
            </w:pPr>
            <w:r>
              <w:rPr>
                <w:rFonts w:ascii="Arial" w:cs="Arial" w:eastAsia="Arial" w:hAnsi="Arial"/>
                <w:sz w:val="20"/>
                <w:szCs w:val="20"/>
                <w:color w:val="auto"/>
              </w:rPr>
              <w:t>Wells Fargo Bank, National Association</w:t>
            </w:r>
          </w:p>
        </w:tc>
        <w:tc>
          <w:tcPr>
            <w:tcW w:w="3000" w:type="dxa"/>
            <w:vAlign w:val="bottom"/>
            <w:gridSpan w:val="3"/>
          </w:tcPr>
          <w:p>
            <w:pPr>
              <w:jc w:val="center"/>
              <w:ind w:left="961"/>
              <w:spacing w:after="0"/>
              <w:rPr>
                <w:sz w:val="20"/>
                <w:szCs w:val="20"/>
                <w:color w:val="auto"/>
              </w:rPr>
            </w:pPr>
            <w:r>
              <w:rPr>
                <w:rFonts w:ascii="Arial" w:cs="Arial" w:eastAsia="Arial" w:hAnsi="Arial"/>
                <w:sz w:val="20"/>
                <w:szCs w:val="20"/>
                <w:color w:val="auto"/>
                <w:w w:val="89"/>
              </w:rPr>
              <w:t>$225,000,000</w:t>
            </w:r>
          </w:p>
        </w:tc>
      </w:tr>
      <w:tr>
        <w:trPr>
          <w:trHeight w:val="37"/>
        </w:trPr>
        <w:tc>
          <w:tcPr>
            <w:tcW w:w="25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68"/>
        </w:trPr>
        <w:tc>
          <w:tcPr>
            <w:tcW w:w="5560" w:type="dxa"/>
            <w:vAlign w:val="bottom"/>
            <w:gridSpan w:val="3"/>
          </w:tcPr>
          <w:p>
            <w:pPr>
              <w:ind w:left="100"/>
              <w:spacing w:after="0"/>
              <w:rPr>
                <w:sz w:val="20"/>
                <w:szCs w:val="20"/>
                <w:color w:val="auto"/>
              </w:rPr>
            </w:pPr>
            <w:r>
              <w:rPr>
                <w:rFonts w:ascii="Arial" w:cs="Arial" w:eastAsia="Arial" w:hAnsi="Arial"/>
                <w:sz w:val="20"/>
                <w:szCs w:val="20"/>
                <w:color w:val="auto"/>
              </w:rPr>
              <w:t>Bank of America, N.A.</w:t>
            </w:r>
          </w:p>
        </w:tc>
        <w:tc>
          <w:tcPr>
            <w:tcW w:w="3000" w:type="dxa"/>
            <w:vAlign w:val="bottom"/>
            <w:gridSpan w:val="3"/>
          </w:tcPr>
          <w:p>
            <w:pPr>
              <w:jc w:val="center"/>
              <w:ind w:left="961"/>
              <w:spacing w:after="0"/>
              <w:rPr>
                <w:sz w:val="20"/>
                <w:szCs w:val="20"/>
                <w:color w:val="auto"/>
              </w:rPr>
            </w:pPr>
            <w:r>
              <w:rPr>
                <w:rFonts w:ascii="Arial" w:cs="Arial" w:eastAsia="Arial" w:hAnsi="Arial"/>
                <w:sz w:val="20"/>
                <w:szCs w:val="20"/>
                <w:color w:val="auto"/>
                <w:w w:val="89"/>
              </w:rPr>
              <w:t>$225,000,000</w:t>
            </w:r>
          </w:p>
        </w:tc>
      </w:tr>
      <w:tr>
        <w:trPr>
          <w:trHeight w:val="36"/>
        </w:trPr>
        <w:tc>
          <w:tcPr>
            <w:tcW w:w="25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68"/>
        </w:trPr>
        <w:tc>
          <w:tcPr>
            <w:tcW w:w="5560" w:type="dxa"/>
            <w:vAlign w:val="bottom"/>
            <w:gridSpan w:val="3"/>
          </w:tcPr>
          <w:p>
            <w:pPr>
              <w:ind w:left="100"/>
              <w:spacing w:after="0"/>
              <w:rPr>
                <w:sz w:val="20"/>
                <w:szCs w:val="20"/>
                <w:color w:val="auto"/>
              </w:rPr>
            </w:pPr>
            <w:r>
              <w:rPr>
                <w:rFonts w:ascii="Arial" w:cs="Arial" w:eastAsia="Arial" w:hAnsi="Arial"/>
                <w:sz w:val="20"/>
                <w:szCs w:val="20"/>
                <w:color w:val="auto"/>
              </w:rPr>
              <w:t>Truist Bank</w:t>
            </w:r>
          </w:p>
        </w:tc>
        <w:tc>
          <w:tcPr>
            <w:tcW w:w="3000" w:type="dxa"/>
            <w:vAlign w:val="bottom"/>
            <w:gridSpan w:val="3"/>
          </w:tcPr>
          <w:p>
            <w:pPr>
              <w:jc w:val="center"/>
              <w:ind w:left="961"/>
              <w:spacing w:after="0"/>
              <w:rPr>
                <w:sz w:val="20"/>
                <w:szCs w:val="20"/>
                <w:color w:val="auto"/>
              </w:rPr>
            </w:pPr>
            <w:r>
              <w:rPr>
                <w:rFonts w:ascii="Arial" w:cs="Arial" w:eastAsia="Arial" w:hAnsi="Arial"/>
                <w:sz w:val="20"/>
                <w:szCs w:val="20"/>
                <w:color w:val="auto"/>
                <w:w w:val="89"/>
              </w:rPr>
              <w:t>$125,000,000</w:t>
            </w:r>
          </w:p>
        </w:tc>
      </w:tr>
      <w:tr>
        <w:trPr>
          <w:trHeight w:val="36"/>
        </w:trPr>
        <w:tc>
          <w:tcPr>
            <w:tcW w:w="25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68"/>
        </w:trPr>
        <w:tc>
          <w:tcPr>
            <w:tcW w:w="5560" w:type="dxa"/>
            <w:vAlign w:val="bottom"/>
            <w:gridSpan w:val="3"/>
          </w:tcPr>
          <w:p>
            <w:pPr>
              <w:ind w:left="100"/>
              <w:spacing w:after="0"/>
              <w:rPr>
                <w:sz w:val="20"/>
                <w:szCs w:val="20"/>
                <w:color w:val="auto"/>
              </w:rPr>
            </w:pPr>
            <w:r>
              <w:rPr>
                <w:rFonts w:ascii="Arial" w:cs="Arial" w:eastAsia="Arial" w:hAnsi="Arial"/>
                <w:sz w:val="20"/>
                <w:szCs w:val="20"/>
                <w:color w:val="auto"/>
              </w:rPr>
              <w:t>The Bank of Nova Scotia</w:t>
            </w:r>
          </w:p>
        </w:tc>
        <w:tc>
          <w:tcPr>
            <w:tcW w:w="3000" w:type="dxa"/>
            <w:vAlign w:val="bottom"/>
            <w:gridSpan w:val="3"/>
          </w:tcPr>
          <w:p>
            <w:pPr>
              <w:jc w:val="center"/>
              <w:ind w:left="961"/>
              <w:spacing w:after="0"/>
              <w:rPr>
                <w:sz w:val="20"/>
                <w:szCs w:val="20"/>
                <w:color w:val="auto"/>
              </w:rPr>
            </w:pPr>
            <w:r>
              <w:rPr>
                <w:rFonts w:ascii="Arial" w:cs="Arial" w:eastAsia="Arial" w:hAnsi="Arial"/>
                <w:sz w:val="20"/>
                <w:szCs w:val="20"/>
                <w:color w:val="auto"/>
                <w:w w:val="90"/>
              </w:rPr>
              <w:t>$127,500,000*</w:t>
            </w:r>
          </w:p>
        </w:tc>
      </w:tr>
    </w:tbl>
    <w:p>
      <w:pPr>
        <w:spacing w:after="0" w:line="33" w:lineRule="exact"/>
        <w:rPr>
          <w:sz w:val="20"/>
          <w:szCs w:val="20"/>
          <w:color w:val="auto"/>
        </w:rPr>
      </w:pPr>
    </w:p>
    <w:p>
      <w:pPr>
        <w:ind w:left="540" w:hanging="331"/>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2.00% additional commitment availability for being in a Purchaser Group with a CP Company.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Company Purchase Limits and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Related Financial Institutions of Companies</w:t>
      </w:r>
    </w:p>
    <w:p>
      <w:pPr>
        <w:spacing w:after="0" w:line="196"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260" w:type="dxa"/>
            <w:vAlign w:val="bottom"/>
            <w:tcBorders>
              <w:top w:val="single" w:sz="8" w:color="auto"/>
              <w:left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88"/>
              </w:rPr>
              <w:t>Company</w:t>
            </w:r>
          </w:p>
        </w:tc>
        <w:tc>
          <w:tcPr>
            <w:tcW w:w="1280" w:type="dxa"/>
            <w:vAlign w:val="bottom"/>
            <w:tcBorders>
              <w:top w:val="single" w:sz="8" w:color="auto"/>
              <w:right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Company</w:t>
            </w:r>
          </w:p>
        </w:tc>
        <w:tc>
          <w:tcPr>
            <w:tcW w:w="460" w:type="dxa"/>
            <w:vAlign w:val="bottom"/>
            <w:tcBorders>
              <w:top w:val="single" w:sz="8" w:color="auto"/>
              <w:right w:val="single" w:sz="8" w:color="auto"/>
            </w:tcBorders>
            <w:gridSpan w:val="2"/>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0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Related Financial Institution(s)</w:t>
            </w:r>
          </w:p>
        </w:tc>
        <w:tc>
          <w:tcPr>
            <w:tcW w:w="20" w:type="dxa"/>
            <w:vAlign w:val="bottom"/>
          </w:tcPr>
          <w:p>
            <w:pPr>
              <w:spacing w:after="0"/>
              <w:rPr>
                <w:sz w:val="21"/>
                <w:szCs w:val="21"/>
                <w:color w:val="auto"/>
              </w:rPr>
            </w:pPr>
          </w:p>
        </w:tc>
      </w:tr>
      <w:tr>
        <w:trPr>
          <w:trHeight w:val="20"/>
        </w:trPr>
        <w:tc>
          <w:tcPr>
            <w:tcW w:w="126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5"/>
          </w:tcPr>
          <w:p>
            <w:pPr>
              <w:jc w:val="center"/>
              <w:ind w:right="40"/>
              <w:spacing w:after="0" w:line="209" w:lineRule="exact"/>
              <w:rPr>
                <w:sz w:val="20"/>
                <w:szCs w:val="20"/>
                <w:color w:val="auto"/>
              </w:rPr>
            </w:pPr>
            <w:r>
              <w:rPr>
                <w:rFonts w:ascii="Arial" w:cs="Arial" w:eastAsia="Arial" w:hAnsi="Arial"/>
                <w:sz w:val="20"/>
                <w:szCs w:val="20"/>
                <w:color w:val="auto"/>
                <w:w w:val="90"/>
              </w:rPr>
              <w:t>Purchase Limit</w:t>
            </w:r>
          </w:p>
        </w:tc>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1260" w:type="dxa"/>
            <w:vAlign w:val="bottom"/>
            <w:tcBorders>
              <w:left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78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47"/>
        </w:trPr>
        <w:tc>
          <w:tcPr>
            <w:tcW w:w="33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Wells Fargo Bank, National</w:t>
            </w:r>
          </w:p>
        </w:tc>
        <w:tc>
          <w:tcPr>
            <w:tcW w:w="1420" w:type="dxa"/>
            <w:vAlign w:val="bottom"/>
            <w:gridSpan w:val="4"/>
          </w:tcPr>
          <w:p>
            <w:pPr>
              <w:jc w:val="center"/>
              <w:ind w:left="141"/>
              <w:spacing w:after="0"/>
              <w:rPr>
                <w:sz w:val="20"/>
                <w:szCs w:val="20"/>
                <w:color w:val="auto"/>
              </w:rPr>
            </w:pPr>
            <w:r>
              <w:rPr>
                <w:rFonts w:ascii="Arial" w:cs="Arial" w:eastAsia="Arial" w:hAnsi="Arial"/>
                <w:sz w:val="20"/>
                <w:szCs w:val="20"/>
                <w:color w:val="auto"/>
                <w:w w:val="89"/>
              </w:rPr>
              <w:t>$225,000,000</w:t>
            </w:r>
          </w:p>
        </w:tc>
        <w:tc>
          <w:tcPr>
            <w:tcW w:w="260" w:type="dxa"/>
            <w:vAlign w:val="bottom"/>
            <w:tcBorders>
              <w:right w:val="single" w:sz="8" w:color="auto"/>
            </w:tcBorders>
          </w:tcPr>
          <w:p>
            <w:pPr>
              <w:spacing w:after="0"/>
              <w:rPr>
                <w:sz w:val="21"/>
                <w:szCs w:val="21"/>
                <w:color w:val="auto"/>
              </w:rPr>
            </w:pPr>
          </w:p>
        </w:tc>
        <w:tc>
          <w:tcPr>
            <w:tcW w:w="35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w w:val="97"/>
              </w:rPr>
              <w:t>Wells Fargo Bank, National Association</w:t>
            </w:r>
          </w:p>
        </w:tc>
        <w:tc>
          <w:tcPr>
            <w:tcW w:w="20" w:type="dxa"/>
            <w:vAlign w:val="bottom"/>
          </w:tcPr>
          <w:p>
            <w:pPr>
              <w:spacing w:after="0"/>
              <w:rPr>
                <w:sz w:val="21"/>
                <w:szCs w:val="21"/>
                <w:color w:val="auto"/>
              </w:rPr>
            </w:pPr>
          </w:p>
        </w:tc>
      </w:tr>
      <w:tr>
        <w:trPr>
          <w:trHeight w:val="250"/>
        </w:trPr>
        <w:tc>
          <w:tcPr>
            <w:tcW w:w="33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Association</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37"/>
        </w:trPr>
        <w:tc>
          <w:tcPr>
            <w:tcW w:w="126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7"/>
        </w:trPr>
        <w:tc>
          <w:tcPr>
            <w:tcW w:w="33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Bank of America, N.A.</w:t>
            </w:r>
          </w:p>
        </w:tc>
        <w:tc>
          <w:tcPr>
            <w:tcW w:w="1420" w:type="dxa"/>
            <w:vAlign w:val="bottom"/>
            <w:gridSpan w:val="4"/>
          </w:tcPr>
          <w:p>
            <w:pPr>
              <w:jc w:val="center"/>
              <w:ind w:left="141"/>
              <w:spacing w:after="0"/>
              <w:rPr>
                <w:sz w:val="20"/>
                <w:szCs w:val="20"/>
                <w:color w:val="auto"/>
              </w:rPr>
            </w:pPr>
            <w:r>
              <w:rPr>
                <w:rFonts w:ascii="Arial" w:cs="Arial" w:eastAsia="Arial" w:hAnsi="Arial"/>
                <w:sz w:val="20"/>
                <w:szCs w:val="20"/>
                <w:color w:val="auto"/>
                <w:w w:val="89"/>
              </w:rPr>
              <w:t>$225,000,000</w:t>
            </w:r>
          </w:p>
        </w:tc>
        <w:tc>
          <w:tcPr>
            <w:tcW w:w="260" w:type="dxa"/>
            <w:vAlign w:val="bottom"/>
            <w:tcBorders>
              <w:right w:val="single" w:sz="8" w:color="auto"/>
            </w:tcBorders>
          </w:tcPr>
          <w:p>
            <w:pPr>
              <w:spacing w:after="0"/>
              <w:rPr>
                <w:sz w:val="23"/>
                <w:szCs w:val="23"/>
                <w:color w:val="auto"/>
              </w:rPr>
            </w:pPr>
          </w:p>
        </w:tc>
        <w:tc>
          <w:tcPr>
            <w:tcW w:w="35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Bank of America, N.A.</w:t>
            </w:r>
          </w:p>
        </w:tc>
        <w:tc>
          <w:tcPr>
            <w:tcW w:w="20" w:type="dxa"/>
            <w:vAlign w:val="bottom"/>
          </w:tcPr>
          <w:p>
            <w:pPr>
              <w:spacing w:after="0"/>
              <w:rPr>
                <w:sz w:val="23"/>
                <w:szCs w:val="23"/>
                <w:color w:val="auto"/>
              </w:rPr>
            </w:pPr>
          </w:p>
        </w:tc>
      </w:tr>
      <w:tr>
        <w:trPr>
          <w:trHeight w:val="37"/>
        </w:trPr>
        <w:tc>
          <w:tcPr>
            <w:tcW w:w="126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33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Truist Bank</w:t>
            </w:r>
          </w:p>
        </w:tc>
        <w:tc>
          <w:tcPr>
            <w:tcW w:w="1420" w:type="dxa"/>
            <w:vAlign w:val="bottom"/>
            <w:gridSpan w:val="4"/>
          </w:tcPr>
          <w:p>
            <w:pPr>
              <w:jc w:val="center"/>
              <w:ind w:left="141"/>
              <w:spacing w:after="0"/>
              <w:rPr>
                <w:sz w:val="20"/>
                <w:szCs w:val="20"/>
                <w:color w:val="auto"/>
              </w:rPr>
            </w:pPr>
            <w:r>
              <w:rPr>
                <w:rFonts w:ascii="Arial" w:cs="Arial" w:eastAsia="Arial" w:hAnsi="Arial"/>
                <w:sz w:val="20"/>
                <w:szCs w:val="20"/>
                <w:color w:val="auto"/>
                <w:w w:val="89"/>
              </w:rPr>
              <w:t>$125,000,000</w:t>
            </w:r>
          </w:p>
        </w:tc>
        <w:tc>
          <w:tcPr>
            <w:tcW w:w="260" w:type="dxa"/>
            <w:vAlign w:val="bottom"/>
            <w:tcBorders>
              <w:right w:val="single" w:sz="8" w:color="auto"/>
            </w:tcBorders>
          </w:tcPr>
          <w:p>
            <w:pPr>
              <w:spacing w:after="0"/>
              <w:rPr>
                <w:sz w:val="23"/>
                <w:szCs w:val="23"/>
                <w:color w:val="auto"/>
              </w:rPr>
            </w:pPr>
          </w:p>
        </w:tc>
        <w:tc>
          <w:tcPr>
            <w:tcW w:w="35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Truist Bank</w:t>
            </w:r>
          </w:p>
        </w:tc>
        <w:tc>
          <w:tcPr>
            <w:tcW w:w="20" w:type="dxa"/>
            <w:vAlign w:val="bottom"/>
          </w:tcPr>
          <w:p>
            <w:pPr>
              <w:spacing w:after="0"/>
              <w:rPr>
                <w:sz w:val="23"/>
                <w:szCs w:val="23"/>
                <w:color w:val="auto"/>
              </w:rPr>
            </w:pPr>
          </w:p>
        </w:tc>
      </w:tr>
      <w:tr>
        <w:trPr>
          <w:trHeight w:val="37"/>
        </w:trPr>
        <w:tc>
          <w:tcPr>
            <w:tcW w:w="126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8"/>
        </w:trPr>
        <w:tc>
          <w:tcPr>
            <w:tcW w:w="3320" w:type="dxa"/>
            <w:vAlign w:val="bottom"/>
            <w:tcBorders>
              <w:left w:val="single" w:sz="8" w:color="auto"/>
              <w:right w:val="single" w:sz="8" w:color="auto"/>
            </w:tcBorders>
            <w:gridSpan w:val="3"/>
          </w:tcPr>
          <w:p>
            <w:pPr>
              <w:ind w:left="100"/>
              <w:spacing w:after="0"/>
              <w:rPr>
                <w:sz w:val="20"/>
                <w:szCs w:val="20"/>
                <w:color w:val="auto"/>
              </w:rPr>
            </w:pPr>
            <w:r>
              <w:rPr>
                <w:rFonts w:ascii="Arial" w:cs="Arial" w:eastAsia="Arial" w:hAnsi="Arial"/>
                <w:sz w:val="20"/>
                <w:szCs w:val="20"/>
                <w:color w:val="auto"/>
              </w:rPr>
              <w:t>Liberty Street Funding LLC</w:t>
            </w:r>
          </w:p>
        </w:tc>
        <w:tc>
          <w:tcPr>
            <w:tcW w:w="1420" w:type="dxa"/>
            <w:vAlign w:val="bottom"/>
            <w:gridSpan w:val="4"/>
          </w:tcPr>
          <w:p>
            <w:pPr>
              <w:jc w:val="center"/>
              <w:ind w:left="141"/>
              <w:spacing w:after="0"/>
              <w:rPr>
                <w:sz w:val="20"/>
                <w:szCs w:val="20"/>
                <w:color w:val="auto"/>
              </w:rPr>
            </w:pPr>
            <w:r>
              <w:rPr>
                <w:rFonts w:ascii="Arial" w:cs="Arial" w:eastAsia="Arial" w:hAnsi="Arial"/>
                <w:sz w:val="20"/>
                <w:szCs w:val="20"/>
                <w:color w:val="auto"/>
                <w:w w:val="89"/>
              </w:rPr>
              <w:t>$125,000,000</w:t>
            </w:r>
          </w:p>
        </w:tc>
        <w:tc>
          <w:tcPr>
            <w:tcW w:w="260" w:type="dxa"/>
            <w:vAlign w:val="bottom"/>
            <w:tcBorders>
              <w:right w:val="single" w:sz="8" w:color="auto"/>
            </w:tcBorders>
          </w:tcPr>
          <w:p>
            <w:pPr>
              <w:spacing w:after="0"/>
              <w:rPr>
                <w:sz w:val="23"/>
                <w:szCs w:val="23"/>
                <w:color w:val="auto"/>
              </w:rPr>
            </w:pPr>
          </w:p>
        </w:tc>
        <w:tc>
          <w:tcPr>
            <w:tcW w:w="35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The Bank of Nova Scotia</w:t>
            </w:r>
          </w:p>
        </w:tc>
        <w:tc>
          <w:tcPr>
            <w:tcW w:w="20" w:type="dxa"/>
            <w:vAlign w:val="bottom"/>
          </w:tcPr>
          <w:p>
            <w:pPr>
              <w:spacing w:after="0"/>
              <w:rPr>
                <w:sz w:val="23"/>
                <w:szCs w:val="23"/>
                <w:color w:val="auto"/>
              </w:rPr>
            </w:pPr>
          </w:p>
        </w:tc>
      </w:tr>
      <w:tr>
        <w:trPr>
          <w:trHeight w:val="36"/>
        </w:trPr>
        <w:tc>
          <w:tcPr>
            <w:tcW w:w="1260" w:type="dxa"/>
            <w:vAlign w:val="bottom"/>
            <w:tcBorders>
              <w:left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795"/>
        </w:trPr>
        <w:tc>
          <w:tcPr>
            <w:tcW w:w="1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96" w:name="page97"/>
    <w:bookmarkEnd w:id="96"/>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w:t>
      </w:r>
      <w:r>
        <w:rPr>
          <w:rFonts w:ascii="Arial" w:cs="Arial" w:eastAsia="Arial" w:hAnsi="Arial"/>
          <w:sz w:val="18"/>
          <w:szCs w:val="18"/>
          <w:i w:val="1"/>
          <w:iCs w:val="1"/>
          <w:color w:val="auto"/>
        </w:rPr>
        <w:t xml:space="preserve">. 7 </w:t>
      </w:r>
      <w:r>
        <w:rPr>
          <w:rFonts w:ascii="Arial" w:cs="Arial" w:eastAsia="Arial" w:hAnsi="Arial"/>
          <w:sz w:val="12"/>
          <w:szCs w:val="12"/>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2"/>
          <w:szCs w:val="12"/>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2"/>
          <w:szCs w:val="12"/>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greement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Schedule B</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SPECIAL INCREMENTAL PURCHASE</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 xml:space="preserve">The terms of the Special Incremental Purchase are set forth on this </w:t>
      </w:r>
      <w:r>
        <w:rPr>
          <w:rFonts w:ascii="Arial" w:cs="Arial" w:eastAsia="Arial" w:hAnsi="Arial"/>
          <w:sz w:val="20"/>
          <w:szCs w:val="20"/>
          <w:u w:val="single" w:color="auto"/>
          <w:color w:val="auto"/>
        </w:rPr>
        <w:t>Schedule B</w:t>
      </w:r>
      <w:r>
        <w:rPr>
          <w:rFonts w:ascii="Arial" w:cs="Arial" w:eastAsia="Arial" w:hAnsi="Arial"/>
          <w:sz w:val="20"/>
          <w:szCs w:val="20"/>
          <w:color w:val="auto"/>
        </w:rPr>
        <w:t>.</w:t>
      </w:r>
    </w:p>
    <w:p>
      <w:pPr>
        <w:spacing w:after="0" w:line="212" w:lineRule="exact"/>
        <w:rPr>
          <w:sz w:val="20"/>
          <w:szCs w:val="20"/>
          <w:color w:val="auto"/>
        </w:rPr>
      </w:pPr>
    </w:p>
    <w:tbl>
      <w:tblPr>
        <w:tblLayout w:type="fixed"/>
        <w:tblInd w:w="2690" w:type="dxa"/>
        <w:tblCellMar>
          <w:top w:w="0" w:type="dxa"/>
          <w:left w:w="0" w:type="dxa"/>
          <w:bottom w:w="0" w:type="dxa"/>
          <w:right w:w="0" w:type="dxa"/>
        </w:tblCellMar>
      </w:tblPr>
      <w:tr>
        <w:trPr>
          <w:trHeight w:val="267"/>
        </w:trPr>
        <w:tc>
          <w:tcPr>
            <w:tcW w:w="23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Purchase Price:</w:t>
            </w:r>
          </w:p>
        </w:tc>
        <w:tc>
          <w:tcPr>
            <w:tcW w:w="13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$45,000,000</w:t>
            </w:r>
          </w:p>
        </w:tc>
      </w:tr>
      <w:tr>
        <w:trPr>
          <w:trHeight w:val="25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Date of Purchase:</w:t>
            </w:r>
          </w:p>
        </w:tc>
        <w:tc>
          <w:tcPr>
            <w:tcW w:w="1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w w:val="98"/>
              </w:rPr>
              <w:t>May 12, 2023</w:t>
            </w:r>
          </w:p>
        </w:tc>
      </w:tr>
      <w:tr>
        <w:trPr>
          <w:trHeight w:val="25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2"/>
              </w:rPr>
              <w:t>Requested Discount Rate:</w:t>
            </w:r>
          </w:p>
        </w:tc>
        <w:tc>
          <w:tcPr>
            <w:tcW w:w="1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Benchmark</w:t>
            </w:r>
          </w:p>
        </w:tc>
      </w:tr>
    </w:tbl>
    <w:p>
      <w:pPr>
        <w:spacing w:after="0" w:line="199" w:lineRule="exact"/>
        <w:rPr>
          <w:sz w:val="20"/>
          <w:szCs w:val="20"/>
          <w:color w:val="auto"/>
        </w:rPr>
      </w:pPr>
    </w:p>
    <w:p>
      <w:pPr>
        <w:ind w:left="200" w:right="679" w:firstLine="648"/>
        <w:spacing w:after="0" w:line="260" w:lineRule="auto"/>
        <w:rPr>
          <w:sz w:val="20"/>
          <w:szCs w:val="20"/>
          <w:color w:val="auto"/>
        </w:rPr>
      </w:pPr>
      <w:r>
        <w:rPr>
          <w:rFonts w:ascii="Arial" w:cs="Arial" w:eastAsia="Arial" w:hAnsi="Arial"/>
          <w:sz w:val="20"/>
          <w:szCs w:val="20"/>
          <w:color w:val="auto"/>
        </w:rPr>
        <w:t>The Purchase Price will be allocated among the Financial Institutions on a non-ratable basis as follows:</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220"/>
        </w:trPr>
        <w:tc>
          <w:tcPr>
            <w:tcW w:w="272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2080" w:type="dxa"/>
            <w:vAlign w:val="bottom"/>
            <w:tcBorders>
              <w:top w:val="single" w:sz="8" w:color="auto"/>
              <w:right w:val="single" w:sz="8" w:color="auto"/>
            </w:tcBorders>
            <w:shd w:val="clear" w:color="auto" w:fill="D9D9D9"/>
          </w:tcPr>
          <w:p>
            <w:pPr>
              <w:spacing w:after="0"/>
              <w:rPr>
                <w:sz w:val="19"/>
                <w:szCs w:val="19"/>
                <w:color w:val="auto"/>
              </w:rPr>
            </w:pPr>
          </w:p>
        </w:tc>
        <w:tc>
          <w:tcPr>
            <w:tcW w:w="3040" w:type="dxa"/>
            <w:vAlign w:val="bottom"/>
            <w:tcBorders>
              <w:top w:val="single" w:sz="8" w:color="auto"/>
              <w:right w:val="single" w:sz="8" w:color="auto"/>
            </w:tcBorders>
            <w:shd w:val="clear" w:color="auto" w:fill="D9D9D9"/>
          </w:tcPr>
          <w:p>
            <w:pPr>
              <w:ind w:left="100"/>
              <w:spacing w:after="0" w:line="220" w:lineRule="exact"/>
              <w:rPr>
                <w:sz w:val="20"/>
                <w:szCs w:val="20"/>
                <w:color w:val="auto"/>
              </w:rPr>
            </w:pPr>
            <w:r>
              <w:rPr>
                <w:rFonts w:ascii="Arial" w:cs="Arial" w:eastAsia="Arial" w:hAnsi="Arial"/>
                <w:sz w:val="20"/>
                <w:szCs w:val="20"/>
                <w:b w:val="1"/>
                <w:bCs w:val="1"/>
                <w:color w:val="auto"/>
                <w:w w:val="93"/>
              </w:rPr>
              <w:t>Outstanding Capital (after giving</w:t>
            </w:r>
          </w:p>
        </w:tc>
        <w:tc>
          <w:tcPr>
            <w:tcW w:w="0" w:type="dxa"/>
            <w:vAlign w:val="bottom"/>
          </w:tcPr>
          <w:p>
            <w:pPr>
              <w:spacing w:after="0"/>
              <w:rPr>
                <w:sz w:val="1"/>
                <w:szCs w:val="1"/>
                <w:color w:val="auto"/>
              </w:rPr>
            </w:pPr>
          </w:p>
        </w:tc>
      </w:tr>
      <w:tr>
        <w:trPr>
          <w:trHeight w:val="230"/>
        </w:trPr>
        <w:tc>
          <w:tcPr>
            <w:tcW w:w="272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Arial" w:cs="Arial" w:eastAsia="Arial" w:hAnsi="Arial"/>
                <w:sz w:val="20"/>
                <w:szCs w:val="20"/>
                <w:b w:val="1"/>
                <w:bCs w:val="1"/>
                <w:color w:val="auto"/>
              </w:rPr>
              <w:t>Financial Institution</w:t>
            </w:r>
          </w:p>
        </w:tc>
        <w:tc>
          <w:tcPr>
            <w:tcW w:w="208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Share of Purchase</w:t>
            </w:r>
          </w:p>
        </w:tc>
        <w:tc>
          <w:tcPr>
            <w:tcW w:w="304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effect to Special Incremental</w:t>
            </w:r>
          </w:p>
        </w:tc>
        <w:tc>
          <w:tcPr>
            <w:tcW w:w="0" w:type="dxa"/>
            <w:vAlign w:val="bottom"/>
          </w:tcPr>
          <w:p>
            <w:pPr>
              <w:spacing w:after="0"/>
              <w:rPr>
                <w:sz w:val="1"/>
                <w:szCs w:val="1"/>
                <w:color w:val="auto"/>
              </w:rPr>
            </w:pPr>
          </w:p>
        </w:tc>
      </w:tr>
      <w:tr>
        <w:trPr>
          <w:trHeight w:val="135"/>
        </w:trPr>
        <w:tc>
          <w:tcPr>
            <w:tcW w:w="27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080" w:type="dxa"/>
            <w:vAlign w:val="bottom"/>
            <w:tcBorders>
              <w:right w:val="single" w:sz="8" w:color="auto"/>
            </w:tcBorders>
            <w:vMerge w:val="restart"/>
            <w:shd w:val="clear" w:color="auto" w:fill="D9D9D9"/>
          </w:tcPr>
          <w:p>
            <w:pPr>
              <w:ind w:left="100"/>
              <w:spacing w:after="0"/>
              <w:rPr>
                <w:sz w:val="20"/>
                <w:szCs w:val="20"/>
                <w:color w:val="auto"/>
              </w:rPr>
            </w:pPr>
            <w:r>
              <w:rPr>
                <w:rFonts w:ascii="Arial" w:cs="Arial" w:eastAsia="Arial" w:hAnsi="Arial"/>
                <w:sz w:val="20"/>
                <w:szCs w:val="20"/>
                <w:b w:val="1"/>
                <w:bCs w:val="1"/>
                <w:color w:val="auto"/>
              </w:rPr>
              <w:t>Price</w:t>
            </w:r>
          </w:p>
        </w:tc>
        <w:tc>
          <w:tcPr>
            <w:tcW w:w="3040" w:type="dxa"/>
            <w:vAlign w:val="bottom"/>
            <w:tcBorders>
              <w:right w:val="single" w:sz="8" w:color="auto"/>
            </w:tcBorders>
            <w:vMerge w:val="restart"/>
            <w:shd w:val="clear" w:color="auto" w:fill="D9D9D9"/>
          </w:tcPr>
          <w:p>
            <w:pPr>
              <w:ind w:left="100"/>
              <w:spacing w:after="0"/>
              <w:rPr>
                <w:sz w:val="20"/>
                <w:szCs w:val="20"/>
                <w:color w:val="auto"/>
              </w:rPr>
            </w:pPr>
            <w:r>
              <w:rPr>
                <w:rFonts w:ascii="Arial" w:cs="Arial" w:eastAsia="Arial" w:hAnsi="Arial"/>
                <w:sz w:val="20"/>
                <w:szCs w:val="20"/>
                <w:b w:val="1"/>
                <w:bCs w:val="1"/>
                <w:color w:val="auto"/>
              </w:rPr>
              <w:t>Purchase and Reallocation</w:t>
            </w:r>
          </w:p>
        </w:tc>
        <w:tc>
          <w:tcPr>
            <w:tcW w:w="0" w:type="dxa"/>
            <w:vAlign w:val="bottom"/>
          </w:tcPr>
          <w:p>
            <w:pPr>
              <w:spacing w:after="0"/>
              <w:rPr>
                <w:sz w:val="1"/>
                <w:szCs w:val="1"/>
                <w:color w:val="auto"/>
              </w:rPr>
            </w:pPr>
          </w:p>
        </w:tc>
      </w:tr>
      <w:tr>
        <w:trPr>
          <w:trHeight w:val="95"/>
        </w:trPr>
        <w:tc>
          <w:tcPr>
            <w:tcW w:w="2720" w:type="dxa"/>
            <w:vAlign w:val="bottom"/>
            <w:tcBorders>
              <w:left w:val="single" w:sz="8" w:color="auto"/>
              <w:right w:val="single" w:sz="8" w:color="auto"/>
            </w:tcBorders>
            <w:shd w:val="clear" w:color="auto" w:fill="D9D9D9"/>
          </w:tcPr>
          <w:p>
            <w:pPr>
              <w:spacing w:after="0"/>
              <w:rPr>
                <w:sz w:val="8"/>
                <w:szCs w:val="8"/>
                <w:color w:val="auto"/>
              </w:rPr>
            </w:pPr>
          </w:p>
        </w:tc>
        <w:tc>
          <w:tcPr>
            <w:tcW w:w="2080" w:type="dxa"/>
            <w:vAlign w:val="bottom"/>
            <w:tcBorders>
              <w:right w:val="single" w:sz="8" w:color="auto"/>
            </w:tcBorders>
            <w:vMerge w:val="continue"/>
            <w:shd w:val="clear" w:color="auto" w:fill="D9D9D9"/>
          </w:tcPr>
          <w:p>
            <w:pPr>
              <w:spacing w:after="0"/>
              <w:rPr>
                <w:sz w:val="8"/>
                <w:szCs w:val="8"/>
                <w:color w:val="auto"/>
              </w:rPr>
            </w:pPr>
          </w:p>
        </w:tc>
        <w:tc>
          <w:tcPr>
            <w:tcW w:w="304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72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2080" w:type="dxa"/>
            <w:vAlign w:val="bottom"/>
            <w:tcBorders>
              <w:bottom w:val="single" w:sz="8" w:color="auto"/>
              <w:right w:val="single" w:sz="8" w:color="auto"/>
            </w:tcBorders>
            <w:shd w:val="clear" w:color="auto" w:fill="D9D9D9"/>
          </w:tcPr>
          <w:p>
            <w:pPr>
              <w:spacing w:after="0"/>
              <w:rPr>
                <w:sz w:val="21"/>
                <w:szCs w:val="21"/>
                <w:color w:val="auto"/>
              </w:rPr>
            </w:pPr>
          </w:p>
        </w:tc>
        <w:tc>
          <w:tcPr>
            <w:tcW w:w="304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Payments/Receipts)</w:t>
            </w: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Wells Fargo Bank, National</w:t>
            </w:r>
          </w:p>
        </w:tc>
        <w:tc>
          <w:tcPr>
            <w:tcW w:w="2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$0</w:t>
            </w:r>
          </w:p>
        </w:tc>
        <w:tc>
          <w:tcPr>
            <w:tcW w:w="30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color w:val="auto"/>
              </w:rPr>
              <w:t>$223,392,857.14</w:t>
            </w:r>
          </w:p>
        </w:tc>
        <w:tc>
          <w:tcPr>
            <w:tcW w:w="0" w:type="dxa"/>
            <w:vAlign w:val="bottom"/>
          </w:tcPr>
          <w:p>
            <w:pPr>
              <w:spacing w:after="0"/>
              <w:rPr>
                <w:sz w:val="1"/>
                <w:szCs w:val="1"/>
                <w:color w:val="auto"/>
              </w:rPr>
            </w:pPr>
          </w:p>
        </w:tc>
      </w:tr>
      <w:tr>
        <w:trPr>
          <w:trHeight w:val="129"/>
        </w:trPr>
        <w:tc>
          <w:tcPr>
            <w:tcW w:w="27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0"/>
                <w:szCs w:val="20"/>
                <w:color w:val="auto"/>
              </w:rPr>
              <w:t>Association</w:t>
            </w:r>
          </w:p>
        </w:tc>
        <w:tc>
          <w:tcPr>
            <w:tcW w:w="2080" w:type="dxa"/>
            <w:vAlign w:val="bottom"/>
            <w:tcBorders>
              <w:right w:val="single" w:sz="8" w:color="auto"/>
            </w:tcBorders>
            <w:vMerge w:val="continue"/>
          </w:tcPr>
          <w:p>
            <w:pPr>
              <w:spacing w:after="0"/>
              <w:rPr>
                <w:sz w:val="11"/>
                <w:szCs w:val="11"/>
                <w:color w:val="auto"/>
              </w:rPr>
            </w:pPr>
          </w:p>
        </w:tc>
        <w:tc>
          <w:tcPr>
            <w:tcW w:w="3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72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Bank of America, N.A.</w:t>
            </w:r>
          </w:p>
        </w:tc>
        <w:tc>
          <w:tcPr>
            <w:tcW w:w="208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$0</w:t>
            </w:r>
          </w:p>
        </w:tc>
        <w:tc>
          <w:tcPr>
            <w:tcW w:w="304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$223,392,857.14</w:t>
            </w: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Truist Bank</w:t>
            </w:r>
          </w:p>
        </w:tc>
        <w:tc>
          <w:tcPr>
            <w:tcW w:w="208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$0</w:t>
            </w:r>
          </w:p>
        </w:tc>
        <w:tc>
          <w:tcPr>
            <w:tcW w:w="304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$124,107,142.86</w:t>
            </w:r>
          </w:p>
        </w:tc>
        <w:tc>
          <w:tcPr>
            <w:tcW w:w="0" w:type="dxa"/>
            <w:vAlign w:val="bottom"/>
          </w:tcPr>
          <w:p>
            <w:pPr>
              <w:spacing w:after="0"/>
              <w:rPr>
                <w:sz w:val="1"/>
                <w:szCs w:val="1"/>
                <w:color w:val="auto"/>
              </w:rPr>
            </w:pPr>
          </w:p>
        </w:tc>
      </w:tr>
      <w:tr>
        <w:trPr>
          <w:trHeight w:val="223"/>
        </w:trPr>
        <w:tc>
          <w:tcPr>
            <w:tcW w:w="27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The Bank of Nova Scotia</w:t>
            </w:r>
          </w:p>
        </w:tc>
        <w:tc>
          <w:tcPr>
            <w:tcW w:w="208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$45,000,000</w:t>
            </w:r>
          </w:p>
        </w:tc>
        <w:tc>
          <w:tcPr>
            <w:tcW w:w="304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$124,107,142.86</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00" w:right="399" w:firstLine="698"/>
        <w:spacing w:after="0" w:line="342" w:lineRule="auto"/>
        <w:rPr>
          <w:sz w:val="20"/>
          <w:szCs w:val="20"/>
          <w:color w:val="auto"/>
        </w:rPr>
      </w:pPr>
      <w:r>
        <w:rPr>
          <w:rFonts w:ascii="Arial" w:cs="Arial" w:eastAsia="Arial" w:hAnsi="Arial"/>
          <w:sz w:val="16"/>
          <w:szCs w:val="16"/>
          <w:color w:val="auto"/>
        </w:rPr>
        <w:t>In connection with the Incremental Purchase to be made on the above listed “Date of Purchase” (the “</w:t>
      </w:r>
      <w:r>
        <w:rPr>
          <w:rFonts w:ascii="Arial" w:cs="Arial" w:eastAsia="Arial" w:hAnsi="Arial"/>
          <w:sz w:val="16"/>
          <w:szCs w:val="16"/>
          <w:u w:val="single" w:color="auto"/>
          <w:color w:val="auto"/>
        </w:rPr>
        <w:t>Purchase Date</w:t>
      </w:r>
      <w:r>
        <w:rPr>
          <w:rFonts w:ascii="Arial" w:cs="Arial" w:eastAsia="Arial" w:hAnsi="Arial"/>
          <w:sz w:val="16"/>
          <w:szCs w:val="16"/>
          <w:color w:val="auto"/>
        </w:rPr>
        <w:t>”), Seller hereby certifies that the following statements are true on the date hereof, and will be true on the Purchase Date (before and after giving effect to such Special Incremental Purchase):</w:t>
      </w:r>
    </w:p>
    <w:p>
      <w:pPr>
        <w:spacing w:after="0" w:line="118" w:lineRule="exact"/>
        <w:rPr>
          <w:sz w:val="20"/>
          <w:szCs w:val="20"/>
          <w:color w:val="auto"/>
        </w:rPr>
      </w:pPr>
    </w:p>
    <w:p>
      <w:pPr>
        <w:ind w:left="200" w:right="559" w:firstLine="1305"/>
        <w:spacing w:after="0" w:line="250" w:lineRule="auto"/>
        <w:tabs>
          <w:tab w:leader="none" w:pos="21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Seller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of the Receivables Purchase Agreement are true and correct on and as of the Purchase Date as though made on and as of such date;</w:t>
      </w:r>
    </w:p>
    <w:p>
      <w:pPr>
        <w:spacing w:after="0" w:line="185" w:lineRule="exact"/>
        <w:rPr>
          <w:rFonts w:ascii="Arial" w:cs="Arial" w:eastAsia="Arial" w:hAnsi="Arial"/>
          <w:sz w:val="20"/>
          <w:szCs w:val="20"/>
          <w:color w:val="auto"/>
        </w:rPr>
      </w:pPr>
    </w:p>
    <w:p>
      <w:pPr>
        <w:jc w:val="both"/>
        <w:ind w:left="200" w:right="899" w:firstLine="1305"/>
        <w:spacing w:after="0" w:line="316" w:lineRule="auto"/>
        <w:tabs>
          <w:tab w:leader="none" w:pos="21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Incremental Purchase, that will constitute an Amortization Event or a Potential Amortization Event;</w:t>
      </w:r>
    </w:p>
    <w:p>
      <w:pPr>
        <w:spacing w:after="0" w:line="129" w:lineRule="exact"/>
        <w:rPr>
          <w:rFonts w:ascii="Arial" w:cs="Arial" w:eastAsia="Arial" w:hAnsi="Arial"/>
          <w:sz w:val="18"/>
          <w:szCs w:val="18"/>
          <w:color w:val="auto"/>
        </w:rPr>
      </w:pPr>
    </w:p>
    <w:p>
      <w:pPr>
        <w:ind w:left="200" w:right="619" w:firstLine="1305"/>
        <w:spacing w:after="0" w:line="316" w:lineRule="auto"/>
        <w:tabs>
          <w:tab w:leader="none" w:pos="21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Facility Termination Date has not occurred, the Aggregate Capital does not exceed the Purchase Limit and the aggregate Purchaser Interests do not exceed 100%; and</w:t>
      </w:r>
    </w:p>
    <w:p>
      <w:pPr>
        <w:spacing w:after="0" w:line="129" w:lineRule="exact"/>
        <w:rPr>
          <w:rFonts w:ascii="Arial" w:cs="Arial" w:eastAsia="Arial" w:hAnsi="Arial"/>
          <w:sz w:val="18"/>
          <w:szCs w:val="18"/>
          <w:color w:val="auto"/>
        </w:rPr>
      </w:pPr>
    </w:p>
    <w:p>
      <w:pPr>
        <w:ind w:left="200" w:right="999" w:firstLine="1305"/>
        <w:spacing w:after="0" w:line="260" w:lineRule="auto"/>
        <w:tabs>
          <w:tab w:leader="none" w:pos="21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amount of Aggregate Capital is $695,000,000 after giving effect to the Incremental Purchase to be made on the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560070</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480"/>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6"/>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decimal"/>
      <w:start w:val="2"/>
    </w:lvl>
  </w:abstractNum>
  <w:abstractNum w:abstractNumId="20">
    <w:nsid w:val="8138641"/>
    <w:multiLevelType w:val="hybridMultilevel"/>
    <w:lvl w:ilvl="0">
      <w:lvlJc w:val="left"/>
      <w:lvlText w:val="(%1)"/>
      <w:numFmt w:val="lowerLetter"/>
      <w:start w:val="2"/>
    </w:lvl>
  </w:abstractNum>
  <w:abstractNum w:abstractNumId="21">
    <w:nsid w:val="1E7FF521"/>
    <w:multiLevelType w:val="hybridMultilevel"/>
    <w:lvl w:ilvl="0">
      <w:lvlJc w:val="left"/>
      <w:lvlText w:val="(%1)"/>
      <w:numFmt w:val="decimal"/>
      <w:start w:val="2"/>
    </w:lvl>
  </w:abstractNum>
  <w:abstractNum w:abstractNumId="22">
    <w:nsid w:val="7C3DBD3D"/>
    <w:multiLevelType w:val="hybridMultilevel"/>
    <w:lvl w:ilvl="0">
      <w:lvlJc w:val="left"/>
      <w:lvlText w:val="*"/>
      <w:numFmt w:val="bullet"/>
      <w:start w:val="1"/>
    </w:lvl>
    <w:lvl w:ilvl="1">
      <w:lvlJc w:val="left"/>
      <w:lvlText w:val="(%2)"/>
      <w:numFmt w:val="decimal"/>
      <w:start w:val="6"/>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
      <w:numFmt w:val="bullet"/>
      <w:start w:val="1"/>
    </w:lvl>
    <w:lvl w:ilvl="1">
      <w:lvlJc w:val="left"/>
      <w:lvlText w:val="%2"/>
      <w:numFmt w:val="decimal"/>
      <w:start w:val="104"/>
    </w:lvl>
  </w:abstractNum>
  <w:abstractNum w:abstractNumId="25">
    <w:nsid w:val="22221A70"/>
    <w:multiLevelType w:val="hybridMultilevel"/>
    <w:lvl w:ilvl="0">
      <w:lvlJc w:val="left"/>
      <w:lvlText w:val="**"/>
      <w:numFmt w:val="bullet"/>
      <w:start w:val="1"/>
    </w:lvl>
    <w:lvl w:ilvl="1">
      <w:lvlJc w:val="left"/>
      <w:lvlText w:val="%2"/>
      <w:numFmt w:val="decimal"/>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decimal"/>
      <w:start w:val="1"/>
    </w:lvl>
    <w:lvl w:ilvl="1">
      <w:lvlJc w:val="left"/>
      <w:lvlText w:val="%2."/>
      <w:numFmt w:val="lowerLetter"/>
      <w:start w:val="1"/>
    </w:lvl>
  </w:abstractNum>
  <w:abstractNum w:abstractNumId="28">
    <w:nsid w:val="614FD4A1"/>
    <w:multiLevelType w:val="hybridMultilevel"/>
    <w:lvl w:ilvl="0">
      <w:lvlJc w:val="left"/>
      <w:lvlText w:val="%1."/>
      <w:numFmt w:val="decimal"/>
      <w:start w:val="1"/>
    </w:lvl>
    <w:lvl w:ilvl="1">
      <w:lvlJc w:val="left"/>
      <w:lvlText w:val="%2."/>
      <w:numFmt w:val="lowerLetter"/>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Letter"/>
      <w:start w:val="3"/>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2" Type="http://schemas.openxmlformats.org/officeDocument/2006/relationships/image" Target="media/image77.png"/><Relationship Id="rId105" Type="http://schemas.openxmlformats.org/officeDocument/2006/relationships/image" Target="media/image78.png"/><Relationship Id="rId107" Type="http://schemas.openxmlformats.org/officeDocument/2006/relationships/image" Target="media/image79.png"/><Relationship Id="rId112" Type="http://schemas.openxmlformats.org/officeDocument/2006/relationships/image" Target="media/image80.png"/><Relationship Id="rId121"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84" Type="http://schemas.openxmlformats.org/officeDocument/2006/relationships/hyperlink" Target="http://www.sec.gov/Archives/edgar/data/8858/000095015301000138/p64582ex3-i.txt" TargetMode="External"/><Relationship Id="rId85" Type="http://schemas.openxmlformats.org/officeDocument/2006/relationships/hyperlink" Target="https://www.sec.gov/Archives/edgar/data/8858/000110465923063702/tm2316137d1_ex3-1.htm" TargetMode="External"/><Relationship Id="rId86" Type="http://schemas.openxmlformats.org/officeDocument/2006/relationships/hyperlink" Target="https://www.sec.gov/Archives/edgar/data/8858/000000885819000035/avt-20190629ex41617fba7.htm" TargetMode="External"/><Relationship Id="rId87" Type="http://schemas.openxmlformats.org/officeDocument/2006/relationships/hyperlink" Target="http://www.sec.gov/Archives/edgar/data/8858/000129993310002436/exhibit2.htm" TargetMode="External"/><Relationship Id="rId88" Type="http://schemas.openxmlformats.org/officeDocument/2006/relationships/hyperlink" Target="http://www.sec.gov/Archives/edgar/data/8858/000119312516513440/d168900dex41.htm" TargetMode="External"/><Relationship Id="rId89" Type="http://schemas.openxmlformats.org/officeDocument/2006/relationships/hyperlink" Target="https://www.sec.gov/Archives/edgar/data/8858/000119312521151797/d402267dex41.htm" TargetMode="External"/><Relationship Id="rId90" Type="http://schemas.openxmlformats.org/officeDocument/2006/relationships/hyperlink" Target="https://www.sec.gov/Archives/edgar/data/8858/000119312522151688/d318193dex41.htm" TargetMode="External"/><Relationship Id="rId91" Type="http://schemas.openxmlformats.org/officeDocument/2006/relationships/hyperlink" Target="https://www.sec.gov/Archives/edgar/data/8858/000119312523064179/d472755dex41.htm" TargetMode="External"/><Relationship Id="rId92" Type="http://schemas.openxmlformats.org/officeDocument/2006/relationships/hyperlink" Target="https://www.sec.gov/Archives/edgar/data/0000008858/000000885821000011/avt-20210102ex1023253bd.htm" TargetMode="External"/><Relationship Id="rId93" Type="http://schemas.openxmlformats.org/officeDocument/2006/relationships/hyperlink" Target="https://www.sec.gov/Archives/edgar/data/8858/000110465922097851/tm2225127d1_ex10-2.htm" TargetMode="External"/><Relationship Id="rId94" Type="http://schemas.openxmlformats.org/officeDocument/2006/relationships/hyperlink" Target="http://www.sec.gov/Archives/edgar/data/8858/000000885817000057/avt-20170701ex10230ec10.htm" TargetMode="External"/><Relationship Id="rId95" Type="http://schemas.openxmlformats.org/officeDocument/2006/relationships/hyperlink" Target="https://www.sec.gov/Archives/edgar/data/8858/000129993311000487/exhibit3.htm" TargetMode="External"/><Relationship Id="rId96" Type="http://schemas.openxmlformats.org/officeDocument/2006/relationships/hyperlink" Target="http://www.sec.gov/Archives/edgar/data/8858/000095015306001243/p72247exv10w1.htm" TargetMode="External"/><Relationship Id="rId97" Type="http://schemas.openxmlformats.org/officeDocument/2006/relationships/hyperlink" Target="http://www.sec.gov/Archives/edgar/data/8858/000000885817000072/avt-20170930ex10184795b.htm" TargetMode="External"/><Relationship Id="rId98" Type="http://schemas.openxmlformats.org/officeDocument/2006/relationships/hyperlink" Target="http://www.sec.gov/Archives/edgar/data/8858/000000885813000011/avt-20130629x10kxexh1013.htm" TargetMode="External"/><Relationship Id="rId99" Type="http://schemas.openxmlformats.org/officeDocument/2006/relationships/hyperlink" Target="http://www.sec.gov/Archives/edgar/data/8858/000000885813000011/avt-20130629x10kxexh1014.htm" TargetMode="External"/><Relationship Id="rId100" Type="http://schemas.openxmlformats.org/officeDocument/2006/relationships/hyperlink" Target="http://www.sec.gov/Archives/edgar/data/8858/000000885818000047/avt-20180630ex108f9323b.htm" TargetMode="External"/><Relationship Id="rId101" Type="http://schemas.openxmlformats.org/officeDocument/2006/relationships/hyperlink" Target="http://www.sec.gov/Archives/edgar/data/8858/000129993312001903/exhibit1.htm" TargetMode="External"/><Relationship Id="rId103" Type="http://schemas.openxmlformats.org/officeDocument/2006/relationships/hyperlink" Target="http://www.sec.gov/Archives/edgar/data/8858/000000885818000047/avt-20180630ex101061a25.htm" TargetMode="External"/><Relationship Id="rId104" Type="http://schemas.openxmlformats.org/officeDocument/2006/relationships/hyperlink" Target="http://www.sec.gov/Archives/edgar/data/8858/000000885817000057/avt-20170701ex10155286e.htm" TargetMode="External"/><Relationship Id="rId106" Type="http://schemas.openxmlformats.org/officeDocument/2006/relationships/hyperlink" Target="http://www.sec.gov/Archives/edgar/data/8858/000000885818000047/avt-20180630ex101299a27.htm" TargetMode="External"/><Relationship Id="rId108" Type="http://schemas.openxmlformats.org/officeDocument/2006/relationships/hyperlink" Target="https://www.sec.gov/Archives/edgar/data/8858/000000885822000020/avt-20220402ex1020aefc0.htm" TargetMode="External"/><Relationship Id="rId109" Type="http://schemas.openxmlformats.org/officeDocument/2006/relationships/hyperlink" Target="https://www.sec.gov/Archives/edgar/data/8858/000000885822000020/avt-20220402ex103a0fa69.htm" TargetMode="External"/><Relationship Id="rId110" Type="http://schemas.openxmlformats.org/officeDocument/2006/relationships/hyperlink" Target="https://www.sec.gov/Archives/edgar/data/8858/000000885822000020/avt-20220402ex103b06cca.htm" TargetMode="External"/><Relationship Id="rId111" Type="http://schemas.openxmlformats.org/officeDocument/2006/relationships/hyperlink" Target="https://www.sec.gov/Archives/edgar/data/8858/000000885822000020/avt-20220402ex103c6a540.htm" TargetMode="External"/><Relationship Id="rId113" Type="http://schemas.openxmlformats.org/officeDocument/2006/relationships/hyperlink" Target="http://www.sec.gov/Archives/edgar/data/8858/000000885818000047/avt-20180630ex105ad19f1.htm" TargetMode="External"/><Relationship Id="rId114" Type="http://schemas.openxmlformats.org/officeDocument/2006/relationships/hyperlink" Target="http://www.sec.gov/Archives/edgar/data/8858/000000885818000050/avt-20180816ex102b7d7a9.htm" TargetMode="External"/><Relationship Id="rId115" Type="http://schemas.openxmlformats.org/officeDocument/2006/relationships/hyperlink" Target="https://www.sec.gov/Archives/edgar/data/8858/000110465920091427/tm2026286d1_10-2.htm" TargetMode="External"/><Relationship Id="rId116" Type="http://schemas.openxmlformats.org/officeDocument/2006/relationships/hyperlink" Target="http://www.sec.gov/Archives/edgar/data/8858/000000885818000050/avt-20180816ex1013240f4.htm" TargetMode="External"/><Relationship Id="rId117" Type="http://schemas.openxmlformats.org/officeDocument/2006/relationships/hyperlink" Target="http://www.sec.gov/Archives/edgar/data/8858/000000885820000019/avt-20200328ex101018879.htm" TargetMode="External"/><Relationship Id="rId118" Type="http://schemas.openxmlformats.org/officeDocument/2006/relationships/hyperlink" Target="https://www.sec.gov/Archives/edgar/data/8858/000110465920091427/tm2026286d1_10-1.htm" TargetMode="External"/><Relationship Id="rId119" Type="http://schemas.openxmlformats.org/officeDocument/2006/relationships/hyperlink" Target="https://www.sec.gov/Archives/edgar/data/8858/000000885822000031/avt-20220702xex10d18b4.htm" TargetMode="External"/><Relationship Id="rId120" Type="http://schemas.openxmlformats.org/officeDocument/2006/relationships/hyperlink" Target="https://www.sec.gov/Archives/edgar/data/8858/000110465921107076/tm2125327d1_ex10-1.htm" TargetMode="External"/><Relationship Id="rId122" Type="http://schemas.openxmlformats.org/officeDocument/2006/relationships/hyperlink" Target="https://www.sec.gov/Archives/edgar/data/8858/000000885822000020/avt-20220402ex1013726ef.htm" TargetMode="External"/><Relationship Id="rId123" Type="http://schemas.openxmlformats.org/officeDocument/2006/relationships/hyperlink" Target="https://www.sec.gov/Archives/edgar/data/8858/000110465922128735/tm2233169d1_ex10-1.htm" TargetMode="External"/><Relationship Id="rId124" Type="http://schemas.openxmlformats.org/officeDocument/2006/relationships/hyperlink" Target="https://www.sec.gov/Archives/edgar/data/8858/000155837018005510/avt-20180628ex1011e70b2.htm" TargetMode="External"/><Relationship Id="rId125" Type="http://schemas.openxmlformats.org/officeDocument/2006/relationships/hyperlink" Target="https://www.sec.gov/Archives/edgar/data/8858/000110465920091427/tm2026286d1_10-3.htm" TargetMode="External"/><Relationship Id="rId126" Type="http://schemas.openxmlformats.org/officeDocument/2006/relationships/hyperlink" Target="https://www.sec.gov/Archives/edgar/data/8858/000000885822000010/avt-20220101ex101f2afaa.htm" TargetMode="External"/><Relationship Id="rId127" Type="http://schemas.openxmlformats.org/officeDocument/2006/relationships/hyperlink" Target="https://www.sec.gov/Archives/edgar/data/8858/000110465922085620/tm2222423d1_ex10-1.htm" TargetMode="External"/><Relationship Id="rId128" Type="http://schemas.openxmlformats.org/officeDocument/2006/relationships/hyperlink" Target="https://www.sec.gov/Archives/edgar/data/8858/000000885823000012/avt-20221231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2023-08-18T05:30:40Z</dcterms:created>
  <dcterms:modified xsi:type="dcterms:W3CDTF">2023-08-18T05:30:40Z</dcterms:modified>
</cp:coreProperties>
</file>