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452120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114935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p>
    <w:p>
      <w:pPr>
        <w:ind w:left="500" w:hanging="405"/>
        <w:spacing w:after="0"/>
        <w:tabs>
          <w:tab w:leader="none" w:pos="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July 3, 2021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6"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20" w:type="dxa"/>
            <w:vAlign w:val="bottom"/>
            <w:gridSpan w:val="3"/>
          </w:tcPr>
          <w:p>
            <w:pPr>
              <w:ind w:left="320"/>
              <w:spacing w:after="0"/>
              <w:rPr>
                <w:sz w:val="20"/>
                <w:szCs w:val="20"/>
                <w:color w:val="auto"/>
              </w:rPr>
            </w:pPr>
            <w:r>
              <w:rPr>
                <w:rFonts w:ascii="Arial" w:cs="Arial" w:eastAsia="Arial" w:hAnsi="Arial"/>
                <w:sz w:val="14"/>
                <w:szCs w:val="14"/>
                <w:b w:val="1"/>
                <w:bCs w:val="1"/>
                <w:color w:val="auto"/>
                <w:w w:val="95"/>
              </w:rPr>
              <w:t>For the transition period from</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40" w:type="dxa"/>
            <w:vAlign w:val="bottom"/>
            <w:gridSpan w:val="7"/>
          </w:tcPr>
          <w:p>
            <w:pPr>
              <w:jc w:val="center"/>
              <w:ind w:right="3688"/>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20" w:type="dxa"/>
            <w:vAlign w:val="bottom"/>
            <w:gridSpan w:val="8"/>
          </w:tcPr>
          <w:p>
            <w:pPr>
              <w:jc w:val="center"/>
              <w:ind w:right="350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304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New York</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gridSpan w:val="5"/>
          </w:tcPr>
          <w:p>
            <w:pPr>
              <w:jc w:val="right"/>
              <w:ind w:right="204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
          </w:tcPr>
          <w:p>
            <w:pPr>
              <w:ind w:left="54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46"/>
        </w:trPr>
        <w:tc>
          <w:tcPr>
            <w:tcW w:w="57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2211 South 47th Street,</w:t>
            </w:r>
          </w:p>
        </w:tc>
        <w:tc>
          <w:tcPr>
            <w:tcW w:w="4440" w:type="dxa"/>
            <w:vAlign w:val="bottom"/>
            <w:gridSpan w:val="5"/>
            <w:vMerge w:val="restart"/>
          </w:tcPr>
          <w:p>
            <w:pPr>
              <w:jc w:val="right"/>
              <w:ind w:right="220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304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ind w:left="5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Registrant’s telephone number, including area code (480) 643-2000</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323"/>
        </w:trPr>
        <w:tc>
          <w:tcPr>
            <w:tcW w:w="30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Title of Each Class</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3040" w:type="dxa"/>
            <w:vAlign w:val="bottom"/>
          </w:tcPr>
          <w:p>
            <w:pPr>
              <w:jc w:val="center"/>
              <w:ind w:left="488"/>
              <w:spacing w:after="0"/>
              <w:rPr>
                <w:sz w:val="20"/>
                <w:szCs w:val="20"/>
                <w:color w:val="auto"/>
              </w:rPr>
            </w:pPr>
            <w:r>
              <w:rPr>
                <w:rFonts w:ascii="Arial" w:cs="Arial" w:eastAsia="Arial" w:hAnsi="Arial"/>
                <w:sz w:val="14"/>
                <w:szCs w:val="14"/>
                <w:color w:val="auto"/>
                <w:w w:val="92"/>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5"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None</w:t>
      </w:r>
    </w:p>
    <w:p>
      <w:pPr>
        <w:spacing w:after="0" w:line="48"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20" w:right="20" w:firstLine="432"/>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20"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20" w:firstLine="432"/>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316" w:lineRule="exact"/>
        <w:rPr>
          <w:sz w:val="24"/>
          <w:szCs w:val="24"/>
          <w:color w:val="auto"/>
        </w:rPr>
      </w:pPr>
    </w:p>
    <w:p>
      <w:pPr>
        <w:jc w:val="both"/>
        <w:ind w:left="20" w:firstLine="427"/>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78" w:lineRule="exact"/>
        <w:rPr>
          <w:sz w:val="24"/>
          <w:szCs w:val="24"/>
          <w:color w:val="auto"/>
        </w:rPr>
      </w:pPr>
    </w:p>
    <w:p>
      <w:pPr>
        <w:jc w:val="both"/>
        <w:ind w:left="20" w:firstLine="427"/>
        <w:spacing w:after="0" w:line="20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Nasdaq Global Select Market composite transactions on December 31, 2020 (the last business day of the registrant’s most recently completed second fiscal quarter) was $3,444,758,630.</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July 30, 2021, the total number of shares outstanding of the registrant’s Common Stock was 99,503,643 shares, net of treasury shares.</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80" w:lineRule="exact"/>
        <w:rPr>
          <w:sz w:val="24"/>
          <w:szCs w:val="24"/>
          <w:color w:val="auto"/>
        </w:rPr>
      </w:pPr>
    </w:p>
    <w:p>
      <w:pPr>
        <w:ind w:left="60"/>
        <w:spacing w:after="0"/>
        <w:rPr>
          <w:sz w:val="20"/>
          <w:szCs w:val="20"/>
          <w:color w:val="auto"/>
        </w:rPr>
      </w:pPr>
      <w:r>
        <w:rPr>
          <w:rFonts w:ascii="Arial" w:cs="Arial" w:eastAsia="Arial" w:hAnsi="Arial"/>
          <w:sz w:val="13"/>
          <w:szCs w:val="13"/>
          <w:color w:val="auto"/>
        </w:rPr>
        <w:t>Portions of the registrant’s definitive proxy statement (to be filed pursuant to Reg. 14A) relating to the Annual Meeting of Shareholders anticipated to be held on November 18,</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2021,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570865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184785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167640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00" w:type="dxa"/>
            <w:vAlign w:val="bottom"/>
            <w:gridSpan w:val="19"/>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3"/>
            <w:vMerge w:val="restart"/>
          </w:tcPr>
          <w:p>
            <w:pPr>
              <w:jc w:val="center"/>
              <w:ind w:right="34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gridSpan w:val="13"/>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2960" w:type="dxa"/>
            <w:vAlign w:val="bottom"/>
            <w:gridSpan w:val="16"/>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460" w:type="dxa"/>
            <w:vAlign w:val="bottom"/>
            <w:gridSpan w:val="10"/>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1A. Risk Factors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1B. Unresolved Staff Comments</w:t>
              </w:r>
            </w:hyperlink>
          </w:p>
        </w:tc>
        <w:tc>
          <w:tcPr>
            <w:tcW w:w="5500" w:type="dxa"/>
            <w:vAlign w:val="bottom"/>
            <w:gridSpan w:val="19"/>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Item 2. Properties</w:t>
              </w:r>
            </w:hyperlink>
          </w:p>
        </w:tc>
        <w:tc>
          <w:tcPr>
            <w:tcW w:w="6940" w:type="dxa"/>
            <w:vAlign w:val="bottom"/>
            <w:gridSpan w:val="27"/>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 Legal Proceedings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4. Mine Safety Disclosures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14"/>
          </w:tcPr>
          <w:p>
            <w:pPr>
              <w:jc w:val="center"/>
              <w:ind w:right="342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5. Market for Registrant’s Common Equity, Related Stockholder Matters and Issuer Purchases of Equity</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Securities</w:t>
              </w:r>
            </w:hyperlink>
          </w:p>
        </w:tc>
        <w:tc>
          <w:tcPr>
            <w:tcW w:w="360" w:type="dxa"/>
            <w:vAlign w:val="bottom"/>
            <w:gridSpan w:val="2"/>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6. Selected Financial Data</w:t>
              </w:r>
            </w:hyperlink>
          </w:p>
        </w:tc>
        <w:tc>
          <w:tcPr>
            <w:tcW w:w="5960" w:type="dxa"/>
            <w:vAlign w:val="bottom"/>
            <w:gridSpan w:val="23"/>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7. Management’s Discussion and Analysis of Financial Condition and Results of Operations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1220" w:type="dxa"/>
            <w:vAlign w:val="bottom"/>
            <w:gridSpan w:val="4"/>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8. Financial Statements and Supplementary Data</w:t>
              </w:r>
            </w:hyperlink>
          </w:p>
        </w:tc>
        <w:tc>
          <w:tcPr>
            <w:tcW w:w="4340" w:type="dxa"/>
            <w:vAlign w:val="bottom"/>
            <w:gridSpan w:val="16"/>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9. Changes in and Disagreements with Accountants on Accounting and Financial Disclosure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17"/>
          </w:tcPr>
          <w:p>
            <w:pPr>
              <w:spacing w:after="0"/>
              <w:rPr>
                <w:sz w:val="24"/>
                <w:szCs w:val="24"/>
                <w:color w:val="auto"/>
              </w:rPr>
            </w:pPr>
          </w:p>
        </w:tc>
        <w:tc>
          <w:tcPr>
            <w:tcW w:w="1200" w:type="dxa"/>
            <w:vAlign w:val="bottom"/>
            <w:gridSpan w:val="3"/>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9B. Other Information</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340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Item 10. Directors, Executive Officers and Corporate Governance</w:t>
              </w:r>
            </w:hyperlink>
          </w:p>
        </w:tc>
        <w:tc>
          <w:tcPr>
            <w:tcW w:w="3480" w:type="dxa"/>
            <w:vAlign w:val="bottom"/>
            <w:gridSpan w:val="11"/>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11. Executive Compensation</w:t>
              </w:r>
            </w:hyperlink>
          </w:p>
        </w:tc>
        <w:tc>
          <w:tcPr>
            <w:tcW w:w="5780" w:type="dxa"/>
            <w:vAlign w:val="bottom"/>
            <w:gridSpan w:val="21"/>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94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Item 12. Security Ownership of Certain Beneficial Owners and Management and Related Stockholder Matters</w:t>
              </w:r>
            </w:hyperlink>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13. Certain Relationships and Related Transactions, and Director Independence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80" w:type="dxa"/>
            <w:vAlign w:val="bottom"/>
            <w:tcBorders>
              <w:top w:val="single" w:sz="8" w:color="0000EE"/>
            </w:tcBorders>
            <w:gridSpan w:val="2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14. Principal Accounting Fees and Services</w:t>
              </w:r>
            </w:hyperlink>
          </w:p>
        </w:tc>
        <w:tc>
          <w:tcPr>
            <w:tcW w:w="2140" w:type="dxa"/>
            <w:vAlign w:val="bottom"/>
            <w:gridSpan w:val="5"/>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15"/>
          </w:tcPr>
          <w:p>
            <w:pPr>
              <w:jc w:val="center"/>
              <w:ind w:right="342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15. Exhibits and Financial Statement Schedules</w:t>
              </w:r>
            </w:hyperlink>
          </w:p>
        </w:tc>
        <w:tc>
          <w:tcPr>
            <w:tcW w:w="30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420" w:type="dxa"/>
            <w:vAlign w:val="bottom"/>
            <w:gridSpan w:val="8"/>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3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 Page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1080" w:type="dxa"/>
            <w:vAlign w:val="bottom"/>
            <w:tcBorders>
              <w:top w:val="single" w:sz="8" w:color="0000EE"/>
            </w:tcBorders>
            <w:gridSpan w:val="2"/>
          </w:tcPr>
          <w:p>
            <w:pPr>
              <w:spacing w:after="0"/>
              <w:rPr>
                <w:sz w:val="24"/>
                <w:szCs w:val="24"/>
                <w:color w:val="auto"/>
              </w:rPr>
            </w:pPr>
          </w:p>
        </w:tc>
        <w:tc>
          <w:tcPr>
            <w:tcW w:w="3660" w:type="dxa"/>
            <w:vAlign w:val="bottom"/>
            <w:gridSpan w:val="18"/>
          </w:tcPr>
          <w:p>
            <w:pPr>
              <w:jc w:val="center"/>
              <w:ind w:left="297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0" w:right="199" w:firstLine="432"/>
        <w:spacing w:after="0" w:line="302" w:lineRule="auto"/>
        <w:rPr>
          <w:sz w:val="20"/>
          <w:szCs w:val="20"/>
          <w:color w:val="auto"/>
        </w:rPr>
      </w:pPr>
      <w:r>
        <w:rPr>
          <w:rFonts w:ascii="Arial" w:cs="Arial" w:eastAsia="Arial" w:hAnsi="Arial"/>
          <w:sz w:val="18"/>
          <w:szCs w:val="18"/>
          <w:color w:val="auto"/>
        </w:rPr>
        <w:t>Avnet, Inc. and its consolidated subsidiaries (collectively, the “Company” or “Avnet”), is a global technology distributor and solutions company that supports customers at every stage of the product lifecycle, from idea to design and from prototype to production. Avnet’s unique position at the center of the technology value chain enables the company to accelerate the design and supply stages of product development so customers can realize revenue faster. Founded in 1921, the Company works with suppliers in every major technology segment to serve 2.1 million customers in more than 140 countries.</w:t>
      </w:r>
    </w:p>
    <w:p>
      <w:pPr>
        <w:spacing w:after="0" w:line="152" w:lineRule="exact"/>
        <w:rPr>
          <w:sz w:val="20"/>
          <w:szCs w:val="20"/>
          <w:color w:val="auto"/>
        </w:rPr>
      </w:pPr>
    </w:p>
    <w:p>
      <w:pPr>
        <w:ind w:left="60" w:right="159" w:firstLine="432"/>
        <w:spacing w:after="0" w:line="304" w:lineRule="auto"/>
        <w:rPr>
          <w:sz w:val="20"/>
          <w:szCs w:val="20"/>
          <w:color w:val="auto"/>
        </w:rPr>
      </w:pPr>
      <w:r>
        <w:rPr>
          <w:rFonts w:ascii="Arial" w:cs="Arial" w:eastAsia="Arial" w:hAnsi="Arial"/>
          <w:sz w:val="18"/>
          <w:szCs w:val="18"/>
          <w:color w:val="auto"/>
        </w:rPr>
        <w:t>For a century, Avnet has helped its customers and suppliers realize the transformative possibilities of technology while continually expanding the breadth and depth of its capabilities. Avnet can support every stage of the electronic product lifecycle and serves a wide range of customers: from startups and mid-sized businesses to enterprise-level original equipment manufacturers (“OEMs”), electronic manufacturing services (“EMS”) providers, and original design manufacturers (“ODMs”).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60" w:right="99" w:firstLine="427"/>
        <w:spacing w:after="0" w:line="320" w:lineRule="auto"/>
        <w:rPr>
          <w:sz w:val="20"/>
          <w:szCs w:val="20"/>
          <w:color w:val="auto"/>
        </w:rPr>
      </w:pPr>
      <w:r>
        <w:rPr>
          <w:rFonts w:ascii="Arial" w:cs="Arial" w:eastAsia="Arial" w:hAnsi="Arial"/>
          <w:sz w:val="17"/>
          <w:szCs w:val="17"/>
          <w:color w:val="auto"/>
        </w:rPr>
        <w:t>Avnet has two primary operating groups — Electronic Components (“EC”) and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and strategic planning and resource allocation for the Company as a whole.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w:t>
      </w:r>
    </w:p>
    <w:p>
      <w:pPr>
        <w:spacing w:after="0" w:line="138" w:lineRule="exact"/>
        <w:rPr>
          <w:sz w:val="20"/>
          <w:szCs w:val="20"/>
          <w:color w:val="auto"/>
        </w:rPr>
      </w:pPr>
    </w:p>
    <w:p>
      <w:pPr>
        <w:ind w:left="60" w:right="379" w:firstLine="427"/>
        <w:spacing w:after="0" w:line="310"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17 “Segment information” to the consolidated financial statements appearing in Item 8 of this Annual Report on Form 10-K.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Electronic Components</w:t>
      </w:r>
    </w:p>
    <w:p>
      <w:pPr>
        <w:spacing w:after="0" w:line="229" w:lineRule="exact"/>
        <w:rPr>
          <w:sz w:val="20"/>
          <w:szCs w:val="20"/>
          <w:color w:val="auto"/>
        </w:rPr>
      </w:pPr>
    </w:p>
    <w:p>
      <w:pPr>
        <w:jc w:val="both"/>
        <w:ind w:left="60" w:right="259" w:firstLine="432"/>
        <w:spacing w:after="0" w:line="364" w:lineRule="auto"/>
        <w:rPr>
          <w:sz w:val="20"/>
          <w:szCs w:val="20"/>
          <w:color w:val="auto"/>
        </w:rPr>
      </w:pPr>
      <w:r>
        <w:rPr>
          <w:rFonts w:ascii="Arial" w:cs="Arial" w:eastAsia="Arial" w:hAnsi="Arial"/>
          <w:sz w:val="16"/>
          <w:szCs w:val="16"/>
          <w:color w:val="auto"/>
        </w:rPr>
        <w:t>Avnet’s EC operating group primarily supports high-volume customers. It markets, sells, and distributes electronic components from the world’s leading electronic component manufacturers, including semiconductors, IP&amp;E components (interconnect, passive and electromechanical components), and other integrated and embedded components.</w:t>
      </w:r>
    </w:p>
    <w:p>
      <w:pPr>
        <w:spacing w:after="0" w:line="108" w:lineRule="exact"/>
        <w:rPr>
          <w:sz w:val="20"/>
          <w:szCs w:val="20"/>
          <w:color w:val="auto"/>
        </w:rPr>
      </w:pPr>
    </w:p>
    <w:p>
      <w:pPr>
        <w:jc w:val="both"/>
        <w:ind w:left="60" w:right="359" w:firstLine="432"/>
        <w:spacing w:after="0" w:line="310" w:lineRule="auto"/>
        <w:rPr>
          <w:sz w:val="20"/>
          <w:szCs w:val="20"/>
          <w:color w:val="auto"/>
        </w:rPr>
      </w:pPr>
      <w:r>
        <w:rPr>
          <w:rFonts w:ascii="Arial" w:cs="Arial" w:eastAsia="Arial" w:hAnsi="Arial"/>
          <w:sz w:val="18"/>
          <w:szCs w:val="18"/>
          <w:color w:val="auto"/>
        </w:rPr>
        <w:t>EC serves a variety of markets ranging from automotive to medical to defense and aerospace. It offers an array of customer support options throughout the entire product lifecycle, including both turnkey and customized design, supply chain, new product introduction, programming, logistics and post-sales services.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i w:val="1"/>
          <w:iCs w:val="1"/>
          <w:color w:val="auto"/>
        </w:rPr>
        <w:t>Design Chain Solutions</w:t>
      </w:r>
    </w:p>
    <w:p>
      <w:pPr>
        <w:spacing w:after="0" w:line="225" w:lineRule="exact"/>
        <w:rPr>
          <w:sz w:val="20"/>
          <w:szCs w:val="20"/>
          <w:color w:val="auto"/>
        </w:rPr>
      </w:pPr>
    </w:p>
    <w:p>
      <w:pPr>
        <w:ind w:left="60" w:right="159" w:firstLine="432"/>
        <w:spacing w:after="0" w:line="321" w:lineRule="auto"/>
        <w:rPr>
          <w:sz w:val="20"/>
          <w:szCs w:val="20"/>
          <w:color w:val="auto"/>
        </w:rPr>
      </w:pPr>
      <w:r>
        <w:rPr>
          <w:rFonts w:ascii="Arial" w:cs="Arial" w:eastAsia="Arial" w:hAnsi="Arial"/>
          <w:sz w:val="17"/>
          <w:szCs w:val="17"/>
          <w:color w:val="auto"/>
        </w:rPr>
        <w:t>EC offers design chain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 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Chain Solutions</w:t>
      </w:r>
    </w:p>
    <w:p>
      <w:pPr>
        <w:spacing w:after="0" w:line="225" w:lineRule="exact"/>
        <w:rPr>
          <w:sz w:val="20"/>
          <w:szCs w:val="20"/>
          <w:color w:val="auto"/>
        </w:rPr>
      </w:pPr>
    </w:p>
    <w:p>
      <w:pPr>
        <w:ind w:left="60" w:right="79" w:firstLine="427"/>
        <w:spacing w:after="0" w:line="343" w:lineRule="auto"/>
        <w:rPr>
          <w:sz w:val="20"/>
          <w:szCs w:val="20"/>
          <w:color w:val="auto"/>
        </w:rPr>
      </w:pPr>
      <w:r>
        <w:rPr>
          <w:rFonts w:ascii="Arial" w:cs="Arial" w:eastAsia="Arial" w:hAnsi="Arial"/>
          <w:sz w:val="16"/>
          <w:szCs w:val="16"/>
          <w:color w:val="auto"/>
        </w:rPr>
        <w:t>EC’s supply chain solutions provide support and logistical services to OEMs, EMS providers, and electronic component manufacturers, enabling them to optimize supply chains on a local, regional or global basis. EC’s internal competencies in global warehousing and logistics, information technology, and asset management, combined with its global footprint and extensive partner relationships, allow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requirements and minimize risk in a variety of scenarios, including lean manufacturing, demand flow, and outsourcing.</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Embedded and Integrated Solutions</w:t>
      </w:r>
    </w:p>
    <w:p>
      <w:pPr>
        <w:spacing w:after="0" w:line="239" w:lineRule="exact"/>
        <w:rPr>
          <w:sz w:val="20"/>
          <w:szCs w:val="20"/>
          <w:color w:val="auto"/>
        </w:rPr>
      </w:pPr>
    </w:p>
    <w:p>
      <w:pPr>
        <w:ind w:left="60" w:right="419" w:firstLine="427"/>
        <w:spacing w:after="0" w:line="301" w:lineRule="auto"/>
        <w:rPr>
          <w:sz w:val="20"/>
          <w:szCs w:val="20"/>
          <w:color w:val="auto"/>
        </w:rPr>
      </w:pPr>
      <w:r>
        <w:rPr>
          <w:rFonts w:ascii="Arial" w:cs="Arial" w:eastAsia="Arial" w:hAnsi="Arial"/>
          <w:sz w:val="18"/>
          <w:szCs w:val="18"/>
          <w:color w:val="auto"/>
        </w:rPr>
        <w:t>EC provides embedded solutions including technical design, integration and assembly of embedded products, systems, and solutions primarily for industrial applications. EC also provides integrated solutions for intelligent and innovative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54" w:lineRule="exact"/>
        <w:rPr>
          <w:sz w:val="20"/>
          <w:szCs w:val="20"/>
          <w:color w:val="auto"/>
        </w:rPr>
      </w:pPr>
    </w:p>
    <w:p>
      <w:pPr>
        <w:ind w:left="60" w:right="399" w:firstLine="427"/>
        <w:spacing w:after="0" w:line="324" w:lineRule="auto"/>
        <w:rPr>
          <w:sz w:val="20"/>
          <w:szCs w:val="20"/>
          <w:color w:val="auto"/>
        </w:rPr>
      </w:pPr>
      <w:r>
        <w:rPr>
          <w:rFonts w:ascii="Arial" w:cs="Arial" w:eastAsia="Arial" w:hAnsi="Arial"/>
          <w:sz w:val="18"/>
          <w:szCs w:val="18"/>
          <w:color w:val="auto"/>
        </w:rPr>
        <w:t>EC also provides integrated solutions and services for software companies that bring their intellectual property to market via hardware solutions, including custom-built embedded servers.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Farnell</w:t>
      </w:r>
    </w:p>
    <w:p>
      <w:pPr>
        <w:spacing w:after="0" w:line="243"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brings the latest products, services, and development trends all together in element14, an industry-leading online community where engineers collaborate to solve one another’s design challenges. In element14, members get consolidated information on new technologies, as well as access to experts and product specifications. Members can see what other engineers are working on, learn from online training, and get the help they need to optimize their own designs.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Products</w:t>
      </w:r>
    </w:p>
    <w:p>
      <w:pPr>
        <w:spacing w:after="0" w:line="243" w:lineRule="exact"/>
        <w:rPr>
          <w:sz w:val="20"/>
          <w:szCs w:val="20"/>
          <w:color w:val="auto"/>
        </w:rPr>
      </w:pPr>
    </w:p>
    <w:p>
      <w:pPr>
        <w:ind w:left="60" w:right="139" w:firstLine="427"/>
        <w:spacing w:after="0" w:line="354" w:lineRule="auto"/>
        <w:rPr>
          <w:sz w:val="20"/>
          <w:szCs w:val="20"/>
          <w:color w:val="auto"/>
        </w:rPr>
      </w:pPr>
      <w:r>
        <w:rPr>
          <w:rFonts w:ascii="Arial" w:cs="Arial" w:eastAsia="Arial" w:hAnsi="Arial"/>
          <w:sz w:val="16"/>
          <w:szCs w:val="16"/>
          <w:color w:val="auto"/>
        </w:rPr>
        <w:t>One of Avnet’s competitive strengths is the breadth and quality of the suppliers whose products it distributes. Products from no single supplier exceeded 10% of consolidated sales during fiscal year 2021. Listed in the table below are the major product categories and the Company’s approximate sales of each during the past three fiscal years. “Other” consists primarily of test and measurement products, as well as maintenance, repair and operations (MRO) products.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7"/>
                <w:szCs w:val="17"/>
                <w:color w:val="auto"/>
              </w:rPr>
            </w:pPr>
          </w:p>
        </w:tc>
        <w:tc>
          <w:tcPr>
            <w:tcW w:w="9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June 27,</w:t>
            </w:r>
          </w:p>
        </w:tc>
        <w:tc>
          <w:tcPr>
            <w:tcW w:w="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29,</w:t>
            </w:r>
          </w:p>
        </w:tc>
        <w:tc>
          <w:tcPr>
            <w:tcW w:w="60" w:type="dxa"/>
            <w:vAlign w:val="bottom"/>
          </w:tcPr>
          <w:p>
            <w:pPr>
              <w:spacing w:after="0"/>
              <w:rPr>
                <w:sz w:val="17"/>
                <w:szCs w:val="17"/>
                <w:color w:val="auto"/>
              </w:rPr>
            </w:pPr>
          </w:p>
        </w:tc>
      </w:tr>
      <w:tr>
        <w:trPr>
          <w:trHeight w:val="241"/>
        </w:trPr>
        <w:tc>
          <w:tcPr>
            <w:tcW w:w="4800" w:type="dxa"/>
            <w:vAlign w:val="bottom"/>
          </w:tcPr>
          <w:p>
            <w:pPr>
              <w:spacing w:after="0"/>
              <w:rPr>
                <w:sz w:val="20"/>
                <w:szCs w:val="20"/>
                <w:color w:val="auto"/>
              </w:rPr>
            </w:pPr>
          </w:p>
        </w:tc>
        <w:tc>
          <w:tcPr>
            <w:tcW w:w="2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$ 14,722.8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$ 13,440.3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$ 14,973.3</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3,146.0</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3,516.0</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6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60" w:type="dxa"/>
            <w:vAlign w:val="bottom"/>
          </w:tcPr>
          <w:p>
            <w:pPr>
              <w:spacing w:after="0"/>
              <w:rPr>
                <w:sz w:val="19"/>
                <w:szCs w:val="19"/>
                <w:color w:val="auto"/>
              </w:rPr>
            </w:pPr>
          </w:p>
        </w:tc>
      </w:tr>
      <w:tr>
        <w:trPr>
          <w:trHeight w:val="216"/>
        </w:trPr>
        <w:tc>
          <w:tcPr>
            <w:tcW w:w="4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$ 19,534.7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$ 17,634.3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$ 19,518.6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&amp; Markets</w:t>
      </w:r>
    </w:p>
    <w:p>
      <w:pPr>
        <w:spacing w:after="0" w:line="202" w:lineRule="exact"/>
        <w:rPr>
          <w:sz w:val="20"/>
          <w:szCs w:val="20"/>
          <w:color w:val="auto"/>
        </w:rPr>
      </w:pPr>
    </w:p>
    <w:p>
      <w:pPr>
        <w:ind w:left="60" w:right="99" w:firstLine="432"/>
        <w:spacing w:after="0" w:line="304" w:lineRule="auto"/>
        <w:rPr>
          <w:sz w:val="20"/>
          <w:szCs w:val="20"/>
          <w:color w:val="auto"/>
        </w:rPr>
      </w:pPr>
      <w:r>
        <w:rPr>
          <w:rFonts w:ascii="Arial" w:cs="Arial" w:eastAsia="Arial" w:hAnsi="Arial"/>
          <w:sz w:val="18"/>
          <w:szCs w:val="18"/>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particular sectors or on narrower geographic locations, markets, or products. As a result of these factors, Avnet’s pricing and product availability must remain competitive.</w:t>
      </w:r>
    </w:p>
    <w:p>
      <w:pPr>
        <w:spacing w:after="0" w:line="161"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and selection of inventory to meet customers’ demand and rapid delivery requirements. To minimize its exposure related to inventory on hand, the Company purchases a majority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point of use replenishment, testing, assembly, programming, supply chain management, and materials management.</w:t>
      </w:r>
    </w:p>
    <w:p>
      <w:pPr>
        <w:spacing w:after="0" w:line="136" w:lineRule="exact"/>
        <w:rPr>
          <w:sz w:val="20"/>
          <w:szCs w:val="20"/>
          <w:color w:val="auto"/>
        </w:rPr>
      </w:pPr>
    </w:p>
    <w:p>
      <w:pPr>
        <w:ind w:left="60" w:right="279" w:firstLine="427"/>
        <w:spacing w:after="0" w:line="310"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parties.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43" w:lineRule="exact"/>
        <w:rPr>
          <w:sz w:val="20"/>
          <w:szCs w:val="20"/>
          <w:color w:val="auto"/>
        </w:rPr>
      </w:pPr>
    </w:p>
    <w:p>
      <w:pPr>
        <w:ind w:left="60" w:right="339" w:firstLine="432"/>
        <w:spacing w:after="0" w:line="310" w:lineRule="auto"/>
        <w:rPr>
          <w:sz w:val="20"/>
          <w:szCs w:val="20"/>
          <w:color w:val="auto"/>
        </w:rPr>
      </w:pPr>
      <w:r>
        <w:rPr>
          <w:rFonts w:ascii="Arial" w:cs="Arial" w:eastAsia="Arial" w:hAnsi="Arial"/>
          <w:sz w:val="18"/>
          <w:szCs w:val="18"/>
          <w:color w:val="auto"/>
        </w:rPr>
        <w:t>Historically, Avnet’s business has not been materially impacted by seasonality, with the exception of an impact on consolidated results from shifts in regional sales trends from Asia in the first half of a fiscal year to the Americas and EMEA regions in the second half of a fiscal year.</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 Employees</w:t>
      </w:r>
    </w:p>
    <w:p>
      <w:pPr>
        <w:spacing w:after="0" w:line="229" w:lineRule="exact"/>
        <w:rPr>
          <w:sz w:val="20"/>
          <w:szCs w:val="20"/>
          <w:color w:val="auto"/>
        </w:rPr>
      </w:pPr>
    </w:p>
    <w:p>
      <w:pPr>
        <w:ind w:left="60" w:right="299" w:firstLine="432"/>
        <w:spacing w:after="0" w:line="324" w:lineRule="auto"/>
        <w:rPr>
          <w:sz w:val="20"/>
          <w:szCs w:val="20"/>
          <w:color w:val="auto"/>
        </w:rPr>
      </w:pPr>
      <w:r>
        <w:rPr>
          <w:rFonts w:ascii="Arial" w:cs="Arial" w:eastAsia="Arial" w:hAnsi="Arial"/>
          <w:sz w:val="18"/>
          <w:szCs w:val="18"/>
          <w:color w:val="auto"/>
        </w:rPr>
        <w:t>As of July 3, 2021, Avnet had approximately 14,500 employees, compared to 14,600 employees on June 27, 2020, and 15,500 employees on June 29, 2019.</w:t>
      </w:r>
    </w:p>
    <w:p>
      <w:pPr>
        <w:sectPr>
          <w:pgSz w:w="11900" w:h="16838" w:orient="portrait"/>
          <w:cols w:equalWidth="0" w:num="1">
            <w:col w:w="9019"/>
          </w:cols>
          <w:pgMar w:left="1440" w:top="517"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left="60" w:right="139" w:firstLine="432"/>
        <w:spacing w:after="0" w:line="364" w:lineRule="auto"/>
        <w:rPr>
          <w:sz w:val="20"/>
          <w:szCs w:val="20"/>
          <w:color w:val="auto"/>
        </w:rPr>
      </w:pPr>
      <w:r>
        <w:rPr>
          <w:rFonts w:ascii="Arial" w:cs="Arial" w:eastAsia="Arial" w:hAnsi="Arial"/>
          <w:sz w:val="16"/>
          <w:szCs w:val="16"/>
          <w:color w:val="auto"/>
        </w:rPr>
        <w:t>The Company fosters a diverse and inclusive workplace that attracts and retains exceptional talent. Through ongoing employee development, comprehensive compensation and benefits, and a focus on employee health, safety, and wellbeing, the Company strives to help its employees in all aspects of their lives so they can do their best work.</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Diversity, Equity and Inclusion</w:t>
      </w:r>
    </w:p>
    <w:p>
      <w:pPr>
        <w:spacing w:after="0" w:line="225" w:lineRule="exact"/>
        <w:rPr>
          <w:sz w:val="20"/>
          <w:szCs w:val="20"/>
          <w:color w:val="auto"/>
        </w:rPr>
      </w:pPr>
    </w:p>
    <w:p>
      <w:pPr>
        <w:ind w:left="60" w:right="159" w:firstLine="432"/>
        <w:spacing w:after="0" w:line="323" w:lineRule="auto"/>
        <w:rPr>
          <w:sz w:val="20"/>
          <w:szCs w:val="20"/>
          <w:color w:val="auto"/>
        </w:rPr>
      </w:pPr>
      <w:r>
        <w:rPr>
          <w:rFonts w:ascii="Arial" w:cs="Arial" w:eastAsia="Arial" w:hAnsi="Arial"/>
          <w:sz w:val="17"/>
          <w:szCs w:val="17"/>
          <w:color w:val="auto"/>
        </w:rPr>
        <w:t>The Company has a demonstrated and long-standing commitment to diversity. The Company’s Board of Directors is 36% diverse, and 27% of directors are women. Diverse employee backgrounds and perspectives lead to better decisions. Accordingly, the Company fosters a supportive, respectful culture where inclusive behaviors are valued as the workplace norm. For example, the Company regularly engages employees in listen and learn sessions on a variety of diversity topics. These group conversations are open to the entire Company, and are regularly attended by senior leaders, including our CEO. The Company’s total workforce is 45% female.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 Equity and Total Rewards</w:t>
      </w:r>
    </w:p>
    <w:p>
      <w:pPr>
        <w:spacing w:after="0" w:line="239" w:lineRule="exact"/>
        <w:rPr>
          <w:sz w:val="20"/>
          <w:szCs w:val="20"/>
          <w:color w:val="auto"/>
        </w:rPr>
      </w:pPr>
    </w:p>
    <w:p>
      <w:pPr>
        <w:ind w:left="60" w:right="139" w:firstLine="432"/>
        <w:spacing w:after="0" w:line="354" w:lineRule="auto"/>
        <w:rPr>
          <w:sz w:val="20"/>
          <w:szCs w:val="20"/>
          <w:color w:val="auto"/>
        </w:rPr>
      </w:pPr>
      <w:r>
        <w:rPr>
          <w:rFonts w:ascii="Arial" w:cs="Arial" w:eastAsia="Arial" w:hAnsi="Arial"/>
          <w:sz w:val="16"/>
          <w:szCs w:val="16"/>
          <w:color w:val="auto"/>
        </w:rPr>
        <w:t>The Company strives to pay its employees fairly, without regard to gender, race, or other personal characteristics. To deliver on that commitment, the Company sets pay ranges based on market data and considers factors such as an employee’s role, experience, job location, and job performance. The Company reviews its compensation practices, both in terms of its overall workforce and individual employees, to help ensure that pay is fair and equitable.</w:t>
      </w:r>
    </w:p>
    <w:p>
      <w:pPr>
        <w:spacing w:after="0" w:line="116" w:lineRule="exact"/>
        <w:rPr>
          <w:sz w:val="20"/>
          <w:szCs w:val="20"/>
          <w:color w:val="auto"/>
        </w:rPr>
      </w:pPr>
    </w:p>
    <w:p>
      <w:pPr>
        <w:ind w:left="60" w:right="499" w:firstLine="432"/>
        <w:spacing w:after="0" w:line="354" w:lineRule="auto"/>
        <w:rPr>
          <w:sz w:val="20"/>
          <w:szCs w:val="20"/>
          <w:color w:val="auto"/>
        </w:rPr>
      </w:pPr>
      <w:r>
        <w:rPr>
          <w:rFonts w:ascii="Arial" w:cs="Arial" w:eastAsia="Arial" w:hAnsi="Arial"/>
          <w:sz w:val="16"/>
          <w:szCs w:val="16"/>
          <w:color w:val="auto"/>
        </w:rPr>
        <w:t>The Company is committed to providing total rewards that are market-competitive and performance-based. The Company’s compensation programs reflect its commitment to reward short- and long-term performance that drives shareholder value. Compensation is generally positioned within a competitive range of the market median, with differentiation based on tenure, skills, proficiency, and performance, all designed to attract and retain key talent.</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Employee Engagement</w:t>
      </w:r>
    </w:p>
    <w:p>
      <w:pPr>
        <w:spacing w:after="0" w:line="239" w:lineRule="exact"/>
        <w:rPr>
          <w:sz w:val="20"/>
          <w:szCs w:val="20"/>
          <w:color w:val="auto"/>
        </w:rPr>
      </w:pPr>
    </w:p>
    <w:p>
      <w:pPr>
        <w:ind w:left="60" w:right="59" w:firstLine="432"/>
        <w:spacing w:after="0" w:line="310" w:lineRule="auto"/>
        <w:rPr>
          <w:sz w:val="20"/>
          <w:szCs w:val="20"/>
          <w:color w:val="auto"/>
        </w:rPr>
      </w:pPr>
      <w:r>
        <w:rPr>
          <w:rFonts w:ascii="Arial" w:cs="Arial" w:eastAsia="Arial" w:hAnsi="Arial"/>
          <w:sz w:val="18"/>
          <w:szCs w:val="18"/>
          <w:color w:val="auto"/>
        </w:rPr>
        <w:t>The Company regularly collects feedback to better understand its employees’ experiences and identify opportunities to strengthen its culture. In 2021, the Company updated its approach for measuring employee engagement, along with other enhancements to its employee listening strategy.</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Training and Development</w:t>
      </w:r>
    </w:p>
    <w:p>
      <w:pPr>
        <w:spacing w:after="0" w:line="225" w:lineRule="exact"/>
        <w:rPr>
          <w:sz w:val="20"/>
          <w:szCs w:val="20"/>
          <w:color w:val="auto"/>
        </w:rPr>
      </w:pPr>
    </w:p>
    <w:p>
      <w:pPr>
        <w:jc w:val="both"/>
        <w:ind w:left="60" w:right="459" w:firstLine="432"/>
        <w:spacing w:after="0" w:line="336" w:lineRule="auto"/>
        <w:rPr>
          <w:sz w:val="20"/>
          <w:szCs w:val="20"/>
          <w:color w:val="auto"/>
        </w:rPr>
      </w:pPr>
      <w:r>
        <w:rPr>
          <w:rFonts w:ascii="Arial" w:cs="Arial" w:eastAsia="Arial" w:hAnsi="Arial"/>
          <w:sz w:val="17"/>
          <w:szCs w:val="17"/>
          <w:color w:val="auto"/>
        </w:rPr>
        <w:t>Human capital development underpins the Company’s efforts to execute its strategy. The Company invests in its employees’ career growth and provides employees with a range of development opportunities, including face-to-face, virtual, social, and self-directed learning, as well as mentoring, coaching, and external development.</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Health, Safety and Wellness</w:t>
      </w:r>
    </w:p>
    <w:p>
      <w:pPr>
        <w:spacing w:after="0" w:line="225" w:lineRule="exact"/>
        <w:rPr>
          <w:sz w:val="20"/>
          <w:szCs w:val="20"/>
          <w:color w:val="auto"/>
        </w:rPr>
      </w:pPr>
    </w:p>
    <w:p>
      <w:pPr>
        <w:ind w:left="60" w:right="159" w:firstLine="432"/>
        <w:spacing w:after="0" w:line="344" w:lineRule="auto"/>
        <w:rPr>
          <w:sz w:val="20"/>
          <w:szCs w:val="20"/>
          <w:color w:val="auto"/>
        </w:rPr>
      </w:pPr>
      <w:r>
        <w:rPr>
          <w:rFonts w:ascii="Arial" w:cs="Arial" w:eastAsia="Arial" w:hAnsi="Arial"/>
          <w:sz w:val="16"/>
          <w:szCs w:val="16"/>
          <w:color w:val="auto"/>
        </w:rPr>
        <w:t>Employee health and well-being is vital to the Company’s success. The Company maintains a global well-being program to help its employees thrive. The Company promotes the program’s benefits to employees, including through webinars and newsletters. It also gives employees opportunities to connect through communities and social networks. The Company’s global Employee Assistance Program (EAP) provides employees and their families with a variety of resources to help manage and adapt to stress and change. The Company’s logistics facilities focus on employee safety, and quickly responded to the COVID-19 pandemic to help protect employees. The Company follows recommended COVID-19 precautions and offers benefits to encourage employees to quarantine if they become sick.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52" w:lineRule="exact"/>
        <w:rPr>
          <w:sz w:val="20"/>
          <w:szCs w:val="20"/>
          <w:color w:val="auto"/>
        </w:rPr>
      </w:pPr>
    </w:p>
    <w:p>
      <w:pPr>
        <w:ind w:left="60" w:right="319" w:firstLine="432"/>
        <w:spacing w:after="0" w:line="310" w:lineRule="auto"/>
        <w:rPr>
          <w:sz w:val="20"/>
          <w:szCs w:val="20"/>
          <w:color w:val="auto"/>
        </w:rPr>
      </w:pPr>
      <w:r>
        <w:rPr>
          <w:rFonts w:ascii="Arial" w:cs="Arial" w:eastAsia="Arial" w:hAnsi="Arial"/>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w:t>
      </w:r>
    </w:p>
    <w:p>
      <w:pPr>
        <w:jc w:val="center"/>
        <w:spacing w:after="0"/>
        <w:rPr>
          <w:sz w:val="20"/>
          <w:szCs w:val="20"/>
          <w:color w:val="auto"/>
        </w:rPr>
      </w:pPr>
      <w:r>
        <w:rPr>
          <w:rFonts w:ascii="Arial" w:cs="Arial" w:eastAsia="Arial" w:hAnsi="Arial"/>
          <w:sz w:val="18"/>
          <w:szCs w:val="18"/>
          <w:color w:val="auto"/>
        </w:rPr>
        <w:t>Phoenix, Arizona 85034</w:t>
      </w:r>
    </w:p>
    <w:p>
      <w:pPr>
        <w:spacing w:after="0" w:line="34" w:lineRule="exact"/>
        <w:rPr>
          <w:sz w:val="20"/>
          <w:szCs w:val="20"/>
          <w:color w:val="auto"/>
        </w:rPr>
      </w:pPr>
    </w:p>
    <w:p>
      <w:pPr>
        <w:ind w:left="4380" w:hanging="438"/>
        <w:spacing w:after="0"/>
        <w:tabs>
          <w:tab w:leader="none" w:pos="4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643-2000</w:t>
      </w:r>
    </w:p>
    <w:p>
      <w:pPr>
        <w:spacing w:after="0" w:line="4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also makes these filings available, free of charge, through its website (see “Avnet Website” below).</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Avnet Website</w:t>
      </w:r>
    </w:p>
    <w:p>
      <w:pPr>
        <w:spacing w:after="0" w:line="229" w:lineRule="exact"/>
        <w:rPr>
          <w:sz w:val="20"/>
          <w:szCs w:val="20"/>
          <w:color w:val="auto"/>
        </w:rPr>
      </w:pPr>
    </w:p>
    <w:p>
      <w:pPr>
        <w:ind w:left="60" w:right="59" w:firstLine="432"/>
        <w:spacing w:after="0" w:line="310"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156" w:lineRule="exact"/>
        <w:rPr>
          <w:sz w:val="20"/>
          <w:szCs w:val="20"/>
          <w:color w:val="auto"/>
        </w:rPr>
      </w:pPr>
    </w:p>
    <w:p>
      <w:pPr>
        <w:ind w:left="60" w:right="119" w:firstLine="432"/>
        <w:spacing w:after="0" w:line="349" w:lineRule="auto"/>
        <w:rPr>
          <w:sz w:val="20"/>
          <w:szCs w:val="20"/>
          <w:color w:val="auto"/>
        </w:rPr>
      </w:pPr>
      <w:r>
        <w:rPr>
          <w:rFonts w:ascii="Arial" w:cs="Arial" w:eastAsia="Arial" w:hAnsi="Arial"/>
          <w:sz w:val="16"/>
          <w:szCs w:val="16"/>
          <w:color w:val="auto"/>
        </w:rPr>
        <w:t xml:space="preserve">The corporate governance information on the Company’s website includes the Company’s Corporate Governance Guidelines, the Code of Conduct and the charters for each of the committees of its Board of Directors. In addition, amendments to these documents and waivers granted to directors and executive officers under the Code of Conduct, if any, will be posted in this area of the website. These documents can be accessed at </w:t>
      </w:r>
      <w:r>
        <w:rPr>
          <w:rFonts w:ascii="Arial" w:cs="Arial" w:eastAsia="Arial" w:hAnsi="Arial"/>
          <w:sz w:val="16"/>
          <w:szCs w:val="16"/>
          <w:u w:val="single" w:color="auto"/>
          <w:color w:val="auto"/>
        </w:rPr>
        <w:t>ir.avnet.com/documents-charters</w:t>
      </w:r>
      <w:r>
        <w:rPr>
          <w:rFonts w:ascii="Arial" w:cs="Arial" w:eastAsia="Arial" w:hAnsi="Arial"/>
          <w:sz w:val="16"/>
          <w:szCs w:val="16"/>
          <w:color w:val="auto"/>
        </w:rPr>
        <w:t>. Printed versions can be obtained, free of charge, by writing to the Company at the address listed above in “Available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addition, the Company’s filings with the SEC, as well as Section 16 filings made by any of the Company’s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executive officers or directors with respect to the Company’s common stock, are available on the Company’s website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ir.avnet.com/financial-information/sec-filings</w:t>
      </w:r>
      <w:r>
        <w:rPr>
          <w:rFonts w:ascii="Arial" w:cs="Arial" w:eastAsia="Arial" w:hAnsi="Arial"/>
          <w:sz w:val="16"/>
          <w:szCs w:val="16"/>
          <w:color w:val="auto"/>
        </w:rPr>
        <w:t>) as soon as reasonably practicable after the filing is electronically filed with,</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 furnished to, the SEC.</w:t>
      </w:r>
    </w:p>
    <w:p>
      <w:pPr>
        <w:spacing w:after="0" w:line="225"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71" w:lineRule="exact"/>
        <w:rPr>
          <w:sz w:val="20"/>
          <w:szCs w:val="20"/>
          <w:color w:val="auto"/>
        </w:rPr>
      </w:pPr>
    </w:p>
    <w:p>
      <w:pPr>
        <w:ind w:left="60" w:right="119" w:firstLine="427"/>
        <w:spacing w:after="0" w:line="319" w:lineRule="auto"/>
        <w:rPr>
          <w:sz w:val="20"/>
          <w:szCs w:val="20"/>
          <w:color w:val="auto"/>
        </w:rPr>
      </w:pPr>
      <w:r>
        <w:rPr>
          <w:rFonts w:ascii="Arial" w:cs="Arial" w:eastAsia="Arial" w:hAnsi="Arial"/>
          <w:sz w:val="17"/>
          <w:szCs w:val="17"/>
          <w:color w:val="auto"/>
        </w:rPr>
        <w:t>Risks and uncertainties that may cause actual results to differ materially from those contained in the forward-looking statements include the risk factors discussed below, but may also include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except as disclosed. Some of the risks disclosed below may have already occurred, but not to a degree that management considers material.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and Operations Risks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customer needs and consumption models</w:t>
      </w:r>
    </w:p>
    <w:p>
      <w:pPr>
        <w:spacing w:after="0" w:line="158"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Changes in customer product demands and consumption models may cause a decline in the Company’s billings, which would have a negative impact on the Company’s financial results. While the Company attempts to identify changes in market conditions as soon as possible, the dynamics of the industries in which it operates make it difficult to predict and timely react to such changes, including those relating to product capacity and lead times. Also, future downturns or supply chain challenges in the semiconductor and embedded solutions industries could adversely affect the Company’s relationships with its customers, operating results, and profitability. In addition, the semiconductor industry experiences periodic fluctuations in product supply and demand (often associated with changes in economic conditions, technology, and manufacturing capacity) and suppliers may not adequately predict or meet customer demand. During fiscal 2021, 2020, and 2019, sales of semiconductors represented approximately 75%, 76%, and 77% of the Company’s consolidated sales, respectively, and the Company’s sales closely follow the strength or weakness of the semiconductor industry. These conditions make it more difficult to manage the Company’s business and predict future performance.</w:t>
      </w:r>
    </w:p>
    <w:p>
      <w:pPr>
        <w:spacing w:after="0" w:line="62"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Disruptions to key supplier and customer relationships</w:t>
      </w:r>
    </w:p>
    <w:p>
      <w:pPr>
        <w:spacing w:after="0" w:line="158"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One of the Company’s competitive strengths is the breadth and quality of the suppliers whose products the Company distributes. For fiscal 2021, there were no Company suppliers that accounted for 10% or more of the Company’s consolidated billings. The Company’s contracts with its suppliers vary in duration and are generally terminable by either party at will upon notice. The Company’s suppliers may terminate or significantly reduce their volume of business with the Company, because of a product shortage, an unwillingness to do business with the Company, changes in strategy, or otherwise.</w:t>
      </w:r>
    </w:p>
    <w:p>
      <w:pPr>
        <w:spacing w:after="0" w:line="84" w:lineRule="exact"/>
        <w:rPr>
          <w:sz w:val="20"/>
          <w:szCs w:val="20"/>
          <w:color w:val="auto"/>
        </w:rPr>
      </w:pPr>
    </w:p>
    <w:p>
      <w:pPr>
        <w:ind w:left="60" w:right="219" w:firstLine="427"/>
        <w:spacing w:after="0" w:line="325" w:lineRule="auto"/>
        <w:rPr>
          <w:sz w:val="20"/>
          <w:szCs w:val="20"/>
          <w:color w:val="auto"/>
        </w:rPr>
      </w:pPr>
      <w:r>
        <w:rPr>
          <w:rFonts w:ascii="Arial" w:cs="Arial" w:eastAsia="Arial" w:hAnsi="Arial"/>
          <w:sz w:val="17"/>
          <w:szCs w:val="17"/>
          <w:color w:val="auto"/>
        </w:rPr>
        <w:t>Shortages of products or loss of a supplier may negatively affect the Company’s business and relationships with its customers could be negatively affected,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w:t>
      </w:r>
    </w:p>
    <w:p>
      <w:pPr>
        <w:spacing w:after="0" w:line="67"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The termination of the Company’s distribution contract with Texas Instruments (“TI”) (which had been one of the Company’s largest suppliers) was completed in December 2020. Sales from TI products represented approximately 9% and 10% of total sales in fiscal 2020 and 2019 respectively. The Company may experience lower sales and gross profits in the future if the impact of this termination is not offset over time by sales growth, gross margin improvements, and operating cost reductions.</w:t>
      </w:r>
    </w:p>
    <w:p>
      <w:pPr>
        <w:spacing w:after="0" w:line="80" w:lineRule="exact"/>
        <w:rPr>
          <w:sz w:val="20"/>
          <w:szCs w:val="20"/>
          <w:color w:val="auto"/>
        </w:rPr>
      </w:pPr>
    </w:p>
    <w:p>
      <w:pPr>
        <w:ind w:left="60" w:right="179" w:firstLine="427"/>
        <w:spacing w:after="0" w:line="304" w:lineRule="auto"/>
        <w:rPr>
          <w:sz w:val="20"/>
          <w:szCs w:val="20"/>
          <w:color w:val="auto"/>
        </w:rPr>
      </w:pPr>
      <w:r>
        <w:rPr>
          <w:rFonts w:ascii="Arial" w:cs="Arial" w:eastAsia="Arial" w:hAnsi="Arial"/>
          <w:sz w:val="18"/>
          <w:szCs w:val="18"/>
          <w:color w:val="auto"/>
        </w:rPr>
        <w:t>The competitive landscape has also experienced a consolidation among suppliers and capacity constraints, which could negatively impact the Company’s profitability and customer base. Further, if key suppliers modify the terms of their contracts (including, without limitation, terms regarding price protection, rights of return, delivery commitments, rebates, or other terms that protect or enhance the Company’s gross margins), it could negatively affect the Company’s results of operations, financial condition, or liquidity.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58" w:lineRule="exact"/>
        <w:rPr>
          <w:sz w:val="20"/>
          <w:szCs w:val="20"/>
          <w:color w:val="auto"/>
        </w:rPr>
      </w:pPr>
    </w:p>
    <w:p>
      <w:pPr>
        <w:ind w:left="60" w:right="119" w:firstLine="427"/>
        <w:spacing w:after="0" w:line="310" w:lineRule="auto"/>
        <w:rPr>
          <w:sz w:val="20"/>
          <w:szCs w:val="20"/>
          <w:color w:val="auto"/>
        </w:rPr>
      </w:pPr>
      <w:r>
        <w:rPr>
          <w:rFonts w:ascii="Arial" w:cs="Arial" w:eastAsia="Arial" w:hAnsi="Arial"/>
          <w:sz w:val="18"/>
          <w:szCs w:val="18"/>
          <w:color w:val="auto"/>
        </w:rPr>
        <w:t>During fiscal 2021, 2020, and 2019 approximately 78%, 75% and 75%, respectively, of the Company’s sales came from its operations outside the United States. The Company’s operations are subject to a variety of risks that are specific to international operations, including, but not limited to, the following:</w:t>
      </w:r>
    </w:p>
    <w:p>
      <w:pPr>
        <w:spacing w:after="0" w:line="75" w:lineRule="exact"/>
        <w:rPr>
          <w:sz w:val="20"/>
          <w:szCs w:val="20"/>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and interest rate fluctuations;</w:t>
      </w:r>
    </w:p>
    <w:p>
      <w:pPr>
        <w:spacing w:after="0" w:line="157" w:lineRule="exact"/>
        <w:rPr>
          <w:rFonts w:ascii="Arial" w:cs="Arial" w:eastAsia="Arial" w:hAnsi="Arial"/>
          <w:sz w:val="18"/>
          <w:szCs w:val="18"/>
          <w:color w:val="auto"/>
        </w:rPr>
      </w:pPr>
    </w:p>
    <w:p>
      <w:pPr>
        <w:ind w:left="820" w:right="699" w:hanging="324"/>
        <w:spacing w:after="0" w:line="31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non-compliance with foreign and domestic data privacy regulations, business licensing requirements, environmental regulations, and anti-corruption laws, the failure of which could result in severe penalties including monetary fines and criminal proceedings;</w:t>
      </w:r>
    </w:p>
    <w:p>
      <w:pPr>
        <w:spacing w:after="0" w:line="75" w:lineRule="exact"/>
        <w:rPr>
          <w:rFonts w:ascii="Arial" w:cs="Arial" w:eastAsia="Arial" w:hAnsi="Arial"/>
          <w:sz w:val="18"/>
          <w:szCs w:val="18"/>
          <w:color w:val="auto"/>
        </w:rPr>
      </w:pPr>
    </w:p>
    <w:p>
      <w:pPr>
        <w:ind w:left="820" w:right="259" w:hanging="324"/>
        <w:spacing w:after="0" w:line="30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p>
      <w:pPr>
        <w:spacing w:after="0" w:line="78"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terrorism, and potential military conflicts or civilian unrest;</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freight costs, limitations on shipping and receiving capacity, and other disruptions in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820"/>
        <w:spacing w:after="0"/>
        <w:rPr>
          <w:sz w:val="20"/>
          <w:szCs w:val="20"/>
          <w:color w:val="auto"/>
        </w:rPr>
      </w:pPr>
      <w:r>
        <w:rPr>
          <w:rFonts w:ascii="Arial" w:cs="Arial" w:eastAsia="Arial" w:hAnsi="Arial"/>
          <w:sz w:val="18"/>
          <w:szCs w:val="18"/>
          <w:color w:val="auto"/>
        </w:rPr>
        <w:t>transportation and shipping infrastructure;</w:t>
      </w:r>
    </w:p>
    <w:p>
      <w:pPr>
        <w:spacing w:after="0" w:line="158" w:lineRule="exact"/>
        <w:rPr>
          <w:sz w:val="20"/>
          <w:szCs w:val="20"/>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pandemics, and other public health crises;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employment practices and labor issues; and</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local laws.</w:t>
      </w:r>
    </w:p>
    <w:p>
      <w:pPr>
        <w:spacing w:after="0" w:line="158"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57" w:lineRule="exact"/>
        <w:rPr>
          <w:sz w:val="20"/>
          <w:szCs w:val="20"/>
          <w:color w:val="auto"/>
        </w:rPr>
      </w:pPr>
    </w:p>
    <w:p>
      <w:pPr>
        <w:ind w:left="60" w:right="119" w:firstLine="427"/>
        <w:spacing w:after="0" w:line="341" w:lineRule="auto"/>
        <w:rPr>
          <w:sz w:val="20"/>
          <w:szCs w:val="20"/>
          <w:color w:val="auto"/>
        </w:rPr>
      </w:pPr>
      <w:r>
        <w:rPr>
          <w:rFonts w:ascii="Arial" w:cs="Arial" w:eastAsia="Arial" w:hAnsi="Arial"/>
          <w:sz w:val="16"/>
          <w:szCs w:val="16"/>
          <w:color w:val="auto"/>
        </w:rPr>
        <w:t>Tariffs and trade restrictions resulting from international trade disputes or changes in trade policies may adversely affect the Company’s sales and profitability. For example, the U.S. government-imposed trade restrictions and new or higher tariffs on certain imported products. Additionally, several trade policies, rules, and restrictions applicable to China are now applicable to Hong Kong. In kind, the Chinese government has imposed trade restrictions, sanctions, and new or higher tariffs on U.S. imports into China. These actions have resulted in increased costs, including increased costs of procuring certain products the Company purchases from its suppliers, and other related expenses, which may impact the Company’s sales and customer demand for certain products. In addition, increased operational expenses incurred in minimizing the number of products subject to the tariffs could adversely affect the Company’s operating profits. Neither U.S. tariffs nor any retaliatory tariffs imposed by other countries on U.S. goods have yet had a material impact, but any future actions or escalations that affect trade relations could materially affect the Company’s sales and results of operations.</w:t>
      </w:r>
    </w:p>
    <w:p>
      <w:pPr>
        <w:spacing w:after="0" w:line="59" w:lineRule="exact"/>
        <w:rPr>
          <w:sz w:val="20"/>
          <w:szCs w:val="20"/>
          <w:color w:val="auto"/>
        </w:rPr>
      </w:pPr>
    </w:p>
    <w:p>
      <w:pPr>
        <w:ind w:left="60" w:right="179" w:firstLine="427"/>
        <w:spacing w:after="0" w:line="341" w:lineRule="auto"/>
        <w:rPr>
          <w:sz w:val="20"/>
          <w:szCs w:val="20"/>
          <w:color w:val="auto"/>
        </w:rPr>
      </w:pPr>
      <w:r>
        <w:rPr>
          <w:rFonts w:ascii="Arial" w:cs="Arial" w:eastAsia="Arial" w:hAnsi="Arial"/>
          <w:sz w:val="16"/>
          <w:szCs w:val="16"/>
          <w:color w:val="auto"/>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 information systems failures</w:t>
      </w:r>
    </w:p>
    <w:p>
      <w:pPr>
        <w:spacing w:after="0" w:line="158" w:lineRule="exact"/>
        <w:rPr>
          <w:sz w:val="20"/>
          <w:szCs w:val="20"/>
          <w:color w:val="auto"/>
        </w:rPr>
      </w:pPr>
    </w:p>
    <w:p>
      <w:pPr>
        <w:ind w:left="60" w:right="79" w:firstLine="427"/>
        <w:spacing w:after="0" w:line="344" w:lineRule="auto"/>
        <w:rPr>
          <w:sz w:val="20"/>
          <w:szCs w:val="20"/>
          <w:color w:val="auto"/>
        </w:rPr>
      </w:pPr>
      <w:r>
        <w:rPr>
          <w:rFonts w:ascii="Arial" w:cs="Arial" w:eastAsia="Arial" w:hAnsi="Arial"/>
          <w:sz w:val="16"/>
          <w:szCs w:val="16"/>
          <w:color w:val="auto"/>
        </w:rPr>
        <w:t>The Company depends on its information systems to facilitate its day-to-day operations and to produce timely, accurate, and reliable information on financial and operational results. Currently, the Company’s global operations are tracked with multiple information systems, some of which are subject to ongoing IT projects designed to streamline or optimize the Company’s systems. These IT projects are extremely complex, in part because of wide ranging processes, multiple legacy systems used, and the Company’s business operations. The Company may not always succeed at these efforts. Implementation or integration difficulties may adversely affect the Company’s ability to complete business transactions and ensure accurate recording and reporting of financial data. In addition, IT projects may not achieve the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79"/>
        <w:spacing w:after="0" w:line="397" w:lineRule="auto"/>
        <w:rPr>
          <w:sz w:val="20"/>
          <w:szCs w:val="20"/>
          <w:color w:val="auto"/>
        </w:rPr>
      </w:pPr>
      <w:r>
        <w:rPr>
          <w:rFonts w:ascii="Arial" w:cs="Arial" w:eastAsia="Arial" w:hAnsi="Arial"/>
          <w:sz w:val="15"/>
          <w:szCs w:val="15"/>
          <w:color w:val="auto"/>
        </w:rPr>
        <w:t>expected efficiencies and cost savings, which could negatively impact the Company’s financial results. A failure of any of these information systems in a way described above, or material difficulties in upgrading these information systems, could have an adverse effect on the Company’s business, internal controls, and reporting obligations under federal securities laws.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disruptions</w:t>
      </w:r>
    </w:p>
    <w:p>
      <w:pPr>
        <w:spacing w:after="0" w:line="158"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(such as information technology upgrades and operating issues, warehouse modernization and relocation efforts, natural disasters, pandemics, or significant disruptions of services from the Company’s third-party transportation providers) could cause an increase in expenses or a delay in expected cost savings. In addition, as the Company continues to increase capacity at its distribution center in Leeds, England, it may experience operational challenges, increases costs, decreased efficiency, and customer delivery delays and failures. Such operational challenges could have an adverse impact on the Company’s business partners, and on the Company’s business, operations, financial performance, and reputation.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security and privacy threats</w:t>
      </w:r>
    </w:p>
    <w:p>
      <w:pPr>
        <w:spacing w:after="0" w:line="158" w:lineRule="exact"/>
        <w:rPr>
          <w:sz w:val="20"/>
          <w:szCs w:val="20"/>
          <w:color w:val="auto"/>
        </w:rPr>
      </w:pPr>
    </w:p>
    <w:p>
      <w:pPr>
        <w:ind w:left="60" w:right="159" w:firstLine="427"/>
        <w:spacing w:after="0" w:line="340" w:lineRule="auto"/>
        <w:rPr>
          <w:sz w:val="20"/>
          <w:szCs w:val="20"/>
          <w:color w:val="auto"/>
        </w:rPr>
      </w:pPr>
      <w:r>
        <w:rPr>
          <w:rFonts w:ascii="Arial" w:cs="Arial" w:eastAsia="Arial" w:hAnsi="Arial"/>
          <w:sz w:val="16"/>
          <w:szCs w:val="16"/>
          <w:color w:val="auto"/>
        </w:rPr>
        <w:t>Threats to the Company’s data and information technology systems (including phishing, cyber-attacks, and ransomware) are becoming more frequent and sophisticated. Threat actors have successfully breached the Company’s systems in various ways, and such security breaches expose the Company to significant potential liability and reputational harm. Security breaches have not yet materially impacted the Company’s operations, financial condition, or data security and privacy, but future security breaches could have a material impact. Threat actors seek unauthorized access to intellectual property, or confidential or proprietary information regarding the Company, its customers, or its business partners. They deploy malicious software programs that exploit security vulnerabilities, including ransomware designed to encrypt the Company’s files so an attacker may demand a ransom for restored access. They also seek to misdirect money, sabotage data and systems, and induce employees or other system users to disclose sensitive information, including login credentials. Further, the Company’s business partners and service providers, such as hosted solution providers, pose a security risk because their own security systems or infrastructure may be compromised.</w:t>
      </w:r>
    </w:p>
    <w:p>
      <w:pPr>
        <w:spacing w:after="0" w:line="62" w:lineRule="exact"/>
        <w:rPr>
          <w:sz w:val="20"/>
          <w:szCs w:val="20"/>
          <w:color w:val="auto"/>
        </w:rPr>
      </w:pPr>
    </w:p>
    <w:p>
      <w:pPr>
        <w:ind w:left="60" w:right="179" w:firstLine="427"/>
        <w:spacing w:after="0" w:line="320" w:lineRule="auto"/>
        <w:rPr>
          <w:sz w:val="20"/>
          <w:szCs w:val="20"/>
          <w:color w:val="auto"/>
        </w:rPr>
      </w:pPr>
      <w:r>
        <w:rPr>
          <w:rFonts w:ascii="Arial" w:cs="Arial" w:eastAsia="Arial" w:hAnsi="Arial"/>
          <w:sz w:val="17"/>
          <w:szCs w:val="17"/>
          <w:color w:val="auto"/>
        </w:rPr>
        <w:t>The Company incurs significant costs to prevent and detect these risks, as well as to respond to security breaches as they occur. However, the Company’s efforts are not fully successful. Threat actors frequently change their techniques and, consequently, the Company does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 value decline</w:t>
      </w:r>
    </w:p>
    <w:p>
      <w:pPr>
        <w:spacing w:after="0" w:line="158" w:lineRule="exact"/>
        <w:rPr>
          <w:sz w:val="20"/>
          <w:szCs w:val="20"/>
          <w:color w:val="auto"/>
        </w:rPr>
      </w:pPr>
    </w:p>
    <w:p>
      <w:pPr>
        <w:ind w:left="60" w:right="199" w:firstLine="427"/>
        <w:spacing w:after="0" w:line="354" w:lineRule="auto"/>
        <w:rPr>
          <w:sz w:val="20"/>
          <w:szCs w:val="20"/>
          <w:color w:val="auto"/>
        </w:rPr>
      </w:pPr>
      <w:r>
        <w:rPr>
          <w:rFonts w:ascii="Arial" w:cs="Arial" w:eastAsia="Arial" w:hAnsi="Arial"/>
          <w:sz w:val="16"/>
          <w:szCs w:val="16"/>
          <w:color w:val="auto"/>
        </w:rPr>
        <w:t>The electronic components and integrated products industries are subject to rapid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right="79"/>
        <w:spacing w:after="0" w:line="323" w:lineRule="auto"/>
        <w:rPr>
          <w:sz w:val="20"/>
          <w:szCs w:val="20"/>
          <w:color w:val="auto"/>
        </w:rPr>
      </w:pPr>
      <w:r>
        <w:rPr>
          <w:rFonts w:ascii="Arial" w:cs="Arial" w:eastAsia="Arial" w:hAnsi="Arial"/>
          <w:sz w:val="17"/>
          <w:szCs w:val="17"/>
          <w:color w:val="auto"/>
        </w:rPr>
        <w:t>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the supplier discretion. In addition, most Company sales are made pursuant to individual purchase orders, rather than through long-term sales contracts. Where there are contracts, such contracts are generally terminable at will upon notice. Unforeseen customer cancellations may adversely affect the Company’s business, results of operations, financial condition, or liquidity.</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defaults</w:t>
      </w:r>
    </w:p>
    <w:p>
      <w:pPr>
        <w:spacing w:after="0" w:line="158" w:lineRule="exact"/>
        <w:rPr>
          <w:sz w:val="20"/>
          <w:szCs w:val="20"/>
          <w:color w:val="auto"/>
        </w:rPr>
      </w:pPr>
    </w:p>
    <w:p>
      <w:pPr>
        <w:ind w:left="60" w:right="279" w:firstLine="427"/>
        <w:spacing w:after="0" w:line="322" w:lineRule="auto"/>
        <w:rPr>
          <w:sz w:val="20"/>
          <w:szCs w:val="20"/>
          <w:color w:val="auto"/>
        </w:rPr>
      </w:pPr>
      <w:r>
        <w:rPr>
          <w:rFonts w:ascii="Arial" w:cs="Arial" w:eastAsia="Arial" w:hAnsi="Arial"/>
          <w:sz w:val="17"/>
          <w:szCs w:val="17"/>
          <w:color w:val="auto"/>
        </w:rPr>
        <w:t>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its accounts receivable securitization program.</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 constraints</w:t>
      </w:r>
    </w:p>
    <w:p>
      <w:pPr>
        <w:spacing w:after="0" w:line="158" w:lineRule="exact"/>
        <w:rPr>
          <w:sz w:val="20"/>
          <w:szCs w:val="20"/>
          <w:color w:val="auto"/>
        </w:rPr>
      </w:pPr>
    </w:p>
    <w:p>
      <w:pPr>
        <w:ind w:left="60" w:right="79" w:firstLine="427"/>
        <w:spacing w:after="0" w:line="319" w:lineRule="auto"/>
        <w:rPr>
          <w:sz w:val="20"/>
          <w:szCs w:val="20"/>
          <w:color w:val="auto"/>
        </w:rPr>
      </w:pPr>
      <w:r>
        <w:rPr>
          <w:rFonts w:ascii="Arial" w:cs="Arial" w:eastAsia="Arial" w:hAnsi="Arial"/>
          <w:sz w:val="17"/>
          <w:szCs w:val="17"/>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The Company may need to satisfy its cash needs through external financing. However, various factors affect external financing, including general market conditions and the Company’s debt ratings and operating results, and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spacing w:after="0" w:line="75" w:lineRule="exact"/>
        <w:rPr>
          <w:sz w:val="20"/>
          <w:szCs w:val="20"/>
          <w:color w:val="auto"/>
        </w:rPr>
      </w:pPr>
    </w:p>
    <w:p>
      <w:pPr>
        <w:ind w:left="60" w:right="139" w:firstLine="427"/>
        <w:spacing w:after="0" w:line="342" w:lineRule="auto"/>
        <w:rPr>
          <w:sz w:val="20"/>
          <w:szCs w:val="20"/>
          <w:color w:val="auto"/>
        </w:rPr>
      </w:pPr>
      <w:r>
        <w:rPr>
          <w:rFonts w:ascii="Arial" w:cs="Arial" w:eastAsia="Arial" w:hAnsi="Arial"/>
          <w:sz w:val="16"/>
          <w:szCs w:val="16"/>
          <w:color w:val="auto"/>
        </w:rPr>
        <w:t>As of July 3, 2021, Avnet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In addition, some of its debt utilizes the LIBOR rate, which the U.K.’s Financial Conduct Authority intends to phase out by the end of 2021. At this time, it is uncertain how markets will respond to the discontinuation of LIBOR or to the proposed alternative rates, which may result in increased costs and higher interest rates. Any material increase in the Company’s financing costs or loss of access to cost-effective financing could have an adverse effect on its profitability, results of operations, and cash flows.</w:t>
      </w:r>
    </w:p>
    <w:p>
      <w:pPr>
        <w:spacing w:after="0" w:line="57"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Under some of its credit facilities, the Company is required to maintain certain specified financial ratios and pass certain financial tests. If the Company increases its level of debt or its operating results deteriorate, it may fail to meet these financial ratios or pass these tests, which may result in an event of default. In such an event, lenders may accelerate payment and the Company may be unable to continue to utilize these facilities. If the Company is unable to utilize these facilities or is required to repay debt earlier than management expected, it may not have sufficient cash available to make interest payments, to repay indebtedness, or for general corporate needs.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covenants and restrictions may limit management discretion</w:t>
      </w:r>
    </w:p>
    <w:p>
      <w:pPr>
        <w:spacing w:after="0" w:line="158" w:lineRule="exact"/>
        <w:rPr>
          <w:sz w:val="20"/>
          <w:szCs w:val="20"/>
          <w:color w:val="auto"/>
        </w:rPr>
      </w:pPr>
    </w:p>
    <w:p>
      <w:pPr>
        <w:ind w:left="60" w:right="79" w:firstLine="427"/>
        <w:spacing w:after="0" w:line="33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57" w:lineRule="exact"/>
        <w:rPr>
          <w:rFonts w:ascii="Arial" w:cs="Arial" w:eastAsia="Arial" w:hAnsi="Arial"/>
          <w:sz w:val="18"/>
          <w:szCs w:val="18"/>
          <w:color w:val="auto"/>
        </w:rPr>
      </w:pPr>
    </w:p>
    <w:p>
      <w:pPr>
        <w:ind w:left="820" w:right="79" w:hanging="324"/>
        <w:spacing w:after="0" w:line="32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common stock, or redeeming or repurchasing common stock);</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58" w:lineRule="exact"/>
        <w:rPr>
          <w:sz w:val="20"/>
          <w:szCs w:val="20"/>
          <w:color w:val="auto"/>
        </w:rPr>
      </w:pPr>
    </w:p>
    <w:p>
      <w:pPr>
        <w:ind w:left="60" w:right="419" w:firstLine="427"/>
        <w:spacing w:after="0" w:line="310"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law changes and compliance</w:t>
      </w:r>
    </w:p>
    <w:p>
      <w:pPr>
        <w:spacing w:after="0" w:line="158" w:lineRule="exact"/>
        <w:rPr>
          <w:sz w:val="20"/>
          <w:szCs w:val="20"/>
          <w:color w:val="auto"/>
        </w:rPr>
      </w:pPr>
    </w:p>
    <w:p>
      <w:pPr>
        <w:ind w:left="60" w:right="99" w:firstLine="427"/>
        <w:spacing w:after="0" w:line="329" w:lineRule="auto"/>
        <w:rPr>
          <w:sz w:val="20"/>
          <w:szCs w:val="20"/>
          <w:color w:val="auto"/>
        </w:rPr>
      </w:pPr>
      <w:r>
        <w:rPr>
          <w:rFonts w:ascii="Arial" w:cs="Arial" w:eastAsia="Arial" w:hAnsi="Arial"/>
          <w:sz w:val="17"/>
          <w:szCs w:val="17"/>
          <w:color w:val="auto"/>
        </w:rPr>
        <w:t>As a multinational corporation, the Company is subject to the tax laws and regulations of the United States and many foreign jurisdictions. From time to time, governments enact new tax laws or regulations that could adversely affect the Company’s tax positions. Also, changes to current tax laws or regulations, including changes in the interpretation of such laws, may adversely affect the Company’s cash flow and effective tax rate.</w:t>
      </w:r>
    </w:p>
    <w:p>
      <w:pPr>
        <w:spacing w:after="0" w:line="62"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COVID-19 pandemic. Among other things, the CARES Act permits net operating loss carryovers and carrybacks to offset 100% of taxable income for taxable years beginning before 2021. In addition, the CARES Act allows net operating losses incurred in fiscal 2019, 2020, and 2021 to be carried back to each of the five preceding taxable fiscal years to generate a refund of previously paid income taxes. The CARES Act is subject to interpretation and implementation guidance by both federal and state tax authorities, as well as amendments and technical corrections. Any or all of these could impact the Company unfavorably.</w:t>
      </w:r>
    </w:p>
    <w:p>
      <w:pPr>
        <w:spacing w:after="0" w:line="86"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Many countries are adopting provisions to align their international tax rules with the Base Erosion and Profit Shifting Project, led by the Organisation for Economic Co-operation and Development and supported by the United States. The project aims to standardize and modernize global corporate tax policy, including with regard to tax rate increases and adopting a global minimum tax. These provisions, individually or as a whole, may negatively impact taxation of international business.</w:t>
      </w:r>
    </w:p>
    <w:p>
      <w:pPr>
        <w:spacing w:after="0" w:line="80"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tax laws and regulations of the various countries where the Company has operations are extremely complex and subject to varying interpretations. Although the Company believes that its historical tax positions are sound and consistent with applicable law, taxing authorities may challenge these tax positions and the Company may not be successful in defending against any such challenges.</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right="339" w:firstLine="427"/>
        <w:spacing w:after="0" w:line="310" w:lineRule="auto"/>
        <w:rPr>
          <w:sz w:val="20"/>
          <w:szCs w:val="20"/>
          <w:color w:val="auto"/>
        </w:rPr>
      </w:pPr>
      <w:r>
        <w:rPr>
          <w:rFonts w:ascii="Arial" w:cs="Arial" w:eastAsia="Arial" w:hAnsi="Arial"/>
          <w:sz w:val="18"/>
          <w:szCs w:val="18"/>
          <w:color w:val="auto"/>
        </w:rPr>
        <w:t>The Company’s future income tax expense could be favorably or adversely affected by changes in the mix of earnings in countries with differing statutory tax rates, changes in the valuation of deferred tax assets, and liabilities and changes to its operating structure.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Constraints on internal financial controls</w:t>
      </w:r>
    </w:p>
    <w:p>
      <w:pPr>
        <w:spacing w:after="0" w:line="158"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Internal controls are limited, including limits related to human error, circumventing or overriding controls, and fraud. As a result, the Company may not identify all material activity or all immaterial activity that could aggregate into a material 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expected benefits shortfall</w:t>
      </w:r>
    </w:p>
    <w:p>
      <w:pPr>
        <w:spacing w:after="0" w:line="158" w:lineRule="exact"/>
        <w:rPr>
          <w:sz w:val="20"/>
          <w:szCs w:val="20"/>
          <w:color w:val="auto"/>
        </w:rPr>
      </w:pPr>
    </w:p>
    <w:p>
      <w:pPr>
        <w:ind w:left="60" w:right="59" w:firstLine="427"/>
        <w:spacing w:after="0" w:line="339" w:lineRule="auto"/>
        <w:rPr>
          <w:sz w:val="20"/>
          <w:szCs w:val="20"/>
          <w:color w:val="auto"/>
        </w:rPr>
      </w:pPr>
      <w:r>
        <w:rPr>
          <w:rFonts w:ascii="Arial" w:cs="Arial" w:eastAsia="Arial" w:hAnsi="Arial"/>
          <w:sz w:val="16"/>
          <w:szCs w:val="16"/>
          <w:color w:val="auto"/>
        </w:rPr>
        <w:t>Avnet has made, and expects to continue to make, strategic acquisitions or investments globally to further its strategic objectives and support key business initiatives. Acquisitions and investments involve risks and uncertainties, some of which may differ from those associated with Avnet’s historical operations. Such risks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business operations. As a result, the Company’s profitability may be negatively impacted. In addition, the Company may not successfully integrate the acquired businesses, or the integration may be more difficult, costly, or time-consuming than anticipated. Further, any litigation relating to a potential acquisition will increase expenses associated with the acquisition or cause a delay in completing the acquisition, which may impact the Company’s profitability. The Company may experience disruptions that could, depending on the size of the acquisition, have an adverse effect on its business, especially where an acquisition target may have pre-existing compliance issues or deficiencies, or material weaknesses in internal controls over financial reporting. Furthermore, the Company may not realize all of the anticipated benefits from its acquisitions, which could adversely affect the Company’s financial performance.</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left="60" w:right="259" w:firstLine="427"/>
        <w:spacing w:after="0" w:line="346" w:lineRule="auto"/>
        <w:rPr>
          <w:sz w:val="20"/>
          <w:szCs w:val="20"/>
          <w:color w:val="auto"/>
        </w:rPr>
      </w:pPr>
      <w:r>
        <w:rPr>
          <w:rFonts w:ascii="Arial" w:cs="Arial" w:eastAsia="Arial" w:hAnsi="Arial"/>
          <w:sz w:val="16"/>
          <w:szCs w:val="16"/>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39"/>
        <w:spacing w:after="0" w:line="340" w:lineRule="auto"/>
        <w:rPr>
          <w:sz w:val="20"/>
          <w:szCs w:val="20"/>
          <w:color w:val="auto"/>
        </w:rPr>
      </w:pPr>
      <w:r>
        <w:rPr>
          <w:rFonts w:ascii="Arial" w:cs="Arial" w:eastAsia="Arial" w:hAnsi="Arial"/>
          <w:sz w:val="16"/>
          <w:szCs w:val="16"/>
          <w:color w:val="auto"/>
        </w:rPr>
        <w:t>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58" w:lineRule="exact"/>
        <w:rPr>
          <w:sz w:val="20"/>
          <w:szCs w:val="20"/>
          <w:color w:val="auto"/>
        </w:rPr>
      </w:pPr>
    </w:p>
    <w:p>
      <w:pPr>
        <w:ind w:left="60" w:right="159" w:firstLine="427"/>
        <w:spacing w:after="0" w:line="321" w:lineRule="auto"/>
        <w:rPr>
          <w:sz w:val="20"/>
          <w:szCs w:val="20"/>
          <w:color w:val="auto"/>
        </w:rPr>
      </w:pPr>
      <w:r>
        <w:rPr>
          <w:rFonts w:ascii="Arial" w:cs="Arial" w:eastAsia="Arial" w:hAnsi="Arial"/>
          <w:sz w:val="17"/>
          <w:szCs w:val="17"/>
          <w:color w:val="auto"/>
        </w:rPr>
        <w:t>The Company is subject to various federal, state, local, and foreign laws and regulations addressing environmental and other impacts from industrial processes, waste disposal, carbon emissions, use of hazardous materials in products and operations, recycling products, and other related matters. While the Company strives to fully comply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Further, environmental laws may become more stringent over time, imposing greater compliance costs, and increasing risks and penalties associated with violations.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impacts on economy, operations, and financial results</w:t>
      </w:r>
    </w:p>
    <w:p>
      <w:pPr>
        <w:spacing w:after="0" w:line="158" w:lineRule="exact"/>
        <w:rPr>
          <w:sz w:val="20"/>
          <w:szCs w:val="20"/>
          <w:color w:val="auto"/>
        </w:rPr>
      </w:pPr>
    </w:p>
    <w:p>
      <w:pPr>
        <w:ind w:left="60" w:right="59" w:firstLine="427"/>
        <w:spacing w:after="0" w:line="340" w:lineRule="auto"/>
        <w:rPr>
          <w:sz w:val="20"/>
          <w:szCs w:val="20"/>
          <w:color w:val="auto"/>
        </w:rPr>
      </w:pPr>
      <w:r>
        <w:rPr>
          <w:rFonts w:ascii="Arial" w:cs="Arial" w:eastAsia="Arial" w:hAnsi="Arial"/>
          <w:sz w:val="16"/>
          <w:szCs w:val="16"/>
          <w:color w:val="auto"/>
        </w:rPr>
        <w:t>The COVID-19 pandemic has negatively impacted the global economy, increased demand uncertainty, created supply chain and forecasting challenges, and disrupted logistics and distribution systems. As a result, this pandemic has negatively impacted the operations of the Company and its customers and suppliers, and resulted in or heightened the risks of customer bankruptcies, customer delayed or defaulted payments, product supply constraints, delays in product deliveries, restrictions on access to financial markets, and other risk factors described in the Company’s Annual Report. While the Company has not yet experienced any material disruption to its upstream supply chain and many of its distribution centers remain operational under business continuity plans, it has experienced increased logistics costs, product demand fluctuations, product pricing challenges, longer lead times, reduction in global distribution center utilization, and shipping delays. As the scope and duration of the COVID-19 outbreak is unknown and the extent of its economic impact continues to evolve globally, there is significant uncertainty related to the ultimate impact that it will have on the Company’s business, its employees, product supply and demand, results of operations, and financial condition, and to what extent the Company’s actions to mitigate such impacts will be successful and sufficient.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and geopolitical uncertainty</w:t>
      </w:r>
    </w:p>
    <w:p>
      <w:pPr>
        <w:spacing w:after="0" w:line="158" w:lineRule="exact"/>
        <w:rPr>
          <w:sz w:val="20"/>
          <w:szCs w:val="20"/>
          <w:color w:val="auto"/>
        </w:rPr>
      </w:pPr>
    </w:p>
    <w:p>
      <w:pPr>
        <w:ind w:left="60" w:right="99" w:firstLine="427"/>
        <w:spacing w:after="0" w:line="346" w:lineRule="auto"/>
        <w:rPr>
          <w:sz w:val="20"/>
          <w:szCs w:val="20"/>
          <w:color w:val="auto"/>
        </w:rPr>
      </w:pPr>
      <w:r>
        <w:rPr>
          <w:rFonts w:ascii="Arial" w:cs="Arial" w:eastAsia="Arial" w:hAnsi="Arial"/>
          <w:sz w:val="16"/>
          <w:szCs w:val="16"/>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(including the uncertainty caused by the COVID-19 pandemic and international trade disputes) have resulted, and may result in the future, in decreased sales, margins, and earnings. Economic weakness and geopolitical uncertainty may also lead the Company to impair assets (including goodwill, intangible assets, and other long-lived assets) and increase restructuring expenses to reduce expenses in</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color w:val="auto"/>
        </w:rPr>
        <w:t>response to decreased sales or margins.</w:t>
      </w:r>
    </w:p>
    <w:p>
      <w:pPr>
        <w:spacing w:after="0" w:line="158"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and collect customer receivables, which may result in provisions to create reserves, write-offs, reduced access to liquidity, and higher financing costs.</w:t>
      </w:r>
    </w:p>
    <w:p>
      <w:pPr>
        <w:spacing w:after="0" w:line="80" w:lineRule="exact"/>
        <w:rPr>
          <w:sz w:val="20"/>
          <w:szCs w:val="20"/>
          <w:color w:val="auto"/>
        </w:rPr>
      </w:pPr>
    </w:p>
    <w:p>
      <w:pPr>
        <w:ind w:left="60" w:right="279" w:firstLine="427"/>
        <w:spacing w:after="0" w:line="325" w:lineRule="auto"/>
        <w:rPr>
          <w:sz w:val="20"/>
          <w:szCs w:val="20"/>
          <w:color w:val="auto"/>
        </w:rPr>
      </w:pPr>
      <w:r>
        <w:rPr>
          <w:rFonts w:ascii="Arial" w:cs="Arial" w:eastAsia="Arial" w:hAnsi="Arial"/>
          <w:sz w:val="17"/>
          <w:szCs w:val="17"/>
          <w:color w:val="auto"/>
        </w:rPr>
        <w:t>Further, an increase in inflation rates could affect the Company’s profitability and cash flows, due to higher wages, higher operating costs, higher financing costs, and/or higher supplier prices. Inflation may also adversely affect foreign exchange rates. The Company may be unable to pass along such higher costs to its customers. In addition, Inflation may adversely affect customers’ financing costs, cash flows, and profitability, which could adversely impact their operations and the Company’s ability to offer credit and collect receivables.</w:t>
      </w:r>
    </w:p>
    <w:p>
      <w:pPr>
        <w:spacing w:after="0" w:line="67" w:lineRule="exact"/>
        <w:rPr>
          <w:sz w:val="20"/>
          <w:szCs w:val="20"/>
          <w:color w:val="auto"/>
        </w:rPr>
      </w:pPr>
    </w:p>
    <w:p>
      <w:pPr>
        <w:ind w:left="60" w:right="279" w:firstLine="427"/>
        <w:spacing w:after="0" w:line="349" w:lineRule="auto"/>
        <w:rPr>
          <w:sz w:val="20"/>
          <w:szCs w:val="20"/>
          <w:color w:val="auto"/>
        </w:rPr>
      </w:pPr>
      <w:r>
        <w:rPr>
          <w:rFonts w:ascii="Arial" w:cs="Arial" w:eastAsia="Arial" w:hAnsi="Arial"/>
          <w:sz w:val="16"/>
          <w:szCs w:val="16"/>
          <w:color w:val="auto"/>
        </w:rPr>
        <w:t>The Company is monitoring the implementation and effects of Brexit and developing contingency plans, including changes to its logistics operations and shipment routes, and preparing for changes in trade facilitation regulations. While the extent of the impact of Brexit is not yet fully known, Brexit has led to instability and uncertainty in the United Kingdom and the European Union, could contribute to logistical and regulatory delays at borders, and volatility in the foreign exchange markets, and may have an adverse effect on the Company’s trade operations and financial results.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8"/>
          <w:szCs w:val="18"/>
          <w:color w:val="auto"/>
        </w:rPr>
        <w:t>The market for the Company’s products and services is very competitive and subject to rapid technological advances, new competitors, non-traditional competitors, changes in industry standards, and changes in customer product demands and consumption models.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8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retention and hiring constraints</w:t>
      </w:r>
    </w:p>
    <w:p>
      <w:pPr>
        <w:spacing w:after="0" w:line="158" w:lineRule="exact"/>
        <w:rPr>
          <w:sz w:val="20"/>
          <w:szCs w:val="20"/>
          <w:color w:val="auto"/>
        </w:rPr>
      </w:pPr>
    </w:p>
    <w:p>
      <w:pPr>
        <w:ind w:left="60" w:right="99" w:firstLine="427"/>
        <w:spacing w:after="0" w:line="341" w:lineRule="auto"/>
        <w:rPr>
          <w:sz w:val="20"/>
          <w:szCs w:val="20"/>
          <w:color w:val="auto"/>
        </w:rPr>
      </w:pPr>
      <w:r>
        <w:rPr>
          <w:rFonts w:ascii="Arial" w:cs="Arial" w:eastAsia="Arial" w:hAnsi="Arial"/>
          <w:sz w:val="16"/>
          <w:szCs w:val="16"/>
          <w:color w:val="auto"/>
        </w:rPr>
        <w:t>Identifying, hiring, training, developing, and retaining qualified employees is critical to the Company’s success, and competition for experienced employees in the Company’s industry can be intense. Restrictions on immigration or changes in immigration laws, including visa restrictions, may limit the Company’s acquisition of key talent. Changing demographics and labor work force trends may result in a loss of knowledge and skills as experienced workers leave the Company. In addition, as global opportunities and industry demands shift, and as the Company expands its offerings, the Company may not adequately realign, train, and hire skilled personnel. The Company periodically eliminates positions due to organizational restructurings or other reasons, which may damage the Company’s reputation as an employer and negatively impact the Company’s ability to hire and retain qualified personnel. Also, position eliminations may negatively impact the morale of employees who are not terminated, which could result in work stoppages or slowdowns, particularly where employees are represented by unions or works councils. If these circumstances occur, the Company’s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business, financial condition, and results of operations could be seriously harmed.</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left="60" w:right="119" w:firstLine="427"/>
        <w:spacing w:after="0" w:line="395" w:lineRule="auto"/>
        <w:rPr>
          <w:sz w:val="20"/>
          <w:szCs w:val="20"/>
          <w:color w:val="auto"/>
        </w:rPr>
      </w:pPr>
      <w:r>
        <w:rPr>
          <w:rFonts w:ascii="Arial" w:cs="Arial" w:eastAsia="Arial" w:hAnsi="Arial"/>
          <w:sz w:val="16"/>
          <w:szCs w:val="16"/>
          <w:color w:val="auto"/>
        </w:rPr>
        <w:t>The Company owns and leases approximately 2.1 million and 4.4 million square feet of space, respectively, of which approximately 26% is in the United States. The following table summarizes certain of the Company’s key facilities: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Approximate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6"/>
              </w:rPr>
              <w:t>Leased</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or</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20"/>
                <w:szCs w:val="20"/>
                <w:color w:val="auto"/>
              </w:rPr>
            </w:pPr>
          </w:p>
        </w:tc>
        <w:tc>
          <w:tcPr>
            <w:tcW w:w="4220" w:type="dxa"/>
            <w:vAlign w:val="bottom"/>
            <w:gridSpan w:val="2"/>
          </w:tcPr>
          <w:p>
            <w:pPr>
              <w:ind w:left="160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Owned</w:t>
            </w:r>
          </w:p>
        </w:tc>
        <w:tc>
          <w:tcPr>
            <w:tcW w:w="18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and value-added operations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Tongeren, Belgium</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Leeds, United Kingdom</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 and value-added operations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Poing, Germany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Gaffney, South Carolina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Hong Kong, China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Phoenix, Arizona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 and EC Americas headquarters</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Chandler, Arizona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w w:val="92"/>
              </w:rPr>
              <w:t>EC warehousing, integration and value-added operations</w:t>
            </w:r>
          </w:p>
        </w:tc>
      </w:tr>
    </w:tbl>
    <w:p>
      <w:pPr>
        <w:spacing w:after="0" w:line="201" w:lineRule="exact"/>
        <w:rPr>
          <w:sz w:val="20"/>
          <w:szCs w:val="20"/>
          <w:color w:val="auto"/>
        </w:rPr>
      </w:pPr>
    </w:p>
    <w:p>
      <w:pPr>
        <w:ind w:left="60" w:right="419" w:firstLine="427"/>
        <w:spacing w:after="0" w:line="263" w:lineRule="auto"/>
        <w:rPr>
          <w:sz w:val="20"/>
          <w:szCs w:val="20"/>
          <w:color w:val="auto"/>
        </w:rPr>
      </w:pPr>
      <w:r>
        <w:rPr>
          <w:rFonts w:ascii="Arial" w:cs="Arial" w:eastAsia="Arial" w:hAnsi="Arial"/>
          <w:sz w:val="18"/>
          <w:szCs w:val="18"/>
          <w:color w:val="auto"/>
        </w:rPr>
        <w:t>See Note 6, “Property, plant and equipment, net” and Note 12, “Leases” to the Company’s consolidated financial statements included in Item 8 of this Annual Report on Form 10-K for additional information on property, plant and equipment, and operating leases.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239" w:firstLine="427"/>
        <w:spacing w:after="0" w:line="32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69" w:lineRule="exact"/>
        <w:rPr>
          <w:sz w:val="20"/>
          <w:szCs w:val="20"/>
          <w:color w:val="auto"/>
        </w:rPr>
      </w:pPr>
    </w:p>
    <w:p>
      <w:pPr>
        <w:jc w:val="both"/>
        <w:ind w:left="60" w:right="299" w:firstLine="427"/>
        <w:spacing w:after="0" w:line="354"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60" w:right="499"/>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common stock is listed on the Nasdaq Global Select Market under the symbol AVT.</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39" w:firstLine="427"/>
        <w:spacing w:after="0" w:line="32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Record Holders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30, 2021, there were 1,547 registered holders of record of Avnet’s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229" w:lineRule="exact"/>
        <w:rPr>
          <w:sz w:val="20"/>
          <w:szCs w:val="20"/>
          <w:color w:val="auto"/>
        </w:rPr>
      </w:pPr>
    </w:p>
    <w:p>
      <w:pPr>
        <w:ind w:left="60" w:right="119" w:firstLine="427"/>
        <w:spacing w:after="0" w:line="304" w:lineRule="auto"/>
        <w:rPr>
          <w:sz w:val="20"/>
          <w:szCs w:val="20"/>
          <w:color w:val="auto"/>
        </w:rPr>
      </w:pPr>
      <w:r>
        <w:rPr>
          <w:rFonts w:ascii="Arial" w:cs="Arial" w:eastAsia="Arial" w:hAnsi="Arial"/>
          <w:sz w:val="18"/>
          <w:szCs w:val="18"/>
          <w:color w:val="auto"/>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Synnex Corp). The graph assumes that the value of the investment in Avnet’s common stock, in each index, and in the peer group (including reinvestment of dividends) was $100 on 7/2/2016 and tracks it through 7/3/2021.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692150</wp:posOffset>
            </wp:positionV>
            <wp:extent cx="4928870" cy="4483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887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1"/>
              </w:rPr>
              <w:t>7/2/2016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6/30/2018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6/29/2019</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w w:val="89"/>
              </w:rPr>
              <w:t>6/27/2020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7/3/2021</w:t>
            </w:r>
          </w:p>
        </w:tc>
        <w:tc>
          <w:tcPr>
            <w:tcW w:w="60" w:type="dxa"/>
            <w:vAlign w:val="bottom"/>
          </w:tcPr>
          <w:p>
            <w:pPr>
              <w:spacing w:after="0"/>
              <w:rPr>
                <w:sz w:val="20"/>
                <w:szCs w:val="20"/>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98.17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110.29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118.55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69.87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Nasdaq Composite</w:t>
            </w:r>
          </w:p>
        </w:tc>
        <w:tc>
          <w:tcPr>
            <w:tcW w:w="10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315.10</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6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r>
        <w:rPr>
          <w:rFonts w:ascii="Arial" w:cs="Arial" w:eastAsia="Arial" w:hAnsi="Arial"/>
          <w:sz w:val="17"/>
          <w:szCs w:val="17"/>
          <w:color w:val="auto"/>
        </w:rPr>
        <w:t>.</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3"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In August 2019, the Company’s Board of Directors amended the Company’s existing share repurchase program, increasing the cumulative total of authorized share repurchases to $2.95 billion of common stock. During the fourth quarter of fiscal 2021, the Company did not repurchase any shares under the share repurchase program, which is part of a publicly announced plan. As of July 3, 2021, the Company had $469.0 million remaining under its share repurchase authorization.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27"/>
        <w:spacing w:after="0" w:line="346" w:lineRule="auto"/>
        <w:rPr>
          <w:sz w:val="20"/>
          <w:szCs w:val="20"/>
          <w:color w:val="auto"/>
        </w:rPr>
      </w:pPr>
      <w:r>
        <w:rPr>
          <w:rFonts w:ascii="Arial" w:cs="Arial" w:eastAsia="Arial" w:hAnsi="Arial"/>
          <w:sz w:val="16"/>
          <w:szCs w:val="16"/>
          <w:color w:val="auto"/>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The Company operates on a “52/53 week” fiscal year. Fiscal 2021 contains 53 weeks compared to 52 weeks in fiscal 2020. The extra week, which occurred in the first quarter of fiscal 2021, impacts the year-over-year analysis in this MD&amp;A.</w:t>
      </w:r>
    </w:p>
    <w:p>
      <w:pPr>
        <w:spacing w:after="0" w:line="56" w:lineRule="exact"/>
        <w:rPr>
          <w:sz w:val="20"/>
          <w:szCs w:val="20"/>
          <w:color w:val="auto"/>
        </w:rPr>
      </w:pPr>
    </w:p>
    <w:p>
      <w:pPr>
        <w:ind w:left="60" w:right="259" w:firstLine="427"/>
        <w:spacing w:after="0" w:line="344" w:lineRule="auto"/>
        <w:rPr>
          <w:sz w:val="20"/>
          <w:szCs w:val="20"/>
          <w:color w:val="auto"/>
        </w:rPr>
      </w:pPr>
      <w:r>
        <w:rPr>
          <w:rFonts w:ascii="Arial" w:cs="Arial" w:eastAsia="Arial" w:hAnsi="Arial"/>
          <w:sz w:val="16"/>
          <w:szCs w:val="16"/>
          <w:color w:val="auto"/>
        </w:rPr>
        <w:t>The discussion of the Company’s results of operations includes references to the impact of foreign currency translation.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EMEA and Asia, are referred to as “constant currency.”</w:t>
      </w:r>
    </w:p>
    <w:p>
      <w:pPr>
        <w:spacing w:after="0" w:line="58" w:lineRule="exact"/>
        <w:rPr>
          <w:sz w:val="20"/>
          <w:szCs w:val="20"/>
          <w:color w:val="auto"/>
        </w:rPr>
      </w:pPr>
    </w:p>
    <w:p>
      <w:pPr>
        <w:ind w:left="60" w:right="539" w:firstLine="427"/>
        <w:spacing w:after="0" w:line="395"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5" w:lineRule="exact"/>
        <w:rPr>
          <w:sz w:val="20"/>
          <w:szCs w:val="20"/>
          <w:color w:val="auto"/>
        </w:rPr>
      </w:pPr>
    </w:p>
    <w:p>
      <w:pPr>
        <w:ind w:left="820" w:right="199" w:hanging="324"/>
        <w:spacing w:after="0" w:line="346"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as discussed above. Sales taking into account these adjustments are referred to as “organic sales.” Additionally, the Company has adjusted sales for the impact of the termination of the TI distribution agreement between fiscal years.</w:t>
      </w:r>
    </w:p>
    <w:p>
      <w:pPr>
        <w:spacing w:after="0" w:line="55" w:lineRule="exact"/>
        <w:rPr>
          <w:rFonts w:ascii="Arial" w:cs="Arial" w:eastAsia="Arial" w:hAnsi="Arial"/>
          <w:sz w:val="16"/>
          <w:szCs w:val="16"/>
          <w:color w:val="auto"/>
        </w:rPr>
      </w:pPr>
    </w:p>
    <w:p>
      <w:pPr>
        <w:ind w:left="820" w:right="119" w:hanging="324"/>
        <w:spacing w:after="0" w:line="30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excluding (i) restructuring, integration and other expenses (see Restructuring, Integration and Other Expenses in this MD&amp;A), (ii) goodwill and long-lived asset impairment expense, and (iii) amortization of acquired intangible assets and other. Operating income excluding such amounts is referred to as “adjusted operating income.”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operating income (loss) to adjusted operating income is presented in the following table:</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Years Ended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98"/>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July 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June 29,</w:t>
            </w:r>
          </w:p>
        </w:tc>
      </w:tr>
      <w:tr>
        <w:trPr>
          <w:trHeight w:val="241"/>
        </w:trPr>
        <w:tc>
          <w:tcPr>
            <w:tcW w:w="4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03"/>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5"/>
              </w:rPr>
              <w:t>(Thousands)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84,391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108,144</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 and intangible asset impairment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r>
      <w:tr>
        <w:trPr>
          <w:trHeight w:val="25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84,257</w:t>
            </w:r>
          </w:p>
        </w:tc>
      </w:tr>
      <w:tr>
        <w:trPr>
          <w:trHeight w:val="197"/>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407,044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302,889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695,708</w:t>
            </w:r>
          </w:p>
        </w:tc>
      </w:tr>
      <w:tr>
        <w:trPr>
          <w:trHeight w:val="20"/>
        </w:trPr>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Significant Risks and Uncertainties</w:t>
      </w:r>
    </w:p>
    <w:p>
      <w:pPr>
        <w:spacing w:after="0" w:line="225"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The COVID-19 pandemic has negatively impacted the global economy, disrupted global supply chains, constrained work force participation, disrupted logistics and distribution systems, and created significant volatility and disruption of financial markets. As the scope and duration of the COVID-19 pandemic is unknown and the extent of its economic impact continues to evolve globally, there is uncertainty related to the ultimate impact it will have on the Company’s business, its employees, results of operations and financial condition, and to what extent the Company’s actions to mitigate such impacts will be successful and sufficient.</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Sales for fiscal 2021 were $19.53 billion, an increase of 10.8% from fiscal 2020 sales of $17.63 billion. Organic sales in constant currency increased 6.3% as compared to sales in the prior year. This increase in organic sales was predominately driven by organic sales growth in Asia as a result from strong demand as the electronic components industry recovered from declines in demand during fiscal 2020.</w:t>
      </w:r>
    </w:p>
    <w:p>
      <w:pPr>
        <w:spacing w:after="0" w:line="146" w:lineRule="exact"/>
        <w:rPr>
          <w:sz w:val="20"/>
          <w:szCs w:val="20"/>
          <w:color w:val="auto"/>
        </w:rPr>
      </w:pPr>
    </w:p>
    <w:p>
      <w:pPr>
        <w:ind w:left="60" w:right="79" w:firstLine="427"/>
        <w:spacing w:after="0" w:line="395" w:lineRule="auto"/>
        <w:rPr>
          <w:sz w:val="20"/>
          <w:szCs w:val="20"/>
          <w:color w:val="auto"/>
        </w:rPr>
      </w:pPr>
      <w:r>
        <w:rPr>
          <w:rFonts w:ascii="Arial" w:cs="Arial" w:eastAsia="Arial" w:hAnsi="Arial"/>
          <w:sz w:val="16"/>
          <w:szCs w:val="16"/>
          <w:color w:val="auto"/>
        </w:rPr>
        <w:t>Gross profit margin of 11.5% decreased 23 basis points compared to 11.7% in fiscal 2020. This decline was primarily due to geographical market mix and, to a lesser extent, from unfavorable changes in product and customer mix.</w:t>
      </w:r>
    </w:p>
    <w:p>
      <w:pPr>
        <w:spacing w:after="0" w:line="96" w:lineRule="exact"/>
        <w:rPr>
          <w:sz w:val="20"/>
          <w:szCs w:val="20"/>
          <w:color w:val="auto"/>
        </w:rPr>
      </w:pPr>
    </w:p>
    <w:p>
      <w:pPr>
        <w:ind w:left="60" w:right="219" w:firstLine="427"/>
        <w:spacing w:after="0" w:line="302" w:lineRule="auto"/>
        <w:rPr>
          <w:sz w:val="20"/>
          <w:szCs w:val="20"/>
          <w:color w:val="auto"/>
        </w:rPr>
      </w:pPr>
      <w:r>
        <w:rPr>
          <w:rFonts w:ascii="Arial" w:cs="Arial" w:eastAsia="Arial" w:hAnsi="Arial"/>
          <w:sz w:val="18"/>
          <w:szCs w:val="18"/>
          <w:color w:val="auto"/>
        </w:rPr>
        <w:t>Operating income was $281.4 million in fiscal 2021, representing an increase compared with fiscal 2020 operating loss of $4.6 million. Operating income margin was 1.4% in fiscal 2021 as compared to an operating loss in fiscal 2020 driven primarily by goodwill and long-lived asset impairment expense. Adjusted operating income margin was 2.1% in fiscal 2021 as compared to 1.7% in fiscal 2020, an increase of 36 basis points. This increase in adjusted operating income margin is primarily due to the increase in sales, partially offset by an increase in selling, general and administrative expenses and decrease in gross profit margin.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7"/>
          </w:tcPr>
          <w:p>
            <w:pPr>
              <w:jc w:val="right"/>
              <w:ind w:right="419"/>
              <w:spacing w:after="0"/>
              <w:rPr>
                <w:sz w:val="20"/>
                <w:szCs w:val="20"/>
                <w:color w:val="auto"/>
              </w:rPr>
            </w:pPr>
            <w:r>
              <w:rPr>
                <w:rFonts w:ascii="Arial" w:cs="Arial" w:eastAsia="Arial" w:hAnsi="Arial"/>
                <w:sz w:val="16"/>
                <w:szCs w:val="16"/>
                <w:b w:val="1"/>
                <w:bCs w:val="1"/>
                <w:color w:val="auto"/>
              </w:rPr>
              <w:t>Years Ended</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8"/>
              </w:rPr>
              <w:t>Percent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July 3,</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jc w:val="right"/>
              <w:ind w:right="244"/>
              <w:spacing w:after="0"/>
              <w:rPr>
                <w:sz w:val="20"/>
                <w:szCs w:val="20"/>
                <w:color w:val="auto"/>
              </w:rPr>
            </w:pPr>
            <w:r>
              <w:rPr>
                <w:rFonts w:ascii="Arial" w:cs="Arial" w:eastAsia="Arial" w:hAnsi="Arial"/>
                <w:sz w:val="16"/>
                <w:szCs w:val="16"/>
                <w:b w:val="1"/>
                <w:bCs w:val="1"/>
                <w:color w:val="auto"/>
                <w:w w:val="94"/>
              </w:rPr>
              <w:t>% of</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June 27,</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 of</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7"/>
              </w:rPr>
              <w:t>June 29,</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of</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6"/>
              </w:rPr>
              <w:t>2021 to</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2020 to</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Total</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Total</w:t>
            </w:r>
          </w:p>
        </w:tc>
        <w:tc>
          <w:tcPr>
            <w:tcW w:w="24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(Dollars</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in</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Sales by Operating Group:</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ind w:left="80"/>
              <w:spacing w:after="0"/>
              <w:rPr>
                <w:sz w:val="20"/>
                <w:szCs w:val="20"/>
                <w:color w:val="auto"/>
              </w:rPr>
            </w:pPr>
            <w:r>
              <w:rPr>
                <w:rFonts w:ascii="Arial" w:cs="Arial" w:eastAsia="Arial" w:hAnsi="Arial"/>
                <w:sz w:val="16"/>
                <w:szCs w:val="16"/>
                <w:color w:val="auto"/>
              </w:rPr>
              <w:t>EC</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18,030.5</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92.3 % $</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16,340.1</w:t>
            </w:r>
          </w:p>
        </w:tc>
        <w:tc>
          <w:tcPr>
            <w:tcW w:w="840" w:type="dxa"/>
            <w:vAlign w:val="bottom"/>
            <w:gridSpan w:val="6"/>
          </w:tcPr>
          <w:p>
            <w:pPr>
              <w:jc w:val="right"/>
              <w:spacing w:after="0"/>
              <w:rPr>
                <w:sz w:val="20"/>
                <w:szCs w:val="20"/>
                <w:color w:val="auto"/>
              </w:rPr>
            </w:pPr>
            <w:r>
              <w:rPr>
                <w:rFonts w:ascii="Arial" w:cs="Arial" w:eastAsia="Arial" w:hAnsi="Arial"/>
                <w:sz w:val="16"/>
                <w:szCs w:val="16"/>
                <w:color w:val="auto"/>
              </w:rPr>
              <w:t>92.7 % $</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18,060.3</w:t>
            </w: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92.5 %</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10.3 %</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Farnell</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Borders>
              <w:top w:val="single" w:sz="8" w:color="CCEEFF"/>
              <w:bottom w:val="single" w:sz="8" w:color="CCEEFF"/>
            </w:tcBorders>
          </w:tcPr>
          <w:p>
            <w:pPr>
              <w:spacing w:after="0"/>
              <w:rPr>
                <w:sz w:val="19"/>
                <w:szCs w:val="19"/>
                <w:color w:val="auto"/>
              </w:rPr>
            </w:pPr>
          </w:p>
        </w:tc>
        <w:tc>
          <w:tcPr>
            <w:tcW w:w="46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19,534.7</w:t>
            </w:r>
          </w:p>
        </w:tc>
        <w:tc>
          <w:tcPr>
            <w:tcW w:w="12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17,634.3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CCEEFF"/>
            </w:tcBorders>
            <w:gridSpan w:val="2"/>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19,518.6</w:t>
            </w:r>
          </w:p>
        </w:tc>
        <w:tc>
          <w:tcPr>
            <w:tcW w:w="12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56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5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6"/>
                <w:szCs w:val="16"/>
                <w:b w:val="1"/>
                <w:bCs w:val="1"/>
                <w:color w:val="auto"/>
              </w:rPr>
              <w:t>Sales by Geographic Region: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Americas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4,662.5</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23.9 %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4,755.3</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27.0 %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26.3 %</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ind w:left="80"/>
              <w:spacing w:after="0"/>
              <w:rPr>
                <w:sz w:val="20"/>
                <w:szCs w:val="20"/>
                <w:color w:val="auto"/>
              </w:rPr>
            </w:pPr>
            <w:r>
              <w:rPr>
                <w:rFonts w:ascii="Arial" w:cs="Arial" w:eastAsia="Arial" w:hAnsi="Arial"/>
                <w:sz w:val="16"/>
                <w:szCs w:val="16"/>
                <w:color w:val="auto"/>
              </w:rPr>
              <w:t>EMEA</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6,149.9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5,753.4</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6,762.9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Asia/Pacific</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Total Avnet</w:t>
            </w: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19,534.7</w:t>
            </w: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17,634.3</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19,518.6</w:t>
            </w: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679" w:firstLine="427"/>
        <w:spacing w:after="0" w:line="324" w:lineRule="auto"/>
        <w:rPr>
          <w:sz w:val="20"/>
          <w:szCs w:val="20"/>
          <w:color w:val="auto"/>
        </w:rPr>
      </w:pPr>
      <w:r>
        <w:rPr>
          <w:rFonts w:ascii="Arial" w:cs="Arial" w:eastAsia="Arial" w:hAnsi="Arial"/>
          <w:sz w:val="18"/>
          <w:szCs w:val="18"/>
          <w:color w:val="auto"/>
        </w:rPr>
        <w:t>The table below provides the reconciliation of reported sales to organic sales for fiscal 2021 by region and by operating group. Reported sales were the same as organic sales in fiscal 2020.</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Organic</w:t>
            </w:r>
          </w:p>
        </w:tc>
      </w:tr>
      <w:tr>
        <w:trPr>
          <w:trHeight w:val="216"/>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Sales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Organic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4"/>
              </w:rPr>
              <w:t>Sales</w:t>
            </w:r>
          </w:p>
        </w:tc>
      </w:tr>
      <w:tr>
        <w:trPr>
          <w:trHeight w:val="216"/>
        </w:trPr>
        <w:tc>
          <w:tcPr>
            <w:tcW w:w="180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Reported</w:t>
            </w: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Sales</w:t>
            </w:r>
          </w:p>
        </w:tc>
        <w:tc>
          <w:tcPr>
            <w:tcW w:w="2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TI Sales</w:t>
            </w: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rPr>
              <w:t>Adj for TI</w:t>
            </w:r>
          </w:p>
        </w:tc>
      </w:tr>
      <w:tr>
        <w:trPr>
          <w:trHeight w:val="208"/>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Fiscal</w:t>
            </w: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Extra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Fiscal</w:t>
            </w:r>
          </w:p>
        </w:tc>
        <w:tc>
          <w:tcPr>
            <w:tcW w:w="2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Fiscal</w:t>
            </w: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Fiscal</w:t>
            </w:r>
          </w:p>
        </w:tc>
      </w:tr>
      <w:tr>
        <w:trPr>
          <w:trHeight w:val="249"/>
        </w:trPr>
        <w:tc>
          <w:tcPr>
            <w:tcW w:w="1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line="242" w:lineRule="exact"/>
              <w:rPr>
                <w:sz w:val="20"/>
                <w:szCs w:val="20"/>
                <w:color w:val="auto"/>
              </w:rPr>
            </w:pPr>
            <w:r>
              <w:rPr>
                <w:rFonts w:ascii="Arial" w:cs="Arial" w:eastAsia="Arial" w:hAnsi="Arial"/>
                <w:sz w:val="18"/>
                <w:szCs w:val="18"/>
                <w:b w:val="1"/>
                <w:bCs w:val="1"/>
                <w:color w:val="auto"/>
                <w:w w:val="84"/>
              </w:rPr>
              <w:t>Week</w:t>
            </w:r>
            <w:r>
              <w:rPr>
                <w:rFonts w:ascii="Arial" w:cs="Arial" w:eastAsia="Arial" w:hAnsi="Arial"/>
                <w:sz w:val="26"/>
                <w:szCs w:val="26"/>
                <w:b w:val="1"/>
                <w:bCs w:val="1"/>
                <w:color w:val="auto"/>
                <w:w w:val="84"/>
                <w:vertAlign w:val="superscript"/>
              </w:rPr>
              <w:t>(1)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line="242" w:lineRule="exact"/>
              <w:rPr>
                <w:sz w:val="20"/>
                <w:szCs w:val="20"/>
                <w:color w:val="auto"/>
              </w:rPr>
            </w:pPr>
            <w:r>
              <w:rPr>
                <w:rFonts w:ascii="Arial" w:cs="Arial" w:eastAsia="Arial" w:hAnsi="Arial"/>
                <w:sz w:val="18"/>
                <w:szCs w:val="18"/>
                <w:b w:val="1"/>
                <w:bCs w:val="1"/>
                <w:color w:val="auto"/>
                <w:w w:val="84"/>
              </w:rPr>
              <w:t>2021</w:t>
            </w:r>
            <w:r>
              <w:rPr>
                <w:rFonts w:ascii="Arial" w:cs="Arial" w:eastAsia="Arial" w:hAnsi="Arial"/>
                <w:sz w:val="26"/>
                <w:szCs w:val="26"/>
                <w:b w:val="1"/>
                <w:bCs w:val="1"/>
                <w:color w:val="auto"/>
                <w:w w:val="84"/>
                <w:vertAlign w:val="superscript"/>
              </w:rPr>
              <w:t>(2)</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0"/>
              <w:spacing w:after="0" w:line="242" w:lineRule="exact"/>
              <w:rPr>
                <w:sz w:val="20"/>
                <w:szCs w:val="20"/>
                <w:color w:val="auto"/>
              </w:rPr>
            </w:pPr>
            <w:r>
              <w:rPr>
                <w:rFonts w:ascii="Arial" w:cs="Arial" w:eastAsia="Arial" w:hAnsi="Arial"/>
                <w:sz w:val="18"/>
                <w:szCs w:val="18"/>
                <w:b w:val="1"/>
                <w:bCs w:val="1"/>
                <w:color w:val="auto"/>
                <w:w w:val="84"/>
              </w:rPr>
              <w:t>2021</w:t>
            </w:r>
            <w:r>
              <w:rPr>
                <w:rFonts w:ascii="Arial" w:cs="Arial" w:eastAsia="Arial" w:hAnsi="Arial"/>
                <w:sz w:val="26"/>
                <w:szCs w:val="26"/>
                <w:b w:val="1"/>
                <w:bCs w:val="1"/>
                <w:color w:val="auto"/>
                <w:w w:val="84"/>
                <w:vertAlign w:val="superscript"/>
              </w:rPr>
              <w:t>(2)</w:t>
            </w:r>
          </w:p>
        </w:tc>
      </w:tr>
      <w:tr>
        <w:trPr>
          <w:trHeight w:val="203"/>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82"/>
              </w:rPr>
              <w:t>(Dollars in millions)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18,936.5</w:t>
            </w: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4,502.6</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5,928.7</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8,505.2</w:t>
            </w: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Avnet by segment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17,454.3</w:t>
            </w:r>
          </w:p>
        </w:tc>
      </w:tr>
      <w:tr>
        <w:trPr>
          <w:trHeight w:val="230"/>
        </w:trPr>
        <w:tc>
          <w:tcPr>
            <w:tcW w:w="1800" w:type="dxa"/>
            <w:vAlign w:val="bottom"/>
          </w:tcPr>
          <w:p>
            <w:pPr>
              <w:ind w:left="120"/>
              <w:spacing w:after="0"/>
              <w:rPr>
                <w:sz w:val="20"/>
                <w:szCs w:val="20"/>
                <w:color w:val="auto"/>
              </w:rPr>
            </w:pPr>
            <w:r>
              <w:rPr>
                <w:rFonts w:ascii="Arial" w:cs="Arial" w:eastAsia="Arial" w:hAnsi="Arial"/>
                <w:sz w:val="18"/>
                <w:szCs w:val="18"/>
                <w:color w:val="auto"/>
              </w:rPr>
              <w:t>Farnell</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2" w:lineRule="exact"/>
        <w:rPr>
          <w:sz w:val="20"/>
          <w:szCs w:val="20"/>
          <w:color w:val="auto"/>
        </w:rPr>
      </w:pPr>
    </w:p>
    <w:p>
      <w:pPr>
        <w:ind w:left="700" w:hanging="650"/>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the additional week of sales in the first quarter of fiscal 2021 is estimated.</w:t>
      </w:r>
    </w:p>
    <w:p>
      <w:pPr>
        <w:spacing w:after="0" w:line="22" w:lineRule="exact"/>
        <w:rPr>
          <w:rFonts w:ascii="Arial" w:cs="Arial" w:eastAsia="Arial" w:hAnsi="Arial"/>
          <w:sz w:val="16"/>
          <w:szCs w:val="16"/>
          <w:color w:val="auto"/>
        </w:rPr>
      </w:pPr>
    </w:p>
    <w:p>
      <w:pPr>
        <w:ind w:left="700" w:right="139" w:hanging="650"/>
        <w:spacing w:after="0" w:line="288"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adjusted for the impact of the termination of the TI distribution contract, which was completed in December 2020. Sales of TI products was $292 million and $1.57 billion for fiscal 2021 and fiscal 2020,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559" w:firstLine="427"/>
        <w:spacing w:after="0" w:line="287" w:lineRule="auto"/>
        <w:rPr>
          <w:sz w:val="20"/>
          <w:szCs w:val="20"/>
          <w:color w:val="auto"/>
        </w:rPr>
      </w:pPr>
      <w:r>
        <w:rPr>
          <w:rFonts w:ascii="Arial" w:cs="Arial" w:eastAsia="Arial" w:hAnsi="Arial"/>
          <w:sz w:val="18"/>
          <w:szCs w:val="18"/>
          <w:color w:val="auto"/>
        </w:rPr>
        <w:t>The table below provides reported and organic sales growth rates for fiscal 2021 as compared to fiscal 2020 by region and by operating group.</w:t>
      </w:r>
    </w:p>
    <w:tbl>
      <w:tblPr>
        <w:tblLayout w:type="fixed"/>
        <w:tblInd w:w="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Organic</w:t>
            </w:r>
          </w:p>
        </w:tc>
      </w:tr>
      <w:tr>
        <w:trPr>
          <w:trHeight w:val="216"/>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Sales As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Organic</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r>
      <w:tr>
        <w:trPr>
          <w:trHeight w:val="216"/>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Sales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Adj for TI</w:t>
            </w:r>
          </w:p>
        </w:tc>
      </w:tr>
      <w:tr>
        <w:trPr>
          <w:trHeight w:val="216"/>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Sales As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Year-Year %</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Organic</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Year-Year %</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Reported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Sales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Change in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08"/>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Year-Year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Constant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Year-Year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Constant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9"/>
        </w:trPr>
        <w:tc>
          <w:tcPr>
            <w:tcW w:w="2120" w:type="dxa"/>
            <w:vAlign w:val="bottom"/>
          </w:tcPr>
          <w:p>
            <w:pPr>
              <w:spacing w:after="0"/>
              <w:rPr>
                <w:sz w:val="21"/>
                <w:szCs w:val="21"/>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 Change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 Change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22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9"/>
              </w:rPr>
              <w:t>Currency</w:t>
            </w:r>
            <w:r>
              <w:rPr>
                <w:rFonts w:ascii="Arial" w:cs="Arial" w:eastAsia="Arial" w:hAnsi="Arial"/>
                <w:sz w:val="26"/>
                <w:szCs w:val="26"/>
                <w:b w:val="1"/>
                <w:bCs w:val="1"/>
                <w:color w:val="auto"/>
                <w:w w:val="89"/>
                <w:vertAlign w:val="superscript"/>
              </w:rPr>
              <w:t>(1)</w:t>
            </w:r>
          </w:p>
        </w:tc>
      </w:tr>
      <w:tr>
        <w:trPr>
          <w:trHeight w:val="216"/>
        </w:trPr>
        <w:tc>
          <w:tcPr>
            <w:tcW w:w="2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10.8 %</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8.0 %</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9.0 %</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6.3 %</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14.8 %</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2.8 %</w:t>
            </w:r>
          </w:p>
        </w:tc>
      </w:tr>
      <w:tr>
        <w:trPr>
          <w:trHeight w:val="216"/>
        </w:trPr>
        <w:tc>
          <w:tcPr>
            <w:tcW w:w="2120" w:type="dxa"/>
            <w:vAlign w:val="bottom"/>
          </w:tcPr>
          <w:p>
            <w:pPr>
              <w:ind w:left="120"/>
              <w:spacing w:after="0"/>
              <w:rPr>
                <w:sz w:val="20"/>
                <w:szCs w:val="20"/>
                <w:color w:val="auto"/>
              </w:rPr>
            </w:pPr>
            <w:r>
              <w:rPr>
                <w:rFonts w:ascii="Arial" w:cs="Arial" w:eastAsia="Arial" w:hAnsi="Arial"/>
                <w:sz w:val="18"/>
                <w:szCs w:val="18"/>
                <w:color w:val="auto"/>
              </w:rPr>
              <w:t>EMEA</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5.4</w:t>
            </w: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30.8</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Avnet by segment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7.8 %</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6.0 %</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15.3 %</w:t>
            </w: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Farnell</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47" w:lineRule="exact"/>
        <w:rPr>
          <w:sz w:val="20"/>
          <w:szCs w:val="20"/>
          <w:color w:val="auto"/>
        </w:rPr>
      </w:pPr>
    </w:p>
    <w:p>
      <w:pPr>
        <w:ind w:left="380" w:right="79" w:hanging="330"/>
        <w:spacing w:after="0" w:line="227"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Sales growth rates excluding the impact of the termination of the TI distribution agreement, which was completed in December 2020.</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Avnet’s sales for fiscal 2021 were $19.53 billion, an increase of $1.90 billion, or 10.8%, from fiscal 2020 sales of</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$17.63 billion. Organic sales in constant currency increased 6.3% as compared to sales in the prior year. The year-over-year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organic sales was primarily due to growth in Asia where demand for electronic components improved compared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fiscal 2020, partially offset by declines in the Americas and EMEA primarily due to the loss of the TI product line.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Organic sales in constant currency excluding TI sales increased 14.8% year over year in fiscal 2021 with all regions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contributing to the growth.</w:t>
      </w:r>
    </w:p>
    <w:p>
      <w:pPr>
        <w:spacing w:after="0" w:line="225" w:lineRule="exact"/>
        <w:rPr>
          <w:sz w:val="20"/>
          <w:szCs w:val="20"/>
          <w:color w:val="auto"/>
        </w:rPr>
      </w:pPr>
    </w:p>
    <w:p>
      <w:pPr>
        <w:ind w:left="60" w:right="119" w:firstLine="427"/>
        <w:spacing w:after="0" w:line="304" w:lineRule="auto"/>
        <w:rPr>
          <w:sz w:val="20"/>
          <w:szCs w:val="20"/>
          <w:color w:val="auto"/>
        </w:rPr>
      </w:pPr>
      <w:r>
        <w:rPr>
          <w:rFonts w:ascii="Arial" w:cs="Arial" w:eastAsia="Arial" w:hAnsi="Arial"/>
          <w:sz w:val="18"/>
          <w:szCs w:val="18"/>
          <w:color w:val="auto"/>
        </w:rPr>
        <w:t>EC sales in fiscal 2021 were $18.03 billion, representing a 10.3% increase over fiscal 2020 sales. EC organic sales in constant currency increased 6.0% year over year driven by the Asia region. EC organic sales in constant currency excluding TI sales increased 15.3% year over year. The increase in sales in the Company’s EC operating group is primarily due to improvements in overall market demand as fiscal 2020 was a year where demand had declined due to an overall industry economic downturn.</w:t>
      </w:r>
    </w:p>
    <w:p>
      <w:pPr>
        <w:spacing w:after="0" w:line="161" w:lineRule="exact"/>
        <w:rPr>
          <w:sz w:val="20"/>
          <w:szCs w:val="20"/>
          <w:color w:val="auto"/>
        </w:rPr>
      </w:pPr>
    </w:p>
    <w:p>
      <w:pPr>
        <w:ind w:left="60" w:right="279" w:firstLine="427"/>
        <w:spacing w:after="0" w:line="310" w:lineRule="auto"/>
        <w:rPr>
          <w:sz w:val="20"/>
          <w:szCs w:val="20"/>
          <w:color w:val="auto"/>
        </w:rPr>
      </w:pPr>
      <w:r>
        <w:rPr>
          <w:rFonts w:ascii="Arial" w:cs="Arial" w:eastAsia="Arial" w:hAnsi="Arial"/>
          <w:sz w:val="18"/>
          <w:szCs w:val="18"/>
          <w:color w:val="auto"/>
        </w:rPr>
        <w:t>Farnell sales in fiscal 2021 were $1.50 billion, an increase of $0.2 million or 16.2% over fiscal 2020 sales. Organic sales in constant currency increased 9.5% year-over-year. These increases were primarily a result of improved market demand in all three regions.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Gross Profit Margin</w:t>
      </w:r>
    </w:p>
    <w:p>
      <w:pPr>
        <w:spacing w:after="0" w:line="225" w:lineRule="exact"/>
        <w:rPr>
          <w:sz w:val="20"/>
          <w:szCs w:val="20"/>
          <w:color w:val="auto"/>
        </w:rPr>
      </w:pPr>
    </w:p>
    <w:p>
      <w:pPr>
        <w:jc w:val="both"/>
        <w:ind w:left="60" w:right="99" w:firstLine="427"/>
        <w:spacing w:after="0" w:line="304" w:lineRule="auto"/>
        <w:rPr>
          <w:sz w:val="20"/>
          <w:szCs w:val="20"/>
          <w:color w:val="auto"/>
        </w:rPr>
      </w:pPr>
      <w:r>
        <w:rPr>
          <w:rFonts w:ascii="Arial" w:cs="Arial" w:eastAsia="Arial" w:hAnsi="Arial"/>
          <w:sz w:val="18"/>
          <w:szCs w:val="18"/>
          <w:color w:val="auto"/>
        </w:rPr>
        <w:t>Gross profit in fiscal 2021 was $2.24 billion, an increase of $177.2 million, or 8.6%, compared to fiscal 2020. Gross profit margin of 11.5% in fiscal 2021 decreased 23 basis points from fiscal 2020 driven primarily by a higher percentage of sales coming from the Asia region and, to a lesser extent, from unfavorable changes in product and customer mix. Sales in the higher margin western regions represented approximately 55% of sales in fiscal 2021 as compared to 60% during fiscal 2020.</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Selling, general and administrative expenses (“SG&amp;A expenses”) in fiscal 2021 were $1.87 billion, an increase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right="99"/>
        <w:spacing w:after="0" w:line="306" w:lineRule="auto"/>
        <w:rPr>
          <w:sz w:val="20"/>
          <w:szCs w:val="20"/>
          <w:color w:val="auto"/>
        </w:rPr>
      </w:pPr>
      <w:r>
        <w:rPr>
          <w:rFonts w:ascii="Arial" w:cs="Arial" w:eastAsia="Arial" w:hAnsi="Arial"/>
          <w:sz w:val="18"/>
          <w:szCs w:val="18"/>
          <w:color w:val="auto"/>
        </w:rPr>
        <w:t>$32.7 million, or 1.8%, compared to fiscal 2020. The year-over-year increase in SG&amp;A expenses was primarily due to the impact of the extra week in the first quarter of fiscal 2021, the impact of foreign currency due to the weakening U.S. Dollar and from increases due to the growth in sales, partially offset by the cost savings from restructuring activities and lower amortization expense.</w:t>
      </w:r>
    </w:p>
    <w:p>
      <w:pPr>
        <w:spacing w:after="0" w:line="146" w:lineRule="exact"/>
        <w:rPr>
          <w:sz w:val="20"/>
          <w:szCs w:val="20"/>
          <w:color w:val="auto"/>
        </w:rPr>
      </w:pPr>
    </w:p>
    <w:p>
      <w:pPr>
        <w:ind w:left="60" w:right="159" w:firstLine="427"/>
        <w:spacing w:after="0" w:line="323"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fiscal 2021, SG&amp;A expenses as a percentage of sales were 9.6% and as a percentage of gross profit were 83.7%, as compared with 10.4% and 89.3%, respectively, in fiscal 2020. The decrease in SG&amp;A expenses as a percentage of gross profit was primarily due to the operating leverage created from higher sales, cost savings from restructuring activities, and lower amortization expense, partially offset by foreign currency due to the weakening U.S. Dollar and from the decrease in gross profit margin.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and Intangible Asset Impairment Expenses</w:t>
      </w:r>
    </w:p>
    <w:p>
      <w:pPr>
        <w:spacing w:after="0" w:line="225"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incurred $144.1 million of goodwill and intangible asset impairment expenses during fiscal 2020. See Note 7, “Goodwill, intangible assets and impairments” to the Company’s consolidated financial statements included in Item 8 of this Annual Report on Form 10-K for additional information related to goodwill impairment and intangible asset impairment expenses.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239" w:lineRule="exact"/>
        <w:rPr>
          <w:sz w:val="20"/>
          <w:szCs w:val="20"/>
          <w:color w:val="auto"/>
        </w:rPr>
      </w:pPr>
    </w:p>
    <w:p>
      <w:pPr>
        <w:ind w:left="60" w:right="99" w:firstLine="427"/>
        <w:spacing w:after="0" w:line="344" w:lineRule="auto"/>
        <w:rPr>
          <w:sz w:val="20"/>
          <w:szCs w:val="20"/>
          <w:color w:val="auto"/>
        </w:rPr>
      </w:pPr>
      <w:r>
        <w:rPr>
          <w:rFonts w:ascii="Arial" w:cs="Arial" w:eastAsia="Arial" w:hAnsi="Arial"/>
          <w:sz w:val="16"/>
          <w:szCs w:val="16"/>
          <w:color w:val="auto"/>
        </w:rPr>
        <w:t>As a result of management’s focus on improving operating efficiencies and reducing operating costs, the Company has incurred certain restructuring, integration, and other costs. Restructuring costs primarily relate to the restructuring of the Company’s information technology, distribution center footprint, and business operations. Integration costs relate to the integration of certain regional and global businesses, including incremental costs incurred as part of the consolidation, relocation, sale and closure of distribution centers and office facilities. Other costs consist primarily of any other miscellaneous costs that relate to restructuring, integration, and other expenses, including acquisition related costs and specific and incremental costs incurred associated with the impacts of the COVID-19 pandemic.</w:t>
      </w:r>
    </w:p>
    <w:p>
      <w:pPr>
        <w:spacing w:after="0" w:line="125" w:lineRule="exact"/>
        <w:rPr>
          <w:sz w:val="20"/>
          <w:szCs w:val="20"/>
          <w:color w:val="auto"/>
        </w:rPr>
      </w:pPr>
    </w:p>
    <w:p>
      <w:pPr>
        <w:ind w:left="60" w:right="439" w:firstLine="427"/>
        <w:spacing w:after="0" w:line="346" w:lineRule="auto"/>
        <w:rPr>
          <w:sz w:val="20"/>
          <w:szCs w:val="20"/>
          <w:color w:val="auto"/>
        </w:rPr>
      </w:pPr>
      <w:r>
        <w:rPr>
          <w:rFonts w:ascii="Arial" w:cs="Arial" w:eastAsia="Arial" w:hAnsi="Arial"/>
          <w:sz w:val="16"/>
          <w:szCs w:val="16"/>
          <w:color w:val="auto"/>
        </w:rPr>
        <w:t>The Company recorded $59.4 million for restructuring costs in fiscal 2021 and expects to realize approximately $50.0 million in incremental annualized operating costs savings as a result of such restructuring actions. Restructuring expenses consisted of $54.6 million for severance and $4.8 million for facility exit costs. The Company also incurred integration costs of $35.8 million, which was offset by a gain on legal settlement of $8.2 million and a reversal of $2.6 million for changes in estimates for costs associated with prior year restructuring actions. The after-tax impact of restructuring, integration, and other expenses were $66.9 million and $0.67 per share on a diluted basis.</w:t>
      </w:r>
    </w:p>
    <w:p>
      <w:pPr>
        <w:spacing w:after="0" w:line="123"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See Note 18, “Restructuring expenses” to the Company’s consolidated financial statements included in Item 8 of this Annual Report on Form 10-K for additional information related to restructuring expenses.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Operating income for fiscal 2021 was $281.4 million, an increase of $286.0 million as compared with fiscal 2020 operating loss of $4.6 million, which included goodwill and long-lived asset impairment expense of $144.1 million. Operating income margin was 1.4% in fiscal 2021 compared to an operating loss in fiscal 2020. Adjusted operating income for fiscal 2021 was $407.0 million, an increase of $104.2 million or 34.4%, from fiscal 2020. The year-over-year increase in adjusted operating income was primarily driven by the increase in sales, partially offset by a lower gross profit margin and increases to SG&amp;A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and Other Financing Expenses, Net and Other (Expense) Income, Net</w:t>
      </w:r>
    </w:p>
    <w:p>
      <w:pPr>
        <w:spacing w:after="0" w:line="239" w:lineRule="exact"/>
        <w:rPr>
          <w:sz w:val="20"/>
          <w:szCs w:val="20"/>
          <w:color w:val="auto"/>
        </w:rPr>
      </w:pPr>
    </w:p>
    <w:p>
      <w:pPr>
        <w:ind w:left="60" w:right="319" w:firstLine="427"/>
        <w:spacing w:after="0" w:line="306" w:lineRule="auto"/>
        <w:rPr>
          <w:sz w:val="20"/>
          <w:szCs w:val="20"/>
          <w:color w:val="auto"/>
        </w:rPr>
      </w:pPr>
      <w:r>
        <w:rPr>
          <w:rFonts w:ascii="Arial" w:cs="Arial" w:eastAsia="Arial" w:hAnsi="Arial"/>
          <w:sz w:val="18"/>
          <w:szCs w:val="18"/>
          <w:color w:val="auto"/>
        </w:rPr>
        <w:t>Interest and other financing expenses for fiscal 2021 was $89.5 million, a decrease of $33.3 million, or 27.1%, compared with interest and other financing expenses of $122.7 million in fiscal 2020. The decrease in interest and other financing expenses in fiscal 2021 compared to fiscal 2020 was primarily related to lower outstanding borrowings during fiscal 2021 as compared to fiscal 2020.</w:t>
      </w:r>
    </w:p>
    <w:p>
      <w:pPr>
        <w:spacing w:after="0" w:line="146" w:lineRule="exact"/>
        <w:rPr>
          <w:sz w:val="20"/>
          <w:szCs w:val="20"/>
          <w:color w:val="auto"/>
        </w:rPr>
      </w:pPr>
    </w:p>
    <w:p>
      <w:pPr>
        <w:jc w:val="both"/>
        <w:ind w:left="60" w:right="139" w:firstLine="427"/>
        <w:spacing w:after="0" w:line="329" w:lineRule="auto"/>
        <w:rPr>
          <w:sz w:val="20"/>
          <w:szCs w:val="20"/>
          <w:color w:val="auto"/>
        </w:rPr>
      </w:pPr>
      <w:r>
        <w:rPr>
          <w:rFonts w:ascii="Arial" w:cs="Arial" w:eastAsia="Arial" w:hAnsi="Arial"/>
          <w:sz w:val="17"/>
          <w:szCs w:val="17"/>
          <w:color w:val="auto"/>
        </w:rPr>
        <w:t>In fiscal 2021, the Company had $19.0 million of other expense as compared with $2.2 million of other expense in fiscal 2020. In fiscal 2021, other expense included equity investment impairment expense, debt extinguishment costs, and foreign currency losses of $12.9 million offset by other insignificant miscellaneous other income items compared to equity investment impairment expense substantially all offset by foreign currency gains in fiscal 2020.</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Avnet’s effective tax rate on its income before income taxes was a benefit of 11.7% in fiscal 2021. The effective tax rate for fiscal 2021 was favorably impacted primarily by (i) a tax benefit arising from the reduction in fair value of certain businesses, resulting in losses that can be carried back under U.S. tax law and, (ii) the mix of income in lower tax jurisdictions, partially offset by (iii) increases to unrecognized tax benefit reserves.</w:t>
      </w:r>
    </w:p>
    <w:p>
      <w:pPr>
        <w:spacing w:after="0" w:line="159"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See Note 10, “Income taxes” to the Company’s consolidated financial statements included in Item 8 of this Annual Report on Form 10-K for further discussion on the effective tax rate.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79" w:firstLine="427"/>
        <w:spacing w:after="0" w:line="310"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in fiscal 2021 was $193.1 million, or $1.93 earnings per share on a diluted basis, compared with net loss of $31.1 million, or $0.31 of net loss per share on a diluted basis, in fiscal 2020.</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2020 Comparison to Fiscal 2019</w:t>
      </w:r>
    </w:p>
    <w:p>
      <w:pPr>
        <w:spacing w:after="0" w:line="225" w:lineRule="exact"/>
        <w:rPr>
          <w:sz w:val="20"/>
          <w:szCs w:val="20"/>
          <w:color w:val="auto"/>
        </w:rPr>
      </w:pPr>
    </w:p>
    <w:p>
      <w:pPr>
        <w:jc w:val="both"/>
        <w:ind w:left="60" w:right="399" w:firstLine="427"/>
        <w:spacing w:after="0" w:line="364" w:lineRule="auto"/>
        <w:rPr>
          <w:sz w:val="20"/>
          <w:szCs w:val="20"/>
          <w:color w:val="auto"/>
        </w:rPr>
      </w:pPr>
      <w:r>
        <w:rPr>
          <w:rFonts w:ascii="Arial" w:cs="Arial" w:eastAsia="Arial" w:hAnsi="Arial"/>
          <w:sz w:val="16"/>
          <w:szCs w:val="16"/>
          <w:color w:val="auto"/>
        </w:rPr>
        <w:t>For comparison of the Company’s results of operations between fiscal 2020 and fiscal 2019, see “Management’s Discussion and Analysis of Financial Condition and Results of Operations” in Part II, Item 7 of the Company’s Annual Report on Form 10-K for the fiscal year ended June 27, 2020 filed with the SEC on August 14, 2020.</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left="60" w:right="119" w:firstLine="427"/>
        <w:spacing w:after="0" w:line="320" w:lineRule="auto"/>
        <w:rPr>
          <w:sz w:val="20"/>
          <w:szCs w:val="20"/>
          <w:color w:val="auto"/>
        </w:rPr>
      </w:pPr>
      <w:r>
        <w:rPr>
          <w:rFonts w:ascii="Arial" w:cs="Arial" w:eastAsia="Arial" w:hAnsi="Arial"/>
          <w:sz w:val="17"/>
          <w:szCs w:val="17"/>
          <w:color w:val="auto"/>
        </w:rPr>
        <w:t>The Company generated $90.9 million of cash from its operating activities in fiscal 2021 as compared to $730.2 million in fiscal 2020. These operating cash flows are comprised of: (i) cash flows generated from net income (loss), adjusted for the impact of non-cash and other items, which includes depreciation and amortization expense, deferred income taxes, stock-based compensation expense, amortization of operating lease assets and other non-cash items , and (ii) cash flows used for, or generated from, working capital and other, excluding cash and cash equivalents. Cash used for working capital and other to support sales growth was $372.5 million during fiscal 2021, including increases in accounts receivable of $615.4 million and inventories of $409.1 million, offset by increases in accounts payable of $621.0 million and accrued expenses and other of $30.9 million. Comparatively, cash generated from working capital and other was $335.1 million during fiscal 2020, including decreases in accounts receivable of $221.5 million and</w:t>
      </w:r>
    </w:p>
    <w:p>
      <w:pPr>
        <w:sectPr>
          <w:pgSz w:w="11900" w:h="16838" w:orient="portrait"/>
          <w:cols w:equalWidth="0" w:num="1">
            <w:col w:w="9019"/>
          </w:cols>
          <w:pgMar w:left="1440" w:top="517"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right="99"/>
        <w:spacing w:after="0" w:line="324" w:lineRule="auto"/>
        <w:rPr>
          <w:sz w:val="20"/>
          <w:szCs w:val="20"/>
          <w:color w:val="auto"/>
        </w:rPr>
      </w:pPr>
      <w:r>
        <w:rPr>
          <w:rFonts w:ascii="Arial" w:cs="Arial" w:eastAsia="Arial" w:hAnsi="Arial"/>
          <w:sz w:val="18"/>
          <w:szCs w:val="18"/>
          <w:color w:val="auto"/>
        </w:rPr>
        <w:t>inventories of $266.8 million, partially offset by decreases in accounts payable of $107.0 million and accrued expenses and other of $46.2 million.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39"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During fiscal 2021, the Company received net proceeds of $297.7 million as a result of the issuance of $300.0 million of 3.00% Notes due May 2031 and $22.9 million under the Securitization Program. During fiscal 2021, the Company repaid $305.1 million of notes and $231.7 million under the Credit Facility, and paid dividends on common stock of $84.3 million.</w:t>
      </w:r>
    </w:p>
    <w:p>
      <w:pPr>
        <w:spacing w:after="0" w:line="146" w:lineRule="exact"/>
        <w:rPr>
          <w:sz w:val="20"/>
          <w:szCs w:val="20"/>
          <w:color w:val="auto"/>
        </w:rPr>
      </w:pPr>
    </w:p>
    <w:p>
      <w:pPr>
        <w:ind w:left="60" w:right="79" w:firstLine="427"/>
        <w:spacing w:after="0" w:line="336" w:lineRule="auto"/>
        <w:rPr>
          <w:sz w:val="20"/>
          <w:szCs w:val="20"/>
          <w:color w:val="auto"/>
        </w:rPr>
      </w:pPr>
      <w:r>
        <w:rPr>
          <w:rFonts w:ascii="Arial" w:cs="Arial" w:eastAsia="Arial" w:hAnsi="Arial"/>
          <w:sz w:val="17"/>
          <w:szCs w:val="17"/>
          <w:color w:val="auto"/>
        </w:rPr>
        <w:t>During fiscal 2020, the Company repaid $302.0 million of notes and $227.3 million under the Securitization Program and received net proceeds of $223.1 million under the Credit Facility. During fiscal 2020, the Company paid dividends on common stock of $84.0 million and repurchased $237.8 million of common stock.</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39" w:lineRule="exact"/>
        <w:rPr>
          <w:sz w:val="20"/>
          <w:szCs w:val="20"/>
          <w:color w:val="auto"/>
        </w:rPr>
      </w:pPr>
    </w:p>
    <w:p>
      <w:pPr>
        <w:ind w:left="60" w:right="159" w:firstLine="427"/>
        <w:spacing w:after="0" w:line="304" w:lineRule="auto"/>
        <w:rPr>
          <w:sz w:val="20"/>
          <w:szCs w:val="20"/>
          <w:color w:val="auto"/>
        </w:rPr>
      </w:pPr>
      <w:r>
        <w:rPr>
          <w:rFonts w:ascii="Arial" w:cs="Arial" w:eastAsia="Arial" w:hAnsi="Arial"/>
          <w:sz w:val="18"/>
          <w:szCs w:val="18"/>
          <w:color w:val="auto"/>
        </w:rPr>
        <w:t>During fiscal 2021, the Company used $50.4 million for capital expenditures primarily related to warehouse and facilities, and information technology hardware and software costs compared to $73.5 million in fiscal 2020. During fiscal 2021, the Company used $18.4 million of cash for acquisitions, which is net of the cash acquired, compared to $51.5 million of cash for acquisitions, which is net of the cash acquired, in fiscal 2020. In addition, the Company paid $12.8 million for other investing activities during fiscal 2020.</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left="60" w:right="239" w:firstLine="427"/>
        <w:spacing w:after="0" w:line="304" w:lineRule="auto"/>
        <w:rPr>
          <w:sz w:val="20"/>
          <w:szCs w:val="20"/>
          <w:color w:val="auto"/>
        </w:rPr>
      </w:pPr>
      <w:r>
        <w:rPr>
          <w:rFonts w:ascii="Arial" w:cs="Arial" w:eastAsia="Arial" w:hAnsi="Arial"/>
          <w:sz w:val="18"/>
          <w:szCs w:val="18"/>
          <w:color w:val="auto"/>
        </w:rPr>
        <w:t>The Company uses a variety of financing arrangements, both short-term and long-term, to fund its operations in addition to cash generated from operating activities. The Company also uses several funding sources to avoid becoming overly dependent on one financing source, and to lower funding costs. These financing arrangements include public debt, short-term and long-term bank loans, a revolving credit facility (the “Credit Facility”), and an accounts receivable securitization program (the “Securitization Program”).</w:t>
      </w:r>
    </w:p>
    <w:p>
      <w:pPr>
        <w:spacing w:after="0" w:line="161" w:lineRule="exact"/>
        <w:rPr>
          <w:sz w:val="20"/>
          <w:szCs w:val="20"/>
          <w:color w:val="auto"/>
        </w:rPr>
      </w:pPr>
    </w:p>
    <w:p>
      <w:pPr>
        <w:ind w:left="60" w:right="79" w:firstLine="427"/>
        <w:spacing w:after="0" w:line="364" w:lineRule="auto"/>
        <w:rPr>
          <w:sz w:val="20"/>
          <w:szCs w:val="20"/>
          <w:color w:val="auto"/>
        </w:rPr>
      </w:pPr>
      <w:r>
        <w:rPr>
          <w:rFonts w:ascii="Arial" w:cs="Arial" w:eastAsia="Arial" w:hAnsi="Arial"/>
          <w:sz w:val="16"/>
          <w:szCs w:val="16"/>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fiscal 2021 was $1.4 million.</w:t>
      </w:r>
    </w:p>
    <w:p>
      <w:pPr>
        <w:spacing w:after="0" w:line="108" w:lineRule="exact"/>
        <w:rPr>
          <w:sz w:val="20"/>
          <w:szCs w:val="20"/>
          <w:color w:val="auto"/>
        </w:rPr>
      </w:pPr>
    </w:p>
    <w:p>
      <w:pPr>
        <w:ind w:left="60" w:right="59" w:firstLine="427"/>
        <w:spacing w:after="0" w:line="32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receivables are recorded within “Interest and other financing expenses, net” and are not material.</w:t>
      </w:r>
    </w:p>
    <w:p>
      <w:pPr>
        <w:spacing w:after="0" w:line="134" w:lineRule="exact"/>
        <w:rPr>
          <w:sz w:val="20"/>
          <w:szCs w:val="20"/>
          <w:color w:val="auto"/>
        </w:rPr>
      </w:pPr>
    </w:p>
    <w:p>
      <w:pPr>
        <w:ind w:left="60" w:right="219" w:firstLine="427"/>
        <w:spacing w:after="0" w:line="310" w:lineRule="auto"/>
        <w:rPr>
          <w:sz w:val="20"/>
          <w:szCs w:val="20"/>
          <w:color w:val="auto"/>
        </w:rPr>
      </w:pPr>
      <w:r>
        <w:rPr>
          <w:rFonts w:ascii="Arial" w:cs="Arial" w:eastAsia="Arial" w:hAnsi="Arial"/>
          <w:sz w:val="18"/>
          <w:szCs w:val="18"/>
          <w:color w:val="auto"/>
        </w:rPr>
        <w:t>See Note 8, “Debt” to the Company’s consolidated financial statements included in Item 8 of this Annual Report on Form 10-K for additional information on financing transactions including the Credit Facility, the Securitization Program and the outstanding Notes as of July 3,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239" w:lineRule="exact"/>
        <w:rPr>
          <w:sz w:val="20"/>
          <w:szCs w:val="20"/>
          <w:color w:val="auto"/>
        </w:rPr>
      </w:pPr>
    </w:p>
    <w:p>
      <w:pPr>
        <w:ind w:left="60" w:right="99" w:firstLine="427"/>
        <w:spacing w:after="0" w:line="306" w:lineRule="auto"/>
        <w:rPr>
          <w:sz w:val="20"/>
          <w:szCs w:val="20"/>
          <w:color w:val="auto"/>
        </w:rPr>
      </w:pPr>
      <w:r>
        <w:rPr>
          <w:rFonts w:ascii="Arial" w:cs="Arial" w:eastAsia="Arial" w:hAnsi="Arial"/>
          <w:sz w:val="18"/>
          <w:szCs w:val="18"/>
          <w:color w:val="auto"/>
        </w:rPr>
        <w:t>The Company’s Credit Facility contains certain covenants with various limitations on debt incurrence, share repurchases, dividends, investments and capital expenditures, and also includes financial covenants requiring the Company to maintain minimum interest coverage and leverage ratios. The Company was in compliance with all such covenants as of July 3, 2021.</w:t>
      </w:r>
    </w:p>
    <w:p>
      <w:pPr>
        <w:spacing w:after="0" w:line="146"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Company’s Securitization Program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 compliance with all such covenants as of July 3, 2021.</w:t>
      </w:r>
    </w:p>
    <w:p>
      <w:pPr>
        <w:spacing w:after="0" w:line="135" w:lineRule="exact"/>
        <w:rPr>
          <w:sz w:val="20"/>
          <w:szCs w:val="20"/>
          <w:color w:val="auto"/>
        </w:rPr>
      </w:pPr>
    </w:p>
    <w:p>
      <w:pPr>
        <w:ind w:left="60" w:right="679" w:firstLine="427"/>
        <w:spacing w:after="0" w:line="357" w:lineRule="auto"/>
        <w:rPr>
          <w:sz w:val="20"/>
          <w:szCs w:val="20"/>
          <w:color w:val="auto"/>
        </w:rPr>
      </w:pPr>
      <w:r>
        <w:rPr>
          <w:rFonts w:ascii="Arial" w:cs="Arial" w:eastAsia="Arial" w:hAnsi="Arial"/>
          <w:sz w:val="17"/>
          <w:szCs w:val="17"/>
          <w:color w:val="auto"/>
        </w:rPr>
        <w:t>Management does not believe that the covenants under the Credit Facility or Securitization Program limit the Company’s ability to pursue its intended business strategy or its future financing needs.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The Company had cash and cash equivalents of $199.7 million as of July 3, 2021, of which $150.5 million was held outside the United States. As of June 27, 2020, the Company had cash and cash equivalents of $477.0 million, of which $411.2 million was held outside of the United States.</w:t>
      </w:r>
    </w:p>
    <w:p>
      <w:pPr>
        <w:spacing w:after="0" w:line="156" w:lineRule="exact"/>
        <w:rPr>
          <w:sz w:val="20"/>
          <w:szCs w:val="20"/>
          <w:color w:val="auto"/>
        </w:rPr>
      </w:pPr>
    </w:p>
    <w:p>
      <w:pPr>
        <w:ind w:left="60" w:right="199" w:firstLine="427"/>
        <w:spacing w:after="0" w:line="323" w:lineRule="auto"/>
        <w:rPr>
          <w:sz w:val="20"/>
          <w:szCs w:val="20"/>
          <w:color w:val="auto"/>
        </w:rPr>
      </w:pPr>
      <w:r>
        <w:rPr>
          <w:rFonts w:ascii="Arial" w:cs="Arial" w:eastAsia="Arial" w:hAnsi="Arial"/>
          <w:sz w:val="17"/>
          <w:szCs w:val="17"/>
          <w:color w:val="auto"/>
        </w:rPr>
        <w:t>As of July 3, 2021, there were no borrowings outstanding under the Credit Facility, with $1.3 million in letters of credit issued and $22.9 million outstanding under the Securitization Program. During fiscal 2021, the Company had an average daily balance outstanding under the Credit Facility of approximately $167.8 million and $173.6 million under the Securitization Program. As of July 3, 2021, the combined availability under the Credit Facility and the Securitization Program was $1.64 billion. Availability under the Securitization Program is subject to the Company having sufficient eligible trade accounts receivable in the United States to support desired borrowings.</w:t>
      </w:r>
    </w:p>
    <w:p>
      <w:pPr>
        <w:spacing w:after="0" w:line="136" w:lineRule="exact"/>
        <w:rPr>
          <w:sz w:val="20"/>
          <w:szCs w:val="20"/>
          <w:color w:val="auto"/>
        </w:rPr>
      </w:pPr>
    </w:p>
    <w:p>
      <w:pPr>
        <w:ind w:left="60" w:right="259" w:firstLine="427"/>
        <w:spacing w:after="0" w:line="395" w:lineRule="auto"/>
        <w:rPr>
          <w:sz w:val="20"/>
          <w:szCs w:val="20"/>
          <w:color w:val="auto"/>
        </w:rPr>
      </w:pPr>
      <w:r>
        <w:rPr>
          <w:rFonts w:ascii="Arial" w:cs="Arial" w:eastAsia="Arial" w:hAnsi="Arial"/>
          <w:sz w:val="16"/>
          <w:szCs w:val="16"/>
          <w:color w:val="auto"/>
        </w:rPr>
        <w:t>In July 2021, the Company extended the maturity of the Securitization Program to August 31, 2021. The Company expects to renew the Securitization Program for two years on similar terms in the first quarter of fiscal 2022.</w:t>
      </w:r>
    </w:p>
    <w:p>
      <w:pPr>
        <w:spacing w:after="0" w:line="83" w:lineRule="exact"/>
        <w:rPr>
          <w:sz w:val="20"/>
          <w:szCs w:val="20"/>
          <w:color w:val="auto"/>
        </w:rPr>
      </w:pPr>
    </w:p>
    <w:p>
      <w:pPr>
        <w:ind w:left="60" w:right="259" w:firstLine="427"/>
        <w:spacing w:after="0" w:line="306"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$90.9 million in cash flows from operating activities during the fiscal year ended July 3, 2021.</w:t>
      </w:r>
    </w:p>
    <w:p>
      <w:pPr>
        <w:spacing w:after="0" w:line="159"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right="139" w:firstLine="427"/>
        <w:spacing w:after="0" w:line="302" w:lineRule="auto"/>
        <w:rPr>
          <w:sz w:val="20"/>
          <w:szCs w:val="20"/>
          <w:color w:val="auto"/>
        </w:rPr>
      </w:pPr>
      <w:r>
        <w:rPr>
          <w:rFonts w:ascii="Arial" w:cs="Arial" w:eastAsia="Arial" w:hAnsi="Arial"/>
          <w:sz w:val="18"/>
          <w:szCs w:val="18"/>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capital markets, if needed. The Company has historically generated operating cash flows and believes it will have the ability to do so in the future.</w:t>
      </w:r>
    </w:p>
    <w:p>
      <w:pPr>
        <w:spacing w:after="0" w:line="152"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As a result of the evolving impacts of the COVID-19 pandemic and the related uncertain future business conditions, the Company in unlikely to make near-term strategic investments through acquisitions.</w:t>
      </w:r>
    </w:p>
    <w:p>
      <w:pPr>
        <w:spacing w:after="0" w:line="143" w:lineRule="exact"/>
        <w:rPr>
          <w:sz w:val="20"/>
          <w:szCs w:val="20"/>
          <w:color w:val="auto"/>
        </w:rPr>
      </w:pPr>
    </w:p>
    <w:p>
      <w:pPr>
        <w:ind w:left="60" w:right="99" w:firstLine="427"/>
        <w:spacing w:after="0" w:line="323" w:lineRule="auto"/>
        <w:rPr>
          <w:sz w:val="20"/>
          <w:szCs w:val="20"/>
          <w:color w:val="auto"/>
        </w:rPr>
      </w:pPr>
      <w:r>
        <w:rPr>
          <w:rFonts w:ascii="Arial" w:cs="Arial" w:eastAsia="Arial" w:hAnsi="Arial"/>
          <w:sz w:val="17"/>
          <w:szCs w:val="17"/>
          <w:color w:val="auto"/>
        </w:rPr>
        <w:t>As of July 3, 2021, the Company may repurchase up to an aggregate of $469.0 million of the Company’s common stock through a $2.95 billion share repurchase program approved by the Board of Directors. The Company may repurchase stock from time to time at the discretion of management, subject to strategic considerations, market conditions, amended Credit Facility restrictions and other factors. The Company may terminate or limit the share repurchase program at any time without prior notice. As a result of the impacts of the COVID-19 pandemic and the corresponding need to manage liquidity and leverage, the Company has suspended share repurchases.</w:t>
      </w:r>
    </w:p>
    <w:p>
      <w:pPr>
        <w:spacing w:after="0" w:line="136" w:lineRule="exact"/>
        <w:rPr>
          <w:sz w:val="20"/>
          <w:szCs w:val="20"/>
          <w:color w:val="auto"/>
        </w:rPr>
      </w:pPr>
    </w:p>
    <w:p>
      <w:pPr>
        <w:jc w:val="both"/>
        <w:ind w:left="60" w:right="159" w:firstLine="427"/>
        <w:spacing w:after="0" w:line="364"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fourth quarter of fiscal 2021, the Board of Directors approved a dividend of $0.22 per share, which resulted in $21.9 million of dividend payments during the quarter.</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Contractual Obligations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the following contractual obligations outstanding as of July 3, 2021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w w:val="85"/>
              </w:rPr>
              <w:t>Less than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Payments due by period</w:t>
            </w:r>
          </w:p>
        </w:tc>
        <w:tc>
          <w:tcPr>
            <w:tcW w:w="10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64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w w:val="99"/>
              </w:rPr>
              <w:t>1-3 years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3-5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5"/>
                <w:szCs w:val="25"/>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$ 1,224.3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Arial" w:cs="Arial" w:eastAsia="Arial" w:hAnsi="Arial"/>
                <w:sz w:val="17"/>
                <w:szCs w:val="17"/>
                <w:color w:val="auto"/>
              </w:rPr>
              <w:t>Interest expense on long-term debt obligations</w:t>
            </w:r>
            <w:r>
              <w:rPr>
                <w:rFonts w:ascii="Arial" w:cs="Arial" w:eastAsia="Arial" w:hAnsi="Arial"/>
                <w:sz w:val="25"/>
                <w:szCs w:val="25"/>
                <w:color w:val="auto"/>
                <w:vertAlign w:val="superscript"/>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5"/>
                <w:szCs w:val="25"/>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Excludes unamortized discount and issuance costs on debt.</w:t>
      </w:r>
    </w:p>
    <w:p>
      <w:pPr>
        <w:spacing w:after="0" w:line="42" w:lineRule="exact"/>
        <w:rPr>
          <w:rFonts w:ascii="Arial" w:cs="Arial" w:eastAsia="Arial" w:hAnsi="Arial"/>
          <w:sz w:val="27"/>
          <w:szCs w:val="27"/>
          <w:color w:val="auto"/>
          <w:vertAlign w:val="superscript"/>
        </w:rPr>
      </w:pPr>
    </w:p>
    <w:p>
      <w:pPr>
        <w:ind w:left="380" w:right="119" w:hanging="330"/>
        <w:spacing w:after="0" w:line="218" w:lineRule="auto"/>
        <w:tabs>
          <w:tab w:leader="none" w:pos="3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Represents interest expense due on debt by using fixed interest rates for fixed rate debt and assuming the same interest rate at the end of fiscal 2021 for variable rate debt.</w:t>
      </w:r>
    </w:p>
    <w:p>
      <w:pPr>
        <w:ind w:left="380" w:hanging="330"/>
        <w:spacing w:after="0" w:line="198" w:lineRule="auto"/>
        <w:tabs>
          <w:tab w:leader="none" w:pos="3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Excludes imputed interest on operating lease liabilities.</w:t>
      </w:r>
    </w:p>
    <w:p>
      <w:pPr>
        <w:spacing w:after="0" w:line="202" w:lineRule="exact"/>
        <w:rPr>
          <w:sz w:val="20"/>
          <w:szCs w:val="20"/>
          <w:color w:val="auto"/>
        </w:rPr>
      </w:pPr>
    </w:p>
    <w:p>
      <w:pPr>
        <w:ind w:left="60" w:right="59" w:firstLine="427"/>
        <w:spacing w:after="0" w:line="354" w:lineRule="auto"/>
        <w:rPr>
          <w:sz w:val="20"/>
          <w:szCs w:val="20"/>
          <w:color w:val="auto"/>
        </w:rPr>
      </w:pPr>
      <w:r>
        <w:rPr>
          <w:rFonts w:ascii="Arial" w:cs="Arial" w:eastAsia="Arial" w:hAnsi="Arial"/>
          <w:sz w:val="16"/>
          <w:szCs w:val="16"/>
          <w:color w:val="auto"/>
        </w:rPr>
        <w:t>At July 3, 2021, the Company had an estimated liability for income tax contingencies of $145.1 million, which is not included in the above table. Cash payments associated with the settlement of these liabilities that are expected to be paid within the next 12 months is $2.4 million. The settlement period for the remaining amount of the unrecognized tax benefits, including related accrued interest and penalties, cannot be determined, and therefore was not included in the table.</w:t>
      </w:r>
    </w:p>
    <w:p>
      <w:pPr>
        <w:spacing w:after="0" w:line="129" w:lineRule="exact"/>
        <w:rPr>
          <w:sz w:val="20"/>
          <w:szCs w:val="20"/>
          <w:color w:val="auto"/>
        </w:rPr>
      </w:pPr>
    </w:p>
    <w:p>
      <w:pPr>
        <w:ind w:left="60" w:right="619" w:firstLine="427"/>
        <w:spacing w:after="0" w:line="324" w:lineRule="auto"/>
        <w:rPr>
          <w:sz w:val="20"/>
          <w:szCs w:val="20"/>
          <w:color w:val="auto"/>
        </w:rPr>
      </w:pPr>
      <w:r>
        <w:rPr>
          <w:rFonts w:ascii="Arial" w:cs="Arial" w:eastAsia="Arial" w:hAnsi="Arial"/>
          <w:sz w:val="18"/>
          <w:szCs w:val="18"/>
          <w:color w:val="auto"/>
        </w:rPr>
        <w:t>The Company does not currently have any material long-term commitments for purchases of inventories from suppliers or for capital expenditures.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left="60" w:right="159" w:firstLine="427"/>
        <w:spacing w:after="0" w:line="304"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spacing w:after="0" w:line="147" w:lineRule="exact"/>
        <w:rPr>
          <w:sz w:val="20"/>
          <w:szCs w:val="20"/>
          <w:color w:val="auto"/>
        </w:rPr>
      </w:pPr>
    </w:p>
    <w:p>
      <w:pPr>
        <w:ind w:left="60" w:right="279" w:firstLine="427"/>
        <w:spacing w:after="0" w:line="306"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2021 relate to:</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39"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spacing w:after="0" w:line="146"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 or actual market conditions are less favorable than assumed, then management evaluates whether additional write-downs of inventories are required. In any case, actual net realizable values could be different from those currently estimated.</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39" w:lineRule="exact"/>
        <w:rPr>
          <w:sz w:val="20"/>
          <w:szCs w:val="20"/>
          <w:color w:val="auto"/>
        </w:rPr>
      </w:pPr>
    </w:p>
    <w:p>
      <w:pPr>
        <w:ind w:left="60" w:right="99" w:firstLine="427"/>
        <w:spacing w:after="0" w:line="341" w:lineRule="auto"/>
        <w:rPr>
          <w:sz w:val="20"/>
          <w:szCs w:val="20"/>
          <w:color w:val="auto"/>
        </w:rPr>
      </w:pPr>
      <w:r>
        <w:rPr>
          <w:rFonts w:ascii="Arial" w:cs="Arial" w:eastAsia="Arial" w:hAnsi="Arial"/>
          <w:sz w:val="16"/>
          <w:szCs w:val="16"/>
          <w:color w:val="auto"/>
        </w:rPr>
        <w:t>Management’s judgment is required in determining income tax expenses and unrecognized tax benefits, in measuring deferred tax assets and liabilities, and valuing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26" w:lineRule="exact"/>
        <w:rPr>
          <w:sz w:val="20"/>
          <w:szCs w:val="20"/>
          <w:color w:val="auto"/>
        </w:rPr>
      </w:pPr>
    </w:p>
    <w:p>
      <w:pPr>
        <w:ind w:left="60" w:right="119" w:firstLine="427"/>
        <w:spacing w:after="0" w:line="364"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w:t>
      </w:r>
    </w:p>
    <w:p>
      <w:pPr>
        <w:sectPr>
          <w:pgSz w:w="11900" w:h="16838" w:orient="portrait"/>
          <w:cols w:equalWidth="0" w:num="1">
            <w:col w:w="9019"/>
          </w:cols>
          <w:pgMar w:left="1440" w:top="517" w:right="1440"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jc w:val="both"/>
        <w:ind w:left="60" w:right="79"/>
        <w:spacing w:after="0" w:line="336" w:lineRule="auto"/>
        <w:rPr>
          <w:sz w:val="20"/>
          <w:szCs w:val="20"/>
          <w:color w:val="auto"/>
        </w:rPr>
      </w:pPr>
      <w:r>
        <w:rPr>
          <w:rFonts w:ascii="Arial" w:cs="Arial" w:eastAsia="Arial" w:hAnsi="Arial"/>
          <w:sz w:val="17"/>
          <w:szCs w:val="17"/>
          <w:color w:val="auto"/>
        </w:rPr>
        <w:t>may result in changes in estimates to such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spacing w:after="0" w:line="124" w:lineRule="exact"/>
        <w:rPr>
          <w:sz w:val="20"/>
          <w:szCs w:val="20"/>
          <w:color w:val="auto"/>
        </w:rPr>
      </w:pPr>
    </w:p>
    <w:p>
      <w:pPr>
        <w:ind w:left="60" w:right="99" w:firstLine="427"/>
        <w:spacing w:after="0" w:line="349" w:lineRule="auto"/>
        <w:rPr>
          <w:sz w:val="20"/>
          <w:szCs w:val="20"/>
          <w:color w:val="auto"/>
        </w:rPr>
      </w:pPr>
      <w:r>
        <w:rPr>
          <w:rFonts w:ascii="Arial" w:cs="Arial" w:eastAsia="Arial" w:hAnsi="Arial"/>
          <w:sz w:val="16"/>
          <w:szCs w:val="16"/>
          <w:color w:val="auto"/>
        </w:rPr>
        <w:t>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34" w:lineRule="exact"/>
        <w:rPr>
          <w:sz w:val="20"/>
          <w:szCs w:val="20"/>
          <w:color w:val="auto"/>
        </w:rPr>
      </w:pPr>
    </w:p>
    <w:p>
      <w:pPr>
        <w:ind w:left="60" w:right="279" w:firstLine="427"/>
        <w:spacing w:after="0" w:line="357" w:lineRule="auto"/>
        <w:rPr>
          <w:sz w:val="20"/>
          <w:szCs w:val="20"/>
          <w:color w:val="auto"/>
        </w:rPr>
      </w:pPr>
      <w:r>
        <w:rPr>
          <w:rFonts w:ascii="Arial" w:cs="Arial" w:eastAsia="Arial" w:hAnsi="Arial"/>
          <w:sz w:val="17"/>
          <w:szCs w:val="17"/>
          <w:color w:val="auto"/>
        </w:rPr>
        <w:t>See Note 10 to the Company’s consolidated financial statements included in Item 8 of this Annual Report on Form 10-K for further discussion on income tax expense, valuation allowances and unrecognized tax benefits.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79" w:firstLine="427"/>
        <w:spacing w:after="0" w:line="31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Reference Rate Reform on Financial Reporting </w:t>
      </w:r>
      <w:r>
        <w:rPr>
          <w:rFonts w:ascii="Arial" w:cs="Arial" w:eastAsia="Arial" w:hAnsi="Arial"/>
          <w:sz w:val="17"/>
          <w:szCs w:val="17"/>
          <w:color w:val="auto"/>
        </w:rPr>
        <w:t>(“ASU No. 2020-04”), which provides optional guidance to 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burden in accounting for reference rate reform on financial reporting. The new guidance provides optional expedients and exceptions for applying generally accepted accounting principles to transactions affected by reference rate reform if certain criteria are met. In January 2021, the FASB issued ASU No. 2021-01</w:t>
      </w:r>
      <w:r>
        <w:rPr>
          <w:rFonts w:ascii="Arial" w:cs="Arial" w:eastAsia="Arial" w:hAnsi="Arial"/>
          <w:sz w:val="17"/>
          <w:szCs w:val="17"/>
          <w:i w:val="1"/>
          <w:iCs w:val="1"/>
          <w:color w:val="auto"/>
        </w:rPr>
        <w:t>, 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Scope </w:t>
      </w:r>
      <w:r>
        <w:rPr>
          <w:rFonts w:ascii="Arial" w:cs="Arial" w:eastAsia="Arial" w:hAnsi="Arial"/>
          <w:sz w:val="17"/>
          <w:szCs w:val="17"/>
          <w:color w:val="auto"/>
        </w:rPr>
        <w:t>(“ASU No. 2021-01”), to clarify certain optional expedients and exceptions in Topic 848 for contract modifications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hedge accounting to apply to derivatives that are affected by the discounting transition. Both ASU No. 2020-04 and ASU No. 2021-01 are effective upon issuance through December 31, 2022. The Company is currently evaluating the effects of adopting the provisions of ASU No. 2020-04 and ASU No. 2021-01, but does not currently expect a material impact on the Company’s consolidated financial statements.</w:t>
      </w:r>
    </w:p>
    <w:p>
      <w:pPr>
        <w:spacing w:after="0" w:line="142" w:lineRule="exact"/>
        <w:rPr>
          <w:sz w:val="20"/>
          <w:szCs w:val="20"/>
          <w:color w:val="auto"/>
        </w:rPr>
      </w:pPr>
    </w:p>
    <w:p>
      <w:pPr>
        <w:ind w:left="60" w:right="299" w:firstLine="427"/>
        <w:spacing w:after="0" w:line="30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xml:space="preserve">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a retrospective, modified retrospective, or prospective basis. The Company is currently evaluating the potential effects of adopting the provisions of ASU No. 2019-12.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3"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The following table sets forth the scheduled maturities of the Company’s debt outstanding at July 3, 2021 (dollars in millions):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88"/>
              </w:rPr>
              <w:t>Fiscal Year</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2023</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2026</w:t>
            </w:r>
          </w:p>
        </w:tc>
        <w:tc>
          <w:tcPr>
            <w:tcW w:w="1020" w:type="dxa"/>
            <w:vAlign w:val="bottom"/>
            <w:gridSpan w:val="3"/>
          </w:tcPr>
          <w:p>
            <w:pPr>
              <w:ind w:left="180"/>
              <w:spacing w:after="0"/>
              <w:rPr>
                <w:sz w:val="20"/>
                <w:szCs w:val="20"/>
                <w:color w:val="auto"/>
              </w:rPr>
            </w:pPr>
            <w:r>
              <w:rPr>
                <w:rFonts w:ascii="Arial" w:cs="Arial" w:eastAsia="Arial" w:hAnsi="Arial"/>
                <w:sz w:val="18"/>
                <w:szCs w:val="18"/>
                <w:b w:val="1"/>
                <w:bCs w:val="1"/>
                <w:color w:val="auto"/>
                <w:w w:val="93"/>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Fixed rate debt</w:t>
            </w:r>
            <w:r>
              <w:rPr>
                <w:rFonts w:ascii="Arial" w:cs="Arial" w:eastAsia="Arial" w:hAnsi="Arial"/>
                <w:sz w:val="26"/>
                <w:szCs w:val="26"/>
                <w:color w:val="auto"/>
                <w:vertAlign w:val="superscript"/>
              </w:rPr>
              <w: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350.4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550.2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1,201.2</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unamortized discounts and issuance costs.</w:t>
      </w:r>
    </w:p>
    <w:p>
      <w:pPr>
        <w:spacing w:after="0" w:line="225"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 following table sets forth the carrying value and fair value of the Company’s debt and the average interest rates at July 3, 2021, and June 27, 2020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Carrying 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Fair Value at</w:t>
            </w:r>
          </w:p>
        </w:tc>
        <w:tc>
          <w:tcPr>
            <w:tcW w:w="2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Carrying Value</w:t>
            </w: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at</w:t>
            </w:r>
          </w:p>
        </w:tc>
      </w:tr>
      <w:tr>
        <w:trPr>
          <w:trHeight w:val="241"/>
        </w:trPr>
        <w:tc>
          <w:tcPr>
            <w:tcW w:w="2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at July 3, 2021</w:t>
            </w:r>
          </w:p>
        </w:tc>
        <w:tc>
          <w:tcPr>
            <w:tcW w:w="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at July 3, 2021</w:t>
            </w:r>
          </w:p>
        </w:tc>
        <w:tc>
          <w:tcPr>
            <w:tcW w:w="2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at June 27, 2020</w:t>
            </w:r>
          </w:p>
        </w:tc>
        <w:tc>
          <w:tcPr>
            <w:tcW w:w="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27, 2020</w:t>
            </w:r>
          </w:p>
        </w:tc>
      </w:tr>
      <w:tr>
        <w:trPr>
          <w:trHeight w:val="216"/>
        </w:trPr>
        <w:tc>
          <w:tcPr>
            <w:tcW w:w="2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Fixed rate debt</w:t>
            </w:r>
            <w:r>
              <w:rPr>
                <w:rFonts w:ascii="Arial" w:cs="Arial" w:eastAsia="Arial" w:hAnsi="Arial"/>
                <w:sz w:val="25"/>
                <w:szCs w:val="25"/>
                <w:color w:val="auto"/>
                <w:vertAlign w:val="superscript"/>
              </w:rPr>
              <w:t>(1)</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Average interest rate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0" w:type="dxa"/>
            <w:vAlign w:val="bottom"/>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Average interest rate</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25400</wp:posOffset>
            </wp:positionV>
            <wp:extent cx="141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73" w:lineRule="exact"/>
        <w:rPr>
          <w:sz w:val="20"/>
          <w:szCs w:val="20"/>
          <w:color w:val="auto"/>
        </w:rPr>
      </w:pPr>
    </w:p>
    <w:p>
      <w:pPr>
        <w:ind w:left="380" w:right="419" w:hanging="330"/>
        <w:spacing w:after="0" w:line="32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ind w:left="60" w:right="99" w:firstLine="427"/>
        <w:spacing w:after="0" w:line="31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derivative financial instruments (primarily forward foreign currency exchange contracts typically with maturities of less than sixty days, but not greater than one year). The Company continues to be exposed to foreign currency risks to the extent they are not hedged. The Company adjusts any economic hedges to fair value through the consolidated statements of operations, primarily within “other (expense) income, net.” Therefore, the 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July 3, 2021, would result in an increase or decrease of approximately $170.0 million to the fair value of the forward foreign exchange contracts, which would generally be offset by an opposite effect on the underlying exposure being economically hedged. See Note 3 to the Company’s consolidated financial statements included in Item 8 of this Annual Report on Form 10-K for further discussion on derivative financial instruments.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34"/>
        </w:trPr>
        <w:tc>
          <w:tcPr>
            <w:tcW w:w="81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7760" w:type="dxa"/>
            <w:vAlign w:val="bottom"/>
            <w:gridSpan w:val="10"/>
          </w:tcPr>
          <w:p>
            <w:pPr>
              <w:ind w:left="40"/>
              <w:spacing w:after="0"/>
              <w:rPr>
                <w:sz w:val="20"/>
                <w:szCs w:val="20"/>
                <w:color w:val="auto"/>
              </w:rPr>
            </w:pPr>
            <w:r>
              <w:rPr>
                <w:rFonts w:ascii="Arial" w:cs="Arial" w:eastAsia="Arial" w:hAnsi="Arial"/>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8140" w:type="dxa"/>
            <w:vAlign w:val="bottom"/>
            <w:gridSpan w:val="11"/>
          </w:tcPr>
          <w:p>
            <w:pPr>
              <w:ind w:left="200"/>
              <w:spacing w:after="0"/>
              <w:rPr>
                <w:sz w:val="20"/>
                <w:szCs w:val="20"/>
                <w:color w:val="auto"/>
              </w:rPr>
            </w:pPr>
            <w:r>
              <w:rPr>
                <w:rFonts w:ascii="Arial" w:cs="Arial" w:eastAsia="Arial" w:hAnsi="Arial"/>
                <w:sz w:val="18"/>
                <w:szCs w:val="18"/>
                <w:color w:val="auto"/>
              </w:rPr>
              <w:t>1.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Report of Independent Registered Public Accounting Firm</w:t>
              </w:r>
            </w:hyperlink>
          </w:p>
        </w:tc>
        <w:tc>
          <w:tcPr>
            <w:tcW w:w="35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3"/>
        </w:trPr>
        <w:tc>
          <w:tcPr>
            <w:tcW w:w="380" w:type="dxa"/>
            <w:vAlign w:val="bottom"/>
          </w:tcPr>
          <w:p>
            <w:pPr>
              <w:spacing w:after="0"/>
              <w:rPr>
                <w:sz w:val="24"/>
                <w:szCs w:val="24"/>
                <w:color w:val="auto"/>
              </w:rPr>
            </w:pPr>
          </w:p>
        </w:tc>
        <w:tc>
          <w:tcPr>
            <w:tcW w:w="7760" w:type="dxa"/>
            <w:vAlign w:val="bottom"/>
            <w:gridSpan w:val="10"/>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July 3, 2021, and June 27,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Operations for the fiscal years ended July 3, 2021, June 27, 2020, and June</w:t>
              </w:r>
            </w:hyperlink>
          </w:p>
        </w:tc>
        <w:tc>
          <w:tcPr>
            <w:tcW w:w="34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1000" w:type="dxa"/>
            <w:vAlign w:val="bottom"/>
            <w:gridSpan w:val="2"/>
          </w:tcPr>
          <w:p>
            <w:pPr>
              <w:ind w:left="380"/>
              <w:spacing w:after="0" w:line="196" w:lineRule="exact"/>
              <w:rPr>
                <w:rFonts w:ascii="Arial" w:cs="Arial" w:eastAsia="Arial" w:hAnsi="Arial"/>
                <w:sz w:val="18"/>
                <w:szCs w:val="18"/>
                <w:color w:val="0000EE"/>
                <w:w w:val="82"/>
              </w:rPr>
            </w:pPr>
            <w:hyperlink w:anchor="page37">
              <w:r>
                <w:rPr>
                  <w:rFonts w:ascii="Arial" w:cs="Arial" w:eastAsia="Arial" w:hAnsi="Arial"/>
                  <w:sz w:val="18"/>
                  <w:szCs w:val="18"/>
                  <w:color w:val="0000EE"/>
                  <w:w w:val="82"/>
                </w:rPr>
                <w:t>29, 2019</w:t>
              </w:r>
            </w:hyperlink>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Consolidated Statements of Comprehensive Income for the fiscal years ended July 3, 2021, June 27,</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2020, and June 29, 2019</w:t>
              </w:r>
            </w:hyperlink>
          </w:p>
        </w:tc>
        <w:tc>
          <w:tcPr>
            <w:tcW w:w="5440" w:type="dxa"/>
            <w:vAlign w:val="bottom"/>
            <w:tcBorders>
              <w:top w:val="single" w:sz="8" w:color="0000EE"/>
            </w:tcBorders>
            <w:gridSpan w:val="4"/>
          </w:tcPr>
          <w:p>
            <w:pPr>
              <w:spacing w:after="0"/>
              <w:rPr>
                <w:sz w:val="17"/>
                <w:szCs w:val="17"/>
                <w:color w:val="auto"/>
              </w:rPr>
            </w:pPr>
          </w:p>
        </w:tc>
        <w:tc>
          <w:tcPr>
            <w:tcW w:w="5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Consolidated Statements of Shareholders’ Equity for the fiscal years ended July 3, 2021, June 27,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7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and June 29, 2019</w:t>
              </w:r>
            </w:hyperlink>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Consolidated Statements of Cash Flows for the fiscal years ended July 3, 2021, June 27, 2020, and June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0" w:type="dxa"/>
            <w:vAlign w:val="bottom"/>
            <w:gridSpan w:val="2"/>
          </w:tcPr>
          <w:p>
            <w:pPr>
              <w:ind w:left="380"/>
              <w:spacing w:after="0" w:line="196" w:lineRule="exact"/>
              <w:rPr>
                <w:rFonts w:ascii="Arial" w:cs="Arial" w:eastAsia="Arial" w:hAnsi="Arial"/>
                <w:sz w:val="18"/>
                <w:szCs w:val="18"/>
                <w:color w:val="0000EE"/>
                <w:w w:val="82"/>
              </w:rPr>
            </w:pPr>
            <w:hyperlink w:anchor="page40">
              <w:r>
                <w:rPr>
                  <w:rFonts w:ascii="Arial" w:cs="Arial" w:eastAsia="Arial" w:hAnsi="Arial"/>
                  <w:sz w:val="18"/>
                  <w:szCs w:val="18"/>
                  <w:color w:val="0000EE"/>
                  <w:w w:val="82"/>
                </w:rPr>
                <w:t>29, 2019</w:t>
              </w:r>
            </w:hyperlink>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140" w:type="dxa"/>
            <w:vAlign w:val="bottom"/>
            <w:gridSpan w:val="11"/>
          </w:tcPr>
          <w:p>
            <w:pPr>
              <w:ind w:left="200"/>
              <w:spacing w:after="0"/>
              <w:rPr>
                <w:sz w:val="20"/>
                <w:szCs w:val="20"/>
                <w:color w:val="auto"/>
              </w:rPr>
            </w:pPr>
            <w:r>
              <w:rPr>
                <w:rFonts w:ascii="Arial" w:cs="Arial" w:eastAsia="Arial" w:hAnsi="Arial"/>
                <w:sz w:val="18"/>
                <w:szCs w:val="18"/>
                <w:color w:val="auto"/>
              </w:rPr>
              <w:t>2. Financial Statement Schedule:</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0"/>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Schedule II (Valuation and Qualifying Accounts) for the fiscal years ended July 3, 2021, June 27,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7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and June 29, 2019</w:t>
              </w:r>
            </w:hyperlink>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539"/>
        <w:spacing w:after="0" w:line="277" w:lineRule="auto"/>
        <w:rPr>
          <w:sz w:val="20"/>
          <w:szCs w:val="20"/>
          <w:color w:val="auto"/>
        </w:rPr>
      </w:pPr>
      <w:r>
        <w:rPr>
          <w:rFonts w:ascii="Arial" w:cs="Arial" w:eastAsia="Arial" w:hAnsi="Arial"/>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Board of Directors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58" w:lineRule="exact"/>
        <w:rPr>
          <w:sz w:val="20"/>
          <w:szCs w:val="20"/>
          <w:color w:val="auto"/>
        </w:rPr>
      </w:pPr>
    </w:p>
    <w:p>
      <w:pPr>
        <w:ind w:left="60" w:right="99"/>
        <w:spacing w:after="0" w:line="346"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(the Company) as of July 3, 2021 and June 27, 2020, the related consolidated statements of operations, comprehensive income, shareholders’ equity, and cash flows for each of the years in the three-year period ended July 3, 2021, and the related notes and financial statement schedule II (collectively, the consolidated financial statements). We also have audited the Company’s internal control over financial reporting as of July 3, 2021,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w:t>
      </w:r>
    </w:p>
    <w:p>
      <w:pPr>
        <w:spacing w:after="0" w:line="56" w:lineRule="exact"/>
        <w:rPr>
          <w:sz w:val="20"/>
          <w:szCs w:val="20"/>
          <w:color w:val="auto"/>
        </w:rPr>
      </w:pPr>
    </w:p>
    <w:p>
      <w:pPr>
        <w:jc w:val="both"/>
        <w:ind w:left="60" w:right="139"/>
        <w:spacing w:after="0" w:line="32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July 3, 2021 and June 27, 2020, and the results of its operations and its cash flows for each of the years in the three-year period ended July 3, 2021, in conformity with U.S. generally accepted accounting principles. Also in our opinion, the Company maintained, in all material respects, effective internal control over financial reporting as of July 3,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as of June 30, 2019 due to the adoption of Financial Accounting Standards Board’s Accounting Standards Codification (ASC) Topic 842</w:t>
      </w:r>
      <w:r>
        <w:rPr>
          <w:rFonts w:ascii="Arial" w:cs="Arial" w:eastAsia="Arial" w:hAnsi="Arial"/>
          <w:sz w:val="18"/>
          <w:szCs w:val="18"/>
          <w:i w:val="1"/>
          <w:iCs w:val="1"/>
          <w:color w:val="auto"/>
        </w:rPr>
        <w:t>, Leases</w:t>
      </w:r>
      <w:r>
        <w:rPr>
          <w:rFonts w:ascii="Arial" w:cs="Arial" w:eastAsia="Arial" w:hAnsi="Arial"/>
          <w:sz w:val="18"/>
          <w:szCs w:val="18"/>
          <w:color w:val="auto"/>
        </w:rPr>
        <w:t>.</w:t>
      </w:r>
    </w:p>
    <w:p>
      <w:pPr>
        <w:spacing w:after="0" w:line="75" w:lineRule="exact"/>
        <w:rPr>
          <w:sz w:val="20"/>
          <w:szCs w:val="20"/>
          <w:color w:val="auto"/>
        </w:rPr>
      </w:pPr>
    </w:p>
    <w:p>
      <w:pPr>
        <w:ind w:left="60" w:right="259"/>
        <w:spacing w:after="0" w:line="310"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revenue as of July 1, 2018 due to the adoption of Financial Accounting Standards Board’s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158" w:lineRule="exact"/>
        <w:rPr>
          <w:sz w:val="20"/>
          <w:szCs w:val="20"/>
          <w:color w:val="auto"/>
        </w:rPr>
      </w:pPr>
    </w:p>
    <w:p>
      <w:pPr>
        <w:ind w:left="60" w:right="159"/>
        <w:spacing w:after="0" w:line="32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60" w:right="139"/>
        <w:spacing w:after="0" w:line="30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ind w:left="60" w:right="119"/>
        <w:spacing w:after="0" w:line="34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w:t>
      </w:r>
    </w:p>
    <w:p>
      <w:pPr>
        <w:sectPr>
          <w:pgSz w:w="11900" w:h="16838" w:orient="portrait"/>
          <w:cols w:equalWidth="0" w:num="1">
            <w:col w:w="9019"/>
          </w:cols>
          <w:pgMar w:left="1440" w:top="517"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right="199"/>
        <w:spacing w:after="0" w:line="304" w:lineRule="auto"/>
        <w:rPr>
          <w:sz w:val="20"/>
          <w:szCs w:val="20"/>
          <w:color w:val="auto"/>
        </w:rPr>
      </w:pPr>
      <w:r>
        <w:rPr>
          <w:rFonts w:ascii="Arial" w:cs="Arial" w:eastAsia="Arial" w:hAnsi="Arial"/>
          <w:sz w:val="18"/>
          <w:szCs w:val="18"/>
          <w:color w:val="auto"/>
        </w:rPr>
        <w:t>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58"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ind w:left="60" w:right="159"/>
        <w:spacing w:after="0" w:line="3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ind w:left="60" w:right="99"/>
        <w:spacing w:after="0" w:line="34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accounting for income taxes</w:t>
      </w:r>
    </w:p>
    <w:p>
      <w:pPr>
        <w:spacing w:after="0" w:line="158" w:lineRule="exact"/>
        <w:rPr>
          <w:sz w:val="20"/>
          <w:szCs w:val="20"/>
          <w:color w:val="auto"/>
        </w:rPr>
      </w:pPr>
    </w:p>
    <w:p>
      <w:pPr>
        <w:ind w:left="380" w:right="99"/>
        <w:spacing w:after="0" w:line="323" w:lineRule="auto"/>
        <w:rPr>
          <w:sz w:val="20"/>
          <w:szCs w:val="20"/>
          <w:color w:val="auto"/>
        </w:rPr>
      </w:pPr>
      <w:r>
        <w:rPr>
          <w:rFonts w:ascii="Arial" w:cs="Arial" w:eastAsia="Arial" w:hAnsi="Arial"/>
          <w:sz w:val="17"/>
          <w:szCs w:val="17"/>
          <w:color w:val="auto"/>
        </w:rPr>
        <w:t>As discussed in Notes 1 and 10 to the consolidated financial statements, the Company recognized $109.4 million of deferred tax assets, net and income tax benefit of $20.2 million as of and for the year ended July 3, 2021. Additionally, as discussed in Note 10, the Company recognized income taxes receivable of $241.3 million as of July 3, 2021.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69" w:lineRule="exact"/>
        <w:rPr>
          <w:sz w:val="20"/>
          <w:szCs w:val="20"/>
          <w:color w:val="auto"/>
        </w:rPr>
      </w:pPr>
    </w:p>
    <w:p>
      <w:pPr>
        <w:ind w:left="380" w:right="139"/>
        <w:spacing w:after="0" w:line="306" w:lineRule="auto"/>
        <w:rPr>
          <w:sz w:val="20"/>
          <w:szCs w:val="20"/>
          <w:color w:val="auto"/>
        </w:rPr>
      </w:pPr>
      <w:r>
        <w:rPr>
          <w:rFonts w:ascii="Arial" w:cs="Arial" w:eastAsia="Arial" w:hAnsi="Arial"/>
          <w:sz w:val="18"/>
          <w:szCs w:val="18"/>
          <w:color w:val="auto"/>
        </w:rPr>
        <w:t>We identified the evaluation of accounting for income taxes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w:t>
      </w:r>
    </w:p>
    <w:p>
      <w:pPr>
        <w:spacing w:after="0" w:line="78" w:lineRule="exact"/>
        <w:rPr>
          <w:sz w:val="20"/>
          <w:szCs w:val="20"/>
          <w:color w:val="auto"/>
        </w:rPr>
      </w:pPr>
    </w:p>
    <w:p>
      <w:pPr>
        <w:ind w:left="380" w:right="239"/>
        <w:spacing w:after="0" w:line="395"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income tax process,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right="79"/>
        <w:spacing w:after="0" w:line="329" w:lineRule="auto"/>
        <w:rPr>
          <w:sz w:val="20"/>
          <w:szCs w:val="20"/>
          <w:color w:val="auto"/>
        </w:rPr>
      </w:pPr>
      <w:r>
        <w:rPr>
          <w:rFonts w:ascii="Arial" w:cs="Arial" w:eastAsia="Arial" w:hAnsi="Arial"/>
          <w:sz w:val="17"/>
          <w:szCs w:val="17"/>
          <w:color w:val="auto"/>
        </w:rPr>
        <w:t>including controls related to the application of current tax regulations in the various tax jurisdictions and impact on the Company’s tax provisions. We involved tax professionals with specialized skills and knowledge in various tax jurisdictions, who assisted in evaluating the Company’s analyses over the application of current tax regulations and the Company’s interpretation of tax laws and regulations in those jurisdictions.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13,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0"/>
              </w:rPr>
              <w:t>(Thousands,</w:t>
            </w:r>
          </w:p>
        </w:tc>
        <w:tc>
          <w:tcPr>
            <w:tcW w:w="220" w:type="dxa"/>
            <w:vAlign w:val="bottom"/>
            <w:gridSpan w:val="2"/>
          </w:tcPr>
          <w:p>
            <w:pPr>
              <w:spacing w:after="0"/>
              <w:rPr>
                <w:sz w:val="16"/>
                <w:szCs w:val="16"/>
                <w:color w:val="auto"/>
              </w:rPr>
            </w:pPr>
          </w:p>
        </w:tc>
        <w:tc>
          <w:tcPr>
            <w:tcW w:w="100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89"/>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3,576,130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2,928,386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3,236,837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2,731,988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191,394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7,163,421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6,328,806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368,452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8,925,422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8,105,197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23,078</w:t>
            </w:r>
          </w:p>
        </w:tc>
        <w:tc>
          <w:tcPr>
            <w:tcW w:w="2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2,401,357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1,754,078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572,457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3,055,238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2,280,366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1,191,329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1,424,791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239,838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354,833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419,923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4,841,238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4,378,799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99,601,393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98,792,542 shares,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1,622,160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1,594,140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2,516,170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2,421,845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4,084,184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3,726,398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8,925,422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8,105,197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Years Ended</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July 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380"/>
              <w:spacing w:after="0" w:line="202" w:lineRule="exact"/>
              <w:rPr>
                <w:sz w:val="20"/>
                <w:szCs w:val="20"/>
                <w:color w:val="auto"/>
              </w:rPr>
            </w:pPr>
            <w:r>
              <w:rPr>
                <w:rFonts w:ascii="Arial" w:cs="Arial" w:eastAsia="Arial" w:hAnsi="Arial"/>
                <w:sz w:val="18"/>
                <w:szCs w:val="18"/>
                <w:b w:val="1"/>
                <w:bCs w:val="1"/>
                <w:color w:val="auto"/>
                <w:w w:val="74"/>
              </w:rPr>
              <w:t>(Thousands,</w:t>
            </w:r>
          </w:p>
        </w:tc>
        <w:tc>
          <w:tcPr>
            <w:tcW w:w="1500" w:type="dxa"/>
            <w:vAlign w:val="bottom"/>
            <w:gridSpan w:val="3"/>
          </w:tcPr>
          <w:p>
            <w:pPr>
              <w:ind w:left="160"/>
              <w:spacing w:after="0" w:line="202" w:lineRule="exact"/>
              <w:rPr>
                <w:sz w:val="20"/>
                <w:szCs w:val="20"/>
                <w:color w:val="auto"/>
              </w:rPr>
            </w:pPr>
            <w:r>
              <w:rPr>
                <w:rFonts w:ascii="Arial" w:cs="Arial" w:eastAsia="Arial" w:hAnsi="Arial"/>
                <w:sz w:val="18"/>
                <w:szCs w:val="18"/>
                <w:b w:val="1"/>
                <w:bCs w:val="1"/>
                <w:color w:val="auto"/>
                <w:w w:val="92"/>
              </w:rPr>
              <w:t>except per share</w:t>
            </w:r>
          </w:p>
        </w:tc>
        <w:tc>
          <w:tcPr>
            <w:tcW w:w="1280" w:type="dxa"/>
            <w:vAlign w:val="bottom"/>
            <w:gridSpan w:val="2"/>
          </w:tcPr>
          <w:p>
            <w:pPr>
              <w:jc w:val="right"/>
              <w:ind w:right="510"/>
              <w:spacing w:after="0" w:line="202" w:lineRule="exact"/>
              <w:rPr>
                <w:sz w:val="20"/>
                <w:szCs w:val="20"/>
                <w:color w:val="auto"/>
              </w:rPr>
            </w:pPr>
            <w:r>
              <w:rPr>
                <w:rFonts w:ascii="Arial" w:cs="Arial" w:eastAsia="Arial" w:hAnsi="Arial"/>
                <w:sz w:val="18"/>
                <w:szCs w:val="18"/>
                <w:b w:val="1"/>
                <w:bCs w:val="1"/>
                <w:color w:val="auto"/>
                <w:w w:val="81"/>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19,534,679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17,634,333</w:t>
            </w:r>
          </w:p>
        </w:tc>
        <w:tc>
          <w:tcPr>
            <w:tcW w:w="4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17,294,049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15,570,877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1,874,831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1,842,122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Goodwill and long-lived asset impairment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Restructuring, integration and other expenses</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3" w:lineRule="exact"/>
              <w:rPr>
                <w:sz w:val="20"/>
                <w:szCs w:val="20"/>
                <w:color w:val="auto"/>
              </w:rPr>
            </w:pPr>
            <w:r>
              <w:rPr>
                <w:rFonts w:ascii="Arial" w:cs="Arial" w:eastAsia="Arial" w:hAnsi="Arial"/>
                <w:sz w:val="18"/>
                <w:szCs w:val="18"/>
                <w:color w:val="auto"/>
              </w:rPr>
              <w:t>Income (loss) before taxes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172,929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(129,585)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236,596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line="203" w:lineRule="exact"/>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193,114</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(31,081)</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Shares used to compute earnings per share: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100,168</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100,474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110,798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per common share</w:t>
            </w: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98"/>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June 27,</w:t>
            </w:r>
          </w:p>
        </w:tc>
        <w:tc>
          <w:tcPr>
            <w:tcW w:w="80" w:type="dxa"/>
            <w:vAlign w:val="bottom"/>
          </w:tcPr>
          <w:p>
            <w:pPr>
              <w:spacing w:after="0"/>
              <w:rPr>
                <w:sz w:val="17"/>
                <w:szCs w:val="17"/>
                <w:color w:val="auto"/>
              </w:rPr>
            </w:pPr>
          </w:p>
        </w:tc>
        <w:tc>
          <w:tcPr>
            <w:tcW w:w="7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June 29,</w:t>
            </w:r>
          </w:p>
        </w:tc>
      </w:tr>
      <w:tr>
        <w:trPr>
          <w:trHeight w:val="241"/>
        </w:trPr>
        <w:tc>
          <w:tcPr>
            <w:tcW w:w="4740" w:type="dxa"/>
            <w:vAlign w:val="bottom"/>
          </w:tcPr>
          <w:p>
            <w:pPr>
              <w:spacing w:after="0"/>
              <w:rPr>
                <w:sz w:val="20"/>
                <w:szCs w:val="20"/>
                <w:color w:val="auto"/>
              </w:rPr>
            </w:pPr>
          </w:p>
        </w:tc>
        <w:tc>
          <w:tcPr>
            <w:tcW w:w="21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r>
      <w:tr>
        <w:trPr>
          <w:trHeight w:val="203"/>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77"/>
              </w:rPr>
              <w:t>(Thousands)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$ 193,114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176,337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(63,621)</w:t>
            </w:r>
          </w:p>
        </w:tc>
      </w:tr>
      <w:tr>
        <w:trPr>
          <w:trHeight w:val="223"/>
        </w:trPr>
        <w:tc>
          <w:tcPr>
            <w:tcW w:w="4740" w:type="dxa"/>
            <w:vAlign w:val="bottom"/>
          </w:tcPr>
          <w:p>
            <w:pPr>
              <w:ind w:left="100"/>
              <w:spacing w:after="0"/>
              <w:rPr>
                <w:sz w:val="20"/>
                <w:szCs w:val="20"/>
                <w:color w:val="auto"/>
              </w:rPr>
            </w:pPr>
            <w:r>
              <w:rPr>
                <w:rFonts w:ascii="Arial" w:cs="Arial" w:eastAsia="Arial" w:hAnsi="Arial"/>
                <w:sz w:val="18"/>
                <w:szCs w:val="18"/>
                <w:color w:val="auto"/>
              </w:rPr>
              <w:t>Pension adjustments, net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81,955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(45,067)</w:t>
            </w:r>
          </w:p>
        </w:tc>
      </w:tr>
      <w:tr>
        <w:trPr>
          <w:trHeight w:val="216"/>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$ 427,747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(115,422)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67,649</w:t>
            </w: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79"/>
        <w:spacing w:after="0" w:line="313"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July 3, 2021, June 27, 2020 and June 29, 2019</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r>
      <w:tr>
        <w:trPr>
          <w:trHeight w:val="208"/>
        </w:trPr>
        <w:tc>
          <w:tcPr>
            <w:tcW w:w="29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8"/>
                <w:szCs w:val="18"/>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9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(Loss) Income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9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70"/>
              </w:rPr>
              <w:t>(Thousands)</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2018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$ 1,528,713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$ 3,235,894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4,685,081</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Net income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176,337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176,337</w:t>
            </w:r>
          </w:p>
        </w:tc>
        <w:tc>
          <w:tcPr>
            <w:tcW w:w="60" w:type="dxa"/>
            <w:vAlign w:val="bottom"/>
          </w:tcPr>
          <w:p>
            <w:pPr>
              <w:spacing w:after="0"/>
              <w:rPr>
                <w:sz w:val="18"/>
                <w:szCs w:val="18"/>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(63,621)</w:t>
            </w:r>
          </w:p>
        </w:tc>
        <w:tc>
          <w:tcPr>
            <w:tcW w:w="60" w:type="dxa"/>
            <w:vAlign w:val="bottom"/>
            <w:shd w:val="clear" w:color="auto" w:fill="CCEEFF"/>
          </w:tcPr>
          <w:p>
            <w:pPr>
              <w:spacing w:after="0"/>
              <w:rPr>
                <w:sz w:val="18"/>
                <w:szCs w:val="18"/>
                <w:color w:val="auto"/>
              </w:rPr>
            </w:pPr>
          </w:p>
        </w:tc>
      </w:tr>
      <w:tr>
        <w:trPr>
          <w:trHeight w:val="193"/>
        </w:trPr>
        <w:tc>
          <w:tcPr>
            <w:tcW w:w="2900" w:type="dxa"/>
            <w:vAlign w:val="bottom"/>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$14,988</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(45,067)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(45,067)</w:t>
            </w:r>
          </w:p>
        </w:tc>
        <w:tc>
          <w:tcPr>
            <w:tcW w:w="60" w:type="dxa"/>
            <w:vAlign w:val="bottom"/>
          </w:tcPr>
          <w:p>
            <w:pPr>
              <w:spacing w:after="0"/>
              <w:rPr>
                <w:sz w:val="17"/>
                <w:szCs w:val="17"/>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($0.80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(87,158)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(87,158)</w:t>
            </w:r>
          </w:p>
        </w:tc>
        <w:tc>
          <w:tcPr>
            <w:tcW w:w="60" w:type="dxa"/>
            <w:vAlign w:val="bottom"/>
            <w:shd w:val="clear" w:color="auto" w:fill="CCEEFF"/>
          </w:tcPr>
          <w:p>
            <w:pPr>
              <w:spacing w:after="0"/>
              <w:rPr>
                <w:sz w:val="18"/>
                <w:szCs w:val="18"/>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660" w:type="dxa"/>
            <w:vAlign w:val="bottom"/>
          </w:tcPr>
          <w:p>
            <w:pPr>
              <w:jc w:val="right"/>
              <w:spacing w:after="0"/>
              <w:rPr>
                <w:sz w:val="20"/>
                <w:szCs w:val="20"/>
                <w:color w:val="auto"/>
              </w:rPr>
            </w:pPr>
            <w:r>
              <w:rPr>
                <w:rFonts w:ascii="Arial" w:cs="Arial" w:eastAsia="Arial" w:hAnsi="Arial"/>
                <w:sz w:val="16"/>
                <w:szCs w:val="16"/>
                <w:color w:val="auto"/>
              </w:rPr>
              <w:t>(12,919)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(12,919)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(553,772)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(566,691)</w:t>
            </w:r>
          </w:p>
        </w:tc>
        <w:tc>
          <w:tcPr>
            <w:tcW w:w="6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Effects of new accounting principles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c>
          <w:tcPr>
            <w:tcW w:w="60" w:type="dxa"/>
            <w:vAlign w:val="bottom"/>
            <w:shd w:val="clear" w:color="auto" w:fill="CCEEFF"/>
          </w:tcPr>
          <w:p>
            <w:pPr>
              <w:spacing w:after="0"/>
              <w:rPr>
                <w:sz w:val="17"/>
                <w:szCs w:val="17"/>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1,132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1,132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44,292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45,424</w:t>
            </w:r>
          </w:p>
        </w:tc>
        <w:tc>
          <w:tcPr>
            <w:tcW w:w="60" w:type="dxa"/>
            <w:vAlign w:val="bottom"/>
          </w:tcPr>
          <w:p>
            <w:pPr>
              <w:spacing w:after="0"/>
              <w:rPr>
                <w:sz w:val="18"/>
                <w:szCs w:val="18"/>
                <w:color w:val="auto"/>
              </w:rPr>
            </w:pPr>
          </w:p>
        </w:tc>
      </w:tr>
      <w:tr>
        <w:trPr>
          <w:trHeight w:val="203"/>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29,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1,573,005</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2,767,469</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(304,039)</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4,140,473</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(31,081)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(31,081)</w:t>
            </w:r>
          </w:p>
        </w:tc>
        <w:tc>
          <w:tcPr>
            <w:tcW w:w="60" w:type="dxa"/>
            <w:vAlign w:val="bottom"/>
          </w:tcPr>
          <w:p>
            <w:pPr>
              <w:spacing w:after="0"/>
              <w:rPr>
                <w:sz w:val="18"/>
                <w:szCs w:val="18"/>
                <w:color w:val="auto"/>
              </w:rPr>
            </w:pPr>
          </w:p>
        </w:tc>
      </w:tr>
      <w:tr>
        <w:trPr>
          <w:trHeight w:val="219"/>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(56,682)</w:t>
            </w:r>
          </w:p>
        </w:tc>
        <w:tc>
          <w:tcPr>
            <w:tcW w:w="60" w:type="dxa"/>
            <w:vAlign w:val="bottom"/>
            <w:shd w:val="clear" w:color="auto" w:fill="CCEEFF"/>
          </w:tcPr>
          <w:p>
            <w:pPr>
              <w:spacing w:after="0"/>
              <w:rPr>
                <w:sz w:val="19"/>
                <w:szCs w:val="19"/>
                <w:color w:val="auto"/>
              </w:rPr>
            </w:pPr>
          </w:p>
        </w:tc>
      </w:tr>
      <w:tr>
        <w:trPr>
          <w:trHeight w:val="193"/>
        </w:trPr>
        <w:tc>
          <w:tcPr>
            <w:tcW w:w="2900" w:type="dxa"/>
            <w:vAlign w:val="bottom"/>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$362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(27,659)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(27,659)</w:t>
            </w:r>
          </w:p>
        </w:tc>
        <w:tc>
          <w:tcPr>
            <w:tcW w:w="60" w:type="dxa"/>
            <w:vAlign w:val="bottom"/>
          </w:tcPr>
          <w:p>
            <w:pPr>
              <w:spacing w:after="0"/>
              <w:rPr>
                <w:sz w:val="17"/>
                <w:szCs w:val="17"/>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($0.84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60" w:type="dxa"/>
            <w:vAlign w:val="bottom"/>
            <w:shd w:val="clear" w:color="auto" w:fill="CCEEFF"/>
          </w:tcPr>
          <w:p>
            <w:pPr>
              <w:spacing w:after="0"/>
              <w:rPr>
                <w:sz w:val="18"/>
                <w:szCs w:val="18"/>
                <w:color w:val="auto"/>
              </w:rPr>
            </w:pP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660" w:type="dxa"/>
            <w:vAlign w:val="bottom"/>
          </w:tcPr>
          <w:p>
            <w:pPr>
              <w:jc w:val="right"/>
              <w:spacing w:after="0"/>
              <w:rPr>
                <w:sz w:val="20"/>
                <w:szCs w:val="20"/>
                <w:color w:val="auto"/>
              </w:rPr>
            </w:pPr>
            <w:r>
              <w:rPr>
                <w:rFonts w:ascii="Arial" w:cs="Arial" w:eastAsia="Arial" w:hAnsi="Arial"/>
                <w:sz w:val="16"/>
                <w:szCs w:val="16"/>
                <w:color w:val="auto"/>
              </w:rPr>
              <w:t>(5,870)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(5,870)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(230,568)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(236,438)</w:t>
            </w:r>
          </w:p>
        </w:tc>
        <w:tc>
          <w:tcPr>
            <w:tcW w:w="60" w:type="dxa"/>
            <w:vAlign w:val="bottom"/>
          </w:tcPr>
          <w:p>
            <w:pPr>
              <w:spacing w:after="0"/>
              <w:rPr>
                <w:sz w:val="18"/>
                <w:szCs w:val="18"/>
                <w:color w:val="auto"/>
              </w:rPr>
            </w:pPr>
          </w:p>
        </w:tc>
      </w:tr>
      <w:tr>
        <w:trPr>
          <w:trHeight w:val="225"/>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21,135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21,760</w:t>
            </w:r>
          </w:p>
        </w:tc>
        <w:tc>
          <w:tcPr>
            <w:tcW w:w="60" w:type="dxa"/>
            <w:vAlign w:val="bottom"/>
            <w:shd w:val="clear" w:color="auto" w:fill="CCEEFF"/>
          </w:tcPr>
          <w:p>
            <w:pPr>
              <w:spacing w:after="0"/>
              <w:rPr>
                <w:sz w:val="19"/>
                <w:szCs w:val="19"/>
                <w:color w:val="auto"/>
              </w:rPr>
            </w:pPr>
          </w:p>
        </w:tc>
      </w:tr>
      <w:tr>
        <w:trPr>
          <w:trHeight w:val="190"/>
        </w:trPr>
        <w:tc>
          <w:tcPr>
            <w:tcW w:w="29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June 27,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1,594,140</w:t>
            </w: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2,421,845</w:t>
            </w: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(388,380)</w:t>
            </w: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3,726,398</w:t>
            </w:r>
          </w:p>
        </w:tc>
        <w:tc>
          <w:tcPr>
            <w:tcW w:w="60" w:type="dxa"/>
            <w:vAlign w:val="bottom"/>
            <w:tcBorders>
              <w:top w:val="single" w:sz="8" w:color="CCEEFF"/>
            </w:tcBorders>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193,114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193,114</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152,678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152,678</w:t>
            </w:r>
          </w:p>
        </w:tc>
        <w:tc>
          <w:tcPr>
            <w:tcW w:w="60" w:type="dxa"/>
            <w:vAlign w:val="bottom"/>
          </w:tcPr>
          <w:p>
            <w:pPr>
              <w:spacing w:after="0"/>
              <w:rPr>
                <w:sz w:val="18"/>
                <w:szCs w:val="18"/>
                <w:color w:val="auto"/>
              </w:rPr>
            </w:pPr>
          </w:p>
        </w:tc>
      </w:tr>
      <w:tr>
        <w:trPr>
          <w:trHeight w:val="199"/>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$2,483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81,955</w:t>
            </w:r>
          </w:p>
        </w:tc>
        <w:tc>
          <w:tcPr>
            <w:tcW w:w="60" w:type="dxa"/>
            <w:vAlign w:val="bottom"/>
            <w:shd w:val="clear" w:color="auto" w:fill="CCEEFF"/>
          </w:tcPr>
          <w:p>
            <w:pPr>
              <w:spacing w:after="0"/>
              <w:rPr>
                <w:sz w:val="18"/>
                <w:szCs w:val="18"/>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6"/>
                <w:szCs w:val="16"/>
                <w:color w:val="auto"/>
              </w:rPr>
              <w:t>Cash dividends ($0.85 per share)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(84,309)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(84,309)</w:t>
            </w:r>
          </w:p>
        </w:tc>
        <w:tc>
          <w:tcPr>
            <w:tcW w:w="6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Effects of new accounting principles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60" w:type="dxa"/>
            <w:vAlign w:val="bottom"/>
            <w:shd w:val="clear" w:color="auto" w:fill="CCEEFF"/>
          </w:tcPr>
          <w:p>
            <w:pPr>
              <w:spacing w:after="0"/>
              <w:rPr>
                <w:sz w:val="17"/>
                <w:szCs w:val="17"/>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808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808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28,020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28,828</w:t>
            </w:r>
          </w:p>
        </w:tc>
        <w:tc>
          <w:tcPr>
            <w:tcW w:w="60" w:type="dxa"/>
            <w:vAlign w:val="bottom"/>
          </w:tcPr>
          <w:p>
            <w:pPr>
              <w:spacing w:after="0"/>
              <w:rPr>
                <w:sz w:val="18"/>
                <w:szCs w:val="18"/>
                <w:color w:val="auto"/>
              </w:rPr>
            </w:pPr>
          </w:p>
        </w:tc>
      </w:tr>
      <w:tr>
        <w:trPr>
          <w:trHeight w:val="20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99,601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$ 1,622,160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$ 2,516,170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4,084,184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July 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193,114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(31,081)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176,337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Non-cash and other reconciling items: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81,139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operating lease assets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300"/>
              <w:spacing w:after="0"/>
              <w:rPr>
                <w:sz w:val="20"/>
                <w:szCs w:val="20"/>
                <w:color w:val="auto"/>
              </w:rPr>
            </w:pPr>
            <w:r>
              <w:rPr>
                <w:rFonts w:ascii="Arial" w:cs="Arial" w:eastAsia="Arial" w:hAnsi="Arial"/>
                <w:sz w:val="16"/>
                <w:szCs w:val="16"/>
                <w:color w:val="auto"/>
              </w:rPr>
              <w:t>Goodwill, long-lived asset and other impairments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159,346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Changes in (net of effects from businesses acquired and divested):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(615,353)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(409,075)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266,791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Borders>
              <w:bottom w:val="single" w:sz="8" w:color="CCEEFF"/>
            </w:tcBorders>
            <w:shd w:val="clear" w:color="auto" w:fill="CCEEFF"/>
          </w:tcPr>
          <w:p>
            <w:pPr>
              <w:ind w:left="400"/>
              <w:spacing w:after="0" w:line="175" w:lineRule="exact"/>
              <w:rPr>
                <w:sz w:val="20"/>
                <w:szCs w:val="20"/>
                <w:color w:val="auto"/>
              </w:rPr>
            </w:pPr>
            <w:r>
              <w:rPr>
                <w:rFonts w:ascii="Arial" w:cs="Arial" w:eastAsia="Arial" w:hAnsi="Arial"/>
                <w:sz w:val="16"/>
                <w:szCs w:val="16"/>
                <w:color w:val="auto"/>
              </w:rPr>
              <w:t>Net cash flows provided by operating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90,949</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730,182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534,770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Issuance of notes, net of discounts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297,660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of public notes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22,900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Borrowings (repayments) under senior unsecured credit facility, net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Repayments under bank credit facilities and other debt, net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(61,738)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Repurchases of common stock</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Dividends paid on common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(84,309)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net</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Borders>
              <w:bottom w:val="single" w:sz="8" w:color="CCEEFF"/>
            </w:tcBorders>
          </w:tcPr>
          <w:p>
            <w:pPr>
              <w:ind w:left="400"/>
              <w:spacing w:after="0" w:line="162" w:lineRule="exact"/>
              <w:rPr>
                <w:sz w:val="20"/>
                <w:szCs w:val="20"/>
                <w:color w:val="auto"/>
              </w:rPr>
            </w:pPr>
            <w:r>
              <w:rPr>
                <w:rFonts w:ascii="Arial" w:cs="Arial" w:eastAsia="Arial" w:hAnsi="Arial"/>
                <w:sz w:val="16"/>
                <w:szCs w:val="16"/>
                <w:color w:val="auto"/>
              </w:rPr>
              <w:t>Net cash flows used for financing activities</w:t>
            </w: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(314,013)</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(644,550)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(582,676)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Purchases of property, plant and equipment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rPr>
                <w:sz w:val="20"/>
                <w:szCs w:val="20"/>
                <w:color w:val="auto"/>
              </w:rPr>
            </w:pPr>
            <w:r>
              <w:rPr>
                <w:rFonts w:ascii="Arial" w:cs="Arial" w:eastAsia="Arial" w:hAnsi="Arial"/>
                <w:sz w:val="16"/>
                <w:szCs w:val="16"/>
                <w:color w:val="auto"/>
              </w:rPr>
              <w:t>Acquisitions of assets and businesses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(18,381)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(51,509)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 of business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net</w:t>
            </w: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Borders>
              <w:bottom w:val="single" w:sz="8" w:color="CCEEFF"/>
            </w:tcBorders>
            <w:shd w:val="clear" w:color="auto" w:fill="CCEEFF"/>
          </w:tcPr>
          <w:p>
            <w:pPr>
              <w:ind w:left="400"/>
              <w:spacing w:after="0" w:line="175" w:lineRule="exact"/>
              <w:rPr>
                <w:sz w:val="20"/>
                <w:szCs w:val="20"/>
                <w:color w:val="auto"/>
              </w:rPr>
            </w:pPr>
            <w:r>
              <w:rPr>
                <w:rFonts w:ascii="Arial" w:cs="Arial" w:eastAsia="Arial" w:hAnsi="Arial"/>
                <w:sz w:val="16"/>
                <w:szCs w:val="16"/>
                <w:color w:val="auto"/>
              </w:rPr>
              <w:t>Net cash flows used for investing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(61,196)</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(135,017)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 decrease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(277,347)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beginning of period</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477,038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546,105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621,125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6"/>
                <w:szCs w:val="16"/>
                <w:color w:val="auto"/>
              </w:rPr>
              <w:t>— at end of period</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199,691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477,038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546,105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Additional cash flow information (Note 16)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60" w:right="99" w:firstLine="427"/>
        <w:spacing w:after="0" w:line="310"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w:t>
      </w:r>
    </w:p>
    <w:p>
      <w:pPr>
        <w:spacing w:after="0" w:line="156"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or combined to conform to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presentation including the adoption of new accounting pronouncements.</w:t>
      </w:r>
    </w:p>
    <w:p>
      <w:pPr>
        <w:spacing w:after="0" w:line="130" w:lineRule="exact"/>
        <w:rPr>
          <w:sz w:val="20"/>
          <w:szCs w:val="20"/>
          <w:color w:val="auto"/>
        </w:rPr>
      </w:pPr>
    </w:p>
    <w:p>
      <w:pPr>
        <w:ind w:left="60" w:right="559" w:firstLine="427"/>
        <w:spacing w:after="0" w:line="310"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w:t>
      </w:r>
      <w:r>
        <w:rPr>
          <w:rFonts w:ascii="Arial" w:cs="Arial" w:eastAsia="Arial" w:hAnsi="Arial"/>
          <w:sz w:val="18"/>
          <w:szCs w:val="18"/>
          <w:i w:val="1"/>
          <w:iCs w:val="1"/>
          <w:color w:val="auto"/>
        </w:rPr>
        <w:t xml:space="preserve"> </w:t>
      </w:r>
      <w:r>
        <w:rPr>
          <w:rFonts w:ascii="Arial" w:cs="Arial" w:eastAsia="Arial" w:hAnsi="Arial"/>
          <w:sz w:val="18"/>
          <w:szCs w:val="18"/>
          <w:color w:val="auto"/>
        </w:rPr>
        <w:t>June 30th. Fiscal 2021 contains 53 weeks compared to 52 weeks in fiscal 2020 and 2019. Unless otherwise noted, all references to “fiscal” or “year” shall mean the Company’s fiscal year.</w:t>
      </w:r>
    </w:p>
    <w:p>
      <w:pPr>
        <w:spacing w:after="0" w:line="143" w:lineRule="exact"/>
        <w:rPr>
          <w:sz w:val="20"/>
          <w:szCs w:val="20"/>
          <w:color w:val="auto"/>
        </w:rPr>
      </w:pPr>
    </w:p>
    <w:p>
      <w:pPr>
        <w:ind w:left="60" w:right="179" w:firstLine="427"/>
        <w:spacing w:after="0" w:line="304"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61" w:lineRule="exact"/>
        <w:rPr>
          <w:sz w:val="20"/>
          <w:szCs w:val="20"/>
          <w:color w:val="auto"/>
        </w:rPr>
      </w:pPr>
    </w:p>
    <w:p>
      <w:pPr>
        <w:ind w:left="60" w:right="459" w:firstLine="427"/>
        <w:spacing w:after="0" w:line="32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including money market funds to be cash equivalents.</w:t>
      </w:r>
    </w:p>
    <w:p>
      <w:pPr>
        <w:spacing w:after="0" w:line="130" w:lineRule="exact"/>
        <w:rPr>
          <w:sz w:val="20"/>
          <w:szCs w:val="20"/>
          <w:color w:val="auto"/>
        </w:rPr>
      </w:pPr>
    </w:p>
    <w:p>
      <w:pPr>
        <w:ind w:left="60" w:right="159" w:firstLine="427"/>
        <w:spacing w:after="0" w:line="344" w:lineRule="auto"/>
        <w:rPr>
          <w:sz w:val="20"/>
          <w:szCs w:val="20"/>
          <w:color w:val="auto"/>
        </w:rPr>
      </w:pPr>
      <w:r>
        <w:rPr>
          <w:rFonts w:ascii="Arial" w:cs="Arial" w:eastAsia="Arial" w:hAnsi="Arial"/>
          <w:sz w:val="16"/>
          <w:szCs w:val="16"/>
          <w:i w:val="1"/>
          <w:iCs w:val="1"/>
          <w:color w:val="auto"/>
        </w:rPr>
        <w:t xml:space="preserve">Receivables – </w:t>
      </w:r>
      <w:r>
        <w:rPr>
          <w:rFonts w:ascii="Arial" w:cs="Arial" w:eastAsia="Arial" w:hAnsi="Arial"/>
          <w:sz w:val="16"/>
          <w:szCs w:val="16"/>
          <w:color w:val="auto"/>
        </w:rPr>
        <w:t>On June 28, 2020, the Company adopted ASC 326, which revises the methodology for measuring</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including trade accounts receivable and the timing of when such losses are recorded. The Company adopted ASC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pacing w:after="0" w:line="125" w:lineRule="exact"/>
        <w:rPr>
          <w:sz w:val="20"/>
          <w:szCs w:val="20"/>
          <w:color w:val="auto"/>
        </w:rPr>
      </w:pPr>
    </w:p>
    <w:p>
      <w:pPr>
        <w:ind w:left="60" w:right="179" w:firstLine="427"/>
        <w:spacing w:after="0" w:line="343" w:lineRule="auto"/>
        <w:rPr>
          <w:sz w:val="20"/>
          <w:szCs w:val="20"/>
          <w:color w:val="auto"/>
        </w:rPr>
      </w:pPr>
      <w:r>
        <w:rPr>
          <w:rFonts w:ascii="Arial" w:cs="Arial" w:eastAsia="Arial" w:hAnsi="Arial"/>
          <w:sz w:val="16"/>
          <w:szCs w:val="16"/>
          <w:color w:val="auto"/>
        </w:rPr>
        <w:t>Receivables, predominately comprised of trade accounts and notes receivable, are reported at 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receivable-specific risk characteristics, such as changes in customer behavior, economic and industry changes, or other relevant factors. Expected credit losses are estimated on a pooled basis when similar risk characteristics exist.</w:t>
      </w:r>
    </w:p>
    <w:p>
      <w:pPr>
        <w:spacing w:after="0" w:line="137" w:lineRule="exact"/>
        <w:rPr>
          <w:sz w:val="20"/>
          <w:szCs w:val="20"/>
          <w:color w:val="auto"/>
        </w:rPr>
      </w:pPr>
    </w:p>
    <w:p>
      <w:pPr>
        <w:ind w:left="60" w:right="299" w:firstLine="427"/>
        <w:spacing w:after="0" w:line="349"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comprised principally of finished goods, are stated at the lower of cost or net realizable</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excess, and obsolescence allowances, or price protections provided by the Company’s suppliers. It records the lower of cost or net</w:t>
      </w:r>
    </w:p>
    <w:p>
      <w:pPr>
        <w:sectPr>
          <w:pgSz w:w="11900" w:h="16838" w:orient="portrait"/>
          <w:cols w:equalWidth="0" w:num="1">
            <w:col w:w="9019"/>
          </w:cols>
          <w:pgMar w:left="1440" w:top="517"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99"/>
        <w:spacing w:after="0" w:line="395" w:lineRule="auto"/>
        <w:rPr>
          <w:sz w:val="20"/>
          <w:szCs w:val="20"/>
          <w:color w:val="auto"/>
        </w:rPr>
      </w:pPr>
      <w:r>
        <w:rPr>
          <w:rFonts w:ascii="Arial" w:cs="Arial" w:eastAsia="Arial" w:hAnsi="Arial"/>
          <w:sz w:val="16"/>
          <w:szCs w:val="16"/>
          <w:color w:val="auto"/>
        </w:rPr>
        <w:t>realizable value write-down if any inventories have a cost in excess of such inventories’ estimated net realizable value. The Company does not incorporate any non-contractual protections when estimating the net realizable value of its inventories.</w:t>
      </w:r>
    </w:p>
    <w:p>
      <w:pPr>
        <w:spacing w:after="0" w:line="83" w:lineRule="exact"/>
        <w:rPr>
          <w:sz w:val="20"/>
          <w:szCs w:val="20"/>
          <w:color w:val="auto"/>
        </w:rPr>
      </w:pPr>
    </w:p>
    <w:p>
      <w:pPr>
        <w:ind w:left="60" w:right="99" w:firstLine="427"/>
        <w:spacing w:after="0" w:line="343"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24"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spacing w:after="0" w:line="159"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43" w:lineRule="exact"/>
        <w:rPr>
          <w:sz w:val="20"/>
          <w:szCs w:val="20"/>
          <w:color w:val="auto"/>
        </w:rPr>
      </w:pPr>
    </w:p>
    <w:p>
      <w:pPr>
        <w:ind w:left="60" w:right="119" w:firstLine="427"/>
        <w:spacing w:after="0" w:line="319" w:lineRule="auto"/>
        <w:rPr>
          <w:sz w:val="20"/>
          <w:szCs w:val="20"/>
          <w:color w:val="auto"/>
        </w:rPr>
      </w:pPr>
      <w:r>
        <w:rPr>
          <w:rFonts w:ascii="Arial" w:cs="Arial" w:eastAsia="Arial" w:hAnsi="Arial"/>
          <w:sz w:val="17"/>
          <w:szCs w:val="17"/>
          <w:i w:val="1"/>
          <w:iCs w:val="1"/>
          <w:color w:val="auto"/>
        </w:rPr>
        <w:t xml:space="preserve">Long-lived asset impairment </w:t>
      </w:r>
      <w:r>
        <w:rPr>
          <w:rFonts w:ascii="Arial" w:cs="Arial" w:eastAsia="Arial" w:hAnsi="Arial"/>
          <w:sz w:val="17"/>
          <w:szCs w:val="17"/>
          <w:color w:val="auto"/>
        </w:rPr>
        <w:t>— Long-lived assets, including property, plant, equipment, intangible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spacing w:after="0" w:line="139" w:lineRule="exact"/>
        <w:rPr>
          <w:sz w:val="20"/>
          <w:szCs w:val="20"/>
          <w:color w:val="auto"/>
        </w:rPr>
      </w:pPr>
    </w:p>
    <w:p>
      <w:pPr>
        <w:ind w:left="60" w:right="199" w:firstLine="427"/>
        <w:spacing w:after="0" w:line="32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 On June 30, 2019, the Company adopted ASC 842 using the modified transition approach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restating the comparative period consolidated financial statements. ASC 842 requires lessees to recognize a right-of-use asset and a short-term and long-term lease liability for all leases. 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17 years. The Company’s equipment leases are primarily for automobiles and distribution center and office equipment, and are not material to the consolidated financial statements.</w:t>
      </w:r>
    </w:p>
    <w:p>
      <w:pPr>
        <w:spacing w:after="0" w:line="146"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52"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Company’s leases generally do not provide a readily determinable implicit borrowing rate, as such, the discount rate used to calculate present value is based upon an estimate of the Company’s secured borrowing rate. The estimated secured borrowing rates used at the date of adoption for each lease vary in accordance with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49" w:lineRule="exact"/>
        <w:rPr>
          <w:sz w:val="20"/>
          <w:szCs w:val="20"/>
          <w:color w:val="auto"/>
        </w:rPr>
      </w:pPr>
    </w:p>
    <w:p>
      <w:pPr>
        <w:ind w:left="60" w:right="59" w:firstLine="427"/>
        <w:spacing w:after="0" w:line="32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included within goodwill and intangible asset impairment expenses in the consolidated statements of operations.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spacing w:after="0" w:line="136"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36"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9" w:firstLine="427"/>
        <w:spacing w:after="0" w:line="344"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assets and liabilities of foreign operations are translated into U.S. Dollars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income, net.”</w:t>
      </w:r>
    </w:p>
    <w:p>
      <w:pPr>
        <w:spacing w:after="0" w:line="125" w:lineRule="exact"/>
        <w:rPr>
          <w:sz w:val="20"/>
          <w:szCs w:val="20"/>
          <w:color w:val="auto"/>
        </w:rPr>
      </w:pPr>
    </w:p>
    <w:p>
      <w:pPr>
        <w:ind w:left="60" w:right="99" w:firstLine="427"/>
        <w:spacing w:after="0" w:line="34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24"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spacing w:after="0" w:line="137" w:lineRule="exact"/>
        <w:rPr>
          <w:sz w:val="20"/>
          <w:szCs w:val="20"/>
          <w:color w:val="auto"/>
        </w:rPr>
      </w:pPr>
    </w:p>
    <w:p>
      <w:pPr>
        <w:ind w:left="60" w:right="119" w:firstLine="427"/>
        <w:spacing w:after="0" w:line="32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On July 1, 2018, the Company adopted ASC 606 using the modified retrospective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 applied to those contracts which were not completed as of July 1, 2018. ASC 606 supersedes previous revenue recognition guidance and requires the Company to recognize revenue to depict the transfer of promised goods or services to customers in an amount that reflects the consideration to which the Company expects to be entitled in exchange for such goods or services. The adoption of ASC 606 did not have a material impact on the Company’s consolidated financial statements as of the adoption date and as of and for fiscal 2019.</w:t>
      </w:r>
    </w:p>
    <w:p>
      <w:pPr>
        <w:spacing w:after="0" w:line="136"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color w:val="auto"/>
        </w:rPr>
        <w:t>Revenue is recognized at the point at which control of the underlying products are 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jc w:val="both"/>
        <w:ind w:left="60" w:right="199" w:firstLine="427"/>
        <w:spacing w:after="0" w:line="306" w:lineRule="auto"/>
        <w:rPr>
          <w:sz w:val="20"/>
          <w:szCs w:val="20"/>
          <w:color w:val="auto"/>
        </w:rPr>
      </w:pPr>
      <w:r>
        <w:rPr>
          <w:rFonts w:ascii="Arial" w:cs="Arial" w:eastAsia="Arial" w:hAnsi="Arial"/>
          <w:sz w:val="18"/>
          <w:szCs w:val="18"/>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w:t>
      </w:r>
    </w:p>
    <w:p>
      <w:pPr>
        <w:spacing w:after="0" w:line="146" w:lineRule="exact"/>
        <w:rPr>
          <w:sz w:val="20"/>
          <w:szCs w:val="20"/>
          <w:color w:val="auto"/>
        </w:rPr>
      </w:pPr>
    </w:p>
    <w:p>
      <w:pPr>
        <w:ind w:left="60" w:right="359" w:firstLine="427"/>
        <w:spacing w:after="0" w:line="346"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23"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49"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contracts have an original duration of one year or less. The Company does not have any payment terms that exceed one year from the point it has satisfied the related performance obligations.</w:t>
      </w:r>
    </w:p>
    <w:p>
      <w:pPr>
        <w:spacing w:after="0" w:line="147" w:lineRule="exact"/>
        <w:rPr>
          <w:sz w:val="20"/>
          <w:szCs w:val="20"/>
          <w:color w:val="auto"/>
        </w:rPr>
      </w:pPr>
    </w:p>
    <w:p>
      <w:pPr>
        <w:ind w:left="60" w:right="139" w:firstLine="427"/>
        <w:spacing w:after="0" w:line="349" w:lineRule="auto"/>
        <w:rPr>
          <w:sz w:val="20"/>
          <w:szCs w:val="20"/>
          <w:color w:val="auto"/>
        </w:rPr>
      </w:pPr>
      <w:r>
        <w:rPr>
          <w:rFonts w:ascii="Arial" w:cs="Arial" w:eastAsia="Arial" w:hAnsi="Arial"/>
          <w:sz w:val="16"/>
          <w:szCs w:val="16"/>
          <w:i w:val="1"/>
          <w:iCs w:val="1"/>
          <w:color w:val="auto"/>
        </w:rPr>
        <w:t xml:space="preserve">Vendor allowances and consideration </w:t>
      </w:r>
      <w:r>
        <w:rPr>
          <w:rFonts w:ascii="Arial" w:cs="Arial" w:eastAsia="Arial" w:hAnsi="Arial"/>
          <w:sz w:val="16"/>
          <w:szCs w:val="16"/>
          <w:color w:val="auto"/>
        </w:rPr>
        <w:t>— Consideration received from suppliers for price protection, product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more than one reporting periods.</w:t>
      </w:r>
    </w:p>
    <w:p>
      <w:pPr>
        <w:spacing w:after="0" w:line="120" w:lineRule="exact"/>
        <w:rPr>
          <w:sz w:val="20"/>
          <w:szCs w:val="20"/>
          <w:color w:val="auto"/>
        </w:rPr>
      </w:pPr>
    </w:p>
    <w:p>
      <w:pPr>
        <w:jc w:val="both"/>
        <w:ind w:left="60" w:right="79" w:firstLine="427"/>
        <w:spacing w:after="0" w:line="364"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Comprehensive income (loss) represents net income for the year adjusted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shareholders’ equity. Accumulated comprehensive income (loss) items impacting comprehensive income (loss) includes foreign currency translation and the impact of the Company’s pension liability adjustments, net of tax.</w:t>
      </w:r>
    </w:p>
    <w:p>
      <w:pPr>
        <w:spacing w:after="0" w:line="121" w:lineRule="exact"/>
        <w:rPr>
          <w:sz w:val="20"/>
          <w:szCs w:val="20"/>
          <w:color w:val="auto"/>
        </w:rPr>
      </w:pPr>
    </w:p>
    <w:p>
      <w:pPr>
        <w:ind w:left="60" w:right="139" w:firstLine="427"/>
        <w:spacing w:after="0" w:line="34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measures stock-based payments at fair value and generally recognizes</w:t>
      </w:r>
      <w:r>
        <w:rPr>
          <w:rFonts w:ascii="Arial" w:cs="Arial" w:eastAsia="Arial" w:hAnsi="Arial"/>
          <w:sz w:val="16"/>
          <w:szCs w:val="16"/>
          <w:i w:val="1"/>
          <w:iCs w:val="1"/>
          <w:color w:val="auto"/>
        </w:rPr>
        <w:t xml:space="preserve"> </w:t>
      </w:r>
      <w:r>
        <w:rPr>
          <w:rFonts w:ascii="Arial" w:cs="Arial" w:eastAsia="Arial" w:hAnsi="Arial"/>
          <w:sz w:val="16"/>
          <w:szCs w:val="16"/>
          <w:color w:val="auto"/>
        </w:rPr>
        <w:t>the associated operating expense in the consolidated statements of operations over the requisite service period (see Note 13).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359"/>
        <w:spacing w:after="0" w:line="324" w:lineRule="auto"/>
        <w:rPr>
          <w:sz w:val="20"/>
          <w:szCs w:val="20"/>
          <w:color w:val="auto"/>
        </w:rPr>
      </w:pPr>
      <w:r>
        <w:rPr>
          <w:rFonts w:ascii="Arial" w:cs="Arial" w:eastAsia="Arial" w:hAnsi="Arial"/>
          <w:sz w:val="18"/>
          <w:szCs w:val="18"/>
          <w:color w:val="auto"/>
        </w:rPr>
        <w:t>approach for retirement eligible employees does not affect the overall amount of compensation expense recognized, but instead accelerates the recognition of such expense.</w:t>
      </w:r>
    </w:p>
    <w:p>
      <w:pPr>
        <w:spacing w:after="0" w:line="130"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i w:val="1"/>
          <w:iCs w:val="1"/>
          <w:color w:val="auto"/>
        </w:rPr>
        <w:t xml:space="preserve">Restructuring and exit activities </w:t>
      </w:r>
      <w:r>
        <w:rPr>
          <w:rFonts w:ascii="Arial" w:cs="Arial" w:eastAsia="Arial" w:hAnsi="Arial"/>
          <w:sz w:val="16"/>
          <w:szCs w:val="16"/>
          <w:color w:val="auto"/>
        </w:rPr>
        <w:t>— The determination of when the Company accrues for involuntary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and accounts for one-time benefit arrangements in accordance with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and impairments of long-lived assets, which are expensed in accordance with ASC 420 </w:t>
      </w:r>
      <w:r>
        <w:rPr>
          <w:rFonts w:ascii="Arial" w:cs="Arial" w:eastAsia="Arial" w:hAnsi="Arial"/>
          <w:sz w:val="16"/>
          <w:szCs w:val="16"/>
          <w:i w:val="1"/>
          <w:iCs w:val="1"/>
          <w:color w:val="auto"/>
        </w:rPr>
        <w:t>Exit or Disposal Cost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and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respectively.</w:t>
      </w:r>
    </w:p>
    <w:p>
      <w:pPr>
        <w:spacing w:after="0" w:line="124" w:lineRule="exact"/>
        <w:rPr>
          <w:sz w:val="20"/>
          <w:szCs w:val="20"/>
          <w:color w:val="auto"/>
        </w:rPr>
      </w:pPr>
    </w:p>
    <w:p>
      <w:pPr>
        <w:ind w:left="60" w:right="159" w:firstLine="427"/>
        <w:spacing w:after="0" w:line="321"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The Company accounts for business acquisitions using the acquisition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records any identifiable definite-lived intangible assets separate from goodwill. Intangible assets are recorded at their fair value, based on estimates as of the acquisition date. Goodwill is recorded as the residual amount of the purchase price consideration less the fair value assigned to the individual identifiable assets acquired and liabilities assumed as of the acquisition date. Contingent consideration (which represents an obligation of the Company to make additional payments or equity interests to the former owner as part of the purchase price if specified future events occur or conditions are met) is accounted for at the fair value as of the acquisition date, either as a liability or as equity depending on the terms of the acquisition agreement.</w:t>
      </w:r>
    </w:p>
    <w:p>
      <w:pPr>
        <w:spacing w:after="0" w:line="149" w:lineRule="exact"/>
        <w:rPr>
          <w:sz w:val="20"/>
          <w:szCs w:val="20"/>
          <w:color w:val="auto"/>
        </w:rPr>
      </w:pPr>
    </w:p>
    <w:p>
      <w:pPr>
        <w:ind w:left="60" w:right="139" w:firstLine="427"/>
        <w:spacing w:after="0" w:line="344"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 The Company measures financial assets and liabilities at fair value based upon an exit price,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representing the amount that would be received from the sale of an asset, or paid to transfer a liability, in an orderly</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measuring fair value on a recurring or non-recurring basis be assigned to a hierarchical level as follows: Level 1 are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observable inputs that reflect quoted prices for identical assets or liabilities in active markets; Level 2 are observable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market-based inputs or unobservable inputs that are corroborated by market data; and, Level 3 are unobservable inputs that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are not corroborated by market data. During fiscal 2021, 2020, and 2019, there were no transfers of assets measured at fair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value between the three levels of the fair value hierarchy. The carrying amounts of the Company’s financial instruments,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including cash equivalents, receivables, and accounts payable approximate their fair values at July 3, 2021, due to the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short-term nature of these assets and liabilities. At July 3, 2021, and June 27, 2020, the Company had $3.8 million and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$20.9 million, respectively, of cash equivalents that were measured at fair value based upon Level 1 criteria. See Note 3 for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discussion of the fair value of the Company’s derivative financial instruments, Note 8 for discussion of the fair value of the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Company’s long-term debt, and Note 11 for a discussion of the fair value of the Company’s pension plan assets.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619" w:firstLine="427"/>
        <w:spacing w:after="0" w:line="32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3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30"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Equity investments in businesses or start-up companies (“ventures”) are accounted for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income, net” in the Company’s consolidated statements of operations. As of July 3, 2021, the Company’s investments in ventures was not material to the consolidated balance sheets or consolidated statements of operations.</w:t>
      </w:r>
    </w:p>
    <w:p>
      <w:pPr>
        <w:spacing w:after="0" w:line="124"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8"/>
          <w:szCs w:val="18"/>
          <w:i w:val="1"/>
          <w:iCs w:val="1"/>
          <w:color w:val="auto"/>
        </w:rPr>
        <w:t xml:space="preserve">Accounts receivable securitization </w:t>
      </w:r>
      <w:r>
        <w:rPr>
          <w:rFonts w:ascii="Arial" w:cs="Arial" w:eastAsia="Arial" w:hAnsi="Arial"/>
          <w:sz w:val="18"/>
          <w:szCs w:val="18"/>
          <w:color w:val="auto"/>
        </w:rPr>
        <w:t>— The Company has an accounts receivable securitization program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sells certain receivables and retains a subordinated interest and servicing rights to those receivables. The securitization program does not qualify for off-balance sheet sales accounting and is accounted for as a secured financing as discussed further in Note 8.</w:t>
      </w:r>
    </w:p>
    <w:p>
      <w:pPr>
        <w:spacing w:after="0" w:line="159" w:lineRule="exact"/>
        <w:rPr>
          <w:sz w:val="20"/>
          <w:szCs w:val="20"/>
          <w:color w:val="auto"/>
        </w:rPr>
      </w:pPr>
    </w:p>
    <w:p>
      <w:pPr>
        <w:ind w:left="60" w:right="179" w:firstLine="427"/>
        <w:spacing w:after="0" w:line="322" w:lineRule="auto"/>
        <w:rPr>
          <w:sz w:val="20"/>
          <w:szCs w:val="20"/>
          <w:color w:val="auto"/>
        </w:rPr>
      </w:pPr>
      <w:r>
        <w:rPr>
          <w:rFonts w:ascii="Arial" w:cs="Arial" w:eastAsia="Arial" w:hAnsi="Arial"/>
          <w:sz w:val="17"/>
          <w:szCs w:val="17"/>
          <w:i w:val="1"/>
          <w:iCs w:val="1"/>
          <w:color w:val="auto"/>
        </w:rPr>
        <w:t xml:space="preserve">Recently adopted accounting pronouncements </w:t>
      </w:r>
      <w:r>
        <w:rPr>
          <w:rFonts w:ascii="Arial" w:cs="Arial" w:eastAsia="Arial" w:hAnsi="Arial"/>
          <w:sz w:val="17"/>
          <w:szCs w:val="17"/>
          <w:color w:val="auto"/>
        </w:rPr>
        <w:t>— In August 2018, the FASB issued ASU No. 2018-14,</w:t>
      </w:r>
      <w:r>
        <w:rPr>
          <w:rFonts w:ascii="Arial" w:cs="Arial" w:eastAsia="Arial" w:hAnsi="Arial"/>
          <w:sz w:val="17"/>
          <w:szCs w:val="17"/>
          <w:i w:val="1"/>
          <w:iCs w:val="1"/>
          <w:color w:val="auto"/>
        </w:rPr>
        <w:t xml:space="preserve"> Compensation-Retirement Benefits-Defined Benefit Plans-General (Subtopic 715-20): Disclosure Framework-Changes to the Disclosure Requirements for Defined Benefit Plans </w:t>
      </w:r>
      <w:r>
        <w:rPr>
          <w:rFonts w:ascii="Arial" w:cs="Arial" w:eastAsia="Arial" w:hAnsi="Arial"/>
          <w:sz w:val="17"/>
          <w:szCs w:val="17"/>
          <w:color w:val="auto"/>
        </w:rPr>
        <w:t>(“ASU No. 2018-14”). The new guidance modifies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employers that sponsor defined benefit pension or other postretirement plans, including removing certain previous disclosure requirements, adding certain new disclosure requirements, and clarifying certain other disclosure requirements. The adoption of ASU No. 2018-14 in the fourth quarter of fiscal 2021 did not have a material impact on the Company’s consolidated financial statement disclosures.</w:t>
      </w:r>
    </w:p>
    <w:p>
      <w:pPr>
        <w:spacing w:after="0" w:line="135" w:lineRule="exact"/>
        <w:rPr>
          <w:sz w:val="20"/>
          <w:szCs w:val="20"/>
          <w:color w:val="auto"/>
        </w:rPr>
      </w:pPr>
    </w:p>
    <w:p>
      <w:pPr>
        <w:ind w:left="60" w:right="119" w:firstLine="427"/>
        <w:spacing w:after="0" w:line="30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 No. 2018-15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internal-use software. The adoption of ASU No. 2018-15 in the first quarter of fiscal 2021 did not have a material impact on the Company’s consolidated financial statements.</w:t>
      </w:r>
    </w:p>
    <w:p>
      <w:pPr>
        <w:spacing w:after="0" w:line="154" w:lineRule="exact"/>
        <w:rPr>
          <w:sz w:val="20"/>
          <w:szCs w:val="20"/>
          <w:color w:val="auto"/>
        </w:rPr>
      </w:pPr>
    </w:p>
    <w:p>
      <w:pPr>
        <w:ind w:left="60" w:right="119" w:firstLine="427"/>
        <w:spacing w:after="0" w:line="342"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(“ASU No. 2016-13”) and also issued subsequent amendments to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ASU No. 2018-19, ASU No. 2019-04, ASU No. 2019-05, and ASU No. 2019-11 </w:t>
      </w:r>
      <w:r>
        <w:rPr>
          <w:rFonts w:ascii="Arial" w:cs="Arial" w:eastAsia="Arial" w:hAnsi="Arial"/>
          <w:sz w:val="16"/>
          <w:szCs w:val="16"/>
          <w:i w:val="1"/>
          <w:iCs w:val="1"/>
          <w:color w:val="auto"/>
        </w:rPr>
        <w:t>(collectively, Topic 326)</w:t>
      </w:r>
      <w:r>
        <w:rPr>
          <w:rFonts w:ascii="Arial" w:cs="Arial" w:eastAsia="Arial" w:hAnsi="Arial"/>
          <w:sz w:val="16"/>
          <w:szCs w:val="16"/>
          <w:color w:val="auto"/>
        </w:rPr>
        <w:t>. Topic 326 revises the methodology for measuring credit losses on financial instruments and the timing of when such losses are recorded. On June 28, 2020, the Company adopted Topic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w:t>
      </w:r>
    </w:p>
    <w:p>
      <w:pPr>
        <w:spacing w:after="0" w:line="216"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In the first quarter of fiscal 2021, the Company completed an asset acquisition. The impact of this asset acquisition was not material to the Company’s consolidated balance sheets or statements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Derivative financial instruments</w:t>
      </w:r>
    </w:p>
    <w:p>
      <w:pPr>
        <w:spacing w:after="0" w:line="229" w:lineRule="exact"/>
        <w:rPr>
          <w:sz w:val="20"/>
          <w:szCs w:val="20"/>
          <w:color w:val="auto"/>
        </w:rPr>
      </w:pPr>
    </w:p>
    <w:p>
      <w:pPr>
        <w:ind w:left="60" w:right="79" w:firstLine="427"/>
        <w:spacing w:after="0" w:line="339"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July 3, 2021 and June 27, 2020.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45"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43" w:lineRule="exact"/>
        <w:rPr>
          <w:sz w:val="20"/>
          <w:szCs w:val="20"/>
          <w:color w:val="auto"/>
        </w:rPr>
      </w:pPr>
    </w:p>
    <w:p>
      <w:pPr>
        <w:ind w:left="60" w:right="79" w:firstLine="427"/>
        <w:spacing w:after="0" w:line="32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values of forward foreign exchange contracts not receiving hedge accounting treatment recorded in the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consolidated balance sheets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23,994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60" w:right="179" w:firstLine="427"/>
        <w:spacing w:after="0" w:line="324" w:lineRule="auto"/>
        <w:rPr>
          <w:sz w:val="20"/>
          <w:szCs w:val="20"/>
          <w:color w:val="auto"/>
        </w:rPr>
      </w:pPr>
      <w:r>
        <w:rPr>
          <w:rFonts w:ascii="Arial" w:cs="Arial" w:eastAsia="Arial" w:hAnsi="Arial"/>
          <w:sz w:val="18"/>
          <w:szCs w:val="18"/>
          <w:color w:val="auto"/>
        </w:rPr>
        <w:t>The amount recorded to other (expense) income, net related to derivative financial instruments for economic hedges are as follows: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tbl>
      <w:tblPr>
        <w:tblLayout w:type="fixed"/>
        <w:tblInd w:w="40" w:type="dxa"/>
        <w:tblCellMar>
          <w:top w:w="0" w:type="dxa"/>
          <w:left w:w="0" w:type="dxa"/>
          <w:bottom w:w="0" w:type="dxa"/>
          <w:right w:w="0" w:type="dxa"/>
        </w:tblCellMar>
      </w:tblPr>
      <w:tr>
        <w:trPr>
          <w:trHeight w:val="207"/>
        </w:trPr>
        <w:tc>
          <w:tcPr>
            <w:tcW w:w="4260" w:type="dxa"/>
            <w:vAlign w:val="bottom"/>
            <w:gridSpan w:val="3"/>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0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780" w:type="dxa"/>
            <w:vAlign w:val="bottom"/>
            <w:gridSpan w:val="5"/>
          </w:tcPr>
          <w:p>
            <w:pPr>
              <w:jc w:val="center"/>
              <w:ind w:left="1490"/>
              <w:spacing w:after="0"/>
              <w:rPr>
                <w:sz w:val="20"/>
                <w:szCs w:val="20"/>
                <w:color w:val="auto"/>
              </w:rPr>
            </w:pPr>
            <w:r>
              <w:rPr>
                <w:rFonts w:ascii="Arial" w:cs="Arial" w:eastAsia="Arial" w:hAnsi="Arial"/>
                <w:sz w:val="18"/>
                <w:szCs w:val="18"/>
                <w:b w:val="1"/>
                <w:bCs w:val="1"/>
                <w:color w:val="auto"/>
                <w:w w:val="98"/>
              </w:rPr>
              <w:t>AVNET, INC. AND SUBSIDIARIES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9"/>
              </w:rPr>
              <w:t>Years Ended</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320"/>
              <w:spacing w:after="0" w:line="198" w:lineRule="exact"/>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7"/>
                <w:szCs w:val="17"/>
                <w:color w:val="auto"/>
              </w:rPr>
            </w:pPr>
          </w:p>
        </w:tc>
        <w:tc>
          <w:tcPr>
            <w:tcW w:w="14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27,</w:t>
            </w:r>
          </w:p>
        </w:tc>
        <w:tc>
          <w:tcPr>
            <w:tcW w:w="260" w:type="dxa"/>
            <w:vAlign w:val="bottom"/>
          </w:tcPr>
          <w:p>
            <w:pPr>
              <w:spacing w:after="0"/>
              <w:rPr>
                <w:sz w:val="17"/>
                <w:szCs w:val="17"/>
                <w:color w:val="auto"/>
              </w:rPr>
            </w:pPr>
          </w:p>
        </w:tc>
        <w:tc>
          <w:tcPr>
            <w:tcW w:w="12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June 29,</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(Thousands)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 gain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(21,605)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12,739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84</w:t>
            </w:r>
          </w:p>
        </w:tc>
      </w:tr>
    </w:tbl>
    <w:p>
      <w:pPr>
        <w:spacing w:after="0" w:line="188" w:lineRule="exact"/>
        <w:rPr>
          <w:sz w:val="20"/>
          <w:szCs w:val="20"/>
          <w:color w:val="auto"/>
        </w:rPr>
      </w:pPr>
    </w:p>
    <w:p>
      <w:pPr>
        <w:ind w:left="60" w:right="339" w:firstLine="427"/>
        <w:spacing w:after="0" w:line="310"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Shareholders’ equity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Accumulated comprehensive loss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includes the balances within accumulated other comprehensive loss:</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right="615"/>
        <w:spacing w:after="0" w:line="307" w:lineRule="auto"/>
        <w:rPr>
          <w:sz w:val="20"/>
          <w:szCs w:val="20"/>
          <w:color w:val="auto"/>
        </w:rPr>
      </w:pPr>
      <w:r>
        <w:rPr>
          <w:rFonts w:ascii="Arial" w:cs="Arial" w:eastAsia="Arial" w:hAnsi="Arial"/>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-198755</wp:posOffset>
            </wp:positionV>
            <wp:extent cx="564896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July 3,</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27,</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June 29,</w:t>
            </w:r>
          </w:p>
        </w:tc>
      </w:tr>
      <w:tr>
        <w:trPr>
          <w:trHeight w:val="241"/>
        </w:trPr>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04"/>
        </w:trPr>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79"/>
              </w:rPr>
              <w:t>(Thousands)</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ind w:left="245" w:hanging="245"/>
        <w:spacing w:after="0"/>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(46,473)  $ (199,151)  $ (142,469)</w:t>
      </w:r>
    </w:p>
    <w:p>
      <w:pPr>
        <w:spacing w:after="0" w:line="18" w:lineRule="exact"/>
        <w:rPr>
          <w:rFonts w:ascii="Arial" w:cs="Arial" w:eastAsia="Arial" w:hAnsi="Arial"/>
          <w:sz w:val="17"/>
          <w:szCs w:val="17"/>
          <w:color w:val="auto"/>
        </w:rPr>
      </w:pPr>
    </w:p>
    <w:p>
      <w:pPr>
        <w:ind w:left="145"/>
        <w:spacing w:after="0"/>
        <w:rPr>
          <w:rFonts w:ascii="Arial" w:cs="Arial" w:eastAsia="Arial" w:hAnsi="Arial"/>
          <w:sz w:val="17"/>
          <w:szCs w:val="17"/>
          <w:color w:val="auto"/>
        </w:rPr>
      </w:pPr>
      <w:r>
        <w:rPr>
          <w:rFonts w:ascii="Arial" w:cs="Arial" w:eastAsia="Arial" w:hAnsi="Arial"/>
          <w:sz w:val="18"/>
          <w:szCs w:val="18"/>
          <w:color w:val="auto"/>
        </w:rPr>
        <w:t>(107,274)(189,229)</w:t>
      </w:r>
      <w:r>
        <w:rPr>
          <w:rFonts w:ascii="Arial" w:cs="Arial" w:eastAsia="Arial" w:hAnsi="Arial"/>
          <w:sz w:val="16"/>
          <w:szCs w:val="16"/>
          <w:color w:val="auto"/>
        </w:rPr>
        <w:t>(161,570)</w:t>
      </w:r>
    </w:p>
    <w:p>
      <w:pPr>
        <w:spacing w:after="0" w:line="22" w:lineRule="exact"/>
        <w:rPr>
          <w:sz w:val="20"/>
          <w:szCs w:val="20"/>
          <w:color w:val="auto"/>
        </w:rPr>
      </w:pPr>
    </w:p>
    <w:p>
      <w:pPr>
        <w:ind w:left="5"/>
        <w:spacing w:after="0"/>
        <w:tabs>
          <w:tab w:leader="none" w:pos="1024" w:val="left"/>
          <w:tab w:leader="none" w:pos="2064" w:val="left"/>
        </w:tabs>
        <w:rPr>
          <w:sz w:val="20"/>
          <w:szCs w:val="20"/>
          <w:color w:val="auto"/>
        </w:rPr>
      </w:pPr>
      <w:r>
        <w:rPr>
          <w:rFonts w:ascii="Arial" w:cs="Arial" w:eastAsia="Arial" w:hAnsi="Arial"/>
          <w:sz w:val="18"/>
          <w:szCs w:val="18"/>
          <w:u w:val="single" w:color="auto"/>
          <w:color w:val="auto"/>
        </w:rPr>
        <w:t>$ (153,747)</w:t>
        <w:tab/>
        <w:t>$ (388,380)</w:t>
      </w:r>
      <w:r>
        <w:rPr>
          <w:sz w:val="20"/>
          <w:szCs w:val="20"/>
          <w:color w:val="auto"/>
        </w:rPr>
        <w:tab/>
      </w:r>
      <w:r>
        <w:rPr>
          <w:rFonts w:ascii="Arial" w:cs="Arial" w:eastAsia="Arial" w:hAnsi="Arial"/>
          <w:sz w:val="16"/>
          <w:szCs w:val="16"/>
          <w:u w:val="single" w:color="auto"/>
          <w:color w:val="auto"/>
        </w:rPr>
        <w:t>$ (304,039)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8605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5235" w:space="720"/>
            <w:col w:w="3064"/>
          </w:cols>
          <w:pgMar w:left="1440" w:top="500" w:right="1440" w:bottom="1440" w:gutter="0" w:footer="0" w:header="0"/>
          <w:type w:val="continuous"/>
        </w:sectPr>
      </w:pPr>
    </w:p>
    <w:p>
      <w:pPr>
        <w:ind w:left="60" w:right="559" w:firstLine="427"/>
        <w:spacing w:after="0" w:line="395" w:lineRule="auto"/>
        <w:rPr>
          <w:sz w:val="20"/>
          <w:szCs w:val="20"/>
          <w:color w:val="auto"/>
        </w:rPr>
      </w:pPr>
      <w:r>
        <w:rPr>
          <w:rFonts w:ascii="Arial" w:cs="Arial" w:eastAsia="Arial" w:hAnsi="Arial"/>
          <w:sz w:val="16"/>
          <w:szCs w:val="16"/>
          <w:color w:val="auto"/>
        </w:rPr>
        <w:t>Substantially all amounts reclassified out of accumulated comprehensive loss, net of tax, to operating expenses during fiscal 2021, 2020, and 2019 related to net periodic pension costs as discussed further in Note 11.</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 repurchase program</w:t>
      </w:r>
    </w:p>
    <w:p>
      <w:pPr>
        <w:spacing w:after="0" w:line="239" w:lineRule="exact"/>
        <w:rPr>
          <w:sz w:val="20"/>
          <w:szCs w:val="20"/>
          <w:color w:val="auto"/>
        </w:rPr>
      </w:pPr>
    </w:p>
    <w:p>
      <w:pPr>
        <w:ind w:left="60" w:right="139" w:firstLine="427"/>
        <w:spacing w:after="0" w:line="346" w:lineRule="auto"/>
        <w:rPr>
          <w:sz w:val="20"/>
          <w:szCs w:val="20"/>
          <w:color w:val="auto"/>
        </w:rPr>
      </w:pPr>
      <w:r>
        <w:rPr>
          <w:rFonts w:ascii="Arial" w:cs="Arial" w:eastAsia="Arial" w:hAnsi="Arial"/>
          <w:sz w:val="16"/>
          <w:szCs w:val="16"/>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fiscal 2021, the Company did not repurchase any shares under this program. As of July 3, 2021, the Company had $469.0 million remaining under its share repurchase authorization.</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fiscal 2021, the Company paid dividends of $0.85 per common share and $84.3 million in total.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5. Receivable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00" w:type="dxa"/>
            <w:vAlign w:val="bottom"/>
          </w:tcPr>
          <w:p>
            <w:pPr>
              <w:ind w:left="440"/>
              <w:spacing w:after="0"/>
              <w:rPr>
                <w:sz w:val="20"/>
                <w:szCs w:val="20"/>
                <w:color w:val="auto"/>
              </w:rPr>
            </w:pPr>
            <w:r>
              <w:rPr>
                <w:rFonts w:ascii="Arial" w:cs="Arial" w:eastAsia="Arial" w:hAnsi="Arial"/>
                <w:sz w:val="18"/>
                <w:szCs w:val="18"/>
                <w:color w:val="auto"/>
                <w:w w:val="96"/>
              </w:rPr>
              <w:t>The Company’s receivables and allowance for credit losses were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July 3,</w:t>
            </w:r>
          </w:p>
        </w:tc>
        <w:tc>
          <w:tcPr>
            <w:tcW w:w="1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3"/>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3,664,290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2,993,404</w:t>
            </w:r>
          </w:p>
        </w:tc>
        <w:tc>
          <w:tcPr>
            <w:tcW w:w="20" w:type="dxa"/>
            <w:vAlign w:val="bottom"/>
          </w:tcPr>
          <w:p>
            <w:pPr>
              <w:spacing w:after="0"/>
              <w:rPr>
                <w:sz w:val="18"/>
                <w:szCs w:val="18"/>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(88,160)</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20"/>
                <w:szCs w:val="20"/>
                <w:color w:val="auto"/>
              </w:rPr>
            </w:pPr>
          </w:p>
        </w:tc>
      </w:tr>
      <w:tr>
        <w:trPr>
          <w:trHeight w:val="404"/>
        </w:trPr>
        <w:tc>
          <w:tcPr>
            <w:tcW w:w="7680" w:type="dxa"/>
            <w:vAlign w:val="bottom"/>
            <w:gridSpan w:val="5"/>
          </w:tcPr>
          <w:p>
            <w:pPr>
              <w:ind w:left="440"/>
              <w:spacing w:after="0"/>
              <w:rPr>
                <w:sz w:val="20"/>
                <w:szCs w:val="20"/>
                <w:color w:val="auto"/>
              </w:rPr>
            </w:pPr>
            <w:r>
              <w:rPr>
                <w:rFonts w:ascii="Arial" w:cs="Arial" w:eastAsia="Arial" w:hAnsi="Arial"/>
                <w:sz w:val="18"/>
                <w:szCs w:val="18"/>
                <w:color w:val="auto"/>
                <w:w w:val="98"/>
              </w:rPr>
              <w:t>The Company had the following activity in the allowance for credit losses during fiscal 2021:</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July 3,</w:t>
            </w:r>
          </w:p>
        </w:tc>
      </w:tr>
      <w:tr>
        <w:trPr>
          <w:trHeight w:val="241"/>
        </w:trPr>
        <w:tc>
          <w:tcPr>
            <w:tcW w:w="6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27, 2020</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Effect of adoption of new credit loss accounting standard (Note 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Provisions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8"/>
                <w:szCs w:val="18"/>
                <w:color w:val="auto"/>
              </w:rPr>
            </w:pPr>
          </w:p>
        </w:tc>
      </w:tr>
      <w:tr>
        <w:trPr>
          <w:trHeight w:val="223"/>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Effect and Other</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9"/>
                <w:szCs w:val="19"/>
                <w:color w:val="auto"/>
              </w:rPr>
            </w:pPr>
          </w:p>
        </w:tc>
      </w:tr>
      <w:tr>
        <w:trPr>
          <w:trHeight w:val="21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 2021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Property, plant and equipment, net</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Property, plant and equipment are recorded at cost, less accumulated depreciation, and consist of the following:</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3, 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June 27, 2020</w:t>
            </w:r>
          </w:p>
        </w:tc>
        <w:tc>
          <w:tcPr>
            <w:tcW w:w="60" w:type="dxa"/>
            <w:vAlign w:val="bottom"/>
          </w:tcPr>
          <w:p>
            <w:pPr>
              <w:spacing w:after="0"/>
              <w:rPr>
                <w:sz w:val="20"/>
                <w:szCs w:val="20"/>
                <w:color w:val="auto"/>
              </w:rPr>
            </w:pPr>
          </w:p>
        </w:tc>
      </w:tr>
      <w:tr>
        <w:trPr>
          <w:trHeight w:val="203"/>
        </w:trPr>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6"/>
          </w:tcPr>
          <w:p>
            <w:pPr>
              <w:jc w:val="right"/>
              <w:ind w:right="590"/>
              <w:spacing w:after="0" w:line="202" w:lineRule="exact"/>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121,662</w:t>
            </w:r>
          </w:p>
        </w:tc>
        <w:tc>
          <w:tcPr>
            <w:tcW w:w="2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124,007</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260,342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242,347</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809,182</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117,036</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1,341,186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1,292,572</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(938,002)</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354,570</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Land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23,618</w:t>
            </w:r>
          </w:p>
        </w:tc>
        <w:tc>
          <w:tcPr>
            <w:tcW w:w="60" w:type="dxa"/>
            <w:vAlign w:val="bottom"/>
          </w:tcPr>
          <w:p>
            <w:pPr>
              <w:spacing w:after="0"/>
              <w:rPr>
                <w:sz w:val="18"/>
                <w:szCs w:val="18"/>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7"/>
                <w:szCs w:val="17"/>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368,452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404,607</w:t>
            </w:r>
          </w:p>
        </w:tc>
        <w:tc>
          <w:tcPr>
            <w:tcW w:w="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19" w:firstLine="427"/>
        <w:spacing w:after="0" w:line="310" w:lineRule="auto"/>
        <w:rPr>
          <w:sz w:val="20"/>
          <w:szCs w:val="20"/>
          <w:color w:val="auto"/>
        </w:rPr>
      </w:pPr>
      <w:r>
        <w:rPr>
          <w:rFonts w:ascii="Arial" w:cs="Arial" w:eastAsia="Arial" w:hAnsi="Arial"/>
          <w:sz w:val="18"/>
          <w:szCs w:val="18"/>
          <w:color w:val="auto"/>
        </w:rPr>
        <w:t>Depreciation expense, including accelerated depreciation related to property, plant, and equipment, was $90.9 million, $101.1 million and $97.2 million in fiscal 2021, 2020, and 2019, respectively. Interest expense capitalized during fiscal 2021, 2020, and 2019 was not material.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Goodwill, intangible assets, and impairments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change in goodwill balances by reportable segment for fiscal year 2021.</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27, 2020 </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475,898</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773,734</w:t>
            </w: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64,371</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3, 2021 </w:t>
            </w:r>
            <w:r>
              <w:rPr>
                <w:rFonts w:ascii="Arial" w:cs="Arial" w:eastAsia="Arial" w:hAnsi="Arial"/>
                <w:sz w:val="25"/>
                <w:szCs w:val="25"/>
                <w:color w:val="auto"/>
                <w:vertAlign w:val="superscript"/>
              </w:rPr>
              <w:t>(1)</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310,582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527,523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838,105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right="559" w:hanging="250"/>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6"/>
          <w:szCs w:val="16"/>
          <w:color w:val="auto"/>
        </w:rPr>
        <w:t>Includes accumulated impairment of $1,045,110 from fiscal 2009, $181,440 from fiscal 2018, $137,396 from fiscal 2019, and $118,731 from fiscal 2020.</w:t>
      </w:r>
    </w:p>
    <w:p>
      <w:pPr>
        <w:spacing w:after="0" w:line="168" w:lineRule="exact"/>
        <w:rPr>
          <w:sz w:val="20"/>
          <w:szCs w:val="20"/>
          <w:color w:val="auto"/>
        </w:rPr>
      </w:pPr>
    </w:p>
    <w:p>
      <w:pPr>
        <w:ind w:left="60" w:right="259" w:firstLine="427"/>
        <w:spacing w:after="0" w:line="346" w:lineRule="auto"/>
        <w:rPr>
          <w:sz w:val="20"/>
          <w:szCs w:val="20"/>
          <w:color w:val="auto"/>
        </w:rPr>
      </w:pPr>
      <w:r>
        <w:rPr>
          <w:rFonts w:ascii="Arial" w:cs="Arial" w:eastAsia="Arial" w:hAnsi="Arial"/>
          <w:sz w:val="16"/>
          <w:szCs w:val="16"/>
          <w:color w:val="auto"/>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July 3, 2021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27, 2020</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Acquired</w:t>
            </w:r>
          </w:p>
        </w:tc>
        <w:tc>
          <w:tcPr>
            <w:tcW w:w="12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Accumulated</w:t>
            </w:r>
          </w:p>
        </w:tc>
        <w:tc>
          <w:tcPr>
            <w:tcW w:w="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88"/>
              </w:rPr>
              <w:t>Net Book</w:t>
            </w:r>
          </w:p>
        </w:tc>
        <w:tc>
          <w:tcPr>
            <w:tcW w:w="180" w:type="dxa"/>
            <w:vAlign w:val="bottom"/>
          </w:tcPr>
          <w:p>
            <w:pPr>
              <w:spacing w:after="0"/>
              <w:rPr>
                <w:sz w:val="16"/>
                <w:szCs w:val="16"/>
                <w:color w:val="auto"/>
              </w:rPr>
            </w:pPr>
          </w:p>
        </w:tc>
        <w:tc>
          <w:tcPr>
            <w:tcW w:w="102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Acquired</w:t>
            </w: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Accumulated</w:t>
            </w: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3"/>
              </w:rPr>
              <w:t>Net Book</w:t>
            </w:r>
          </w:p>
        </w:tc>
        <w:tc>
          <w:tcPr>
            <w:tcW w:w="60" w:type="dxa"/>
            <w:vAlign w:val="bottom"/>
          </w:tcPr>
          <w:p>
            <w:pPr>
              <w:spacing w:after="0"/>
              <w:rPr>
                <w:sz w:val="16"/>
                <w:szCs w:val="16"/>
                <w:color w:val="auto"/>
              </w:rPr>
            </w:pPr>
          </w:p>
        </w:tc>
      </w:tr>
      <w:tr>
        <w:trPr>
          <w:trHeight w:val="249"/>
        </w:trPr>
        <w:tc>
          <w:tcPr>
            <w:tcW w:w="2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1"/>
                <w:szCs w:val="21"/>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1"/>
                <w:szCs w:val="21"/>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line="242" w:lineRule="exact"/>
              <w:rPr>
                <w:sz w:val="20"/>
                <w:szCs w:val="20"/>
                <w:color w:val="auto"/>
              </w:rPr>
            </w:pPr>
            <w:r>
              <w:rPr>
                <w:rFonts w:ascii="Arial" w:cs="Arial" w:eastAsia="Arial" w:hAnsi="Arial"/>
                <w:sz w:val="18"/>
                <w:szCs w:val="18"/>
                <w:b w:val="1"/>
                <w:bCs w:val="1"/>
                <w:color w:val="auto"/>
                <w:w w:val="87"/>
              </w:rPr>
              <w:t>Amount</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1"/>
                <w:szCs w:val="21"/>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Value</w:t>
            </w:r>
          </w:p>
        </w:tc>
        <w:tc>
          <w:tcPr>
            <w:tcW w:w="60" w:type="dxa"/>
            <w:vAlign w:val="bottom"/>
          </w:tcPr>
          <w:p>
            <w:pPr>
              <w:spacing w:after="0"/>
              <w:rPr>
                <w:sz w:val="21"/>
                <w:szCs w:val="21"/>
                <w:color w:val="auto"/>
              </w:rPr>
            </w:pPr>
          </w:p>
        </w:tc>
      </w:tr>
      <w:tr>
        <w:trPr>
          <w:trHeight w:val="203"/>
        </w:trPr>
        <w:tc>
          <w:tcPr>
            <w:tcW w:w="2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jc w:val="right"/>
              <w:ind w:right="23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$ 324,416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(312,392)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300,937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780" w:type="dxa"/>
            <w:vAlign w:val="bottom"/>
          </w:tcPr>
          <w:p>
            <w:pPr>
              <w:jc w:val="right"/>
              <w:spacing w:after="0"/>
              <w:rPr>
                <w:sz w:val="20"/>
                <w:szCs w:val="20"/>
                <w:color w:val="auto"/>
              </w:rPr>
            </w:pPr>
            <w:r>
              <w:rPr>
                <w:rFonts w:ascii="Arial" w:cs="Arial" w:eastAsia="Arial" w:hAnsi="Arial"/>
                <w:sz w:val="18"/>
                <w:szCs w:val="18"/>
                <w:color w:val="auto"/>
              </w:rPr>
              <w:t>57,184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(45,019)</w:t>
            </w:r>
          </w:p>
        </w:tc>
        <w:tc>
          <w:tcPr>
            <w:tcW w:w="720" w:type="dxa"/>
            <w:vAlign w:val="bottom"/>
          </w:tcPr>
          <w:p>
            <w:pPr>
              <w:jc w:val="right"/>
              <w:spacing w:after="0"/>
              <w:rPr>
                <w:sz w:val="20"/>
                <w:szCs w:val="20"/>
                <w:color w:val="auto"/>
              </w:rPr>
            </w:pPr>
            <w:r>
              <w:rPr>
                <w:rFonts w:ascii="Arial" w:cs="Arial" w:eastAsia="Arial" w:hAnsi="Arial"/>
                <w:sz w:val="18"/>
                <w:szCs w:val="18"/>
                <w:color w:val="auto"/>
              </w:rPr>
              <w:t>12,165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(32,493)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19,205</w:t>
            </w:r>
          </w:p>
        </w:tc>
        <w:tc>
          <w:tcPr>
            <w:tcW w:w="60" w:type="dxa"/>
            <w:vAlign w:val="bottom"/>
          </w:tcPr>
          <w:p>
            <w:pPr>
              <w:spacing w:after="0"/>
              <w:rPr>
                <w:sz w:val="18"/>
                <w:szCs w:val="18"/>
                <w:color w:val="auto"/>
              </w:rPr>
            </w:pPr>
          </w:p>
        </w:tc>
      </w:tr>
      <w:tr>
        <w:trPr>
          <w:trHeight w:val="23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57,809</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(53,459)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(41,587)</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60" w:type="dxa"/>
            <w:vAlign w:val="bottom"/>
            <w:shd w:val="clear" w:color="auto" w:fill="CCEEFF"/>
          </w:tcPr>
          <w:p>
            <w:pPr>
              <w:spacing w:after="0"/>
              <w:rPr>
                <w:sz w:val="20"/>
                <w:szCs w:val="20"/>
                <w:color w:val="auto"/>
              </w:rPr>
            </w:pPr>
          </w:p>
        </w:tc>
      </w:tr>
      <w:tr>
        <w:trPr>
          <w:trHeight w:val="203"/>
        </w:trPr>
        <w:tc>
          <w:tcPr>
            <w:tcW w:w="2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$ 439,409</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(410,870)</w:t>
            </w: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$ 28,539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406,276</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(340,839)</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65,437</w:t>
            </w:r>
          </w:p>
        </w:tc>
        <w:tc>
          <w:tcPr>
            <w:tcW w:w="60" w:type="dxa"/>
            <w:vAlign w:val="bottom"/>
            <w:tcBorders>
              <w:top w:val="single" w:sz="8" w:color="CCEEFF"/>
            </w:tcBorders>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2240" w:type="dxa"/>
            <w:vAlign w:val="bottom"/>
            <w:tcBorders>
              <w:bottom w:val="single" w:sz="8" w:color="0D0D0D"/>
            </w:tcBorders>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r>
    </w:tbl>
    <w:p>
      <w:pPr>
        <w:ind w:left="300" w:hanging="250"/>
        <w:spacing w:after="0" w:line="220" w:lineRule="auto"/>
        <w:tabs>
          <w:tab w:leader="none" w:pos="3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Acquired amount reduced by impairment of $17,473 from fiscal 2020.</w:t>
      </w:r>
    </w:p>
    <w:p>
      <w:pPr>
        <w:spacing w:after="0" w:line="208" w:lineRule="exact"/>
        <w:rPr>
          <w:sz w:val="20"/>
          <w:szCs w:val="20"/>
          <w:color w:val="auto"/>
        </w:rPr>
      </w:pPr>
    </w:p>
    <w:p>
      <w:pPr>
        <w:jc w:val="both"/>
        <w:ind w:left="60" w:right="179" w:firstLine="427"/>
        <w:spacing w:after="0" w:line="395" w:lineRule="auto"/>
        <w:rPr>
          <w:sz w:val="20"/>
          <w:szCs w:val="20"/>
          <w:color w:val="auto"/>
        </w:rPr>
      </w:pPr>
      <w:r>
        <w:rPr>
          <w:rFonts w:ascii="Arial" w:cs="Arial" w:eastAsia="Arial" w:hAnsi="Arial"/>
          <w:sz w:val="16"/>
          <w:szCs w:val="16"/>
          <w:color w:val="auto"/>
        </w:rPr>
        <w:t>Intangible asset amortization expense was $41.0 million, $81.1 million, and $83.7 million for fiscal 2021, 2020, and 2019, respectively. Intangible assets have a weighted average remaining useful life of less than 3 years as of July 3, 2021.</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The following table presents the estimated future amortization expense for the next five fiscal years and thereafter (in thousands):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2023</w:t>
            </w: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2025</w:t>
            </w: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In fiscal 2021, the Company recorded $15.2 million of equity investment impairment expense classified within other (expense) income, net in the consolidated statements of operations.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40" w:type="dxa"/>
            <w:vAlign w:val="bottom"/>
          </w:tcPr>
          <w:p>
            <w:pPr>
              <w:ind w:left="420"/>
              <w:spacing w:after="0"/>
              <w:rPr>
                <w:sz w:val="20"/>
                <w:szCs w:val="20"/>
                <w:color w:val="auto"/>
              </w:rPr>
            </w:pPr>
            <w:r>
              <w:rPr>
                <w:rFonts w:ascii="Arial" w:cs="Arial" w:eastAsia="Arial" w:hAnsi="Arial"/>
                <w:sz w:val="18"/>
                <w:szCs w:val="18"/>
                <w:color w:val="auto"/>
              </w:rPr>
              <w:t>Short-term debt consists of the following (in thousands):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5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July 3,</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June 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June 27,</w:t>
            </w:r>
          </w:p>
        </w:tc>
      </w:tr>
      <w:tr>
        <w:trPr>
          <w:trHeight w:val="241"/>
        </w:trPr>
        <w:tc>
          <w:tcPr>
            <w:tcW w:w="5140" w:type="dxa"/>
            <w:vAlign w:val="bottom"/>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jc w:val="right"/>
              <w:ind w:right="310"/>
              <w:spacing w:after="0" w:line="202" w:lineRule="exact"/>
              <w:rPr>
                <w:sz w:val="20"/>
                <w:szCs w:val="20"/>
                <w:color w:val="auto"/>
              </w:rPr>
            </w:pPr>
            <w:r>
              <w:rPr>
                <w:rFonts w:ascii="Arial" w:cs="Arial" w:eastAsia="Arial" w:hAnsi="Arial"/>
                <w:sz w:val="18"/>
                <w:szCs w:val="18"/>
                <w:b w:val="1"/>
                <w:bCs w:val="1"/>
                <w:color w:val="auto"/>
              </w:rPr>
              <w:t>Interest Rate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Borders>
              <w:bottom w:val="single" w:sz="8" w:color="auto"/>
            </w:tcBorders>
            <w:gridSpan w:val="2"/>
          </w:tcPr>
          <w:p>
            <w:pPr>
              <w:spacing w:after="0"/>
              <w:rPr>
                <w:sz w:val="18"/>
                <w:szCs w:val="18"/>
                <w:color w:val="auto"/>
              </w:rPr>
            </w:pPr>
          </w:p>
        </w:tc>
        <w:tc>
          <w:tcPr>
            <w:tcW w:w="6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w w:val="89"/>
              </w:rPr>
              <w:t>Balance</w:t>
            </w:r>
          </w:p>
        </w:tc>
        <w:tc>
          <w:tcPr>
            <w:tcW w:w="100" w:type="dxa"/>
            <w:vAlign w:val="bottom"/>
            <w:tcBorders>
              <w:bottom w:val="single" w:sz="8" w:color="CCEEFF"/>
            </w:tcBorders>
          </w:tcPr>
          <w:p>
            <w:pPr>
              <w:spacing w:after="0"/>
              <w:rPr>
                <w:sz w:val="18"/>
                <w:szCs w:val="18"/>
                <w:color w:val="auto"/>
              </w:rPr>
            </w:pPr>
          </w:p>
        </w:tc>
      </w:tr>
      <w:tr>
        <w:trPr>
          <w:trHeight w:val="23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securitization program and other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r>
      <w:tr>
        <w:trPr>
          <w:trHeight w:val="203"/>
        </w:trPr>
        <w:tc>
          <w:tcPr>
            <w:tcW w:w="5140" w:type="dxa"/>
            <w:vAlign w:val="bottom"/>
            <w:tcBorders>
              <w:top w:val="single" w:sz="8" w:color="CCEEFF"/>
            </w:tcBorders>
          </w:tcPr>
          <w:p>
            <w:pPr>
              <w:ind w:left="100"/>
              <w:spacing w:after="0" w:line="203" w:lineRule="exact"/>
              <w:rPr>
                <w:sz w:val="20"/>
                <w:szCs w:val="20"/>
                <w:color w:val="auto"/>
              </w:rPr>
            </w:pPr>
            <w:r>
              <w:rPr>
                <w:rFonts w:ascii="Arial" w:cs="Arial" w:eastAsia="Arial" w:hAnsi="Arial"/>
                <w:sz w:val="18"/>
                <w:szCs w:val="18"/>
                <w:color w:val="auto"/>
              </w:rPr>
              <w:t>Short-term debt</w:t>
            </w: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23,078</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Bank credit facilities and other consist of various committed and uncommitted lines of credit and other forms of bank debt with financial institutions, which are utilized primarily to support the Company’s working capital requirements, including its foreign operations.</w:t>
      </w:r>
    </w:p>
    <w:p>
      <w:pPr>
        <w:spacing w:after="0" w:line="143"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In July 2020, the Company amended, and extended for one year,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up to a maximum of $450.0 million. The Securitization Program does not qualify for off-balance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$717.4 million and $703.8 million at July 3, 2021, and June 27, 2020, respectively. The Securitization Program contains certain covenants relating to the quality of the receivables sold. There was $22.9 million and no borrowings outstanding under the Securitization Program as of July 3, 2021, and as of June 27, 2020, respectively. Interest on borrowings is calculated using a one-month LIBOR rate plus a spread of 1.05%. The facility fee on the unused balance of the facility is up to 0.40%.</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July 2021, the Company extended the maturity of the Securitization Program from July 30, 2021 to August 31,</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jc w:val="both"/>
        <w:ind w:left="60" w:right="159" w:firstLine="427"/>
        <w:spacing w:after="0" w:line="310" w:lineRule="auto"/>
        <w:rPr>
          <w:sz w:val="20"/>
          <w:szCs w:val="20"/>
          <w:color w:val="auto"/>
        </w:rPr>
      </w:pPr>
      <w:r>
        <w:rPr>
          <w:rFonts w:ascii="Arial" w:cs="Arial" w:eastAsia="Arial" w:hAnsi="Arial"/>
          <w:sz w:val="18"/>
          <w:szCs w:val="18"/>
          <w:color w:val="auto"/>
        </w:rPr>
        <w:t>During the fourth quarter of fiscal 2021, the Company redeemed the $300.0 million of outstanding 3.75% Notes due in December 2021 at a make-whole redemption price of $305.0 million and the Company issued $300.0 million of 3.00% Notes due in May 2031.</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220" w:type="dxa"/>
            <w:vAlign w:val="bottom"/>
          </w:tcPr>
          <w:p>
            <w:pPr>
              <w:ind w:left="420"/>
              <w:spacing w:after="0"/>
              <w:rPr>
                <w:sz w:val="20"/>
                <w:szCs w:val="20"/>
                <w:color w:val="auto"/>
              </w:rPr>
            </w:pPr>
            <w:r>
              <w:rPr>
                <w:rFonts w:ascii="Arial" w:cs="Arial" w:eastAsia="Arial" w:hAnsi="Arial"/>
                <w:sz w:val="18"/>
                <w:szCs w:val="18"/>
                <w:color w:val="auto"/>
              </w:rPr>
              <w:t>Long-term debt consists of the following (in thousands):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0"/>
        </w:trPr>
        <w:tc>
          <w:tcPr>
            <w:tcW w:w="522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5"/>
              </w:rPr>
              <w:t>June 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July 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522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ind w:left="260"/>
              <w:spacing w:after="0" w:line="202" w:lineRule="exact"/>
              <w:rPr>
                <w:sz w:val="20"/>
                <w:szCs w:val="20"/>
                <w:color w:val="auto"/>
              </w:rPr>
            </w:pPr>
            <w:r>
              <w:rPr>
                <w:rFonts w:ascii="Arial" w:cs="Arial" w:eastAsia="Arial" w:hAnsi="Arial"/>
                <w:sz w:val="18"/>
                <w:szCs w:val="18"/>
                <w:b w:val="1"/>
                <w:bCs w:val="1"/>
                <w:color w:val="auto"/>
                <w:w w:val="92"/>
              </w:rPr>
              <w:t>Interest</w:t>
            </w:r>
          </w:p>
        </w:tc>
        <w:tc>
          <w:tcPr>
            <w:tcW w:w="6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10"/>
              <w:spacing w:after="0" w:line="202" w:lineRule="exact"/>
              <w:rPr>
                <w:sz w:val="20"/>
                <w:szCs w:val="20"/>
                <w:color w:val="auto"/>
              </w:rPr>
            </w:pPr>
            <w:r>
              <w:rPr>
                <w:rFonts w:ascii="Arial" w:cs="Arial" w:eastAsia="Arial" w:hAnsi="Arial"/>
                <w:sz w:val="18"/>
                <w:szCs w:val="18"/>
                <w:b w:val="1"/>
                <w:bCs w:val="1"/>
                <w:color w:val="auto"/>
                <w:w w:val="86"/>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Credit Facility (due June 2023)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December 2021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April 2026</w:t>
            </w:r>
          </w:p>
        </w:tc>
        <w:tc>
          <w:tcPr>
            <w:tcW w:w="680" w:type="dxa"/>
            <w:vAlign w:val="bottom"/>
          </w:tcPr>
          <w:p>
            <w:pPr>
              <w:jc w:val="right"/>
              <w:spacing w:after="0"/>
              <w:rPr>
                <w:sz w:val="20"/>
                <w:szCs w:val="20"/>
                <w:color w:val="auto"/>
              </w:rPr>
            </w:pPr>
            <w:r>
              <w:rPr>
                <w:rFonts w:ascii="Arial" w:cs="Arial" w:eastAsia="Arial" w:hAnsi="Arial"/>
                <w:sz w:val="18"/>
                <w:szCs w:val="18"/>
                <w:color w:val="auto"/>
              </w:rPr>
              <w:t>4.63 %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1.22 %</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6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1,201,185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1,431,491</w:t>
            </w:r>
          </w:p>
        </w:tc>
        <w:tc>
          <w:tcPr>
            <w:tcW w:w="60" w:type="dxa"/>
            <w:vAlign w:val="bottom"/>
            <w:shd w:val="clear" w:color="auto" w:fill="CCEEFF"/>
          </w:tcPr>
          <w:p>
            <w:pPr>
              <w:spacing w:after="0"/>
              <w:rPr>
                <w:sz w:val="18"/>
                <w:szCs w:val="18"/>
                <w:color w:val="auto"/>
              </w:rPr>
            </w:pP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60" w:type="dxa"/>
            <w:vAlign w:val="bottom"/>
            <w:tcBorders>
              <w:bottom w:val="single" w:sz="8" w:color="CCEEFF"/>
            </w:tcBorders>
          </w:tcPr>
          <w:p>
            <w:pPr>
              <w:spacing w:after="0"/>
              <w:rPr>
                <w:sz w:val="19"/>
                <w:szCs w:val="19"/>
                <w:color w:val="auto"/>
              </w:rPr>
            </w:pPr>
          </w:p>
        </w:tc>
      </w:tr>
      <w:tr>
        <w:trPr>
          <w:trHeight w:val="216"/>
        </w:trPr>
        <w:tc>
          <w:tcPr>
            <w:tcW w:w="5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1,191,329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1,424,791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427"/>
        <w:spacing w:after="0" w:line="320" w:lineRule="auto"/>
        <w:rPr>
          <w:sz w:val="20"/>
          <w:szCs w:val="20"/>
          <w:color w:val="auto"/>
        </w:rPr>
      </w:pPr>
      <w:r>
        <w:rPr>
          <w:rFonts w:ascii="Arial" w:cs="Arial" w:eastAsia="Arial" w:hAnsi="Arial"/>
          <w:sz w:val="17"/>
          <w:szCs w:val="17"/>
          <w:color w:val="auto"/>
        </w:rPr>
        <w:t>The Company has a five-year $1.25 billion Credit Facility with a syndicate of banks, which expires in June 2023. It consists of revolving credit facilities and up to $200.0 million in letters of credit and up to $300.0 million of loans in certain approved currencies.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July 3, 2021. At July 3, 2021, and June 27, 2020, there were $1.3 million and $1.6 million, respectively, in letters of credit issued under the Credit Facility.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40" w:type="dxa"/>
            <w:vAlign w:val="bottom"/>
          </w:tcPr>
          <w:p>
            <w:pPr>
              <w:ind w:left="440"/>
              <w:spacing w:after="0"/>
              <w:rPr>
                <w:sz w:val="20"/>
                <w:szCs w:val="20"/>
                <w:color w:val="auto"/>
              </w:rPr>
            </w:pPr>
            <w:r>
              <w:rPr>
                <w:rFonts w:ascii="Arial" w:cs="Arial" w:eastAsia="Arial" w:hAnsi="Arial"/>
                <w:sz w:val="18"/>
                <w:szCs w:val="18"/>
                <w:color w:val="auto"/>
                <w:w w:val="95"/>
              </w:rPr>
              <w:t>Aggregate debt maturities for the next five fiscal years and thereafter are as follows (in thousands):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w:t>
            </w:r>
          </w:p>
        </w:tc>
        <w:tc>
          <w:tcPr>
            <w:tcW w:w="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350,409</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550,216</w:t>
            </w:r>
          </w:p>
        </w:tc>
        <w:tc>
          <w:tcPr>
            <w:tcW w:w="20" w:type="dxa"/>
            <w:vAlign w:val="bottom"/>
            <w:shd w:val="clear" w:color="auto" w:fill="CCEEFF"/>
          </w:tcPr>
          <w:p>
            <w:pPr>
              <w:spacing w:after="0"/>
              <w:rPr>
                <w:sz w:val="18"/>
                <w:szCs w:val="18"/>
                <w:color w:val="auto"/>
              </w:rPr>
            </w:pPr>
          </w:p>
        </w:tc>
      </w:tr>
      <w:tr>
        <w:trPr>
          <w:trHeight w:val="223"/>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Borders>
              <w:bottom w:val="single" w:sz="8" w:color="CCEEFF"/>
            </w:tcBorders>
          </w:tcPr>
          <w:p>
            <w:pPr>
              <w:spacing w:after="0"/>
              <w:rPr>
                <w:sz w:val="19"/>
                <w:szCs w:val="19"/>
                <w:color w:val="auto"/>
              </w:rPr>
            </w:pPr>
          </w:p>
        </w:tc>
      </w:tr>
      <w:tr>
        <w:trPr>
          <w:trHeight w:val="216"/>
        </w:trPr>
        <w:tc>
          <w:tcPr>
            <w:tcW w:w="7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1,224,263</w:t>
            </w:r>
          </w:p>
        </w:tc>
        <w:tc>
          <w:tcPr>
            <w:tcW w:w="20" w:type="dxa"/>
            <w:vAlign w:val="bottom"/>
            <w:shd w:val="clear" w:color="auto" w:fill="CCEEFF"/>
          </w:tcPr>
          <w:p>
            <w:pPr>
              <w:spacing w:after="0"/>
              <w:rPr>
                <w:sz w:val="18"/>
                <w:szCs w:val="18"/>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(9,856)</w:t>
            </w:r>
          </w:p>
        </w:tc>
      </w:tr>
      <w:tr>
        <w:trPr>
          <w:trHeight w:val="216"/>
        </w:trPr>
        <w:tc>
          <w:tcPr>
            <w:tcW w:w="79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1,214,407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279" w:firstLine="427"/>
        <w:spacing w:after="0" w:line="364" w:lineRule="auto"/>
        <w:rPr>
          <w:sz w:val="20"/>
          <w:szCs w:val="20"/>
          <w:color w:val="auto"/>
        </w:rPr>
      </w:pPr>
      <w:r>
        <w:rPr>
          <w:rFonts w:ascii="Arial" w:cs="Arial" w:eastAsia="Arial" w:hAnsi="Arial"/>
          <w:sz w:val="16"/>
          <w:szCs w:val="16"/>
          <w:color w:val="auto"/>
        </w:rPr>
        <w:t>At July 3, 2021, the carrying value and fair value of the Company’s total debt was $1.21 billion and $1.30 billion, respectively. At June 27, 2020, the carrying value and fair value of the Company’s total debt was $1.42 billion and $1.52 billion, respectively. Fair value for the public notes was estimated based upon quoted market prices and for other forms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339"/>
        <w:spacing w:after="0" w:line="324" w:lineRule="auto"/>
        <w:rPr>
          <w:sz w:val="20"/>
          <w:szCs w:val="20"/>
          <w:color w:val="auto"/>
        </w:rPr>
      </w:pPr>
      <w:r>
        <w:rPr>
          <w:rFonts w:ascii="Arial" w:cs="Arial" w:eastAsia="Arial" w:hAnsi="Arial"/>
          <w:sz w:val="18"/>
          <w:szCs w:val="18"/>
          <w:color w:val="auto"/>
        </w:rPr>
        <w:t>of debt fair value approximates carrying value due to the market based variable nature of the interest rates on those debt facilities.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9. Accrued expenses and other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6540" w:type="dxa"/>
            <w:vAlign w:val="bottom"/>
          </w:tcPr>
          <w:p>
            <w:pPr>
              <w:ind w:left="440"/>
              <w:spacing w:after="0"/>
              <w:rPr>
                <w:sz w:val="20"/>
                <w:szCs w:val="20"/>
                <w:color w:val="auto"/>
              </w:rPr>
            </w:pPr>
            <w:r>
              <w:rPr>
                <w:rFonts w:ascii="Arial" w:cs="Arial" w:eastAsia="Arial" w:hAnsi="Arial"/>
                <w:sz w:val="18"/>
                <w:szCs w:val="18"/>
                <w:color w:val="auto"/>
              </w:rPr>
              <w:t>Accrued expenses and other consist of the following:</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4"/>
        </w:trPr>
        <w:tc>
          <w:tcPr>
            <w:tcW w:w="654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3, 2021</w:t>
            </w:r>
          </w:p>
        </w:tc>
        <w:tc>
          <w:tcPr>
            <w:tcW w:w="180" w:type="dxa"/>
            <w:vAlign w:val="bottom"/>
          </w:tcPr>
          <w:p>
            <w:pPr>
              <w:spacing w:after="0"/>
              <w:rPr>
                <w:sz w:val="24"/>
                <w:szCs w:val="2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27, 2020</w:t>
            </w:r>
          </w:p>
        </w:tc>
        <w:tc>
          <w:tcPr>
            <w:tcW w:w="40" w:type="dxa"/>
            <w:vAlign w:val="bottom"/>
          </w:tcPr>
          <w:p>
            <w:pPr>
              <w:spacing w:after="0"/>
              <w:rPr>
                <w:sz w:val="24"/>
                <w:szCs w:val="24"/>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ind w:left="420"/>
              <w:spacing w:after="0" w:line="202" w:lineRule="exact"/>
              <w:rPr>
                <w:sz w:val="20"/>
                <w:szCs w:val="20"/>
                <w:color w:val="auto"/>
              </w:rPr>
            </w:pPr>
            <w:r>
              <w:rPr>
                <w:rFonts w:ascii="Arial" w:cs="Arial" w:eastAsia="Arial" w:hAnsi="Arial"/>
                <w:sz w:val="18"/>
                <w:szCs w:val="18"/>
                <w:b w:val="1"/>
                <w:bCs w:val="1"/>
                <w:color w:val="auto"/>
                <w:w w:val="88"/>
              </w:rPr>
              <w:t>(Thousands)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200,987</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Accrued operating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179,213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121,701</w:t>
            </w:r>
          </w:p>
        </w:tc>
        <w:tc>
          <w:tcPr>
            <w:tcW w:w="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banking costs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Accrued restructuring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39,962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16,942</w:t>
            </w:r>
          </w:p>
        </w:tc>
        <w:tc>
          <w:tcPr>
            <w:tcW w:w="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34,588</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Accrued property, plant and equipment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9,009</w:t>
            </w:r>
          </w:p>
        </w:tc>
        <w:tc>
          <w:tcPr>
            <w:tcW w:w="40" w:type="dxa"/>
            <w:vAlign w:val="bottom"/>
          </w:tcPr>
          <w:p>
            <w:pPr>
              <w:spacing w:after="0"/>
              <w:rPr>
                <w:sz w:val="18"/>
                <w:szCs w:val="18"/>
                <w:color w:val="auto"/>
              </w:rPr>
            </w:pPr>
          </w:p>
        </w:tc>
      </w:tr>
      <w:tr>
        <w:trPr>
          <w:trHeight w:val="23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59,580</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65,629</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6540" w:type="dxa"/>
            <w:vAlign w:val="bottom"/>
          </w:tcPr>
          <w:p>
            <w:pPr>
              <w:ind w:left="20"/>
              <w:spacing w:after="0" w:line="203" w:lineRule="exact"/>
              <w:rPr>
                <w:sz w:val="20"/>
                <w:szCs w:val="20"/>
                <w:color w:val="auto"/>
              </w:rPr>
            </w:pPr>
            <w:r>
              <w:rPr>
                <w:rFonts w:ascii="Arial" w:cs="Arial" w:eastAsia="Arial" w:hAnsi="Arial"/>
                <w:sz w:val="18"/>
                <w:szCs w:val="18"/>
                <w:color w:val="auto"/>
              </w:rPr>
              <w:t>Total accrued expenses and other</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572,457</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472,924</w:t>
            </w:r>
          </w:p>
        </w:tc>
        <w:tc>
          <w:tcPr>
            <w:tcW w:w="4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w:t>
      </w:r>
    </w:p>
    <w:p>
      <w:pPr>
        <w:spacing w:after="0" w:line="135"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The components of income tax (benefit) expense (“tax provision”) are included in the table below. The tax provision for deferred income taxes results from temporary differences arising primarily from net operating losses, inventories valuation, receivables valuation, suspended interest deductions, certain accrued amounts, and depreciation and amortization, net of any changes to valuation allowances.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Years Ended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July 3, 2021</w:t>
            </w: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27, 2020</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29, 2019</w:t>
            </w:r>
          </w:p>
        </w:tc>
        <w:tc>
          <w:tcPr>
            <w:tcW w:w="60" w:type="dxa"/>
            <w:vAlign w:val="bottom"/>
          </w:tcPr>
          <w:p>
            <w:pPr>
              <w:spacing w:after="0"/>
              <w:rPr>
                <w:sz w:val="19"/>
                <w:szCs w:val="19"/>
                <w:color w:val="auto"/>
              </w:rPr>
            </w:pPr>
          </w:p>
        </w:tc>
      </w:tr>
      <w:tr>
        <w:trPr>
          <w:trHeight w:val="203"/>
        </w:trPr>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(Thousands)</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(62,445)</w:t>
            </w:r>
          </w:p>
        </w:tc>
        <w:tc>
          <w:tcPr>
            <w:tcW w:w="460" w:type="dxa"/>
            <w:vAlign w:val="bottom"/>
            <w:gridSpan w:val="2"/>
          </w:tcPr>
          <w:p>
            <w:pPr>
              <w:jc w:val="right"/>
              <w:ind w:right="11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(127,250)</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(20,250)</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79,004</w:t>
            </w:r>
          </w:p>
        </w:tc>
        <w:tc>
          <w:tcPr>
            <w:tcW w:w="60" w:type="dxa"/>
            <w:vAlign w:val="bottom"/>
            <w:tcBorders>
              <w:bottom w:val="single" w:sz="8" w:color="CCEEFF"/>
            </w:tcBorders>
          </w:tcPr>
          <w:p>
            <w:pPr>
              <w:spacing w:after="0"/>
              <w:rPr>
                <w:sz w:val="19"/>
                <w:szCs w:val="19"/>
                <w:color w:val="auto"/>
              </w:rPr>
            </w:pPr>
          </w:p>
        </w:tc>
      </w:tr>
      <w:tr>
        <w:trPr>
          <w:trHeight w:val="236"/>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taxes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(45,638)</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(86,444)</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r>
      <w:tr>
        <w:trPr>
          <w:trHeight w:val="236"/>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5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deferred taxes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25,453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(12,060)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(6,743)</w:t>
            </w:r>
          </w:p>
        </w:tc>
        <w:tc>
          <w:tcPr>
            <w:tcW w:w="60" w:type="dxa"/>
            <w:vAlign w:val="bottom"/>
            <w:tcBorders>
              <w:bottom w:val="single" w:sz="8" w:color="CCEEFF"/>
            </w:tcBorders>
          </w:tcPr>
          <w:p>
            <w:pPr>
              <w:spacing w:after="0"/>
              <w:rPr>
                <w:sz w:val="18"/>
                <w:szCs w:val="18"/>
                <w:color w:val="auto"/>
              </w:rPr>
            </w:pP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The tax provision is computed based upon income (loss) before income taxes from both U.S. and foreign operations. U.S. income (loss) before income taxes was $(89.4) million, $(254.8) million and, $54.9 million, in fiscal 2021, 2020, and 2019, respectively, and foreign income before income taxes was $262.3 million, $125.2 million, and $181.7 million in fiscal 2021, 2020, and 2019, respectively.</w:t>
      </w:r>
    </w:p>
    <w:p>
      <w:pPr>
        <w:spacing w:after="0" w:line="159" w:lineRule="exact"/>
        <w:rPr>
          <w:sz w:val="20"/>
          <w:szCs w:val="20"/>
          <w:color w:val="auto"/>
        </w:rPr>
      </w:pPr>
    </w:p>
    <w:p>
      <w:pPr>
        <w:ind w:left="60" w:right="79" w:firstLine="427"/>
        <w:spacing w:after="0" w:line="354" w:lineRule="auto"/>
        <w:rPr>
          <w:sz w:val="20"/>
          <w:szCs w:val="20"/>
          <w:color w:val="auto"/>
        </w:rPr>
      </w:pPr>
      <w:r>
        <w:rPr>
          <w:rFonts w:ascii="Arial" w:cs="Arial" w:eastAsia="Arial" w:hAnsi="Arial"/>
          <w:sz w:val="16"/>
          <w:szCs w:val="16"/>
          <w:color w:val="auto"/>
        </w:rPr>
        <w:t>On March 27, 2020, the United States enacted the Coronavirus Aid, Relief, and Economic Security Act (the “CARES Act”). The CARES Act is an approximately $2 trillion emergency economic stimulus package in response to the COVID-19 pandemic, which among other things contains numerous income tax provisions. The CARES Act allows net operating losses incurred in fiscal years 2019, 2020, and 2021 to be carried back to each of the five preceding taxable</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spacing w:after="0" w:line="336" w:lineRule="auto"/>
        <w:rPr>
          <w:sz w:val="20"/>
          <w:szCs w:val="20"/>
          <w:color w:val="auto"/>
        </w:rPr>
      </w:pPr>
      <w:r>
        <w:rPr>
          <w:rFonts w:ascii="Arial" w:cs="Arial" w:eastAsia="Arial" w:hAnsi="Arial"/>
          <w:sz w:val="17"/>
          <w:szCs w:val="17"/>
          <w:color w:val="auto"/>
        </w:rPr>
        <w:t>years to generate a refund of previously paid income taxes. The Company expects to utilize this carryback provision, which is generating a tax benefit in fiscal 2021. An income tax refund receivable of $241.3 million, associated with the fiscal 2021 and fiscal 2020 income tax benefit, is classified within Receivables on the consolidated balance sheets.</w:t>
      </w:r>
    </w:p>
    <w:p>
      <w:pPr>
        <w:spacing w:after="0" w:line="124"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color w:val="auto"/>
        </w:rPr>
        <w:t>The Company asserts that all of its unremitted foreign earnings are permanently reinvested and any unrecorded liabilities related to this assertion are not material.</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7"/>
              </w:rPr>
              <w:t>Years Ended</w:t>
            </w: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7"/>
              </w:rPr>
              <w:t>July 3, 2021</w:t>
            </w:r>
          </w:p>
        </w:tc>
        <w:tc>
          <w:tcPr>
            <w:tcW w:w="13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June 27, 2020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7"/>
              </w:rPr>
              <w:t>June 29, 2019</w:t>
            </w:r>
          </w:p>
        </w:tc>
        <w:tc>
          <w:tcPr>
            <w:tcW w:w="260" w:type="dxa"/>
            <w:vAlign w:val="bottom"/>
          </w:tcPr>
          <w:p>
            <w:pPr>
              <w:spacing w:after="0"/>
              <w:rPr>
                <w:sz w:val="19"/>
                <w:szCs w:val="19"/>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income, net of valuation allowances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6"/>
              </w:rPr>
              <w:t>Establishment/release of valuation allowances, net of U.S. tax</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expense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tax benefit reserves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Tax audit settlements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8"/>
              </w:rPr>
              <w:t>Impact of the Tax Cuts and Jobs Act (the Act) - transition tax</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Impact of the Act - deferred tax effects</w:t>
            </w:r>
          </w:p>
        </w:tc>
        <w:tc>
          <w:tcPr>
            <w:tcW w:w="34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Impact of the CARES Act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Impairment of investments, including goodwill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r>
      <w:tr>
        <w:trPr>
          <w:trHeight w:val="203"/>
        </w:trPr>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Effective tax rate</w:t>
            </w: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w:t>
            </w:r>
          </w:p>
        </w:tc>
        <w:tc>
          <w:tcPr>
            <w:tcW w:w="24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26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previously established against the Company’s otherwise realizable foreign deferred tax assets, which are primarily net operating loss carry-forwards.</w:t>
      </w:r>
    </w:p>
    <w:p>
      <w:pPr>
        <w:spacing w:after="0" w:line="78" w:lineRule="exact"/>
        <w:rPr>
          <w:sz w:val="20"/>
          <w:szCs w:val="20"/>
          <w:color w:val="auto"/>
        </w:rPr>
      </w:pPr>
    </w:p>
    <w:p>
      <w:pPr>
        <w:ind w:left="60" w:right="179" w:firstLine="427"/>
        <w:spacing w:after="0" w:line="329" w:lineRule="auto"/>
        <w:rPr>
          <w:sz w:val="20"/>
          <w:szCs w:val="20"/>
          <w:color w:val="auto"/>
        </w:rPr>
      </w:pPr>
      <w:r>
        <w:rPr>
          <w:rFonts w:ascii="Arial" w:cs="Arial" w:eastAsia="Arial" w:hAnsi="Arial"/>
          <w:sz w:val="17"/>
          <w:szCs w:val="17"/>
          <w:color w:val="auto"/>
        </w:rPr>
        <w:t>Avnet’s effective tax rate on income before income taxes was 11.7% of benefit in fiscal 2021 as compared with an effective tax rate of 76.0% of benefit on fiscal 2020 loss before income taxes. Included in the fiscal 2021 effective tax rate is a tax benefit arising from the reduction in fair value of certain businesses, resulting in losses that can be carried back under U.S. tax law, partially offset by the net increase to unrecognized tax benefit reserves.</w:t>
      </w:r>
    </w:p>
    <w:p>
      <w:pPr>
        <w:spacing w:after="0" w:line="62"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79" w:firstLine="427"/>
        <w:spacing w:after="0" w:line="324" w:lineRule="auto"/>
        <w:rPr>
          <w:sz w:val="20"/>
          <w:szCs w:val="20"/>
          <w:color w:val="auto"/>
        </w:rPr>
      </w:pPr>
      <w:r>
        <w:rPr>
          <w:rFonts w:ascii="Arial" w:cs="Arial" w:eastAsia="Arial" w:hAnsi="Arial"/>
          <w:sz w:val="18"/>
          <w:szCs w:val="18"/>
          <w:color w:val="auto"/>
        </w:rPr>
        <w:t>The significant components of deferred tax assets and liabilities, included in “other assets” on the consolidated balance sheets, are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July 3,</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8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3"/>
        </w:trPr>
        <w:tc>
          <w:tcPr>
            <w:tcW w:w="6820" w:type="dxa"/>
            <w:vAlign w:val="bottom"/>
          </w:tcPr>
          <w:p>
            <w:pPr>
              <w:spacing w:after="0"/>
              <w:rPr>
                <w:sz w:val="17"/>
                <w:szCs w:val="17"/>
                <w:color w:val="auto"/>
              </w:rPr>
            </w:pPr>
          </w:p>
        </w:tc>
        <w:tc>
          <w:tcPr>
            <w:tcW w:w="1980" w:type="dxa"/>
            <w:vAlign w:val="bottom"/>
            <w:gridSpan w:val="3"/>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880" w:type="dxa"/>
            <w:vAlign w:val="bottom"/>
          </w:tcPr>
          <w:p>
            <w:pPr>
              <w:jc w:val="right"/>
              <w:spacing w:after="0"/>
              <w:rPr>
                <w:sz w:val="20"/>
                <w:szCs w:val="20"/>
                <w:color w:val="auto"/>
              </w:rPr>
            </w:pPr>
            <w:r>
              <w:rPr>
                <w:rFonts w:ascii="Arial" w:cs="Arial" w:eastAsia="Arial" w:hAnsi="Arial"/>
                <w:sz w:val="18"/>
                <w:szCs w:val="18"/>
                <w:color w:val="auto"/>
                <w:w w:val="96"/>
              </w:rPr>
              <w:t>$  282,882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6"/>
              </w:rPr>
              <w:t>$  237,200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Inventories valuation</w:t>
            </w:r>
          </w:p>
        </w:tc>
        <w:tc>
          <w:tcPr>
            <w:tcW w:w="880" w:type="dxa"/>
            <w:vAlign w:val="bottom"/>
          </w:tcPr>
          <w:p>
            <w:pPr>
              <w:jc w:val="right"/>
              <w:spacing w:after="0"/>
              <w:rPr>
                <w:sz w:val="20"/>
                <w:szCs w:val="20"/>
                <w:color w:val="auto"/>
              </w:rPr>
            </w:pPr>
            <w:r>
              <w:rPr>
                <w:rFonts w:ascii="Arial" w:cs="Arial" w:eastAsia="Arial" w:hAnsi="Arial"/>
                <w:sz w:val="18"/>
                <w:szCs w:val="18"/>
                <w:color w:val="auto"/>
              </w:rPr>
              <w:t>25,336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880" w:type="dxa"/>
            <w:vAlign w:val="bottom"/>
          </w:tcPr>
          <w:p>
            <w:pPr>
              <w:jc w:val="right"/>
              <w:spacing w:after="0"/>
              <w:rPr>
                <w:sz w:val="20"/>
                <w:szCs w:val="20"/>
                <w:color w:val="auto"/>
              </w:rPr>
            </w:pPr>
            <w:r>
              <w:rPr>
                <w:rFonts w:ascii="Arial" w:cs="Arial" w:eastAsia="Arial" w:hAnsi="Arial"/>
                <w:sz w:val="18"/>
                <w:szCs w:val="18"/>
                <w:color w:val="auto"/>
              </w:rPr>
              <w:t>13,757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18"/>
                <w:szCs w:val="18"/>
                <w:color w:val="auto"/>
              </w:rPr>
            </w:pPr>
          </w:p>
        </w:tc>
      </w:tr>
      <w:tr>
        <w:trPr>
          <w:trHeight w:val="223"/>
        </w:trPr>
        <w:tc>
          <w:tcPr>
            <w:tcW w:w="6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Various accrued liabilities and 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62,082</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471,149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471,274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 valuation allowances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(293,569)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(283,721)</w:t>
            </w:r>
          </w:p>
        </w:tc>
      </w:tr>
      <w:tr>
        <w:trPr>
          <w:trHeight w:val="27"/>
        </w:trPr>
        <w:tc>
          <w:tcPr>
            <w:tcW w:w="68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1" w:lineRule="exact"/>
        <w:rPr>
          <w:sz w:val="20"/>
          <w:szCs w:val="20"/>
          <w:color w:val="auto"/>
        </w:rPr>
      </w:pPr>
    </w:p>
    <w:p>
      <w:pPr>
        <w:jc w:val="right"/>
        <w:ind w:right="4420"/>
        <w:spacing w:after="0"/>
        <w:rPr>
          <w:sz w:val="20"/>
          <w:szCs w:val="20"/>
          <w:color w:val="auto"/>
        </w:rPr>
      </w:pPr>
      <w:r>
        <w:rPr>
          <w:rFonts w:ascii="Arial" w:cs="Arial" w:eastAsia="Arial" w:hAnsi="Arial"/>
          <w:sz w:val="16"/>
          <w:szCs w:val="16"/>
          <w:color w:val="auto"/>
        </w:rPr>
        <w:t>Deferred tax liabilities:</w:t>
      </w:r>
    </w:p>
    <w:p>
      <w:pPr>
        <w:spacing w:after="0" w:line="46"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Operating lease assets</w:t>
      </w:r>
    </w:p>
    <w:p>
      <w:pPr>
        <w:spacing w:after="0" w:line="58"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spacing w:after="0"/>
              <w:rPr>
                <w:sz w:val="20"/>
                <w:szCs w:val="20"/>
                <w:color w:val="auto"/>
              </w:rPr>
            </w:pPr>
            <w:r>
              <w:rPr>
                <w:rFonts w:ascii="Arial" w:cs="Arial" w:eastAsia="Arial" w:hAnsi="Arial"/>
                <w:sz w:val="18"/>
                <w:szCs w:val="18"/>
                <w:color w:val="auto"/>
              </w:rPr>
              <w:t>177,580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187,553</w:t>
            </w:r>
          </w:p>
        </w:tc>
      </w:tr>
      <w:tr>
        <w:trPr>
          <w:trHeight w:val="425"/>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(68,135)</w:t>
            </w:r>
          </w:p>
        </w:tc>
        <w:tc>
          <w:tcPr>
            <w:tcW w:w="900" w:type="dxa"/>
            <w:vAlign w:val="bottom"/>
          </w:tcPr>
          <w:p>
            <w:pPr>
              <w:jc w:val="right"/>
              <w:spacing w:after="0"/>
              <w:rPr>
                <w:sz w:val="20"/>
                <w:szCs w:val="20"/>
                <w:color w:val="auto"/>
              </w:rPr>
            </w:pPr>
            <w:r>
              <w:rPr>
                <w:rFonts w:ascii="Arial" w:cs="Arial" w:eastAsia="Arial" w:hAnsi="Arial"/>
                <w:sz w:val="18"/>
                <w:szCs w:val="18"/>
                <w:color w:val="auto"/>
              </w:rPr>
              <w:t>(66,316)</w:t>
            </w:r>
          </w:p>
        </w:tc>
      </w:tr>
      <w:tr>
        <w:trPr>
          <w:trHeight w:val="216"/>
        </w:trPr>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109,445</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121,237</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-454025</wp:posOffset>
            </wp:positionV>
            <wp:extent cx="56489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-170815</wp:posOffset>
            </wp:positionV>
            <wp:extent cx="564896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6140" w:space="720"/>
            <w:col w:w="2159"/>
          </w:cols>
          <w:pgMar w:left="1440" w:top="517" w:right="1440" w:bottom="1440" w:gutter="0" w:footer="0" w:header="0"/>
          <w:type w:val="continuous"/>
        </w:sectPr>
      </w:pPr>
    </w:p>
    <w:p>
      <w:pPr>
        <w:ind w:left="60" w:right="179" w:firstLine="427"/>
        <w:spacing w:after="0" w:line="364" w:lineRule="auto"/>
        <w:rPr>
          <w:sz w:val="20"/>
          <w:szCs w:val="20"/>
          <w:color w:val="auto"/>
        </w:rPr>
      </w:pPr>
      <w:r>
        <w:rPr>
          <w:rFonts w:ascii="Arial" w:cs="Arial" w:eastAsia="Arial" w:hAnsi="Arial"/>
          <w:sz w:val="16"/>
          <w:szCs w:val="16"/>
          <w:color w:val="auto"/>
        </w:rPr>
        <w:t>The increase in valuation allowances in fiscal 2021 from fiscal 2020 was primarily related to the $25.2 million increase resulting from a tax rate change in the United Kingdom, a $10.0 million increase resulting from changing foreign exchange rates, partially offset by a $27.6 million decrease relating to the current year activity in the United States.</w:t>
      </w:r>
    </w:p>
    <w:p>
      <w:pPr>
        <w:spacing w:after="0" w:line="40"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As of July 3, 2021, the Company had net operating and capital loss carry-forwards of approximately $1.45 billion, of which $35.2 million will expire during fiscal 2022 and fiscal 2023, substantially all of which have full valuation allowances, $301.9 million have expiration dates ranging from fiscal 2024 to fiscal 2040, and the remaining $1.12 billion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 In addition, the Company considers historic levels and types of income or losses, expectations and risk associated with estimates of future taxable income, and ongoing prudent and feasible tax planning strategies in assessing the need for valuation allowances as discussed further above.</w:t>
      </w:r>
    </w:p>
    <w:p>
      <w:pPr>
        <w:spacing w:after="0" w:line="71" w:lineRule="exact"/>
        <w:rPr>
          <w:sz w:val="20"/>
          <w:szCs w:val="20"/>
          <w:color w:val="auto"/>
        </w:rPr>
      </w:pPr>
    </w:p>
    <w:p>
      <w:pPr>
        <w:ind w:left="60" w:right="279" w:firstLine="427"/>
        <w:spacing w:after="0" w:line="323" w:lineRule="auto"/>
        <w:rPr>
          <w:sz w:val="20"/>
          <w:szCs w:val="20"/>
          <w:color w:val="auto"/>
        </w:rPr>
      </w:pPr>
      <w:r>
        <w:rPr>
          <w:rFonts w:ascii="Arial" w:cs="Arial" w:eastAsia="Arial" w:hAnsi="Arial"/>
          <w:sz w:val="17"/>
          <w:szCs w:val="17"/>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July 3, 2021, unrecognized tax benefits were $145.1 million. The estimated liability for unrecognized tax benefits included accrued interest expense and penalties of $26.4 million and $20.2 million, net of applicable state tax benefits, as of the end of fiscal 2021 and 2020,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259" w:firstLine="427"/>
        <w:spacing w:after="0" w:line="324" w:lineRule="auto"/>
        <w:rPr>
          <w:sz w:val="20"/>
          <w:szCs w:val="20"/>
          <w:color w:val="auto"/>
        </w:rPr>
      </w:pPr>
      <w:r>
        <w:rPr>
          <w:rFonts w:ascii="Arial" w:cs="Arial" w:eastAsia="Arial" w:hAnsi="Arial"/>
          <w:sz w:val="18"/>
          <w:szCs w:val="18"/>
          <w:color w:val="auto"/>
        </w:rPr>
        <w:t>Reconciliations of the beginning and ending liability balances for unrecognized tax benefits, excluding interest and penalties, are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3, 2021</w:t>
            </w:r>
          </w:p>
        </w:tc>
        <w:tc>
          <w:tcPr>
            <w:tcW w:w="200" w:type="dxa"/>
            <w:vAlign w:val="bottom"/>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June 27, 2020</w:t>
            </w:r>
          </w:p>
        </w:tc>
        <w:tc>
          <w:tcPr>
            <w:tcW w:w="60" w:type="dxa"/>
            <w:vAlign w:val="bottom"/>
          </w:tcPr>
          <w:p>
            <w:pPr>
              <w:spacing w:after="0"/>
              <w:rPr>
                <w:sz w:val="20"/>
                <w:szCs w:val="20"/>
                <w:color w:val="auto"/>
              </w:rPr>
            </w:pPr>
          </w:p>
        </w:tc>
      </w:tr>
      <w:tr>
        <w:trPr>
          <w:trHeight w:val="203"/>
        </w:trPr>
        <w:tc>
          <w:tcPr>
            <w:tcW w:w="5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96,292</w:t>
            </w:r>
          </w:p>
        </w:tc>
        <w:tc>
          <w:tcPr>
            <w:tcW w:w="600" w:type="dxa"/>
            <w:vAlign w:val="bottom"/>
            <w:gridSpan w:val="3"/>
            <w:shd w:val="clear" w:color="auto" w:fill="CCEEFF"/>
          </w:tcPr>
          <w:p>
            <w:pPr>
              <w:jc w:val="right"/>
              <w:ind w:right="26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123,765</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 for tax positions taken in prior periods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(33,880)</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tax rate change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taken in current period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(5,480)</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(21,339)</w:t>
            </w:r>
          </w:p>
        </w:tc>
        <w:tc>
          <w:tcPr>
            <w:tcW w:w="6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related to foreign currency translation</w:t>
            </w: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Borders>
              <w:bottom w:val="single" w:sz="8" w:color="CCEEFF"/>
            </w:tcBorders>
          </w:tcPr>
          <w:p>
            <w:pPr>
              <w:spacing w:after="0"/>
              <w:rPr>
                <w:sz w:val="19"/>
                <w:szCs w:val="19"/>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The evaluation of uncertain income tax positions requires management to estimate the ability of the Company to sustain its position with applicable tax authorities and estimate the final benefit to the Company. If the actual outcomes differ from the Company’s estimates,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beyond the Company’s control. The effects of settling tax positions with tax authorities and statute expirations may significantly impact the estimate for unrecognized tax benefits. Within the next twelve months, the Company estimates that approximately $11.3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$2.4 million.</w:t>
      </w:r>
    </w:p>
    <w:p>
      <w:pPr>
        <w:spacing w:after="0" w:line="145"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2010. The years remaining subject to audit, by major jurisdiction, are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2016 - 2021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2016 - 2021</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2015 - 2021</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2010 - 2021</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2017 - 2021</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2019 - 2021</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2019 - 2021</w:t>
            </w:r>
          </w:p>
        </w:tc>
        <w:tc>
          <w:tcPr>
            <w:tcW w:w="140" w:type="dxa"/>
            <w:vAlign w:val="bottom"/>
            <w:shd w:val="clear" w:color="auto" w:fill="CCEEFF"/>
          </w:tcPr>
          <w:p>
            <w:pPr>
              <w:spacing w:after="0"/>
              <w:rPr>
                <w:sz w:val="18"/>
                <w:szCs w:val="18"/>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2011 - 2021</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left="60" w:right="299" w:firstLine="427"/>
        <w:spacing w:after="0" w:line="354" w:lineRule="auto"/>
        <w:rPr>
          <w:sz w:val="20"/>
          <w:szCs w:val="20"/>
          <w:color w:val="auto"/>
        </w:rPr>
      </w:pPr>
      <w:r>
        <w:rPr>
          <w:rFonts w:ascii="Arial" w:cs="Arial" w:eastAsia="Arial" w:hAnsi="Arial"/>
          <w:sz w:val="16"/>
          <w:szCs w:val="16"/>
          <w:color w:val="auto"/>
        </w:rPr>
        <w:t>In connection with the sale of the TS business during fiscal 2017, several legal entities were sold to the Buyer and post-closing tax obligations are the responsibility of the Buyer. Under the terms of the sale agreement, the Company still maintains responsibility for certain pre-closing taxes including any amounts that arise from audits or other judgments received from tax authorities. The Company believes that its current estimates related to tax reserves related to the TS</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99"/>
        <w:spacing w:after="0" w:line="324" w:lineRule="auto"/>
        <w:rPr>
          <w:sz w:val="20"/>
          <w:szCs w:val="20"/>
          <w:color w:val="auto"/>
        </w:rPr>
      </w:pPr>
      <w:r>
        <w:rPr>
          <w:rFonts w:ascii="Arial" w:cs="Arial" w:eastAsia="Arial" w:hAnsi="Arial"/>
          <w:sz w:val="18"/>
          <w:szCs w:val="18"/>
          <w:color w:val="auto"/>
        </w:rPr>
        <w:t>business are reasonable, but future changes in facts and circumstances could result in significant changes in estimates that impact tax expense in the period of change.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and retirement plans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w:t>
      </w:r>
    </w:p>
    <w:p>
      <w:pPr>
        <w:spacing w:after="0" w:line="225" w:lineRule="exact"/>
        <w:rPr>
          <w:sz w:val="20"/>
          <w:szCs w:val="20"/>
          <w:color w:val="auto"/>
        </w:rPr>
      </w:pPr>
    </w:p>
    <w:p>
      <w:pPr>
        <w:ind w:left="60" w:right="59" w:firstLine="427"/>
        <w:spacing w:after="0" w:line="302" w:lineRule="auto"/>
        <w:rPr>
          <w:sz w:val="20"/>
          <w:szCs w:val="20"/>
          <w:color w:val="auto"/>
        </w:rPr>
      </w:pPr>
      <w:r>
        <w:rPr>
          <w:rFonts w:ascii="Arial" w:cs="Arial" w:eastAsia="Arial" w:hAnsi="Arial"/>
          <w:sz w:val="18"/>
          <w:szCs w:val="18"/>
          <w:color w:val="auto"/>
        </w:rPr>
        <w:t>The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Plan allows the Company to apply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165"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359" w:firstLine="427"/>
        <w:spacing w:after="0" w:line="324"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2021 and 2020:</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5"/>
          </w:tcPr>
          <w:p>
            <w:pPr>
              <w:jc w:val="right"/>
              <w:ind w:right="390"/>
              <w:spacing w:after="0" w:line="202"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80"/>
              <w:spacing w:after="0"/>
              <w:rPr>
                <w:sz w:val="20"/>
                <w:szCs w:val="20"/>
                <w:color w:val="auto"/>
              </w:rPr>
            </w:pPr>
            <w:r>
              <w:rPr>
                <w:rFonts w:ascii="Arial" w:cs="Arial" w:eastAsia="Arial" w:hAnsi="Arial"/>
                <w:sz w:val="18"/>
                <w:szCs w:val="18"/>
                <w:color w:val="auto"/>
              </w:rPr>
              <w:t>Benefit obligations at beginning of year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790,179</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731,695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Benefit obligations at end of year</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762,708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Changes in plan assets: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Fair value of plan assets at beginning of year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707,800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8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Contributions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772,279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Funded status of the plan recognized as a non-current asset (non-current liability)</w:t>
            </w: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9,571</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Unrecognized net actuarial losses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177,949</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Unamortized prior service cost</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Other changes in plan assets and benefit obligations recognized in other comprehensive</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actuarial (gain)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80"/>
              <w:spacing w:after="0"/>
              <w:rPr>
                <w:sz w:val="20"/>
                <w:szCs w:val="20"/>
                <w:color w:val="auto"/>
              </w:rPr>
            </w:pPr>
            <w:r>
              <w:rPr>
                <w:rFonts w:ascii="Arial" w:cs="Arial" w:eastAsia="Arial" w:hAnsi="Arial"/>
                <w:sz w:val="18"/>
                <w:szCs w:val="18"/>
                <w:color w:val="auto"/>
              </w:rPr>
              <w:t>Amortization of net actuarial losses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(78,829)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239" w:firstLine="427"/>
        <w:spacing w:after="0" w:line="310" w:lineRule="auto"/>
        <w:rPr>
          <w:sz w:val="20"/>
          <w:szCs w:val="20"/>
          <w:color w:val="auto"/>
        </w:rPr>
      </w:pPr>
      <w:r>
        <w:rPr>
          <w:rFonts w:ascii="Arial" w:cs="Arial" w:eastAsia="Arial" w:hAnsi="Arial"/>
          <w:sz w:val="18"/>
          <w:szCs w:val="18"/>
          <w:color w:val="auto"/>
        </w:rPr>
        <w:t>Included in accumulated other comprehensive loss at July 3, 2021, is an expense of $177.9 million of net actuarial losses that have not yet been recognized in net periodic pension cost, of which $16.3 million is expected to be recognized as a component of net periodic pension cost during fiscal 2022.</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20" w:type="dxa"/>
            <w:vAlign w:val="bottom"/>
          </w:tcPr>
          <w:p>
            <w:pPr>
              <w:ind w:left="420"/>
              <w:spacing w:after="0"/>
              <w:rPr>
                <w:sz w:val="20"/>
                <w:szCs w:val="20"/>
                <w:color w:val="auto"/>
              </w:rPr>
            </w:pPr>
            <w:r>
              <w:rPr>
                <w:rFonts w:ascii="Arial" w:cs="Arial" w:eastAsia="Arial" w:hAnsi="Arial"/>
                <w:sz w:val="18"/>
                <w:szCs w:val="18"/>
                <w:color w:val="auto"/>
                <w:w w:val="98"/>
              </w:rPr>
              <w:t>Assumptions used to calculate actuarial present values of benefit obligations are as follows: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8"/>
        </w:trPr>
        <w:tc>
          <w:tcPr>
            <w:tcW w:w="76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2020</w:t>
            </w:r>
          </w:p>
        </w:tc>
        <w:tc>
          <w:tcPr>
            <w:tcW w:w="260" w:type="dxa"/>
            <w:vAlign w:val="bottom"/>
            <w:tcBorders>
              <w:bottom w:val="single" w:sz="8" w:color="CCEEFF"/>
            </w:tcBorders>
          </w:tcPr>
          <w:p>
            <w:pPr>
              <w:spacing w:after="0"/>
              <w:rPr>
                <w:sz w:val="24"/>
                <w:szCs w:val="24"/>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July 3, 2021. The estimated discount rate in fiscal 2021 and fiscal 2020 was based on the spot yield curve approach, which applies the individual spot rates from a highly rated bond yield curve to each future year’s estimated cash flows.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20" w:type="dxa"/>
            <w:vAlign w:val="bottom"/>
          </w:tcPr>
          <w:p>
            <w:pPr>
              <w:ind w:left="440"/>
              <w:spacing w:after="0"/>
              <w:rPr>
                <w:sz w:val="20"/>
                <w:szCs w:val="20"/>
                <w:color w:val="auto"/>
              </w:rPr>
            </w:pPr>
            <w:r>
              <w:rPr>
                <w:rFonts w:ascii="Arial" w:cs="Arial" w:eastAsia="Arial" w:hAnsi="Arial"/>
                <w:sz w:val="18"/>
                <w:szCs w:val="18"/>
                <w:color w:val="auto"/>
              </w:rPr>
              <w:t>The weighted-average assumptions used to determine net benefit costs are as follows: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58"/>
        </w:trPr>
        <w:tc>
          <w:tcPr>
            <w:tcW w:w="75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2020</w:t>
            </w:r>
          </w:p>
        </w:tc>
        <w:tc>
          <w:tcPr>
            <w:tcW w:w="300" w:type="dxa"/>
            <w:vAlign w:val="bottom"/>
            <w:tcBorders>
              <w:bottom w:val="single" w:sz="8" w:color="CCEEFF"/>
            </w:tcBorders>
          </w:tcPr>
          <w:p>
            <w:pPr>
              <w:spacing w:after="0"/>
              <w:rPr>
                <w:sz w:val="24"/>
                <w:szCs w:val="24"/>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7.7 %</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3.5 %</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Interest crediting rate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4.0 %</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net periodic pension cost for the Plan during the last three fiscal years are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July 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June 27,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(Thousands)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2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w w:val="93"/>
              </w:rPr>
              <w:t>Total net periodic pension cost within selling, general and</w:t>
            </w: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Amortization of prior service cost (credits)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ind w:left="80"/>
              <w:spacing w:after="0" w:line="176" w:lineRule="exact"/>
              <w:rPr>
                <w:sz w:val="20"/>
                <w:szCs w:val="20"/>
                <w:color w:val="auto"/>
              </w:rPr>
            </w:pPr>
            <w:r>
              <w:rPr>
                <w:rFonts w:ascii="Arial" w:cs="Arial" w:eastAsia="Arial" w:hAnsi="Arial"/>
                <w:sz w:val="18"/>
                <w:szCs w:val="18"/>
                <w:color w:val="auto"/>
                <w:w w:val="95"/>
              </w:rPr>
              <w:t>Total net periodic pension benefit within other (expense)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income, net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80"/>
              <w:spacing w:after="0" w:line="203" w:lineRule="exact"/>
              <w:rPr>
                <w:sz w:val="20"/>
                <w:szCs w:val="20"/>
                <w:color w:val="auto"/>
              </w:rPr>
            </w:pPr>
            <w:r>
              <w:rPr>
                <w:rFonts w:ascii="Arial" w:cs="Arial" w:eastAsia="Arial" w:hAnsi="Arial"/>
                <w:sz w:val="18"/>
                <w:szCs w:val="18"/>
                <w:color w:val="auto"/>
              </w:rPr>
              <w:t>Net periodic pension cost (benefit)</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The Company made $16.0 million and $8.0 million of contributions in fiscal 2021 and fiscal 2020, respectively, and expects to make approximately $16.0 million of contributions in fiscal 2022.</w:t>
      </w:r>
    </w:p>
    <w:p>
      <w:pPr>
        <w:spacing w:after="0" w:line="143"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2023</w:t>
            </w:r>
          </w:p>
        </w:tc>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42,750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2025</w:t>
            </w:r>
          </w:p>
        </w:tc>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47,737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47,987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2027 through 2031</w:t>
            </w:r>
          </w:p>
        </w:tc>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253,355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8920" w:type="dxa"/>
            <w:vAlign w:val="bottom"/>
            <w:gridSpan w:val="8"/>
          </w:tcPr>
          <w:p>
            <w:pPr>
              <w:ind w:left="440"/>
              <w:spacing w:after="0"/>
              <w:rPr>
                <w:sz w:val="20"/>
                <w:szCs w:val="20"/>
                <w:color w:val="auto"/>
              </w:rPr>
            </w:pPr>
            <w:r>
              <w:rPr>
                <w:rFonts w:ascii="Arial" w:cs="Arial" w:eastAsia="Arial" w:hAnsi="Arial"/>
                <w:sz w:val="18"/>
                <w:szCs w:val="18"/>
                <w:color w:val="auto"/>
                <w:w w:val="90"/>
              </w:rPr>
              <w:t>The Plan’s assets are held in trust and were allocated as follows as of the measurement date at the end of fiscal 2021</w:t>
            </w:r>
          </w:p>
        </w:tc>
        <w:tc>
          <w:tcPr>
            <w:tcW w:w="20" w:type="dxa"/>
            <w:vAlign w:val="bottom"/>
          </w:tcPr>
          <w:p>
            <w:pPr>
              <w:spacing w:after="0"/>
              <w:rPr>
                <w:sz w:val="24"/>
                <w:szCs w:val="24"/>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8"/>
                <w:szCs w:val="18"/>
                <w:color w:val="auto"/>
              </w:rPr>
              <w:t>and 2020:</w:t>
            </w:r>
          </w:p>
        </w:tc>
        <w:tc>
          <w:tcPr>
            <w:tcW w:w="4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25"/>
        </w:trPr>
        <w:tc>
          <w:tcPr>
            <w:tcW w:w="3220" w:type="dxa"/>
            <w:vAlign w:val="bottom"/>
          </w:tcPr>
          <w:p>
            <w:pPr>
              <w:spacing w:after="0"/>
              <w:rPr>
                <w:sz w:val="24"/>
                <w:szCs w:val="24"/>
                <w:color w:val="auto"/>
              </w:rPr>
            </w:pPr>
          </w:p>
        </w:tc>
        <w:tc>
          <w:tcPr>
            <w:tcW w:w="4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500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3220" w:type="dxa"/>
            <w:vAlign w:val="bottom"/>
          </w:tcPr>
          <w:p>
            <w:pPr>
              <w:spacing w:after="0"/>
              <w:rPr>
                <w:sz w:val="24"/>
                <w:szCs w:val="24"/>
                <w:color w:val="auto"/>
              </w:rPr>
            </w:pPr>
          </w:p>
        </w:tc>
        <w:tc>
          <w:tcPr>
            <w:tcW w:w="4420" w:type="dxa"/>
            <w:vAlign w:val="bottom"/>
          </w:tcPr>
          <w:p>
            <w:pPr>
              <w:jc w:val="right"/>
              <w:ind w:right="299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60" w:right="59" w:firstLine="427"/>
        <w:spacing w:after="0" w:line="340" w:lineRule="auto"/>
        <w:rPr>
          <w:sz w:val="20"/>
          <w:szCs w:val="20"/>
          <w:color w:val="auto"/>
        </w:rPr>
      </w:pPr>
      <w:r>
        <w:rPr>
          <w:rFonts w:ascii="Arial" w:cs="Arial" w:eastAsia="Arial" w:hAnsi="Arial"/>
          <w:sz w:val="16"/>
          <w:szCs w:val="16"/>
          <w:color w:val="auto"/>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2022 is currently 7.0%, which is 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July 3, 2021,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July 3, 2021:</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Net Asset 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70"/>
              </w:rPr>
              <w:t>(Thousands)</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290,347</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124,363</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117,722</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186,279</w:t>
            </w:r>
          </w:p>
        </w:tc>
        <w:tc>
          <w:tcPr>
            <w:tcW w:w="100" w:type="dxa"/>
            <w:vAlign w:val="bottom"/>
            <w:shd w:val="clear" w:color="auto" w:fill="CCEEFF"/>
          </w:tcPr>
          <w:p>
            <w:pPr>
              <w:spacing w:after="0"/>
              <w:rPr>
                <w:sz w:val="18"/>
                <w:szCs w:val="18"/>
                <w:color w:val="auto"/>
              </w:rPr>
            </w:pPr>
          </w:p>
        </w:tc>
      </w:tr>
      <w:tr>
        <w:trPr>
          <w:trHeight w:val="223"/>
        </w:trPr>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100" w:type="dxa"/>
            <w:vAlign w:val="bottom"/>
            <w:tcBorders>
              <w:bottom w:val="single" w:sz="8" w:color="CCEEFF"/>
            </w:tcBorders>
          </w:tcPr>
          <w:p>
            <w:pPr>
              <w:spacing w:after="0"/>
              <w:rPr>
                <w:sz w:val="19"/>
                <w:szCs w:val="19"/>
                <w:color w:val="auto"/>
              </w:rPr>
            </w:pPr>
          </w:p>
        </w:tc>
      </w:tr>
      <w:tr>
        <w:trPr>
          <w:trHeight w:val="216"/>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772,279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 w:right="259" w:firstLine="427"/>
        <w:spacing w:after="0" w:line="357" w:lineRule="auto"/>
        <w:rPr>
          <w:sz w:val="20"/>
          <w:szCs w:val="20"/>
          <w:color w:val="auto"/>
        </w:rPr>
      </w:pPr>
      <w:r>
        <w:rPr>
          <w:rFonts w:ascii="Arial" w:cs="Arial" w:eastAsia="Arial" w:hAnsi="Arial"/>
          <w:sz w:val="17"/>
          <w:szCs w:val="17"/>
          <w:color w:val="auto"/>
        </w:rPr>
        <w:t>Certain investments included in the table above are measured at fair value using the net asset value per share (or its equivalent) practical expedient and are not included in the three levels of the fair value hierarchy.</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June 27, 2020:</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Net Asset 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70"/>
              </w:rPr>
              <w:t>(Thousands)</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254,917</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81,817</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103,925</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218,573</w:t>
            </w:r>
          </w:p>
        </w:tc>
        <w:tc>
          <w:tcPr>
            <w:tcW w:w="100" w:type="dxa"/>
            <w:vAlign w:val="bottom"/>
            <w:shd w:val="clear" w:color="auto" w:fill="CCEEFF"/>
          </w:tcPr>
          <w:p>
            <w:pPr>
              <w:spacing w:after="0"/>
              <w:rPr>
                <w:sz w:val="18"/>
                <w:szCs w:val="18"/>
                <w:color w:val="auto"/>
              </w:rPr>
            </w:pPr>
          </w:p>
        </w:tc>
      </w:tr>
      <w:tr>
        <w:trPr>
          <w:trHeight w:val="223"/>
        </w:trPr>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35,325</w:t>
            </w:r>
          </w:p>
        </w:tc>
        <w:tc>
          <w:tcPr>
            <w:tcW w:w="100" w:type="dxa"/>
            <w:vAlign w:val="bottom"/>
            <w:tcBorders>
              <w:bottom w:val="single" w:sz="8" w:color="CCEEFF"/>
            </w:tcBorders>
          </w:tcPr>
          <w:p>
            <w:pPr>
              <w:spacing w:after="0"/>
              <w:rPr>
                <w:sz w:val="19"/>
                <w:szCs w:val="19"/>
                <w:color w:val="auto"/>
              </w:rPr>
            </w:pPr>
          </w:p>
        </w:tc>
      </w:tr>
      <w:tr>
        <w:trPr>
          <w:trHeight w:val="216"/>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707,800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427"/>
        <w:spacing w:after="0" w:line="324" w:lineRule="auto"/>
        <w:rPr>
          <w:sz w:val="20"/>
          <w:szCs w:val="20"/>
          <w:color w:val="auto"/>
        </w:rPr>
      </w:pPr>
      <w:r>
        <w:rPr>
          <w:rFonts w:ascii="Arial" w:cs="Arial" w:eastAsia="Arial" w:hAnsi="Arial"/>
          <w:sz w:val="18"/>
          <w:szCs w:val="18"/>
          <w:color w:val="auto"/>
        </w:rPr>
        <w:t>Each of these investments may be redeemed without restrictions in the normal course of business and there were no material unfunded commitments as of July 3,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July 3,</w:t>
            </w:r>
          </w:p>
        </w:tc>
        <w:tc>
          <w:tcPr>
            <w:tcW w:w="220" w:type="dxa"/>
            <w:vAlign w:val="bottom"/>
          </w:tcPr>
          <w:p>
            <w:pPr>
              <w:spacing w:after="0"/>
              <w:rPr>
                <w:sz w:val="17"/>
                <w:szCs w:val="17"/>
                <w:color w:val="auto"/>
              </w:rPr>
            </w:pPr>
          </w:p>
        </w:tc>
        <w:tc>
          <w:tcPr>
            <w:tcW w:w="10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27,</w:t>
            </w:r>
          </w:p>
        </w:tc>
      </w:tr>
      <w:tr>
        <w:trPr>
          <w:trHeight w:val="241"/>
        </w:trPr>
        <w:tc>
          <w:tcPr>
            <w:tcW w:w="6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20,804</w:t>
            </w:r>
          </w:p>
        </w:tc>
      </w:tr>
      <w:tr>
        <w:trPr>
          <w:trHeight w:val="216"/>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96,552</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July 3, 2021,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w:t>
            </w:r>
          </w:p>
        </w:tc>
        <w:tc>
          <w:tcPr>
            <w:tcW w:w="49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66,562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134,526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tcPr>
          <w:p>
            <w:pPr>
              <w:spacing w:after="0" w:line="203" w:lineRule="exact"/>
              <w:rPr>
                <w:sz w:val="20"/>
                <w:szCs w:val="20"/>
                <w:color w:val="auto"/>
              </w:rPr>
            </w:pPr>
            <w:r>
              <w:rPr>
                <w:rFonts w:ascii="Arial" w:cs="Arial" w:eastAsia="Arial" w:hAnsi="Arial"/>
                <w:sz w:val="18"/>
                <w:szCs w:val="18"/>
                <w:color w:val="auto"/>
              </w:rPr>
              <w:t>Total future operating lease payments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359,769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imputed interest on operating lease liabilities</w:t>
            </w: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(61,585)</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820" w:type="dxa"/>
            <w:vAlign w:val="bottom"/>
            <w:tcBorders>
              <w:top w:val="single" w:sz="8" w:color="CCEEFF"/>
            </w:tcBorders>
            <w:gridSpan w:val="3"/>
          </w:tcPr>
          <w:p>
            <w:pPr>
              <w:ind w:left="100"/>
              <w:spacing w:after="0" w:line="203" w:lineRule="exact"/>
              <w:rPr>
                <w:sz w:val="20"/>
                <w:szCs w:val="20"/>
                <w:color w:val="auto"/>
              </w:rPr>
            </w:pPr>
            <w:r>
              <w:rPr>
                <w:rFonts w:ascii="Arial" w:cs="Arial" w:eastAsia="Arial" w:hAnsi="Arial"/>
                <w:sz w:val="18"/>
                <w:szCs w:val="18"/>
                <w:color w:val="auto"/>
              </w:rPr>
              <w:t>Total operating lease liabilities</w:t>
            </w:r>
          </w:p>
        </w:tc>
        <w:tc>
          <w:tcPr>
            <w:tcW w:w="10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298,184</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3"/>
            <w:vMerge w:val="restart"/>
          </w:tcPr>
          <w:p>
            <w:pPr>
              <w:ind w:left="420"/>
              <w:spacing w:after="0"/>
              <w:rPr>
                <w:sz w:val="20"/>
                <w:szCs w:val="20"/>
                <w:color w:val="auto"/>
              </w:rPr>
            </w:pPr>
            <w:r>
              <w:rPr>
                <w:rFonts w:ascii="Arial" w:cs="Arial" w:eastAsia="Arial" w:hAnsi="Arial"/>
                <w:sz w:val="18"/>
                <w:szCs w:val="18"/>
                <w:color w:val="auto"/>
                <w:w w:val="92"/>
              </w:rPr>
              <w:t>Other information pertaining to operating leases consists of the following:</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2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87"/>
              </w:rPr>
              <w:t>Years Ended</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jc w:val="center"/>
              <w:ind w:right="1160"/>
              <w:spacing w:after="0" w:line="198" w:lineRule="exact"/>
              <w:rPr>
                <w:sz w:val="20"/>
                <w:szCs w:val="20"/>
                <w:color w:val="auto"/>
              </w:rPr>
            </w:pPr>
            <w:r>
              <w:rPr>
                <w:rFonts w:ascii="Arial" w:cs="Arial" w:eastAsia="Arial" w:hAnsi="Arial"/>
                <w:sz w:val="18"/>
                <w:szCs w:val="18"/>
                <w:b w:val="1"/>
                <w:bCs w:val="1"/>
                <w:color w:val="auto"/>
                <w:w w:val="89"/>
              </w:rPr>
              <w:t>July 3,</w:t>
            </w:r>
          </w:p>
        </w:tc>
        <w:tc>
          <w:tcPr>
            <w:tcW w:w="12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Operating Lease Term and Discount Rate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ind w:left="56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62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July 3,</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June 27,</w:t>
            </w:r>
          </w:p>
        </w:tc>
        <w:tc>
          <w:tcPr>
            <w:tcW w:w="20" w:type="dxa"/>
            <w:vAlign w:val="bottom"/>
          </w:tcPr>
          <w:p>
            <w:pPr>
              <w:spacing w:after="0"/>
              <w:rPr>
                <w:sz w:val="17"/>
                <w:szCs w:val="17"/>
                <w:color w:val="auto"/>
              </w:rPr>
            </w:pPr>
          </w:p>
        </w:tc>
      </w:tr>
      <w:tr>
        <w:trPr>
          <w:trHeight w:val="241"/>
        </w:trPr>
        <w:tc>
          <w:tcPr>
            <w:tcW w:w="6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59,587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60,957</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c>
          <w:tcPr>
            <w:tcW w:w="20" w:type="dxa"/>
            <w:vAlign w:val="bottom"/>
          </w:tcPr>
          <w:p>
            <w:pPr>
              <w:spacing w:after="0"/>
              <w:rPr>
                <w:sz w:val="18"/>
                <w:szCs w:val="18"/>
                <w:color w:val="auto"/>
              </w:rPr>
            </w:pPr>
          </w:p>
        </w:tc>
      </w:tr>
      <w:tr>
        <w:trPr>
          <w:trHeight w:val="810"/>
        </w:trPr>
        <w:tc>
          <w:tcPr>
            <w:tcW w:w="6160" w:type="dxa"/>
            <w:vAlign w:val="bottom"/>
          </w:tcPr>
          <w:p>
            <w:pPr>
              <w:jc w:val="right"/>
              <w:ind w:right="151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Stock-based compensation</w:t>
      </w:r>
    </w:p>
    <w:p>
      <w:pPr>
        <w:spacing w:after="0" w:line="229"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2021, 2020, and 2019, the Company recorded stock-based compensation expense of $29.3 million, $26.8 million, and $30.1 million, respectively, for all forms of stock-based compensation awards.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plan</w:t>
      </w:r>
    </w:p>
    <w:p>
      <w:pPr>
        <w:spacing w:after="0" w:line="239"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At July 3, 2021, the Company had 6.7 million shares of common stock reserved for stock-based payments, which consisted of 1.1 million shares for unvested or unexercised stock options, 4.1 million shares available for stock-based awards under plans approved by shareholders, and 1.5 million shares for restricted stock units and performance share units granted but not yet vested.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99" w:firstLine="427"/>
        <w:spacing w:after="0" w:line="329" w:lineRule="auto"/>
        <w:rPr>
          <w:sz w:val="20"/>
          <w:szCs w:val="20"/>
          <w:color w:val="auto"/>
        </w:rPr>
      </w:pPr>
      <w:r>
        <w:rPr>
          <w:rFonts w:ascii="Arial" w:cs="Arial" w:eastAsia="Arial" w:hAnsi="Arial"/>
          <w:sz w:val="17"/>
          <w:szCs w:val="17"/>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2021, 2020, and 2019, was $0.4 million, $2.9 million and $2.2 million, respectively.</w:t>
      </w:r>
    </w:p>
    <w:p>
      <w:pPr>
        <w:spacing w:after="0" w:line="143"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Years Ended</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40" w:type="dxa"/>
            <w:vAlign w:val="bottom"/>
            <w:gridSpan w:val="2"/>
          </w:tcPr>
          <w:p>
            <w:pPr>
              <w:jc w:val="right"/>
              <w:ind w:right="310"/>
              <w:spacing w:after="0" w:line="198" w:lineRule="exact"/>
              <w:rPr>
                <w:sz w:val="20"/>
                <w:szCs w:val="20"/>
                <w:color w:val="auto"/>
              </w:rPr>
            </w:pPr>
            <w:r>
              <w:rPr>
                <w:rFonts w:ascii="Arial" w:cs="Arial" w:eastAsia="Arial" w:hAnsi="Arial"/>
                <w:sz w:val="18"/>
                <w:szCs w:val="18"/>
                <w:b w:val="1"/>
                <w:bCs w:val="1"/>
                <w:color w:val="auto"/>
              </w:rPr>
              <w:t>July 3,</w:t>
            </w:r>
          </w:p>
        </w:tc>
        <w:tc>
          <w:tcPr>
            <w:tcW w:w="9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4"/>
              </w:rPr>
              <w:t>June 27,</w:t>
            </w:r>
          </w:p>
        </w:tc>
        <w:tc>
          <w:tcPr>
            <w:tcW w:w="7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June 29,</w:t>
            </w:r>
          </w:p>
        </w:tc>
        <w:tc>
          <w:tcPr>
            <w:tcW w:w="2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0" w:type="dxa"/>
            <w:vAlign w:val="bottom"/>
            <w:gridSpan w:val="3"/>
          </w:tcPr>
          <w:p>
            <w:pPr>
              <w:jc w:val="right"/>
              <w:ind w:right="10"/>
              <w:spacing w:after="0"/>
              <w:rPr>
                <w:sz w:val="20"/>
                <w:szCs w:val="20"/>
                <w:color w:val="auto"/>
              </w:rPr>
            </w:pPr>
            <w:r>
              <w:rPr>
                <w:rFonts w:ascii="Arial" w:cs="Arial" w:eastAsia="Arial" w:hAnsi="Arial"/>
                <w:sz w:val="18"/>
                <w:szCs w:val="18"/>
                <w:color w:val="auto"/>
              </w:rPr>
              <w:t>0.5 %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2.8 %</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31.5 %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23.7 %</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23.1 %</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Dividend yield</w:t>
            </w:r>
          </w:p>
        </w:tc>
        <w:tc>
          <w:tcPr>
            <w:tcW w:w="3800" w:type="dxa"/>
            <w:vAlign w:val="bottom"/>
            <w:gridSpan w:val="3"/>
          </w:tcPr>
          <w:p>
            <w:pPr>
              <w:jc w:val="right"/>
              <w:ind w:right="10"/>
              <w:spacing w:after="0"/>
              <w:rPr>
                <w:sz w:val="20"/>
                <w:szCs w:val="20"/>
                <w:color w:val="auto"/>
              </w:rPr>
            </w:pPr>
            <w:r>
              <w:rPr>
                <w:rFonts w:ascii="Arial" w:cs="Arial" w:eastAsia="Arial" w:hAnsi="Arial"/>
                <w:sz w:val="18"/>
                <w:szCs w:val="18"/>
                <w:color w:val="auto"/>
              </w:rPr>
              <w:t>2.8 %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1.8 %</w:t>
            </w:r>
          </w:p>
        </w:tc>
      </w:tr>
      <w:tr>
        <w:trPr>
          <w:trHeight w:val="63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60" w:type="dxa"/>
            <w:vAlign w:val="bottom"/>
          </w:tcPr>
          <w:p>
            <w:pPr>
              <w:jc w:val="right"/>
              <w:ind w:right="1290"/>
              <w:spacing w:after="0"/>
              <w:rPr>
                <w:sz w:val="20"/>
                <w:szCs w:val="20"/>
                <w:color w:val="auto"/>
              </w:rPr>
            </w:pPr>
            <w:r>
              <w:rPr>
                <w:rFonts w:ascii="Arial" w:cs="Arial" w:eastAsia="Arial" w:hAnsi="Arial"/>
                <w:sz w:val="18"/>
                <w:szCs w:val="18"/>
                <w:color w:val="auto"/>
              </w:rPr>
              <w:t>63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outstanding options for fiscal 2021:</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51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4"/>
          </w:tcPr>
          <w:p>
            <w:pPr>
              <w:ind w:left="18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Contractual Life</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27,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1,537,669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407,448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(674,018)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3,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1,125,431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Exercisable at July 3, 2021</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476,322</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41.14</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6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Months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The weighted-average grant-date fair values of stock options granted during fiscal 2021, 2020, and 2019, were $6.37, $7.41, and $10.74, respectively.</w:t>
      </w:r>
    </w:p>
    <w:p>
      <w:pPr>
        <w:spacing w:after="0" w:line="143"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At July 3, 2021, the aggregate intrinsic value of all outstanding stock option awards was $4.8 million and all exercisable stock option awards was $0.5 million.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stock options for the fiscal year 2021:</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6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June 27,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781,099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407,448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r>
      <w:tr>
        <w:trPr>
          <w:trHeight w:val="22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(370,778)</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r>
      <w:tr>
        <w:trPr>
          <w:trHeight w:val="21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July 3,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427"/>
        <w:spacing w:after="0" w:line="364" w:lineRule="auto"/>
        <w:rPr>
          <w:sz w:val="20"/>
          <w:szCs w:val="20"/>
          <w:color w:val="auto"/>
        </w:rPr>
      </w:pPr>
      <w:r>
        <w:rPr>
          <w:rFonts w:ascii="Arial" w:cs="Arial" w:eastAsia="Arial" w:hAnsi="Arial"/>
          <w:sz w:val="16"/>
          <w:szCs w:val="16"/>
          <w:color w:val="auto"/>
        </w:rPr>
        <w:t>As of July 3, 2021, there was $1.6 million of total unrecognized compensation cost related to stock options, which is expected to be recognized over a weighted-average period of 2.7 years. The total fair value of stock options vested, as of the vesting dates, during fiscal 2021, 2020, and 2019, were $4.8 million, $7.9 million, and $5.7 million, respectively.</w:t>
      </w:r>
    </w:p>
    <w:p>
      <w:pPr>
        <w:spacing w:after="0" w:line="121" w:lineRule="exact"/>
        <w:rPr>
          <w:sz w:val="20"/>
          <w:szCs w:val="20"/>
          <w:color w:val="auto"/>
        </w:rPr>
      </w:pPr>
    </w:p>
    <w:p>
      <w:pPr>
        <w:ind w:left="60" w:right="159" w:firstLine="427"/>
        <w:spacing w:after="0" w:line="310" w:lineRule="auto"/>
        <w:rPr>
          <w:sz w:val="20"/>
          <w:szCs w:val="20"/>
          <w:color w:val="auto"/>
        </w:rPr>
      </w:pPr>
      <w:r>
        <w:rPr>
          <w:rFonts w:ascii="Arial" w:cs="Arial" w:eastAsia="Arial" w:hAnsi="Arial"/>
          <w:sz w:val="18"/>
          <w:szCs w:val="18"/>
          <w:color w:val="auto"/>
        </w:rPr>
        <w:t>Cash received from stock option exercises during fiscal 2021, 2020, and 2019 totaled $4.9 million, $0.9 million, and $20.2 million, respectively. The impact of these cash receipts is included in “Other, net” within financing activities in the accompanying consolidated statements of cash flows.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59" w:firstLine="427"/>
        <w:spacing w:after="0" w:line="325" w:lineRule="auto"/>
        <w:rPr>
          <w:sz w:val="20"/>
          <w:szCs w:val="20"/>
          <w:color w:val="auto"/>
        </w:rPr>
      </w:pPr>
      <w:r>
        <w:rPr>
          <w:rFonts w:ascii="Arial" w:cs="Arial" w:eastAsia="Arial" w:hAnsi="Arial"/>
          <w:sz w:val="17"/>
          <w:szCs w:val="17"/>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July 3, 2021, 1.3 million shares previously awarded have not yet vested. Stock-based compensation expense associated with restricted stock units was $27.5 million, $26.1 million, and $23.7 million for fiscal years 2021, 2020, and 2019, respectively.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restricted stock units during fiscal 2021:</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64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27,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1,268,292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3,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1,338,035</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427"/>
        <w:spacing w:after="0" w:line="397" w:lineRule="auto"/>
        <w:rPr>
          <w:sz w:val="20"/>
          <w:szCs w:val="20"/>
          <w:color w:val="auto"/>
        </w:rPr>
      </w:pPr>
      <w:r>
        <w:rPr>
          <w:rFonts w:ascii="Arial" w:cs="Arial" w:eastAsia="Arial" w:hAnsi="Arial"/>
          <w:sz w:val="15"/>
          <w:szCs w:val="15"/>
          <w:color w:val="auto"/>
        </w:rPr>
        <w:t>As of July 3, 2021, there was $21.4 million of total unrecognized compensation expense related to non-vested restricted stock units, which is expected to be recognized over a weighted-average period of 2.1 years. The total fair value of restricted stock units vested during fiscal 2021, 2020, and 2019, was $25.8 million, $24.8 million, and $25.7 million, respectively.</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left="60" w:right="199" w:firstLine="427"/>
        <w:spacing w:after="0" w:line="322" w:lineRule="auto"/>
        <w:rPr>
          <w:sz w:val="20"/>
          <w:szCs w:val="20"/>
          <w:color w:val="auto"/>
        </w:rPr>
      </w:pPr>
      <w:r>
        <w:rPr>
          <w:rFonts w:ascii="Arial" w:cs="Arial" w:eastAsia="Arial" w:hAnsi="Arial"/>
          <w:sz w:val="17"/>
          <w:szCs w:val="17"/>
          <w:color w:val="auto"/>
        </w:rPr>
        <w:t>Certain eligible employees, including Avnet’s executive officers, may receive a portion of their long-term stock-based compensation through the performance share program, which allows for the vesting of shares based upon achievement of certain performance-based criteria (“Performance Share Program”). The Performance Share Program provides for the vesting to each grantee of a number of shares of Avnet’s common stock at the end of a three-year performance period, based on the Company achieving certain performance goals that the Compensation Committee of the Board of Directors establishes for each three-year performance period. The performance goals are a combination of measures, including cumulative earnings per share and total shareholder return.</w:t>
      </w:r>
    </w:p>
    <w:p>
      <w:pPr>
        <w:spacing w:after="0" w:line="149" w:lineRule="exact"/>
        <w:rPr>
          <w:sz w:val="20"/>
          <w:szCs w:val="20"/>
          <w:color w:val="auto"/>
        </w:rPr>
      </w:pPr>
    </w:p>
    <w:p>
      <w:pPr>
        <w:ind w:left="60" w:right="79" w:firstLine="427"/>
        <w:spacing w:after="0" w:line="373" w:lineRule="auto"/>
        <w:rPr>
          <w:sz w:val="20"/>
          <w:szCs w:val="20"/>
          <w:color w:val="auto"/>
        </w:rPr>
      </w:pPr>
      <w:r>
        <w:rPr>
          <w:rFonts w:ascii="Arial" w:cs="Arial" w:eastAsia="Arial" w:hAnsi="Arial"/>
          <w:sz w:val="15"/>
          <w:szCs w:val="15"/>
          <w:color w:val="auto"/>
        </w:rPr>
        <w:t>During fiscal 2021, the Company granted no performance share units, because the performance goals for future grants are being reviewed. During each of fiscal 2020 and 2019, the Company granted 0.2 million performance share units. The actual amount of performance share units vested at the end of each three-year period is measured by the level of achievement of performance goals, and can range from 0% to 200% of the award grant. During fiscal 2021, 2020, and 2019, the Company recognized stock-based compensation expense associated with the Performance Share Program of ($0.2) million, $(3.8) million, and $2.8 million, respectively. The expense recognized in fiscal 2021 was related to prior fiscal years’ grants.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46"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5" w:lineRule="exact"/>
        <w:rPr>
          <w:sz w:val="20"/>
          <w:szCs w:val="20"/>
          <w:color w:val="auto"/>
        </w:rPr>
      </w:pPr>
    </w:p>
    <w:p>
      <w:pPr>
        <w:ind w:left="60" w:right="299" w:firstLine="427"/>
        <w:spacing w:after="0" w:line="310" w:lineRule="auto"/>
        <w:rPr>
          <w:sz w:val="20"/>
          <w:szCs w:val="20"/>
          <w:color w:val="auto"/>
        </w:rPr>
      </w:pPr>
      <w:r>
        <w:rPr>
          <w:rFonts w:ascii="Arial" w:cs="Arial" w:eastAsia="Arial" w:hAnsi="Arial"/>
          <w:sz w:val="18"/>
          <w:szCs w:val="18"/>
          <w:color w:val="auto"/>
        </w:rPr>
        <w:t>As of July 3, 2021, and June 27, 2020, the Company had aggregate estimated liabilities of $14.7 million and $18.8 million, respectively, classified within accrued expenses and other for such compliance-related matters that were reasonably estimable as of such dates.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15. Earnings per share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Years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June 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88"/>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8"/>
          </w:tcPr>
          <w:p>
            <w:pPr>
              <w:ind w:left="80"/>
              <w:spacing w:after="0" w:line="202" w:lineRule="exact"/>
              <w:rPr>
                <w:sz w:val="20"/>
                <w:szCs w:val="20"/>
                <w:color w:val="auto"/>
              </w:rPr>
            </w:pPr>
            <w:r>
              <w:rPr>
                <w:rFonts w:ascii="Arial" w:cs="Arial" w:eastAsia="Arial" w:hAnsi="Arial"/>
                <w:sz w:val="18"/>
                <w:szCs w:val="18"/>
                <w:b w:val="1"/>
                <w:bCs w:val="1"/>
                <w:color w:val="auto"/>
                <w:w w:val="96"/>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193,114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(31,081)</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176,337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effect of dilutive stock-based compensation awards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(loss) per share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Stock options excluded from earnings per share calculation due to anti-</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dilutive effect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99" w:firstLine="427"/>
        <w:spacing w:after="0" w:line="277" w:lineRule="auto"/>
        <w:rPr>
          <w:sz w:val="20"/>
          <w:szCs w:val="20"/>
          <w:color w:val="auto"/>
        </w:rPr>
      </w:pPr>
      <w:r>
        <w:rPr>
          <w:rFonts w:ascii="Arial" w:cs="Arial" w:eastAsia="Arial" w:hAnsi="Arial"/>
          <w:sz w:val="18"/>
          <w:szCs w:val="18"/>
          <w:color w:val="auto"/>
        </w:rPr>
        <w:t>For the fiscal years ended June 27, 2020, the diluted net loss per share is the same as the basic net loss per share as the effect of all potential common shares would be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Additional cash flow information</w:t>
      </w:r>
    </w:p>
    <w:p>
      <w:pPr>
        <w:spacing w:after="0" w:line="229"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July 3,</w:t>
            </w:r>
          </w:p>
        </w:tc>
        <w:tc>
          <w:tcPr>
            <w:tcW w:w="18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27,</w:t>
            </w:r>
          </w:p>
        </w:tc>
        <w:tc>
          <w:tcPr>
            <w:tcW w:w="840" w:type="dxa"/>
            <w:vAlign w:val="bottom"/>
            <w:gridSpan w:val="4"/>
          </w:tcPr>
          <w:p>
            <w:pPr>
              <w:ind w:left="8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w w:val="72"/>
              </w:rPr>
              <w:t>(Thousands)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Periodic pension cost (benefit)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(4,256)</w:t>
            </w:r>
          </w:p>
        </w:tc>
        <w:tc>
          <w:tcPr>
            <w:tcW w:w="40" w:type="dxa"/>
            <w:vAlign w:val="bottom"/>
          </w:tcPr>
          <w:p>
            <w:pPr>
              <w:spacing w:after="0"/>
              <w:rPr>
                <w:sz w:val="18"/>
                <w:szCs w:val="18"/>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(23,595)</w:t>
            </w:r>
          </w:p>
        </w:tc>
        <w:tc>
          <w:tcPr>
            <w:tcW w:w="40" w:type="dxa"/>
            <w:vAlign w:val="bottom"/>
            <w:shd w:val="clear" w:color="auto" w:fill="CCEEFF"/>
          </w:tcPr>
          <w:p>
            <w:pPr>
              <w:spacing w:after="0"/>
              <w:rPr>
                <w:sz w:val="20"/>
                <w:szCs w:val="20"/>
                <w:color w:val="auto"/>
              </w:rPr>
            </w:pPr>
          </w:p>
        </w:tc>
      </w:tr>
      <w:tr>
        <w:trPr>
          <w:trHeight w:val="203"/>
        </w:trPr>
        <w:tc>
          <w:tcPr>
            <w:tcW w:w="6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22,512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31,343</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(17,491)</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July 3,</w:t>
            </w:r>
          </w:p>
        </w:tc>
        <w:tc>
          <w:tcPr>
            <w:tcW w:w="160" w:type="dxa"/>
            <w:vAlign w:val="bottom"/>
          </w:tcPr>
          <w:p>
            <w:pPr>
              <w:spacing w:after="0"/>
              <w:rPr>
                <w:sz w:val="17"/>
                <w:szCs w:val="17"/>
                <w:color w:val="auto"/>
              </w:rPr>
            </w:pPr>
          </w:p>
        </w:tc>
        <w:tc>
          <w:tcPr>
            <w:tcW w:w="92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88"/>
              </w:rPr>
              <w:t>June 27,</w:t>
            </w:r>
          </w:p>
        </w:tc>
        <w:tc>
          <w:tcPr>
            <w:tcW w:w="2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June 29,</w:t>
            </w:r>
          </w:p>
        </w:tc>
        <w:tc>
          <w:tcPr>
            <w:tcW w:w="20" w:type="dxa"/>
            <w:vAlign w:val="bottom"/>
          </w:tcPr>
          <w:p>
            <w:pPr>
              <w:spacing w:after="0"/>
              <w:rPr>
                <w:sz w:val="17"/>
                <w:szCs w:val="17"/>
                <w:color w:val="auto"/>
              </w:rPr>
            </w:pPr>
          </w:p>
        </w:tc>
      </w:tr>
      <w:tr>
        <w:trPr>
          <w:trHeight w:val="241"/>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03"/>
        </w:trPr>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0"/>
              </w:rPr>
              <w:t>(Thousands)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7,131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12,957</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98,509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137,995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144,822</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172,834</w:t>
            </w:r>
          </w:p>
        </w:tc>
        <w:tc>
          <w:tcPr>
            <w:tcW w:w="2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left="60" w:right="339" w:firstLine="427"/>
        <w:spacing w:after="0" w:line="395"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ind w:left="60" w:right="79" w:firstLine="427"/>
        <w:spacing w:after="0" w:line="354" w:lineRule="auto"/>
        <w:rPr>
          <w:sz w:val="20"/>
          <w:szCs w:val="20"/>
          <w:color w:val="auto"/>
        </w:rPr>
      </w:pPr>
      <w:r>
        <w:rPr>
          <w:rFonts w:ascii="Arial" w:cs="Arial" w:eastAsia="Arial" w:hAnsi="Arial"/>
          <w:sz w:val="16"/>
          <w:szCs w:val="16"/>
          <w:color w:val="auto"/>
        </w:rPr>
        <w:t>Electronic Components (“EC”) and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including e-commerce and marketing resources.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tbl>
      <w:tblPr>
        <w:tblLayout w:type="fixed"/>
        <w:tblInd w:w="40" w:type="dxa"/>
        <w:tblCellMar>
          <w:top w:w="0" w:type="dxa"/>
          <w:left w:w="0" w:type="dxa"/>
          <w:bottom w:w="0" w:type="dxa"/>
          <w:right w:w="0" w:type="dxa"/>
        </w:tblCellMar>
      </w:tblPr>
      <w:tr>
        <w:trPr>
          <w:trHeight w:val="207"/>
        </w:trPr>
        <w:tc>
          <w:tcPr>
            <w:tcW w:w="4620" w:type="dxa"/>
            <w:vAlign w:val="bottom"/>
            <w:gridSpan w:val="4"/>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AVNET,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gridSpan w:val="9"/>
          </w:tcPr>
          <w:p>
            <w:pPr>
              <w:ind w:left="2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July 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1"/>
              </w:rPr>
              <w:t>June 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6"/>
              </w:rPr>
              <w:t>(Millions)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18,030.5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16,340.1</w:t>
            </w:r>
          </w:p>
        </w:tc>
        <w:tc>
          <w:tcPr>
            <w:tcW w:w="24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18,060.3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19,534.7</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17,634.3</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19,518.6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349.1</w:t>
            </w:r>
          </w:p>
        </w:tc>
        <w:tc>
          <w:tcPr>
            <w:tcW w:w="24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long-lived asset impairment expense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6,096.7</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8,925.4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8,105.2</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8,564.6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Depreciation &amp; amortization expense:</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182.2</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Sales, by geographic area:</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(1)</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4,662.5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Asia/Pacific</w:t>
            </w:r>
            <w:r>
              <w:rPr>
                <w:rFonts w:ascii="Arial" w:cs="Arial" w:eastAsia="Arial" w:hAnsi="Arial"/>
                <w:sz w:val="25"/>
                <w:szCs w:val="25"/>
                <w:color w:val="auto"/>
                <w:vertAlign w:val="superscript"/>
              </w:rPr>
              <w:t>(3)</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7,619.9</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17,634.3</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19,518.6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(4)</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Asia/Pacific</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399" w:hanging="330"/>
        <w:spacing w:after="0" w:line="32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sales in the United States of $4.35 billion, $4.46 billion, and $4.80 billion for fiscal 2021, 2020 and 2019,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4" w:lineRule="exact"/>
        <w:rPr>
          <w:sz w:val="20"/>
          <w:szCs w:val="20"/>
          <w:color w:val="auto"/>
        </w:rPr>
      </w:pPr>
    </w:p>
    <w:p>
      <w:pPr>
        <w:ind w:left="380" w:right="159" w:hanging="330"/>
        <w:spacing w:after="0" w:line="31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sales in Germany and Belgium of $2.42 billion and $1.12 billion, respectively, for fiscal 2021. Includes sales in Germany and Belgium of $2.20 billion and $1.09 billion, respectively, for fiscal 2020. Includes sales in Germany and Belgium of $2.66 billion and $1.16 billion, respectively, for fiscal 2019.</w:t>
      </w:r>
    </w:p>
    <w:p>
      <w:pPr>
        <w:spacing w:after="0" w:line="21" w:lineRule="exact"/>
        <w:rPr>
          <w:rFonts w:ascii="Arial" w:cs="Arial" w:eastAsia="Arial" w:hAnsi="Arial"/>
          <w:sz w:val="18"/>
          <w:szCs w:val="18"/>
          <w:color w:val="auto"/>
        </w:rPr>
      </w:pPr>
    </w:p>
    <w:p>
      <w:pPr>
        <w:ind w:left="380" w:right="299" w:hanging="330"/>
        <w:spacing w:after="0" w:line="35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sales of $3.93 billion, $2.79 billion, and $1.04 billion in Taiwan, China (including Hong Kong), and Singapore, respectively, for fiscal 2021. Includes sales of $3.07 billion, $2.33 billion, and $955.4 million in Taiwan, China (including Hong Kong), and Singapore, respectively, for fiscal 2020. Includes sales of $3.20 billion, $2.52 billion, and $1.02 billion in Taiwan, China (including Hong Kong), and Singapore, respectively, for fiscal 2019.</w:t>
      </w:r>
    </w:p>
    <w:p>
      <w:pPr>
        <w:ind w:left="380" w:right="119" w:hanging="330"/>
        <w:spacing w:after="0" w:line="32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property, plant and equipment, net, of $142.7 million, $179.4 million, and $209.9 million in the United States for fiscal 2021, 2020, and 2019, respectively.</w:t>
      </w:r>
    </w:p>
    <w:p>
      <w:pPr>
        <w:spacing w:after="0" w:line="8" w:lineRule="exact"/>
        <w:rPr>
          <w:rFonts w:ascii="Arial" w:cs="Arial" w:eastAsia="Arial" w:hAnsi="Arial"/>
          <w:sz w:val="18"/>
          <w:szCs w:val="18"/>
          <w:color w:val="auto"/>
        </w:rPr>
      </w:pPr>
    </w:p>
    <w:p>
      <w:pPr>
        <w:ind w:left="380" w:right="79" w:hanging="330"/>
        <w:spacing w:after="0" w:line="354"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property, plant and equipment, net, of $77.9 million, $83.5 million, and $20.9 million in Germany, the UK, and Belgium, respectively, for fiscal 2021. Fiscal 2020 includes property, plant and equipment, net, of $84.9 million, $72.7 million, and $22.4 million in Germany, the UK, and Belgium, respectively. Fiscal 2019 includes property, plant and equipment, net, of $95.2 million, $70.5 million, and $25.2 million in Germany, the UK, and Belgium, respectively.</w:t>
      </w:r>
    </w:p>
    <w:p>
      <w:pPr>
        <w:spacing w:after="0" w:line="116" w:lineRule="exact"/>
        <w:rPr>
          <w:sz w:val="20"/>
          <w:szCs w:val="20"/>
          <w:color w:val="auto"/>
        </w:rPr>
      </w:pPr>
    </w:p>
    <w:p>
      <w:pPr>
        <w:ind w:left="60" w:right="199" w:firstLine="427"/>
        <w:spacing w:after="0" w:line="324"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3,</w:t>
            </w:r>
          </w:p>
        </w:tc>
        <w:tc>
          <w:tcPr>
            <w:tcW w:w="200" w:type="dxa"/>
            <w:vAlign w:val="bottom"/>
          </w:tcPr>
          <w:p>
            <w:pPr>
              <w:spacing w:after="0"/>
              <w:rPr>
                <w:sz w:val="17"/>
                <w:szCs w:val="17"/>
                <w:color w:val="auto"/>
              </w:rPr>
            </w:pPr>
          </w:p>
        </w:tc>
        <w:tc>
          <w:tcPr>
            <w:tcW w:w="9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June 27,</w:t>
            </w:r>
          </w:p>
        </w:tc>
        <w:tc>
          <w:tcPr>
            <w:tcW w:w="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$ 14,722.8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$ 13,440.3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$ 14,973.3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3,146.0</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$ 19,534.7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$ 17,634.3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$ 19,518.6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vMerge w:val="restart"/>
          </w:tcPr>
          <w:p>
            <w:pPr>
              <w:jc w:val="right"/>
              <w:ind w:right="1350"/>
              <w:spacing w:after="0"/>
              <w:rPr>
                <w:sz w:val="20"/>
                <w:szCs w:val="20"/>
                <w:color w:val="auto"/>
              </w:rPr>
            </w:pPr>
            <w:r>
              <w:rPr>
                <w:rFonts w:ascii="Arial" w:cs="Arial" w:eastAsia="Arial" w:hAnsi="Arial"/>
                <w:sz w:val="18"/>
                <w:szCs w:val="18"/>
                <w:color w:val="auto"/>
              </w:rPr>
              <w:t>69</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Restructuring expenses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2021</w:t>
      </w:r>
    </w:p>
    <w:p>
      <w:pPr>
        <w:spacing w:after="0" w:line="225" w:lineRule="exact"/>
        <w:rPr>
          <w:sz w:val="20"/>
          <w:szCs w:val="20"/>
          <w:color w:val="auto"/>
        </w:rPr>
      </w:pPr>
    </w:p>
    <w:p>
      <w:pPr>
        <w:ind w:left="60" w:right="59" w:firstLine="427"/>
        <w:spacing w:after="0" w:line="329" w:lineRule="auto"/>
        <w:rPr>
          <w:sz w:val="20"/>
          <w:szCs w:val="20"/>
          <w:color w:val="auto"/>
        </w:rPr>
      </w:pPr>
      <w:r>
        <w:rPr>
          <w:rFonts w:ascii="Arial" w:cs="Arial" w:eastAsia="Arial" w:hAnsi="Arial"/>
          <w:sz w:val="17"/>
          <w:szCs w:val="17"/>
          <w:color w:val="auto"/>
        </w:rPr>
        <w:t>During fiscal 2021, the Company undertook restructuring actions to improve operating efficiencies and reduce operating expenses. Restructuring expenses are included as a component of restructuring, integration, and other expenses in the consolidated statements of operations. The activity related to the restructuring liabilities associated with restructuring activities established during fiscal 2021 is presented in the following table:</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and Contract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Severance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Exit Costs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Fiscal 2021 restructuring expenses</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59,437</w:t>
            </w: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(26,022)</w:t>
            </w: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amounts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33,789</w:t>
            </w: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Severance expense recorded in fiscal 2021 related to the reduction, or planned reduction, of over 600 employees, primarily in executive management, operations, information technology, warehouse, and business support functions. Of the $59.4 million in restructuring expenses recorded during fiscal 2021, $39.0 million related to EC, $9.1 million related to Farnell, and $11.3 million related to Corporate. The Company expects most of the remaining amounts to be paid by the end of fiscal 2022.</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2020 and prior</w:t>
      </w:r>
    </w:p>
    <w:p>
      <w:pPr>
        <w:spacing w:after="0" w:line="225" w:lineRule="exact"/>
        <w:rPr>
          <w:sz w:val="20"/>
          <w:szCs w:val="20"/>
          <w:color w:val="auto"/>
        </w:rPr>
      </w:pPr>
    </w:p>
    <w:p>
      <w:pPr>
        <w:ind w:left="60" w:right="179" w:firstLine="427"/>
        <w:spacing w:after="0" w:line="364" w:lineRule="auto"/>
        <w:rPr>
          <w:sz w:val="20"/>
          <w:szCs w:val="20"/>
          <w:color w:val="auto"/>
        </w:rPr>
      </w:pPr>
      <w:r>
        <w:rPr>
          <w:rFonts w:ascii="Arial" w:cs="Arial" w:eastAsia="Arial" w:hAnsi="Arial"/>
          <w:sz w:val="16"/>
          <w:szCs w:val="16"/>
          <w:color w:val="auto"/>
        </w:rPr>
        <w:t>During fiscal 2020 and prior, the Company incurred restructuring expenses related to various restructuring actions intended to achieve planned synergies from acquired businesses and to reduce future operating expenses. The following table presents the activity during fiscal 2021 related to the restructuring liabilities established during fiscal 2020 and prior:</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and Contract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Severance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Exit Costs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2020</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16,942</w:t>
            </w: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(8,178)</w:t>
            </w: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r>
      <w:tr>
        <w:trPr>
          <w:trHeight w:val="223"/>
        </w:trPr>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expects the majority of the remaining amounts to be paid by the end of fiscal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0" w:right="1539" w:hanging="426"/>
        <w:spacing w:after="0" w:line="2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left="60" w:right="59" w:firstLine="427"/>
        <w:spacing w:after="0" w:line="287" w:lineRule="auto"/>
        <w:rPr>
          <w:sz w:val="20"/>
          <w:szCs w:val="20"/>
          <w:color w:val="auto"/>
        </w:rPr>
      </w:pPr>
      <w:r>
        <w:rPr>
          <w:rFonts w:ascii="Arial" w:cs="Arial" w:eastAsia="Arial" w:hAnsi="Arial"/>
          <w:sz w:val="16"/>
          <w:szCs w:val="16"/>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July 3, 2021. In making this assessment, management used the 2013 framework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and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Company maintained effective internal control over financial reporting as of July 3, 2021.</w:t>
      </w:r>
    </w:p>
    <w:p>
      <w:pPr>
        <w:spacing w:after="0" w:line="131" w:lineRule="exact"/>
        <w:rPr>
          <w:sz w:val="20"/>
          <w:szCs w:val="20"/>
          <w:color w:val="auto"/>
        </w:rPr>
      </w:pPr>
    </w:p>
    <w:p>
      <w:pPr>
        <w:ind w:left="60" w:right="479" w:firstLine="427"/>
        <w:spacing w:after="0" w:line="263"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controls over financial reporting as of July 3, 2021, as stated in its audit report which is included herein.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499" w:firstLine="427"/>
        <w:spacing w:after="0" w:line="286" w:lineRule="auto"/>
        <w:rPr>
          <w:sz w:val="20"/>
          <w:szCs w:val="20"/>
          <w:color w:val="auto"/>
        </w:rPr>
      </w:pPr>
      <w:r>
        <w:rPr>
          <w:rFonts w:ascii="Arial" w:cs="Arial" w:eastAsia="Arial" w:hAnsi="Arial"/>
          <w:sz w:val="17"/>
          <w:szCs w:val="17"/>
          <w:color w:val="auto"/>
        </w:rPr>
        <w:t>During the fourth quarter of fiscal 2021,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10 is incorporated in this Report by reference to the Company’s definitive proxy statement relating to the Annual Meeting of Stockholders scheduled to be held on November 18, 2021.</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11 is incorporated in this Report by reference to the Company’s definitive proxy statement relating to the Annual Meeting of Stockholders scheduled to be held on November 18, 2021.</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77"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scheduled to be held on November 18, 2021.</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scheduled to be held on November 18, 2021.</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scheduled to be held on November 18,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financial statements and supplementary data are listed in the index included under Item 8 of this Report.</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as part of this report.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80" w:type="dxa"/>
            <w:vAlign w:val="bottom"/>
            <w:gridSpan w:val="19"/>
          </w:tcPr>
          <w:p>
            <w:pPr>
              <w:ind w:left="17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Exhibit</w:t>
            </w: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Number</w:t>
            </w:r>
          </w:p>
        </w:tc>
        <w:tc>
          <w:tcPr>
            <w:tcW w:w="7740" w:type="dxa"/>
            <w:vAlign w:val="bottom"/>
            <w:gridSpan w:val="20"/>
          </w:tcPr>
          <w:p>
            <w:pPr>
              <w:spacing w:after="0"/>
              <w:rPr>
                <w:sz w:val="20"/>
                <w:szCs w:val="20"/>
                <w:color w:val="auto"/>
              </w:rPr>
            </w:pPr>
            <w:r>
              <w:rPr>
                <w:rFonts w:ascii="Arial" w:cs="Arial" w:eastAsia="Arial" w:hAnsi="Arial"/>
                <w:sz w:val="16"/>
                <w:szCs w:val="16"/>
                <w:b w:val="1"/>
                <w:bCs w:val="1"/>
                <w:color w:val="auto"/>
              </w:rPr>
              <w:t>Exhibit</w:t>
            </w:r>
          </w:p>
        </w:tc>
        <w:tc>
          <w:tcPr>
            <w:tcW w:w="0" w:type="dxa"/>
            <w:vAlign w:val="bottom"/>
          </w:tcPr>
          <w:p>
            <w:pPr>
              <w:spacing w:after="0"/>
              <w:rPr>
                <w:sz w:val="1"/>
                <w:szCs w:val="1"/>
                <w:color w:val="auto"/>
              </w:rPr>
            </w:pPr>
          </w:p>
        </w:tc>
      </w:tr>
      <w:tr>
        <w:trPr>
          <w:trHeight w:val="361"/>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280" w:type="dxa"/>
            <w:vAlign w:val="bottom"/>
          </w:tcPr>
          <w:p>
            <w:pPr>
              <w:spacing w:after="0"/>
              <w:rPr>
                <w:sz w:val="24"/>
                <w:szCs w:val="24"/>
                <w:color w:val="auto"/>
              </w:rPr>
            </w:pPr>
          </w:p>
        </w:tc>
        <w:tc>
          <w:tcPr>
            <w:tcW w:w="7740" w:type="dxa"/>
            <w:vAlign w:val="bottom"/>
            <w:tcBorders>
              <w:top w:val="single" w:sz="8" w:color="auto"/>
            </w:tcBorders>
            <w:gridSpan w:val="20"/>
          </w:tcPr>
          <w:p>
            <w:pPr>
              <w:spacing w:after="0"/>
              <w:rPr>
                <w:rFonts w:ascii="Arial" w:cs="Arial" w:eastAsia="Arial" w:hAnsi="Arial"/>
                <w:sz w:val="16"/>
                <w:szCs w:val="16"/>
                <w:color w:val="0000EE"/>
              </w:rPr>
            </w:pPr>
            <w:hyperlink r:id="rId92">
              <w:r>
                <w:rPr>
                  <w:rFonts w:ascii="Arial" w:cs="Arial" w:eastAsia="Arial" w:hAnsi="Arial"/>
                  <w:sz w:val="16"/>
                  <w:szCs w:val="16"/>
                  <w:color w:val="0000EE"/>
                </w:rPr>
                <w:t>Restated Certificate of Incorporation of the Company (incorporated herein by reference to Exhibit 3(i) to the</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20" w:type="dxa"/>
            <w:vAlign w:val="bottom"/>
            <w:tcBorders>
              <w:top w:val="single" w:sz="8" w:color="0000EE"/>
            </w:tcBorders>
            <w:gridSpan w:val="10"/>
          </w:tcPr>
          <w:p>
            <w:pPr>
              <w:spacing w:after="0" w:line="183" w:lineRule="exact"/>
              <w:rPr>
                <w:rFonts w:ascii="Arial" w:cs="Arial" w:eastAsia="Arial" w:hAnsi="Arial"/>
                <w:sz w:val="16"/>
                <w:szCs w:val="16"/>
                <w:color w:val="0000EE"/>
              </w:rPr>
            </w:pPr>
            <w:hyperlink r:id="rId92">
              <w:r>
                <w:rPr>
                  <w:rFonts w:ascii="Arial" w:cs="Arial" w:eastAsia="Arial" w:hAnsi="Arial"/>
                  <w:sz w:val="16"/>
                  <w:szCs w:val="16"/>
                  <w:color w:val="0000EE"/>
                </w:rPr>
                <w:t>Company’s Current Report on Form 8-K filed on February 12, 2001).</w:t>
              </w:r>
            </w:hyperlink>
          </w:p>
        </w:tc>
        <w:tc>
          <w:tcPr>
            <w:tcW w:w="7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3.2</w:t>
            </w: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6"/>
                <w:szCs w:val="16"/>
                <w:color w:val="0000EE"/>
                <w:w w:val="96"/>
              </w:rPr>
            </w:pPr>
            <w:hyperlink r:id="rId93">
              <w:r>
                <w:rPr>
                  <w:rFonts w:ascii="Arial" w:cs="Arial" w:eastAsia="Arial" w:hAnsi="Arial"/>
                  <w:sz w:val="16"/>
                  <w:szCs w:val="16"/>
                  <w:color w:val="0000EE"/>
                  <w:w w:val="96"/>
                </w:rPr>
                <w:t>By-laws of the Company, effective May 9, 2014 (incorporated herein by reference to Exhibit 3.1 to the Company’s</w:t>
              </w:r>
            </w:hyperlink>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gridSpan w:val="20"/>
          </w:tcPr>
          <w:p>
            <w:pPr>
              <w:spacing w:after="0"/>
              <w:rPr>
                <w:rFonts w:ascii="Arial" w:cs="Arial" w:eastAsia="Arial" w:hAnsi="Arial"/>
                <w:sz w:val="16"/>
                <w:szCs w:val="16"/>
                <w:color w:val="0000EE"/>
              </w:rPr>
            </w:pPr>
            <w:hyperlink r:id="rId93">
              <w:r>
                <w:rPr>
                  <w:rFonts w:ascii="Arial" w:cs="Arial" w:eastAsia="Arial" w:hAnsi="Arial"/>
                  <w:sz w:val="16"/>
                  <w:szCs w:val="16"/>
                  <w:color w:val="0000EE"/>
                </w:rPr>
                <w:t>Current Report on Form 8-K filed on May 12, 2014).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8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6"/>
                <w:szCs w:val="16"/>
                <w:color w:val="0000EE"/>
                <w:w w:val="92"/>
              </w:rPr>
            </w:pPr>
            <w:hyperlink r:id="rId94">
              <w:r>
                <w:rPr>
                  <w:rFonts w:ascii="Arial" w:cs="Arial" w:eastAsia="Arial" w:hAnsi="Arial"/>
                  <w:sz w:val="16"/>
                  <w:szCs w:val="16"/>
                  <w:color w:val="0000EE"/>
                  <w:w w:val="92"/>
                </w:rPr>
                <w:t>Description of Registrant’s Securities (incorporated herein by reference to Exhibit 4.1 to the Company’s Annual Report</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bottom w:val="single" w:sz="8" w:color="0000EE"/>
            </w:tcBorders>
            <w:gridSpan w:val="2"/>
          </w:tcPr>
          <w:p>
            <w:pPr>
              <w:spacing w:after="0" w:line="183" w:lineRule="exact"/>
              <w:rPr>
                <w:rFonts w:ascii="Arial" w:cs="Arial" w:eastAsia="Arial" w:hAnsi="Arial"/>
                <w:sz w:val="16"/>
                <w:szCs w:val="16"/>
                <w:color w:val="0000EE"/>
                <w:w w:val="93"/>
              </w:rPr>
            </w:pPr>
            <w:hyperlink r:id="rId94">
              <w:r>
                <w:rPr>
                  <w:rFonts w:ascii="Arial" w:cs="Arial" w:eastAsia="Arial" w:hAnsi="Arial"/>
                  <w:sz w:val="16"/>
                  <w:szCs w:val="16"/>
                  <w:color w:val="0000EE"/>
                  <w:w w:val="93"/>
                </w:rPr>
                <w:t>on Form 10-K filed on August 15, 2019).</w:t>
              </w:r>
            </w:hyperlink>
          </w:p>
        </w:tc>
        <w:tc>
          <w:tcPr>
            <w:tcW w:w="50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8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rFonts w:ascii="Arial" w:cs="Arial" w:eastAsia="Arial" w:hAnsi="Arial"/>
                <w:sz w:val="16"/>
                <w:szCs w:val="16"/>
                <w:color w:val="0000EE"/>
                <w:w w:val="90"/>
              </w:rPr>
            </w:pPr>
            <w:hyperlink r:id="rId95">
              <w:r>
                <w:rPr>
                  <w:rFonts w:ascii="Arial" w:cs="Arial" w:eastAsia="Arial" w:hAnsi="Arial"/>
                  <w:sz w:val="16"/>
                  <w:szCs w:val="16"/>
                  <w:color w:val="0000EE"/>
                  <w:w w:val="90"/>
                </w:rPr>
                <w:t>Indenture dated as of June 22, 2010, between the Company and Wells Fargo Bank, National Association, as Trustee,</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95">
              <w:r>
                <w:rPr>
                  <w:rFonts w:ascii="Arial" w:cs="Arial" w:eastAsia="Arial" w:hAnsi="Arial"/>
                  <w:sz w:val="16"/>
                  <w:szCs w:val="16"/>
                  <w:color w:val="0000EE"/>
                  <w:w w:val="92"/>
                </w:rPr>
                <w:t>providing for the issuance of Debt Securities in one or more series (incorporated herein by reference to Exhibit 4.1 to</w:t>
              </w:r>
            </w:hyperlink>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Borders>
              <w:bottom w:val="single" w:sz="8" w:color="0000EE"/>
            </w:tcBorders>
            <w:gridSpan w:val="4"/>
          </w:tcPr>
          <w:p>
            <w:pPr>
              <w:spacing w:after="0" w:line="183" w:lineRule="exact"/>
              <w:rPr>
                <w:rFonts w:ascii="Arial" w:cs="Arial" w:eastAsia="Arial" w:hAnsi="Arial"/>
                <w:sz w:val="16"/>
                <w:szCs w:val="16"/>
                <w:color w:val="0000EE"/>
                <w:w w:val="92"/>
              </w:rPr>
            </w:pPr>
            <w:hyperlink r:id="rId95">
              <w:r>
                <w:rPr>
                  <w:rFonts w:ascii="Arial" w:cs="Arial" w:eastAsia="Arial" w:hAnsi="Arial"/>
                  <w:sz w:val="16"/>
                  <w:szCs w:val="16"/>
                  <w:color w:val="0000EE"/>
                  <w:w w:val="92"/>
                </w:rPr>
                <w:t>the Company’s Current Report on Form 8-K filed on June 22, 2010).</w:t>
              </w:r>
            </w:hyperlink>
          </w:p>
        </w:tc>
        <w:tc>
          <w:tcPr>
            <w:tcW w:w="32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8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80" w:type="dxa"/>
            <w:vAlign w:val="bottom"/>
          </w:tcPr>
          <w:p>
            <w:pPr>
              <w:spacing w:after="0"/>
              <w:rPr>
                <w:sz w:val="24"/>
                <w:szCs w:val="24"/>
                <w:color w:val="auto"/>
              </w:rPr>
            </w:pPr>
          </w:p>
        </w:tc>
        <w:tc>
          <w:tcPr>
            <w:tcW w:w="7720" w:type="dxa"/>
            <w:vAlign w:val="bottom"/>
            <w:tcBorders>
              <w:bottom w:val="single" w:sz="8" w:color="0000EE"/>
            </w:tcBorders>
            <w:gridSpan w:val="19"/>
          </w:tcPr>
          <w:p>
            <w:pPr>
              <w:spacing w:after="0"/>
              <w:rPr>
                <w:rFonts w:ascii="Arial" w:cs="Arial" w:eastAsia="Arial" w:hAnsi="Arial"/>
                <w:sz w:val="16"/>
                <w:szCs w:val="16"/>
                <w:color w:val="0000EE"/>
                <w:w w:val="92"/>
              </w:rPr>
            </w:pPr>
            <w:hyperlink r:id="rId96">
              <w:r>
                <w:rPr>
                  <w:rFonts w:ascii="Arial" w:cs="Arial" w:eastAsia="Arial" w:hAnsi="Arial"/>
                  <w:sz w:val="16"/>
                  <w:szCs w:val="16"/>
                  <w:color w:val="0000EE"/>
                  <w:w w:val="92"/>
                </w:rPr>
                <w:t>Form of Officers’ Certificate establishing the terms of the 4.875% Notes due 2022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80" w:type="dxa"/>
            <w:vAlign w:val="bottom"/>
            <w:tcBorders>
              <w:bottom w:val="single" w:sz="8" w:color="0000EE"/>
            </w:tcBorders>
            <w:gridSpan w:val="8"/>
          </w:tcPr>
          <w:p>
            <w:pPr>
              <w:spacing w:after="0" w:line="183" w:lineRule="exact"/>
              <w:rPr>
                <w:rFonts w:ascii="Arial" w:cs="Arial" w:eastAsia="Arial" w:hAnsi="Arial"/>
                <w:sz w:val="16"/>
                <w:szCs w:val="16"/>
                <w:color w:val="0000EE"/>
                <w:w w:val="93"/>
              </w:rPr>
            </w:pPr>
            <w:hyperlink r:id="rId96">
              <w:r>
                <w:rPr>
                  <w:rFonts w:ascii="Arial" w:cs="Arial" w:eastAsia="Arial" w:hAnsi="Arial"/>
                  <w:sz w:val="16"/>
                  <w:szCs w:val="16"/>
                  <w:color w:val="0000EE"/>
                  <w:w w:val="93"/>
                </w:rPr>
                <w:t>Exhibit 4.1 to the Company’s Current Report on Form 8-K filed on November 21, 2012).</w:t>
              </w:r>
            </w:hyperlink>
          </w:p>
        </w:tc>
        <w:tc>
          <w:tcPr>
            <w:tcW w:w="19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280" w:type="dxa"/>
            <w:vAlign w:val="bottom"/>
          </w:tcPr>
          <w:p>
            <w:pPr>
              <w:spacing w:after="0"/>
              <w:rPr>
                <w:sz w:val="24"/>
                <w:szCs w:val="24"/>
                <w:color w:val="auto"/>
              </w:rPr>
            </w:pPr>
          </w:p>
        </w:tc>
        <w:tc>
          <w:tcPr>
            <w:tcW w:w="7720" w:type="dxa"/>
            <w:vAlign w:val="bottom"/>
            <w:tcBorders>
              <w:bottom w:val="single" w:sz="8" w:color="0000EE"/>
            </w:tcBorders>
            <w:gridSpan w:val="19"/>
          </w:tcPr>
          <w:p>
            <w:pPr>
              <w:spacing w:after="0"/>
              <w:rPr>
                <w:rFonts w:ascii="Arial" w:cs="Arial" w:eastAsia="Arial" w:hAnsi="Arial"/>
                <w:sz w:val="16"/>
                <w:szCs w:val="16"/>
                <w:color w:val="0000EE"/>
                <w:w w:val="92"/>
              </w:rPr>
            </w:pPr>
            <w:hyperlink r:id="rId97">
              <w:r>
                <w:rPr>
                  <w:rFonts w:ascii="Arial" w:cs="Arial" w:eastAsia="Arial" w:hAnsi="Arial"/>
                  <w:sz w:val="16"/>
                  <w:szCs w:val="16"/>
                  <w:color w:val="0000EE"/>
                  <w:w w:val="92"/>
                </w:rPr>
                <w:t>Form of Officers’ Certificate establishing the terms of the 4.625% Notes due 2026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520" w:type="dxa"/>
            <w:vAlign w:val="bottom"/>
            <w:tcBorders>
              <w:bottom w:val="single" w:sz="8" w:color="0000EE"/>
            </w:tcBorders>
            <w:gridSpan w:val="6"/>
          </w:tcPr>
          <w:p>
            <w:pPr>
              <w:spacing w:after="0" w:line="183" w:lineRule="exact"/>
              <w:rPr>
                <w:rFonts w:ascii="Arial" w:cs="Arial" w:eastAsia="Arial" w:hAnsi="Arial"/>
                <w:sz w:val="16"/>
                <w:szCs w:val="16"/>
                <w:color w:val="0000EE"/>
                <w:w w:val="93"/>
              </w:rPr>
            </w:pPr>
            <w:hyperlink r:id="rId97">
              <w:r>
                <w:rPr>
                  <w:rFonts w:ascii="Arial" w:cs="Arial" w:eastAsia="Arial" w:hAnsi="Arial"/>
                  <w:sz w:val="16"/>
                  <w:szCs w:val="16"/>
                  <w:color w:val="0000EE"/>
                  <w:w w:val="93"/>
                </w:rPr>
                <w:t>Exhibit 4.1 to the Company’s Current Report on Form 8-K filed on March 22, 2016).</w:t>
              </w:r>
            </w:hyperlink>
          </w:p>
        </w:tc>
        <w:tc>
          <w:tcPr>
            <w:tcW w:w="22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280" w:type="dxa"/>
            <w:vAlign w:val="bottom"/>
          </w:tcPr>
          <w:p>
            <w:pPr>
              <w:spacing w:after="0"/>
              <w:rPr>
                <w:sz w:val="24"/>
                <w:szCs w:val="24"/>
                <w:color w:val="auto"/>
              </w:rPr>
            </w:pPr>
          </w:p>
        </w:tc>
        <w:tc>
          <w:tcPr>
            <w:tcW w:w="7720" w:type="dxa"/>
            <w:vAlign w:val="bottom"/>
            <w:tcBorders>
              <w:bottom w:val="single" w:sz="8" w:color="0000EE"/>
            </w:tcBorders>
            <w:gridSpan w:val="19"/>
          </w:tcPr>
          <w:p>
            <w:pPr>
              <w:spacing w:after="0"/>
              <w:rPr>
                <w:rFonts w:ascii="Arial" w:cs="Arial" w:eastAsia="Arial" w:hAnsi="Arial"/>
                <w:sz w:val="16"/>
                <w:szCs w:val="16"/>
                <w:color w:val="0000EE"/>
                <w:w w:val="92"/>
              </w:rPr>
            </w:pPr>
            <w:hyperlink r:id="rId98">
              <w:r>
                <w:rPr>
                  <w:rFonts w:ascii="Arial" w:cs="Arial" w:eastAsia="Arial" w:hAnsi="Arial"/>
                  <w:sz w:val="16"/>
                  <w:szCs w:val="16"/>
                  <w:color w:val="0000EE"/>
                  <w:w w:val="92"/>
                </w:rPr>
                <w:t>Form of Officers’ Certificate setting forth the terms of the 3.750% Notes due 2021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r:id="rId98">
              <w:r>
                <w:rPr>
                  <w:rFonts w:ascii="Arial" w:cs="Arial" w:eastAsia="Arial" w:hAnsi="Arial"/>
                  <w:sz w:val="16"/>
                  <w:szCs w:val="16"/>
                  <w:color w:val="0000EE"/>
                  <w:w w:val="92"/>
                </w:rPr>
                <w:t>Exhibit 4.1 to the Company’s Current Report on Form 8-K filed on December 1, 2016).</w:t>
              </w:r>
            </w:hyperlink>
          </w:p>
        </w:tc>
        <w:tc>
          <w:tcPr>
            <w:tcW w:w="20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280" w:type="dxa"/>
            <w:vAlign w:val="bottom"/>
          </w:tcPr>
          <w:p>
            <w:pPr>
              <w:spacing w:after="0"/>
              <w:rPr>
                <w:sz w:val="24"/>
                <w:szCs w:val="24"/>
                <w:color w:val="auto"/>
              </w:rPr>
            </w:pPr>
          </w:p>
        </w:tc>
        <w:tc>
          <w:tcPr>
            <w:tcW w:w="7640" w:type="dxa"/>
            <w:vAlign w:val="bottom"/>
            <w:tcBorders>
              <w:bottom w:val="single" w:sz="8" w:color="0000EE"/>
            </w:tcBorders>
            <w:gridSpan w:val="16"/>
          </w:tcPr>
          <w:p>
            <w:pPr>
              <w:spacing w:after="0"/>
              <w:rPr>
                <w:rFonts w:ascii="Arial" w:cs="Arial" w:eastAsia="Arial" w:hAnsi="Arial"/>
                <w:sz w:val="16"/>
                <w:szCs w:val="16"/>
                <w:color w:val="0000EE"/>
                <w:w w:val="92"/>
              </w:rPr>
            </w:pPr>
            <w:hyperlink r:id="rId99">
              <w:r>
                <w:rPr>
                  <w:rFonts w:ascii="Arial" w:cs="Arial" w:eastAsia="Arial" w:hAnsi="Arial"/>
                  <w:sz w:val="16"/>
                  <w:szCs w:val="16"/>
                  <w:color w:val="0000EE"/>
                  <w:w w:val="92"/>
                </w:rPr>
                <w:t>Form of Officer’s Certificate setting forth the terms of the 3.00% Notes due 2031 (incorporated herein by reference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gridSpan w:val="20"/>
          </w:tcPr>
          <w:p>
            <w:pPr>
              <w:spacing w:after="0" w:line="183" w:lineRule="exact"/>
              <w:rPr>
                <w:rFonts w:ascii="Arial" w:cs="Arial" w:eastAsia="Arial" w:hAnsi="Arial"/>
                <w:sz w:val="16"/>
                <w:szCs w:val="16"/>
                <w:color w:val="0000EE"/>
              </w:rPr>
            </w:pPr>
            <w:hyperlink r:id="rId99">
              <w:r>
                <w:rPr>
                  <w:rFonts w:ascii="Arial" w:cs="Arial" w:eastAsia="Arial" w:hAnsi="Arial"/>
                  <w:sz w:val="16"/>
                  <w:szCs w:val="16"/>
                  <w:color w:val="0000EE"/>
                </w:rPr>
                <w:t>Exhibit 4.1 to the Company’s Current Report on Form 8-K filed on May 5,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40" w:type="dxa"/>
            <w:vAlign w:val="bottom"/>
            <w:gridSpan w:val="4"/>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20"/>
          </w:tcPr>
          <w:p>
            <w:pPr>
              <w:spacing w:after="0"/>
              <w:rPr>
                <w:sz w:val="20"/>
                <w:szCs w:val="20"/>
                <w:color w:val="auto"/>
              </w:rPr>
            </w:pPr>
            <w:r>
              <w:rPr>
                <w:rFonts w:ascii="Arial" w:cs="Arial" w:eastAsia="Arial" w:hAnsi="Arial"/>
                <w:sz w:val="16"/>
                <w:szCs w:val="16"/>
                <w:color w:val="auto"/>
                <w:w w:val="96"/>
              </w:rPr>
              <w:t>Note: The total amount of securities authorized under any other instrument that defines the rights of holders of the</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20"/>
          </w:tcPr>
          <w:p>
            <w:pPr>
              <w:spacing w:after="0"/>
              <w:rPr>
                <w:sz w:val="20"/>
                <w:szCs w:val="20"/>
                <w:color w:val="auto"/>
              </w:rPr>
            </w:pPr>
            <w:r>
              <w:rPr>
                <w:rFonts w:ascii="Arial" w:cs="Arial" w:eastAsia="Arial" w:hAnsi="Arial"/>
                <w:sz w:val="16"/>
                <w:szCs w:val="16"/>
                <w:color w:val="auto"/>
              </w:rPr>
              <w:t>Company’s long-term debt does not exceed 10% of the total assets of the Company and its subsidiaries on a</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20"/>
          </w:tcPr>
          <w:p>
            <w:pPr>
              <w:spacing w:after="0"/>
              <w:rPr>
                <w:sz w:val="20"/>
                <w:szCs w:val="20"/>
                <w:color w:val="auto"/>
              </w:rPr>
            </w:pPr>
            <w:r>
              <w:rPr>
                <w:rFonts w:ascii="Arial" w:cs="Arial" w:eastAsia="Arial" w:hAnsi="Arial"/>
                <w:sz w:val="16"/>
                <w:szCs w:val="16"/>
                <w:color w:val="auto"/>
                <w:w w:val="93"/>
              </w:rPr>
              <w:t>consolidated basis. Therefore, these instruments are not required to be filed as exhibits to this Report. The Company</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20"/>
          </w:tcPr>
          <w:p>
            <w:pPr>
              <w:spacing w:after="0"/>
              <w:rPr>
                <w:sz w:val="20"/>
                <w:szCs w:val="20"/>
                <w:color w:val="auto"/>
              </w:rPr>
            </w:pPr>
            <w:r>
              <w:rPr>
                <w:rFonts w:ascii="Arial" w:cs="Arial" w:eastAsia="Arial" w:hAnsi="Arial"/>
                <w:sz w:val="16"/>
                <w:szCs w:val="16"/>
                <w:color w:val="auto"/>
              </w:rPr>
              <w:t>agrees to furnish copies of such instruments to the Commission upon request.</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20"/>
          </w:tcPr>
          <w:p>
            <w:pPr>
              <w:spacing w:after="0"/>
              <w:rPr>
                <w:sz w:val="20"/>
                <w:szCs w:val="20"/>
                <w:color w:val="auto"/>
              </w:rPr>
            </w:pPr>
            <w:r>
              <w:rPr>
                <w:rFonts w:ascii="Arial" w:cs="Arial" w:eastAsia="Arial" w:hAnsi="Arial"/>
                <w:sz w:val="16"/>
                <w:szCs w:val="16"/>
                <w:b w:val="1"/>
                <w:bCs w:val="1"/>
                <w:color w:val="auto"/>
              </w:rPr>
              <w:t>Executive Compensation Plans and Arrangements</w:t>
            </w:r>
          </w:p>
        </w:tc>
        <w:tc>
          <w:tcPr>
            <w:tcW w:w="0" w:type="dxa"/>
            <w:vAlign w:val="bottom"/>
          </w:tcPr>
          <w:p>
            <w:pPr>
              <w:spacing w:after="0"/>
              <w:rPr>
                <w:sz w:val="1"/>
                <w:szCs w:val="1"/>
                <w:color w:val="auto"/>
              </w:rPr>
            </w:pPr>
          </w:p>
        </w:tc>
      </w:tr>
      <w:tr>
        <w:trPr>
          <w:trHeight w:val="37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8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6"/>
                <w:szCs w:val="16"/>
                <w:color w:val="0000EE"/>
                <w:w w:val="91"/>
              </w:rPr>
            </w:pPr>
            <w:hyperlink r:id="rId100">
              <w:r>
                <w:rPr>
                  <w:rFonts w:ascii="Arial" w:cs="Arial" w:eastAsia="Arial" w:hAnsi="Arial"/>
                  <w:sz w:val="16"/>
                  <w:szCs w:val="16"/>
                  <w:color w:val="0000EE"/>
                  <w:w w:val="91"/>
                </w:rPr>
                <w:t>Letter Agreement between the Company and Philip R. Gallagher as Chief Executive Officer dated November 17, 2020</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gridSpan w:val="20"/>
          </w:tcPr>
          <w:p>
            <w:pPr>
              <w:spacing w:after="0" w:line="183" w:lineRule="exact"/>
              <w:rPr>
                <w:rFonts w:ascii="Arial" w:cs="Arial" w:eastAsia="Arial" w:hAnsi="Arial"/>
                <w:sz w:val="16"/>
                <w:szCs w:val="16"/>
                <w:color w:val="0000EE"/>
                <w:w w:val="94"/>
              </w:rPr>
            </w:pPr>
            <w:hyperlink r:id="rId100">
              <w:r>
                <w:rPr>
                  <w:rFonts w:ascii="Arial" w:cs="Arial" w:eastAsia="Arial" w:hAnsi="Arial"/>
                  <w:sz w:val="16"/>
                  <w:szCs w:val="16"/>
                  <w:color w:val="0000EE"/>
                  <w:w w:val="94"/>
                </w:rPr>
                <w:t>(incorporated herein by reference to Exhibit 10.2 to the Company’s Quarterly Report on Form 10-Q filed on January</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00">
              <w:r>
                <w:rPr>
                  <w:rFonts w:ascii="Arial" w:cs="Arial" w:eastAsia="Arial" w:hAnsi="Arial"/>
                  <w:sz w:val="16"/>
                  <w:szCs w:val="16"/>
                  <w:color w:val="0000EE"/>
                  <w:w w:val="88"/>
                </w:rPr>
                <w:t>29, 2021).</w:t>
              </w:r>
            </w:hyperlink>
          </w:p>
        </w:tc>
        <w:tc>
          <w:tcPr>
            <w:tcW w:w="20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280" w:type="dxa"/>
            <w:vAlign w:val="bottom"/>
          </w:tcPr>
          <w:p>
            <w:pPr>
              <w:spacing w:after="0"/>
              <w:rPr>
                <w:sz w:val="24"/>
                <w:szCs w:val="24"/>
                <w:color w:val="auto"/>
              </w:rPr>
            </w:pPr>
          </w:p>
        </w:tc>
        <w:tc>
          <w:tcPr>
            <w:tcW w:w="7740" w:type="dxa"/>
            <w:vAlign w:val="bottom"/>
            <w:gridSpan w:val="20"/>
          </w:tcPr>
          <w:p>
            <w:pPr>
              <w:spacing w:after="0"/>
              <w:rPr>
                <w:rFonts w:ascii="Arial" w:cs="Arial" w:eastAsia="Arial" w:hAnsi="Arial"/>
                <w:sz w:val="16"/>
                <w:szCs w:val="16"/>
                <w:color w:val="0000EE"/>
                <w:w w:val="97"/>
              </w:rPr>
            </w:pPr>
            <w:hyperlink r:id="rId101">
              <w:r>
                <w:rPr>
                  <w:rFonts w:ascii="Arial" w:cs="Arial" w:eastAsia="Arial" w:hAnsi="Arial"/>
                  <w:sz w:val="16"/>
                  <w:szCs w:val="16"/>
                  <w:color w:val="0000EE"/>
                  <w:w w:val="97"/>
                </w:rPr>
                <w:t>Letter Agreement between the Company and Thomas Liguori dated December 25, 2017 (incorporated herein by</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101">
              <w:r>
                <w:rPr>
                  <w:rFonts w:ascii="Arial" w:cs="Arial" w:eastAsia="Arial" w:hAnsi="Arial"/>
                  <w:sz w:val="16"/>
                  <w:szCs w:val="16"/>
                  <w:color w:val="0000EE"/>
                </w:rPr>
                <w:t>reference to Exhibit 10.2 to the Company’s Current Report on Form 8-K filed on December 28, 2017).</w:t>
              </w:r>
            </w:hyperlink>
          </w:p>
        </w:tc>
        <w:tc>
          <w:tcPr>
            <w:tcW w:w="4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80" w:type="dxa"/>
            <w:vAlign w:val="bottom"/>
            <w:gridSpan w:val="9"/>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280" w:type="dxa"/>
            <w:vAlign w:val="bottom"/>
          </w:tcPr>
          <w:p>
            <w:pPr>
              <w:spacing w:after="0"/>
              <w:rPr>
                <w:sz w:val="24"/>
                <w:szCs w:val="24"/>
                <w:color w:val="auto"/>
              </w:rPr>
            </w:pPr>
          </w:p>
        </w:tc>
        <w:tc>
          <w:tcPr>
            <w:tcW w:w="7220" w:type="dxa"/>
            <w:vAlign w:val="bottom"/>
            <w:tcBorders>
              <w:bottom w:val="single" w:sz="8" w:color="0000EE"/>
            </w:tcBorders>
            <w:gridSpan w:val="12"/>
          </w:tcPr>
          <w:p>
            <w:pPr>
              <w:spacing w:after="0"/>
              <w:rPr>
                <w:rFonts w:ascii="Arial" w:cs="Arial" w:eastAsia="Arial" w:hAnsi="Arial"/>
                <w:sz w:val="16"/>
                <w:szCs w:val="16"/>
                <w:color w:val="0000EE"/>
                <w:w w:val="91"/>
              </w:rPr>
            </w:pPr>
            <w:hyperlink r:id="rId102">
              <w:r>
                <w:rPr>
                  <w:rFonts w:ascii="Arial" w:cs="Arial" w:eastAsia="Arial" w:hAnsi="Arial"/>
                  <w:sz w:val="16"/>
                  <w:szCs w:val="16"/>
                  <w:color w:val="0000EE"/>
                  <w:w w:val="91"/>
                </w:rPr>
                <w:t>Letter Agreement between the Company and William Amelio dated September 1, 2016 (incorporated herein by</w:t>
              </w:r>
            </w:hyperlink>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gridSpan w:val="20"/>
          </w:tcPr>
          <w:p>
            <w:pPr>
              <w:spacing w:after="0" w:line="183" w:lineRule="exact"/>
              <w:rPr>
                <w:rFonts w:ascii="Arial" w:cs="Arial" w:eastAsia="Arial" w:hAnsi="Arial"/>
                <w:sz w:val="16"/>
                <w:szCs w:val="16"/>
                <w:color w:val="0000EE"/>
              </w:rPr>
            </w:pPr>
            <w:hyperlink r:id="rId102">
              <w:r>
                <w:rPr>
                  <w:rFonts w:ascii="Arial" w:cs="Arial" w:eastAsia="Arial" w:hAnsi="Arial"/>
                  <w:sz w:val="16"/>
                  <w:szCs w:val="16"/>
                  <w:color w:val="0000EE"/>
                </w:rPr>
                <w:t>reference to Exhibit 10.1 to the Company’s Current Report on Form 8-K filed on September 7,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80" w:type="dxa"/>
            <w:vAlign w:val="bottom"/>
            <w:gridSpan w:val="9"/>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28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6"/>
                <w:szCs w:val="16"/>
                <w:color w:val="0000EE"/>
                <w:w w:val="92"/>
              </w:rPr>
            </w:pPr>
            <w:hyperlink r:id="rId103">
              <w:r>
                <w:rPr>
                  <w:rFonts w:ascii="Arial" w:cs="Arial" w:eastAsia="Arial" w:hAnsi="Arial"/>
                  <w:sz w:val="16"/>
                  <w:szCs w:val="16"/>
                  <w:color w:val="0000EE"/>
                  <w:w w:val="92"/>
                </w:rPr>
                <w:t>Form of Letter Agreement between the Company and Ken Arnold, Peter Bartolotta and Michael McCoy (incorporated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6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r:id="rId103">
              <w:r>
                <w:rPr>
                  <w:rFonts w:ascii="Arial" w:cs="Arial" w:eastAsia="Arial" w:hAnsi="Arial"/>
                  <w:sz w:val="16"/>
                  <w:szCs w:val="16"/>
                  <w:color w:val="0000EE"/>
                  <w:w w:val="92"/>
                </w:rPr>
                <w:t>herein by reference to Exhibit 10.2 to the Company’s Annual Report on Form 10-K filed on August 17, 2017).</w:t>
              </w:r>
            </w:hyperlink>
          </w:p>
        </w:tc>
        <w:tc>
          <w:tcPr>
            <w:tcW w:w="5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10.5</w:t>
            </w:r>
          </w:p>
        </w:tc>
        <w:tc>
          <w:tcPr>
            <w:tcW w:w="420" w:type="dxa"/>
            <w:vAlign w:val="bottom"/>
          </w:tcPr>
          <w:p>
            <w:pPr>
              <w:spacing w:after="0"/>
              <w:rPr>
                <w:sz w:val="16"/>
                <w:szCs w:val="16"/>
                <w:color w:val="auto"/>
              </w:rPr>
            </w:pPr>
          </w:p>
        </w:tc>
        <w:tc>
          <w:tcPr>
            <w:tcW w:w="7420" w:type="dxa"/>
            <w:vAlign w:val="bottom"/>
            <w:tcBorders>
              <w:bottom w:val="single" w:sz="8" w:color="0000EE"/>
            </w:tcBorders>
            <w:gridSpan w:val="18"/>
          </w:tcPr>
          <w:p>
            <w:pPr>
              <w:spacing w:after="0"/>
              <w:rPr>
                <w:rFonts w:ascii="Arial" w:cs="Arial" w:eastAsia="Arial" w:hAnsi="Arial"/>
                <w:sz w:val="16"/>
                <w:szCs w:val="16"/>
                <w:color w:val="0000EE"/>
                <w:w w:val="92"/>
              </w:rPr>
            </w:pPr>
            <w:hyperlink r:id="rId105">
              <w:r>
                <w:rPr>
                  <w:rFonts w:ascii="Arial" w:cs="Arial" w:eastAsia="Arial" w:hAnsi="Arial"/>
                  <w:sz w:val="16"/>
                  <w:szCs w:val="16"/>
                  <w:color w:val="0000EE"/>
                  <w:w w:val="92"/>
                </w:rPr>
                <w:t>Form of Employment Agreement between the Company and MaryAnn Miller (incorporated herein by reference to</w:t>
              </w:r>
            </w:hyperlink>
          </w:p>
        </w:tc>
        <w:tc>
          <w:tcPr>
            <w:tcW w:w="320" w:type="dxa"/>
            <w:vAlign w:val="bottom"/>
            <w:gridSpan w:val="5"/>
          </w:tcPr>
          <w:p>
            <w:pPr>
              <w:spacing w:after="0"/>
              <w:rPr>
                <w:sz w:val="16"/>
                <w:szCs w:val="16"/>
                <w:color w:val="auto"/>
              </w:rPr>
            </w:pPr>
          </w:p>
        </w:tc>
      </w:tr>
      <w:tr>
        <w:trPr>
          <w:trHeight w:val="182"/>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20" w:type="dxa"/>
            <w:vAlign w:val="bottom"/>
            <w:tcBorders>
              <w:bottom w:val="single" w:sz="8" w:color="0000EE"/>
            </w:tcBorders>
            <w:gridSpan w:val="12"/>
          </w:tcPr>
          <w:p>
            <w:pPr>
              <w:spacing w:after="0" w:line="183" w:lineRule="exact"/>
              <w:rPr>
                <w:rFonts w:ascii="Arial" w:cs="Arial" w:eastAsia="Arial" w:hAnsi="Arial"/>
                <w:sz w:val="16"/>
                <w:szCs w:val="16"/>
                <w:color w:val="0000EE"/>
                <w:w w:val="93"/>
              </w:rPr>
            </w:pPr>
            <w:hyperlink r:id="rId105">
              <w:r>
                <w:rPr>
                  <w:rFonts w:ascii="Arial" w:cs="Arial" w:eastAsia="Arial" w:hAnsi="Arial"/>
                  <w:sz w:val="16"/>
                  <w:szCs w:val="16"/>
                  <w:color w:val="0000EE"/>
                  <w:w w:val="93"/>
                </w:rPr>
                <w:t>Exhibit 10.3 to the Company’s Annual Report on Form 10-K filed on August 9, 2013).</w:t>
              </w:r>
            </w:hyperlink>
          </w:p>
        </w:tc>
        <w:tc>
          <w:tcPr>
            <w:tcW w:w="2120" w:type="dxa"/>
            <w:vAlign w:val="bottom"/>
            <w:gridSpan w:val="11"/>
          </w:tcPr>
          <w:p>
            <w:pPr>
              <w:spacing w:after="0"/>
              <w:rPr>
                <w:sz w:val="15"/>
                <w:szCs w:val="15"/>
                <w:color w:val="auto"/>
              </w:rPr>
            </w:pPr>
          </w:p>
        </w:tc>
      </w:tr>
      <w:tr>
        <w:trPr>
          <w:trHeight w:val="399"/>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10.6</w:t>
            </w:r>
          </w:p>
        </w:tc>
        <w:tc>
          <w:tcPr>
            <w:tcW w:w="420" w:type="dxa"/>
            <w:vAlign w:val="bottom"/>
          </w:tcPr>
          <w:p>
            <w:pPr>
              <w:spacing w:after="0"/>
              <w:rPr>
                <w:sz w:val="24"/>
                <w:szCs w:val="24"/>
                <w:color w:val="auto"/>
              </w:rPr>
            </w:pPr>
          </w:p>
        </w:tc>
        <w:tc>
          <w:tcPr>
            <w:tcW w:w="7420" w:type="dxa"/>
            <w:vAlign w:val="bottom"/>
            <w:tcBorders>
              <w:bottom w:val="single" w:sz="8" w:color="0000EE"/>
            </w:tcBorders>
            <w:gridSpan w:val="18"/>
          </w:tcPr>
          <w:p>
            <w:pPr>
              <w:spacing w:after="0"/>
              <w:rPr>
                <w:rFonts w:ascii="Arial" w:cs="Arial" w:eastAsia="Arial" w:hAnsi="Arial"/>
                <w:sz w:val="16"/>
                <w:szCs w:val="16"/>
                <w:color w:val="0000EE"/>
                <w:w w:val="92"/>
              </w:rPr>
            </w:pPr>
            <w:hyperlink r:id="rId106">
              <w:r>
                <w:rPr>
                  <w:rFonts w:ascii="Arial" w:cs="Arial" w:eastAsia="Arial" w:hAnsi="Arial"/>
                  <w:sz w:val="16"/>
                  <w:szCs w:val="16"/>
                  <w:color w:val="0000EE"/>
                  <w:w w:val="92"/>
                </w:rPr>
                <w:t>Form of Change of Control Agreement between the Company and Philip Gallagher, Thomas Liguori, Ken Arnold,</w:t>
              </w:r>
            </w:hyperlink>
          </w:p>
        </w:tc>
        <w:tc>
          <w:tcPr>
            <w:tcW w:w="320" w:type="dxa"/>
            <w:vAlign w:val="bottom"/>
            <w:gridSpan w:val="5"/>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560" w:type="dxa"/>
            <w:vAlign w:val="bottom"/>
            <w:tcBorders>
              <w:bottom w:val="single" w:sz="8" w:color="0000EE"/>
            </w:tcBorders>
            <w:gridSpan w:val="20"/>
          </w:tcPr>
          <w:p>
            <w:pPr>
              <w:spacing w:after="0" w:line="183" w:lineRule="exact"/>
              <w:rPr>
                <w:rFonts w:ascii="Arial" w:cs="Arial" w:eastAsia="Arial" w:hAnsi="Arial"/>
                <w:sz w:val="16"/>
                <w:szCs w:val="16"/>
                <w:color w:val="0000EE"/>
                <w:w w:val="94"/>
              </w:rPr>
            </w:pPr>
            <w:hyperlink r:id="rId106">
              <w:r>
                <w:rPr>
                  <w:rFonts w:ascii="Arial" w:cs="Arial" w:eastAsia="Arial" w:hAnsi="Arial"/>
                  <w:sz w:val="16"/>
                  <w:szCs w:val="16"/>
                  <w:color w:val="0000EE"/>
                  <w:w w:val="94"/>
                </w:rPr>
                <w:t>Michael McCoy, William Amelio, Peter Bartolotta and MaryAnn Miller (incorporated herein by reference to Exhibit</w:t>
              </w:r>
            </w:hyperlink>
          </w:p>
        </w:tc>
        <w:tc>
          <w:tcPr>
            <w:tcW w:w="180" w:type="dxa"/>
            <w:vAlign w:val="bottom"/>
            <w:gridSpan w:val="3"/>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gridSpan w:val="23"/>
          </w:tcPr>
          <w:p>
            <w:pPr>
              <w:spacing w:after="0" w:line="183" w:lineRule="exact"/>
              <w:rPr>
                <w:rFonts w:ascii="Arial" w:cs="Arial" w:eastAsia="Arial" w:hAnsi="Arial"/>
                <w:sz w:val="16"/>
                <w:szCs w:val="16"/>
                <w:color w:val="0000EE"/>
              </w:rPr>
            </w:pPr>
            <w:hyperlink r:id="rId106">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to the Company’s Current Report on Form 8-K filed on February 15, 2011).</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10.7</w:t>
            </w:r>
          </w:p>
        </w:tc>
        <w:tc>
          <w:tcPr>
            <w:tcW w:w="8160" w:type="dxa"/>
            <w:vAlign w:val="bottom"/>
            <w:gridSpan w:val="24"/>
          </w:tcPr>
          <w:p>
            <w:pPr>
              <w:ind w:left="14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80">
              <w:r>
                <w:rPr>
                  <w:rFonts w:ascii="Arial" w:cs="Arial" w:eastAsia="Arial" w:hAnsi="Arial"/>
                  <w:sz w:val="17"/>
                  <w:szCs w:val="17"/>
                  <w:color w:val="0000EE"/>
                </w:rPr>
                <w:t>Form of Change of Control Agreement between the Company and Leng Jin Chan, Dayna Badhorn and</w:t>
              </w:r>
            </w:hyperlink>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Elizabeth McMullen.</w:t>
              </w:r>
            </w:hyperlink>
          </w:p>
        </w:tc>
        <w:tc>
          <w:tcPr>
            <w:tcW w:w="340" w:type="dxa"/>
            <w:vAlign w:val="bottom"/>
            <w:gridSpan w:val="6"/>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10.8</w:t>
            </w:r>
          </w:p>
        </w:tc>
        <w:tc>
          <w:tcPr>
            <w:tcW w:w="420" w:type="dxa"/>
            <w:vAlign w:val="bottom"/>
          </w:tcPr>
          <w:p>
            <w:pPr>
              <w:spacing w:after="0"/>
              <w:rPr>
                <w:sz w:val="24"/>
                <w:szCs w:val="24"/>
                <w:color w:val="auto"/>
              </w:rPr>
            </w:pPr>
          </w:p>
        </w:tc>
        <w:tc>
          <w:tcPr>
            <w:tcW w:w="7740" w:type="dxa"/>
            <w:vAlign w:val="bottom"/>
            <w:tcBorders>
              <w:bottom w:val="single" w:sz="8" w:color="0000EE"/>
            </w:tcBorders>
            <w:gridSpan w:val="23"/>
          </w:tcPr>
          <w:p>
            <w:pPr>
              <w:spacing w:after="0"/>
              <w:rPr>
                <w:rFonts w:ascii="Arial" w:cs="Arial" w:eastAsia="Arial" w:hAnsi="Arial"/>
                <w:sz w:val="16"/>
                <w:szCs w:val="16"/>
                <w:color w:val="0000EE"/>
                <w:w w:val="91"/>
              </w:rPr>
            </w:pPr>
            <w:hyperlink r:id="rId107">
              <w:r>
                <w:rPr>
                  <w:rFonts w:ascii="Arial" w:cs="Arial" w:eastAsia="Arial" w:hAnsi="Arial"/>
                  <w:sz w:val="16"/>
                  <w:szCs w:val="16"/>
                  <w:color w:val="0000EE"/>
                  <w:w w:val="91"/>
                </w:rPr>
                <w:t>Form of Indemnity Agreement between the Company and its directors and officers (incorporated herein by reference to</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0" w:type="dxa"/>
            <w:vAlign w:val="bottom"/>
            <w:tcBorders>
              <w:bottom w:val="single" w:sz="8" w:color="0000EE"/>
            </w:tcBorders>
            <w:gridSpan w:val="11"/>
          </w:tcPr>
          <w:p>
            <w:pPr>
              <w:spacing w:after="0" w:line="183" w:lineRule="exact"/>
              <w:rPr>
                <w:rFonts w:ascii="Arial" w:cs="Arial" w:eastAsia="Arial" w:hAnsi="Arial"/>
                <w:sz w:val="16"/>
                <w:szCs w:val="16"/>
                <w:color w:val="0000EE"/>
                <w:w w:val="93"/>
              </w:rPr>
            </w:pPr>
            <w:hyperlink r:id="rId107">
              <w:r>
                <w:rPr>
                  <w:rFonts w:ascii="Arial" w:cs="Arial" w:eastAsia="Arial" w:hAnsi="Arial"/>
                  <w:sz w:val="16"/>
                  <w:szCs w:val="16"/>
                  <w:color w:val="0000EE"/>
                  <w:w w:val="93"/>
                </w:rPr>
                <w:t>Exhibit 10.1 to the Company’s Quarterly Report on Form 10-Q filed on May 8, 2006).</w:t>
              </w:r>
            </w:hyperlink>
          </w:p>
        </w:tc>
        <w:tc>
          <w:tcPr>
            <w:tcW w:w="2140" w:type="dxa"/>
            <w:vAlign w:val="bottom"/>
            <w:gridSpan w:val="12"/>
          </w:tcPr>
          <w:p>
            <w:pPr>
              <w:spacing w:after="0"/>
              <w:rPr>
                <w:sz w:val="15"/>
                <w:szCs w:val="15"/>
                <w:color w:val="auto"/>
              </w:rPr>
            </w:pPr>
          </w:p>
        </w:tc>
      </w:tr>
      <w:tr>
        <w:trPr>
          <w:trHeight w:val="398"/>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10.9</w:t>
            </w:r>
          </w:p>
        </w:tc>
        <w:tc>
          <w:tcPr>
            <w:tcW w:w="420" w:type="dxa"/>
            <w:vAlign w:val="bottom"/>
          </w:tcPr>
          <w:p>
            <w:pPr>
              <w:spacing w:after="0"/>
              <w:rPr>
                <w:sz w:val="24"/>
                <w:szCs w:val="24"/>
                <w:color w:val="auto"/>
              </w:rPr>
            </w:pPr>
          </w:p>
        </w:tc>
        <w:tc>
          <w:tcPr>
            <w:tcW w:w="7700" w:type="dxa"/>
            <w:vAlign w:val="bottom"/>
            <w:tcBorders>
              <w:bottom w:val="single" w:sz="8" w:color="0000EE"/>
            </w:tcBorders>
            <w:gridSpan w:val="22"/>
          </w:tcPr>
          <w:p>
            <w:pPr>
              <w:spacing w:after="0"/>
              <w:rPr>
                <w:rFonts w:ascii="Arial" w:cs="Arial" w:eastAsia="Arial" w:hAnsi="Arial"/>
                <w:sz w:val="16"/>
                <w:szCs w:val="16"/>
                <w:color w:val="0000EE"/>
                <w:w w:val="92"/>
              </w:rPr>
            </w:pPr>
            <w:hyperlink r:id="rId108">
              <w:r>
                <w:rPr>
                  <w:rFonts w:ascii="Arial" w:cs="Arial" w:eastAsia="Arial" w:hAnsi="Arial"/>
                  <w:sz w:val="16"/>
                  <w:szCs w:val="16"/>
                  <w:color w:val="0000EE"/>
                  <w:w w:val="92"/>
                </w:rPr>
                <w:t>Avnet Executive Severance Plan (Effective as of August 10, 2017) (incorporated herein by reference to Exhibit 10.1 to</w:t>
              </w:r>
            </w:hyperlink>
          </w:p>
        </w:tc>
        <w:tc>
          <w:tcPr>
            <w:tcW w:w="4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gridSpan w:val="23"/>
          </w:tcPr>
          <w:p>
            <w:pPr>
              <w:spacing w:after="0" w:line="183" w:lineRule="exact"/>
              <w:rPr>
                <w:rFonts w:ascii="Arial" w:cs="Arial" w:eastAsia="Arial" w:hAnsi="Arial"/>
                <w:sz w:val="16"/>
                <w:szCs w:val="16"/>
                <w:color w:val="0000EE"/>
              </w:rPr>
            </w:pPr>
            <w:hyperlink r:id="rId108">
              <w:r>
                <w:rPr>
                  <w:rFonts w:ascii="Arial" w:cs="Arial" w:eastAsia="Arial" w:hAnsi="Arial"/>
                  <w:sz w:val="16"/>
                  <w:szCs w:val="16"/>
                  <w:color w:val="0000EE"/>
                </w:rPr>
                <w:t>the Company’s Quarterly Report on Form 10-Q filed on October 30, 2017).</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8"/>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10.10</w:t>
            </w:r>
          </w:p>
        </w:tc>
        <w:tc>
          <w:tcPr>
            <w:tcW w:w="420" w:type="dxa"/>
            <w:vAlign w:val="bottom"/>
          </w:tcPr>
          <w:p>
            <w:pPr>
              <w:spacing w:after="0"/>
              <w:rPr>
                <w:sz w:val="24"/>
                <w:szCs w:val="24"/>
                <w:color w:val="auto"/>
              </w:rPr>
            </w:pPr>
          </w:p>
        </w:tc>
        <w:tc>
          <w:tcPr>
            <w:tcW w:w="7400" w:type="dxa"/>
            <w:vAlign w:val="bottom"/>
            <w:tcBorders>
              <w:bottom w:val="single" w:sz="8" w:color="0000EE"/>
            </w:tcBorders>
            <w:gridSpan w:val="17"/>
          </w:tcPr>
          <w:p>
            <w:pPr>
              <w:spacing w:after="0"/>
              <w:rPr>
                <w:rFonts w:ascii="Arial" w:cs="Arial" w:eastAsia="Arial" w:hAnsi="Arial"/>
                <w:sz w:val="16"/>
                <w:szCs w:val="16"/>
                <w:color w:val="0000EE"/>
                <w:w w:val="91"/>
              </w:rPr>
            </w:pPr>
            <w:hyperlink r:id="rId109">
              <w:r>
                <w:rPr>
                  <w:rFonts w:ascii="Arial" w:cs="Arial" w:eastAsia="Arial" w:hAnsi="Arial"/>
                  <w:sz w:val="16"/>
                  <w:szCs w:val="16"/>
                  <w:color w:val="0000EE"/>
                  <w:w w:val="91"/>
                </w:rPr>
                <w:t>Avnet Supplemental Executive Officers’ Retirement Plan (2013 Restatement) (incorporated herein by reference to</w:t>
              </w:r>
            </w:hyperlink>
          </w:p>
        </w:tc>
        <w:tc>
          <w:tcPr>
            <w:tcW w:w="340" w:type="dxa"/>
            <w:vAlign w:val="bottom"/>
            <w:gridSpan w:val="6"/>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700" w:type="dxa"/>
            <w:vAlign w:val="bottom"/>
            <w:tcBorders>
              <w:bottom w:val="single" w:sz="8" w:color="0000EE"/>
            </w:tcBorders>
            <w:gridSpan w:val="13"/>
          </w:tcPr>
          <w:p>
            <w:pPr>
              <w:spacing w:after="0" w:line="183" w:lineRule="exact"/>
              <w:rPr>
                <w:rFonts w:ascii="Arial" w:cs="Arial" w:eastAsia="Arial" w:hAnsi="Arial"/>
                <w:sz w:val="16"/>
                <w:szCs w:val="16"/>
                <w:color w:val="0000EE"/>
                <w:w w:val="93"/>
              </w:rPr>
            </w:pPr>
            <w:hyperlink r:id="rId109">
              <w:r>
                <w:rPr>
                  <w:rFonts w:ascii="Arial" w:cs="Arial" w:eastAsia="Arial" w:hAnsi="Arial"/>
                  <w:sz w:val="16"/>
                  <w:szCs w:val="16"/>
                  <w:color w:val="0000EE"/>
                  <w:w w:val="93"/>
                </w:rPr>
                <w:t>Exhibit 10.13 to the Company’s Annual Report on Form 10-K filed on August 9, 2013).</w:t>
              </w:r>
            </w:hyperlink>
          </w:p>
        </w:tc>
        <w:tc>
          <w:tcPr>
            <w:tcW w:w="2040" w:type="dxa"/>
            <w:vAlign w:val="bottom"/>
            <w:gridSpan w:val="10"/>
          </w:tcPr>
          <w:p>
            <w:pPr>
              <w:spacing w:after="0"/>
              <w:rPr>
                <w:sz w:val="15"/>
                <w:szCs w:val="15"/>
                <w:color w:val="auto"/>
              </w:rPr>
            </w:pPr>
          </w:p>
        </w:tc>
      </w:tr>
      <w:tr>
        <w:trPr>
          <w:trHeight w:val="385"/>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10.11</w:t>
            </w:r>
          </w:p>
        </w:tc>
        <w:tc>
          <w:tcPr>
            <w:tcW w:w="420" w:type="dxa"/>
            <w:vAlign w:val="bottom"/>
          </w:tcPr>
          <w:p>
            <w:pPr>
              <w:spacing w:after="0"/>
              <w:rPr>
                <w:sz w:val="24"/>
                <w:szCs w:val="24"/>
                <w:color w:val="auto"/>
              </w:rPr>
            </w:pPr>
          </w:p>
        </w:tc>
        <w:tc>
          <w:tcPr>
            <w:tcW w:w="7740" w:type="dxa"/>
            <w:vAlign w:val="bottom"/>
            <w:gridSpan w:val="23"/>
          </w:tcPr>
          <w:p>
            <w:pPr>
              <w:spacing w:after="0"/>
              <w:rPr>
                <w:rFonts w:ascii="Arial" w:cs="Arial" w:eastAsia="Arial" w:hAnsi="Arial"/>
                <w:sz w:val="16"/>
                <w:szCs w:val="16"/>
                <w:color w:val="0000EE"/>
                <w:w w:val="97"/>
              </w:rPr>
            </w:pPr>
            <w:hyperlink r:id="rId110">
              <w:r>
                <w:rPr>
                  <w:rFonts w:ascii="Arial" w:cs="Arial" w:eastAsia="Arial" w:hAnsi="Arial"/>
                  <w:sz w:val="16"/>
                  <w:szCs w:val="16"/>
                  <w:color w:val="0000EE"/>
                  <w:w w:val="97"/>
                </w:rPr>
                <w:t>Avnet Restoration Plan (2013 Restatement) (incorporated herein by reference to Exhibit 10.14 to the Company’s</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110">
              <w:r>
                <w:rPr>
                  <w:rFonts w:ascii="Arial" w:cs="Arial" w:eastAsia="Arial" w:hAnsi="Arial"/>
                  <w:sz w:val="16"/>
                  <w:szCs w:val="16"/>
                  <w:color w:val="0000EE"/>
                  <w:w w:val="93"/>
                </w:rPr>
                <w:t>Annual Report on Form 10-K filed on August 9, 2013).</w:t>
              </w:r>
            </w:hyperlink>
          </w:p>
        </w:tc>
        <w:tc>
          <w:tcPr>
            <w:tcW w:w="3680" w:type="dxa"/>
            <w:vAlign w:val="bottom"/>
            <w:tcBorders>
              <w:top w:val="single" w:sz="8" w:color="0000EE"/>
            </w:tcBorders>
            <w:gridSpan w:val="8"/>
          </w:tcPr>
          <w:p>
            <w:pPr>
              <w:spacing w:after="0"/>
              <w:rPr>
                <w:sz w:val="15"/>
                <w:szCs w:val="15"/>
                <w:color w:val="auto"/>
              </w:rPr>
            </w:pPr>
          </w:p>
        </w:tc>
        <w:tc>
          <w:tcPr>
            <w:tcW w:w="460" w:type="dxa"/>
            <w:vAlign w:val="bottom"/>
            <w:gridSpan w:val="7"/>
          </w:tcPr>
          <w:p>
            <w:pPr>
              <w:spacing w:after="0"/>
              <w:rPr>
                <w:sz w:val="15"/>
                <w:szCs w:val="15"/>
                <w:color w:val="auto"/>
              </w:rPr>
            </w:pPr>
          </w:p>
        </w:tc>
      </w:tr>
      <w:tr>
        <w:trPr>
          <w:trHeight w:val="385"/>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10.12</w:t>
            </w:r>
          </w:p>
        </w:tc>
        <w:tc>
          <w:tcPr>
            <w:tcW w:w="420" w:type="dxa"/>
            <w:vAlign w:val="bottom"/>
          </w:tcPr>
          <w:p>
            <w:pPr>
              <w:spacing w:after="0"/>
              <w:rPr>
                <w:sz w:val="24"/>
                <w:szCs w:val="24"/>
                <w:color w:val="auto"/>
              </w:rPr>
            </w:pPr>
          </w:p>
        </w:tc>
        <w:tc>
          <w:tcPr>
            <w:tcW w:w="7740" w:type="dxa"/>
            <w:vAlign w:val="bottom"/>
            <w:gridSpan w:val="23"/>
          </w:tcPr>
          <w:p>
            <w:pPr>
              <w:spacing w:after="0"/>
              <w:rPr>
                <w:rFonts w:ascii="Arial" w:cs="Arial" w:eastAsia="Arial" w:hAnsi="Arial"/>
                <w:sz w:val="16"/>
                <w:szCs w:val="16"/>
                <w:color w:val="0000EE"/>
                <w:w w:val="92"/>
              </w:rPr>
            </w:pPr>
            <w:hyperlink r:id="rId111">
              <w:r>
                <w:rPr>
                  <w:rFonts w:ascii="Arial" w:cs="Arial" w:eastAsia="Arial" w:hAnsi="Arial"/>
                  <w:sz w:val="16"/>
                  <w:szCs w:val="16"/>
                  <w:color w:val="0000EE"/>
                  <w:w w:val="92"/>
                </w:rPr>
                <w:t>Avnet, Inc. 2010 Stock Compensation Plan (Amended and Restated Effective as of May 8, 2018). (incorporated herein</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8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111">
              <w:r>
                <w:rPr>
                  <w:rFonts w:ascii="Arial" w:cs="Arial" w:eastAsia="Arial" w:hAnsi="Arial"/>
                  <w:sz w:val="16"/>
                  <w:szCs w:val="16"/>
                  <w:color w:val="0000EE"/>
                </w:rPr>
                <w:t>by reference to Exhibit 10.8 to the Company’s Annual Report on Form 10-K filing on August 17, 2018).</w:t>
              </w:r>
            </w:hyperlink>
          </w:p>
        </w:tc>
        <w:tc>
          <w:tcPr>
            <w:tcW w:w="60" w:type="dxa"/>
            <w:vAlign w:val="bottom"/>
            <w:gridSpan w:val="2"/>
          </w:tcPr>
          <w:p>
            <w:pPr>
              <w:spacing w:after="0"/>
              <w:rPr>
                <w:sz w:val="15"/>
                <w:szCs w:val="15"/>
                <w:color w:val="auto"/>
              </w:rPr>
            </w:pPr>
          </w:p>
        </w:tc>
      </w:tr>
      <w:tr>
        <w:trPr>
          <w:trHeight w:val="385"/>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10.13</w:t>
            </w:r>
          </w:p>
        </w:tc>
        <w:tc>
          <w:tcPr>
            <w:tcW w:w="42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r:id="rId112">
              <w:r>
                <w:rPr>
                  <w:rFonts w:ascii="Arial" w:cs="Arial" w:eastAsia="Arial" w:hAnsi="Arial"/>
                  <w:sz w:val="16"/>
                  <w:szCs w:val="16"/>
                  <w:color w:val="0000EE"/>
                  <w:w w:val="91"/>
                </w:rPr>
                <w:t>Avnet, Inc. 2010 Stock Compensation Plan:</w:t>
              </w:r>
            </w:hyperlink>
          </w:p>
        </w:tc>
        <w:tc>
          <w:tcPr>
            <w:tcW w:w="3920" w:type="dxa"/>
            <w:vAlign w:val="bottom"/>
            <w:tcBorders>
              <w:top w:val="single" w:sz="8" w:color="0000EE"/>
            </w:tcBorders>
            <w:gridSpan w:val="10"/>
          </w:tcPr>
          <w:p>
            <w:pPr>
              <w:spacing w:after="0"/>
              <w:rPr>
                <w:sz w:val="24"/>
                <w:szCs w:val="24"/>
                <w:color w:val="auto"/>
              </w:rPr>
            </w:pPr>
          </w:p>
        </w:tc>
        <w:tc>
          <w:tcPr>
            <w:tcW w:w="980" w:type="dxa"/>
            <w:vAlign w:val="bottom"/>
            <w:gridSpan w:val="9"/>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gridSpan w:val="23"/>
          </w:tcPr>
          <w:p>
            <w:pPr>
              <w:spacing w:after="0" w:line="183" w:lineRule="exact"/>
              <w:rPr>
                <w:rFonts w:ascii="Arial" w:cs="Arial" w:eastAsia="Arial" w:hAnsi="Arial"/>
                <w:sz w:val="16"/>
                <w:szCs w:val="16"/>
                <w:color w:val="0000EE"/>
              </w:rPr>
            </w:pPr>
            <w:hyperlink r:id="rId112">
              <w:r>
                <w:rPr>
                  <w:rFonts w:ascii="Arial" w:cs="Arial" w:eastAsia="Arial" w:hAnsi="Arial"/>
                  <w:sz w:val="16"/>
                  <w:szCs w:val="16"/>
                  <w:color w:val="0000EE"/>
                </w:rPr>
                <w:t>(a) Form of non-qualified stock option term sheet</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2"/>
              </w:rPr>
            </w:pPr>
            <w:hyperlink r:id="rId112">
              <w:r>
                <w:rPr>
                  <w:rFonts w:ascii="Arial" w:cs="Arial" w:eastAsia="Arial" w:hAnsi="Arial"/>
                  <w:sz w:val="16"/>
                  <w:szCs w:val="16"/>
                  <w:color w:val="0000EE"/>
                  <w:w w:val="92"/>
                </w:rPr>
                <w:t>(b) Form of incentive stock option term sheet</w:t>
              </w:r>
            </w:hyperlink>
          </w:p>
        </w:tc>
        <w:tc>
          <w:tcPr>
            <w:tcW w:w="260" w:type="dxa"/>
            <w:vAlign w:val="bottom"/>
            <w:tcBorders>
              <w:top w:val="single" w:sz="8" w:color="0000EE"/>
            </w:tcBorders>
            <w:gridSpan w:val="2"/>
          </w:tcPr>
          <w:p>
            <w:pPr>
              <w:spacing w:after="0"/>
              <w:rPr>
                <w:sz w:val="15"/>
                <w:szCs w:val="15"/>
                <w:color w:val="auto"/>
              </w:rPr>
            </w:pPr>
          </w:p>
        </w:tc>
        <w:tc>
          <w:tcPr>
            <w:tcW w:w="4540" w:type="dxa"/>
            <w:vAlign w:val="bottom"/>
            <w:gridSpan w:val="16"/>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gridSpan w:val="23"/>
          </w:tcPr>
          <w:p>
            <w:pPr>
              <w:spacing w:after="0" w:line="183" w:lineRule="exact"/>
              <w:rPr>
                <w:rFonts w:ascii="Arial" w:cs="Arial" w:eastAsia="Arial" w:hAnsi="Arial"/>
                <w:sz w:val="16"/>
                <w:szCs w:val="16"/>
                <w:color w:val="0000EE"/>
              </w:rPr>
            </w:pPr>
            <w:hyperlink r:id="rId112">
              <w:r>
                <w:rPr>
                  <w:rFonts w:ascii="Arial" w:cs="Arial" w:eastAsia="Arial" w:hAnsi="Arial"/>
                  <w:sz w:val="16"/>
                  <w:szCs w:val="16"/>
                  <w:color w:val="0000EE"/>
                </w:rPr>
                <w:t>(c) Form of performance stock unit term sheet</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80" w:type="dxa"/>
            <w:vAlign w:val="bottom"/>
            <w:tcBorders>
              <w:top w:val="single" w:sz="8" w:color="0000EE"/>
            </w:tcBorders>
            <w:gridSpan w:val="6"/>
          </w:tcPr>
          <w:p>
            <w:pPr>
              <w:spacing w:after="0" w:line="183" w:lineRule="exact"/>
              <w:rPr>
                <w:rFonts w:ascii="Arial" w:cs="Arial" w:eastAsia="Arial" w:hAnsi="Arial"/>
                <w:sz w:val="16"/>
                <w:szCs w:val="16"/>
                <w:color w:val="0000EE"/>
                <w:w w:val="98"/>
              </w:rPr>
            </w:pPr>
            <w:hyperlink r:id="rId112">
              <w:r>
                <w:rPr>
                  <w:rFonts w:ascii="Arial" w:cs="Arial" w:eastAsia="Arial" w:hAnsi="Arial"/>
                  <w:sz w:val="16"/>
                  <w:szCs w:val="16"/>
                  <w:color w:val="0000EE"/>
                  <w:w w:val="98"/>
                </w:rPr>
                <w:t>(d) Form of restricted stock unit term sheet</w:t>
              </w:r>
            </w:hyperlink>
          </w:p>
        </w:tc>
        <w:tc>
          <w:tcPr>
            <w:tcW w:w="4760" w:type="dxa"/>
            <w:vAlign w:val="bottom"/>
            <w:gridSpan w:val="17"/>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46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gridSpan w:val="23"/>
          </w:tcPr>
          <w:p>
            <w:pPr>
              <w:spacing w:after="0" w:line="183" w:lineRule="exact"/>
              <w:rPr>
                <w:rFonts w:ascii="Arial" w:cs="Arial" w:eastAsia="Arial" w:hAnsi="Arial"/>
                <w:sz w:val="16"/>
                <w:szCs w:val="16"/>
                <w:color w:val="0000EE"/>
                <w:w w:val="95"/>
              </w:rPr>
            </w:pPr>
            <w:hyperlink r:id="rId112">
              <w:r>
                <w:rPr>
                  <w:rFonts w:ascii="Arial" w:cs="Arial" w:eastAsia="Arial" w:hAnsi="Arial"/>
                  <w:sz w:val="16"/>
                  <w:szCs w:val="16"/>
                  <w:color w:val="0000EE"/>
                  <w:w w:val="95"/>
                </w:rPr>
                <w:t>(incorporated herein by reference to Exhibit 10.1 to the Company’s Current Report on Form 8-K filed on August 10,</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840" w:type="dxa"/>
            <w:vAlign w:val="bottom"/>
            <w:gridSpan w:val="2"/>
          </w:tcPr>
          <w:p>
            <w:pPr>
              <w:ind w:left="420"/>
              <w:spacing w:after="0" w:line="183" w:lineRule="exact"/>
              <w:rPr>
                <w:rFonts w:ascii="Arial" w:cs="Arial" w:eastAsia="Arial" w:hAnsi="Arial"/>
                <w:sz w:val="16"/>
                <w:szCs w:val="16"/>
                <w:color w:val="0000EE"/>
                <w:w w:val="88"/>
              </w:rPr>
            </w:pPr>
            <w:hyperlink r:id="rId112">
              <w:r>
                <w:rPr>
                  <w:rFonts w:ascii="Arial" w:cs="Arial" w:eastAsia="Arial" w:hAnsi="Arial"/>
                  <w:sz w:val="16"/>
                  <w:szCs w:val="16"/>
                  <w:color w:val="0000EE"/>
                  <w:w w:val="88"/>
                </w:rPr>
                <w:t>2012).</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385"/>
        </w:trPr>
        <w:tc>
          <w:tcPr>
            <w:tcW w:w="480" w:type="dxa"/>
            <w:vAlign w:val="bottom"/>
          </w:tcPr>
          <w:p>
            <w:pPr>
              <w:jc w:val="center"/>
              <w:ind w:right="39"/>
              <w:spacing w:after="0"/>
              <w:rPr>
                <w:sz w:val="20"/>
                <w:szCs w:val="20"/>
                <w:color w:val="auto"/>
              </w:rPr>
            </w:pPr>
            <w:r>
              <w:rPr>
                <w:rFonts w:ascii="Arial" w:cs="Arial" w:eastAsia="Arial" w:hAnsi="Arial"/>
                <w:sz w:val="16"/>
                <w:szCs w:val="16"/>
                <w:color w:val="auto"/>
                <w:w w:val="89"/>
              </w:rPr>
              <w:t>10.14</w:t>
            </w:r>
          </w:p>
        </w:tc>
        <w:tc>
          <w:tcPr>
            <w:tcW w:w="420" w:type="dxa"/>
            <w:vAlign w:val="bottom"/>
          </w:tcPr>
          <w:p>
            <w:pPr>
              <w:spacing w:after="0"/>
              <w:rPr>
                <w:sz w:val="24"/>
                <w:szCs w:val="24"/>
                <w:color w:val="auto"/>
              </w:rPr>
            </w:pPr>
          </w:p>
        </w:tc>
        <w:tc>
          <w:tcPr>
            <w:tcW w:w="7740" w:type="dxa"/>
            <w:vAlign w:val="bottom"/>
            <w:gridSpan w:val="23"/>
          </w:tcPr>
          <w:p>
            <w:pPr>
              <w:spacing w:after="0"/>
              <w:rPr>
                <w:rFonts w:ascii="Arial" w:cs="Arial" w:eastAsia="Arial" w:hAnsi="Arial"/>
                <w:sz w:val="16"/>
                <w:szCs w:val="16"/>
                <w:color w:val="0000EE"/>
                <w:w w:val="97"/>
              </w:rPr>
            </w:pPr>
            <w:hyperlink r:id="rId113">
              <w:r>
                <w:rPr>
                  <w:rFonts w:ascii="Arial" w:cs="Arial" w:eastAsia="Arial" w:hAnsi="Arial"/>
                  <w:sz w:val="16"/>
                  <w:szCs w:val="16"/>
                  <w:color w:val="0000EE"/>
                  <w:w w:val="97"/>
                </w:rPr>
                <w:t>Avnet, Inc. 2013 Stock Compensation and Incentive Plan (Amended and Restated Effective as of May 8, 2018).</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gridSpan w:val="15"/>
            <w:shd w:val="clear" w:color="auto" w:fill="0000EE"/>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40" w:type="dxa"/>
            <w:vAlign w:val="bottom"/>
            <w:tcBorders>
              <w:bottom w:val="single" w:sz="8" w:color="0000EE"/>
            </w:tcBorders>
            <w:gridSpan w:val="23"/>
          </w:tcPr>
          <w:p>
            <w:pPr>
              <w:spacing w:after="0" w:line="183" w:lineRule="exact"/>
              <w:rPr>
                <w:rFonts w:ascii="Arial" w:cs="Arial" w:eastAsia="Arial" w:hAnsi="Arial"/>
                <w:sz w:val="16"/>
                <w:szCs w:val="16"/>
                <w:color w:val="0000EE"/>
                <w:w w:val="93"/>
              </w:rPr>
            </w:pPr>
            <w:hyperlink r:id="rId113">
              <w:r>
                <w:rPr>
                  <w:rFonts w:ascii="Arial" w:cs="Arial" w:eastAsia="Arial" w:hAnsi="Arial"/>
                  <w:sz w:val="16"/>
                  <w:szCs w:val="16"/>
                  <w:color w:val="0000EE"/>
                  <w:w w:val="93"/>
                </w:rPr>
                <w:t>(incorporated herein by reference to Exhibit 10.10 to the Company’s Annual Report on Form 10-K filing on August 17,</w:t>
              </w:r>
            </w:hyperlink>
          </w:p>
        </w:tc>
      </w:tr>
      <w:tr>
        <w:trPr>
          <w:trHeight w:val="183"/>
        </w:trPr>
        <w:tc>
          <w:tcPr>
            <w:tcW w:w="480" w:type="dxa"/>
            <w:vAlign w:val="bottom"/>
          </w:tcPr>
          <w:p>
            <w:pPr>
              <w:spacing w:after="0"/>
              <w:rPr>
                <w:sz w:val="15"/>
                <w:szCs w:val="15"/>
                <w:color w:val="auto"/>
              </w:rPr>
            </w:pPr>
          </w:p>
        </w:tc>
        <w:tc>
          <w:tcPr>
            <w:tcW w:w="840" w:type="dxa"/>
            <w:vAlign w:val="bottom"/>
            <w:gridSpan w:val="2"/>
          </w:tcPr>
          <w:p>
            <w:pPr>
              <w:ind w:left="420"/>
              <w:spacing w:after="0" w:line="183" w:lineRule="exact"/>
              <w:rPr>
                <w:rFonts w:ascii="Arial" w:cs="Arial" w:eastAsia="Arial" w:hAnsi="Arial"/>
                <w:sz w:val="16"/>
                <w:szCs w:val="16"/>
                <w:color w:val="0000EE"/>
                <w:w w:val="88"/>
              </w:rPr>
            </w:pPr>
            <w:hyperlink r:id="rId113">
              <w:r>
                <w:rPr>
                  <w:rFonts w:ascii="Arial" w:cs="Arial" w:eastAsia="Arial" w:hAnsi="Arial"/>
                  <w:sz w:val="16"/>
                  <w:szCs w:val="16"/>
                  <w:color w:val="0000EE"/>
                  <w:w w:val="88"/>
                </w:rPr>
                <w:t>2018).</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3" w:lineRule="exact"/>
        <w:rPr>
          <w:sz w:val="20"/>
          <w:szCs w:val="20"/>
          <w:color w:val="auto"/>
        </w:rPr>
      </w:pPr>
    </w:p>
    <w:p>
      <w:pPr>
        <w:ind w:left="300"/>
        <w:spacing w:after="0"/>
        <w:tabs>
          <w:tab w:leader="none" w:pos="1180" w:val="left"/>
        </w:tabs>
        <w:rPr>
          <w:rFonts w:ascii="Arial" w:cs="Arial" w:eastAsia="Arial" w:hAnsi="Arial"/>
          <w:sz w:val="14"/>
          <w:szCs w:val="14"/>
          <w:u w:val="single" w:color="auto"/>
          <w:color w:val="0000EE"/>
        </w:rPr>
      </w:pPr>
      <w:r>
        <w:rPr>
          <w:rFonts w:ascii="Arial" w:cs="Arial" w:eastAsia="Arial" w:hAnsi="Arial"/>
          <w:sz w:val="16"/>
          <w:szCs w:val="16"/>
          <w:color w:val="auto"/>
        </w:rPr>
        <w:t>10.15</w:t>
      </w:r>
      <w:r>
        <w:rPr>
          <w:sz w:val="20"/>
          <w:szCs w:val="20"/>
          <w:color w:val="auto"/>
        </w:rPr>
        <w:tab/>
      </w:r>
      <w:hyperlink r:id="rId114">
        <w:r>
          <w:rPr>
            <w:rFonts w:ascii="Arial" w:cs="Arial" w:eastAsia="Arial" w:hAnsi="Arial"/>
            <w:sz w:val="14"/>
            <w:szCs w:val="14"/>
            <w:u w:val="single" w:color="auto"/>
            <w:color w:val="0000EE"/>
          </w:rPr>
          <w:t>Avnet, Inc. 2013 Stock Compensation and Incentive Plan:</w:t>
        </w:r>
      </w:hyperlink>
    </w:p>
    <w:p>
      <w:pPr>
        <w:spacing w:after="0" w:line="22" w:lineRule="exact"/>
        <w:rPr>
          <w:sz w:val="20"/>
          <w:szCs w:val="20"/>
          <w:color w:val="auto"/>
        </w:rPr>
      </w:pPr>
    </w:p>
    <w:p>
      <w:pPr>
        <w:ind w:left="1420" w:hanging="222"/>
        <w:spacing w:after="0"/>
        <w:tabs>
          <w:tab w:leader="none" w:pos="1420" w:val="left"/>
        </w:tabs>
        <w:numPr>
          <w:ilvl w:val="0"/>
          <w:numId w:val="18"/>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restricted stock unit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18"/>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nonqualified stock option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18"/>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performance-based stock option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18"/>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performance stock unit term sheet</w:t>
        </w:r>
      </w:hyperlink>
    </w:p>
    <w:p>
      <w:pPr>
        <w:spacing w:after="0" w:line="19" w:lineRule="exact"/>
        <w:rPr>
          <w:rFonts w:ascii="Arial" w:cs="Arial" w:eastAsia="Arial" w:hAnsi="Arial"/>
          <w:sz w:val="16"/>
          <w:szCs w:val="16"/>
          <w:u w:val="single" w:color="auto"/>
          <w:color w:val="0000EE"/>
        </w:rPr>
      </w:pPr>
    </w:p>
    <w:p>
      <w:pPr>
        <w:ind w:left="1200" w:right="119"/>
        <w:spacing w:after="0" w:line="288" w:lineRule="auto"/>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(incorporated herein by reference to Exhibit 10.15 to the Company’s Annual Report on Form 10-K filed on August 17,</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2017).</w:t>
        </w:r>
      </w:hyperlink>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10.16</w:t>
            </w:r>
          </w:p>
        </w:tc>
        <w:tc>
          <w:tcPr>
            <w:tcW w:w="7740" w:type="dxa"/>
            <w:vAlign w:val="bottom"/>
            <w:gridSpan w:val="5"/>
          </w:tcPr>
          <w:p>
            <w:pPr>
              <w:spacing w:after="0"/>
              <w:rPr>
                <w:rFonts w:ascii="Arial" w:cs="Arial" w:eastAsia="Arial" w:hAnsi="Arial"/>
                <w:sz w:val="16"/>
                <w:szCs w:val="16"/>
                <w:color w:val="0000EE"/>
                <w:w w:val="97"/>
              </w:rPr>
            </w:pPr>
            <w:hyperlink r:id="rId115">
              <w:r>
                <w:rPr>
                  <w:rFonts w:ascii="Arial" w:cs="Arial" w:eastAsia="Arial" w:hAnsi="Arial"/>
                  <w:sz w:val="16"/>
                  <w:szCs w:val="16"/>
                  <w:color w:val="0000EE"/>
                  <w:w w:val="97"/>
                </w:rPr>
                <w:t>Avnet, Inc. 2016 Stock Compensation and Incentive Plan (Amended and Restated Effective as of May 8, 2018).</w:t>
              </w:r>
            </w:hyperlink>
          </w:p>
        </w:tc>
      </w:tr>
      <w:tr>
        <w:trPr>
          <w:trHeight w:val="20"/>
        </w:trPr>
        <w:tc>
          <w:tcPr>
            <w:tcW w:w="90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900" w:type="dxa"/>
            <w:vAlign w:val="bottom"/>
          </w:tcPr>
          <w:p>
            <w:pPr>
              <w:spacing w:after="0"/>
              <w:rPr>
                <w:sz w:val="15"/>
                <w:szCs w:val="15"/>
                <w:color w:val="auto"/>
              </w:rPr>
            </w:pPr>
          </w:p>
        </w:tc>
        <w:tc>
          <w:tcPr>
            <w:tcW w:w="7740" w:type="dxa"/>
            <w:vAlign w:val="bottom"/>
            <w:tcBorders>
              <w:bottom w:val="single" w:sz="8" w:color="0000EE"/>
            </w:tcBorders>
            <w:gridSpan w:val="5"/>
          </w:tcPr>
          <w:p>
            <w:pPr>
              <w:spacing w:after="0" w:line="183" w:lineRule="exact"/>
              <w:rPr>
                <w:rFonts w:ascii="Arial" w:cs="Arial" w:eastAsia="Arial" w:hAnsi="Arial"/>
                <w:sz w:val="16"/>
                <w:szCs w:val="16"/>
                <w:color w:val="0000EE"/>
                <w:w w:val="93"/>
              </w:rPr>
            </w:pPr>
            <w:hyperlink r:id="rId115">
              <w:r>
                <w:rPr>
                  <w:rFonts w:ascii="Arial" w:cs="Arial" w:eastAsia="Arial" w:hAnsi="Arial"/>
                  <w:sz w:val="16"/>
                  <w:szCs w:val="16"/>
                  <w:color w:val="0000EE"/>
                  <w:w w:val="93"/>
                </w:rPr>
                <w:t>(incorporated herein by reference to Exhibit 10.12 to the Company’s Annual Report on Form 10-K filing on August 17,</w:t>
              </w:r>
            </w:hyperlink>
          </w:p>
        </w:tc>
      </w:tr>
      <w:tr>
        <w:trPr>
          <w:trHeight w:val="183"/>
        </w:trPr>
        <w:tc>
          <w:tcPr>
            <w:tcW w:w="900" w:type="dxa"/>
            <w:vAlign w:val="bottom"/>
          </w:tcPr>
          <w:p>
            <w:pPr>
              <w:spacing w:after="0"/>
              <w:rPr>
                <w:sz w:val="15"/>
                <w:szCs w:val="15"/>
                <w:color w:val="auto"/>
              </w:rPr>
            </w:pPr>
          </w:p>
        </w:tc>
        <w:tc>
          <w:tcPr>
            <w:tcW w:w="760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115">
              <w:r>
                <w:rPr>
                  <w:rFonts w:ascii="Arial" w:cs="Arial" w:eastAsia="Arial" w:hAnsi="Arial"/>
                  <w:sz w:val="16"/>
                  <w:szCs w:val="16"/>
                  <w:color w:val="0000EE"/>
                  <w:w w:val="91"/>
                </w:rPr>
                <w:t>2018). Refer to Exhibit 10.15, above, for the form of awards under the 2016 Stock Compensation and Incentive Plan.</w:t>
              </w:r>
            </w:hyperlink>
          </w:p>
        </w:tc>
        <w:tc>
          <w:tcPr>
            <w:tcW w:w="140" w:type="dxa"/>
            <w:vAlign w:val="bottom"/>
            <w:gridSpan w:val="2"/>
          </w:tcPr>
          <w:p>
            <w:pPr>
              <w:spacing w:after="0"/>
              <w:rPr>
                <w:sz w:val="15"/>
                <w:szCs w:val="15"/>
                <w:color w:val="auto"/>
              </w:rPr>
            </w:pPr>
          </w:p>
        </w:tc>
      </w:tr>
      <w:tr>
        <w:trPr>
          <w:trHeight w:val="385"/>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10.17</w:t>
            </w:r>
          </w:p>
        </w:tc>
        <w:tc>
          <w:tcPr>
            <w:tcW w:w="7740" w:type="dxa"/>
            <w:vAlign w:val="bottom"/>
            <w:gridSpan w:val="5"/>
          </w:tcPr>
          <w:p>
            <w:pPr>
              <w:spacing w:after="0"/>
              <w:rPr>
                <w:rFonts w:ascii="Arial" w:cs="Arial" w:eastAsia="Arial" w:hAnsi="Arial"/>
                <w:sz w:val="16"/>
                <w:szCs w:val="16"/>
                <w:color w:val="0000EE"/>
                <w:w w:val="93"/>
              </w:rPr>
            </w:pPr>
            <w:hyperlink r:id="rId116">
              <w:r>
                <w:rPr>
                  <w:rFonts w:ascii="Arial" w:cs="Arial" w:eastAsia="Arial" w:hAnsi="Arial"/>
                  <w:sz w:val="16"/>
                  <w:szCs w:val="16"/>
                  <w:color w:val="0000EE"/>
                  <w:w w:val="93"/>
                </w:rPr>
                <w:t>(a) Avnet Deferred Compensation Plan (Amended and Restated Effective as of May 8, 2018). (incorporated herein by</w:t>
              </w:r>
            </w:hyperlink>
          </w:p>
        </w:tc>
      </w:tr>
      <w:tr>
        <w:trPr>
          <w:trHeight w:val="183"/>
        </w:trPr>
        <w:tc>
          <w:tcPr>
            <w:tcW w:w="900" w:type="dxa"/>
            <w:vAlign w:val="bottom"/>
          </w:tcPr>
          <w:p>
            <w:pPr>
              <w:spacing w:after="0"/>
              <w:rPr>
                <w:sz w:val="15"/>
                <w:szCs w:val="15"/>
                <w:color w:val="auto"/>
              </w:rPr>
            </w:pPr>
          </w:p>
        </w:tc>
        <w:tc>
          <w:tcPr>
            <w:tcW w:w="762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reference to Exhibit 10.13 to the Company’s Annual Report on Form 10-K filing on August 17, 2018).</w:t>
              </w:r>
            </w:hyperlink>
          </w:p>
        </w:tc>
        <w:tc>
          <w:tcPr>
            <w:tcW w:w="1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200" w:right="79"/>
        <w:spacing w:after="0" w:line="278" w:lineRule="auto"/>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(b) First Amendment to the May 8, 2018 Amended and Restated Avnet Deferred Compensation Plan, dated February 6,</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2020 (incorporated herein by reference to Exhibit 10.2 to the Company’s Quarterly Report on Form 10-Q filed on May</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1, 2020).</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6"/>
          <w:szCs w:val="16"/>
          <w:u w:val="single" w:color="auto"/>
          <w:color w:val="0000EE"/>
        </w:rPr>
      </w:pPr>
    </w:p>
    <w:p>
      <w:pPr>
        <w:spacing w:after="0" w:line="398"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right="179" w:hanging="2"/>
        <w:spacing w:after="0" w:line="278" w:lineRule="auto"/>
        <w:tabs>
          <w:tab w:leader="none" w:pos="1420" w:val="left"/>
        </w:tabs>
        <w:numPr>
          <w:ilvl w:val="0"/>
          <w:numId w:val="19"/>
        </w:numPr>
        <w:rPr>
          <w:rFonts w:ascii="Arial" w:cs="Arial" w:eastAsia="Arial" w:hAnsi="Arial"/>
          <w:sz w:val="16"/>
          <w:szCs w:val="16"/>
          <w:u w:val="single" w:color="auto"/>
          <w:color w:val="0000EE"/>
        </w:rPr>
      </w:pPr>
      <w:hyperlink r:id="rId119">
        <w:r>
          <w:rPr>
            <w:rFonts w:ascii="Arial" w:cs="Arial" w:eastAsia="Arial" w:hAnsi="Arial"/>
            <w:sz w:val="16"/>
            <w:szCs w:val="16"/>
            <w:u w:val="single" w:color="auto"/>
            <w:color w:val="0000EE"/>
          </w:rPr>
          <w:t>Second Amendment to and Termination of the May 8, 2018 Amended and Restated Avnet Deferred Compensation</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Plan, dated November 17, 2020 (incorporated herein by reference to Exhibit 10.1 to the Company’s Quarterly Report</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on Form 10-Q filed on January 29, 2021).</w:t>
        </w:r>
      </w:hyperlink>
    </w:p>
    <w:p>
      <w:pPr>
        <w:spacing w:after="0" w:line="159" w:lineRule="exact"/>
        <w:rPr>
          <w:rFonts w:ascii="Arial" w:cs="Arial" w:eastAsia="Arial" w:hAnsi="Arial"/>
          <w:sz w:val="16"/>
          <w:szCs w:val="16"/>
          <w:u w:val="single" w:color="auto"/>
          <w:color w:val="0000EE"/>
        </w:rPr>
      </w:pPr>
    </w:p>
    <w:tbl>
      <w:tblPr>
        <w:tblLayout w:type="fixed"/>
        <w:tblInd w:w="220" w:type="dxa"/>
        <w:tblCellMar>
          <w:top w:w="0" w:type="dxa"/>
          <w:left w:w="0" w:type="dxa"/>
          <w:bottom w:w="0" w:type="dxa"/>
          <w:right w:w="0" w:type="dxa"/>
        </w:tblCellMar>
      </w:tblPr>
      <w:tr>
        <w:trPr>
          <w:trHeight w:val="184"/>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10.18</w:t>
            </w:r>
          </w:p>
        </w:tc>
        <w:tc>
          <w:tcPr>
            <w:tcW w:w="360" w:type="dxa"/>
            <w:vAlign w:val="bottom"/>
          </w:tcPr>
          <w:p>
            <w:pPr>
              <w:spacing w:after="0"/>
              <w:rPr>
                <w:sz w:val="16"/>
                <w:szCs w:val="16"/>
                <w:color w:val="auto"/>
              </w:rPr>
            </w:pPr>
          </w:p>
        </w:tc>
        <w:tc>
          <w:tcPr>
            <w:tcW w:w="7560" w:type="dxa"/>
            <w:vAlign w:val="bottom"/>
            <w:tcBorders>
              <w:bottom w:val="single" w:sz="8" w:color="0000EE"/>
            </w:tcBorders>
            <w:gridSpan w:val="25"/>
          </w:tcPr>
          <w:p>
            <w:pPr>
              <w:spacing w:after="0"/>
              <w:rPr>
                <w:rFonts w:ascii="Arial" w:cs="Arial" w:eastAsia="Arial" w:hAnsi="Arial"/>
                <w:sz w:val="16"/>
                <w:szCs w:val="16"/>
                <w:color w:val="0000EE"/>
                <w:w w:val="92"/>
              </w:rPr>
            </w:pPr>
            <w:hyperlink r:id="rId120">
              <w:r>
                <w:rPr>
                  <w:rFonts w:ascii="Arial" w:cs="Arial" w:eastAsia="Arial" w:hAnsi="Arial"/>
                  <w:sz w:val="16"/>
                  <w:szCs w:val="16"/>
                  <w:color w:val="0000EE"/>
                  <w:w w:val="92"/>
                </w:rPr>
                <w:t>Avnet, Inc. Deferred Compensation Plan for Outside Directors (Amended and Restated Effective as of May 8, 2018)</w:t>
              </w:r>
            </w:hyperlink>
          </w:p>
        </w:tc>
        <w:tc>
          <w:tcPr>
            <w:tcW w:w="180" w:type="dxa"/>
            <w:vAlign w:val="bottom"/>
            <w:gridSpan w:val="4"/>
          </w:tcPr>
          <w:p>
            <w:pPr>
              <w:spacing w:after="0"/>
              <w:rPr>
                <w:sz w:val="16"/>
                <w:szCs w:val="16"/>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4"/>
              </w:rPr>
            </w:pPr>
            <w:hyperlink r:id="rId120">
              <w:r>
                <w:rPr>
                  <w:rFonts w:ascii="Arial" w:cs="Arial" w:eastAsia="Arial" w:hAnsi="Arial"/>
                  <w:sz w:val="16"/>
                  <w:szCs w:val="16"/>
                  <w:color w:val="0000EE"/>
                  <w:w w:val="94"/>
                </w:rPr>
                <w:t>(incorporated herein by reference to Exhibit 10.5 to the Company’s Annual Report on Form 10-K filing on August 17,</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8"/>
              </w:rPr>
            </w:pPr>
            <w:hyperlink r:id="rId120">
              <w:r>
                <w:rPr>
                  <w:rFonts w:ascii="Arial" w:cs="Arial" w:eastAsia="Arial" w:hAnsi="Arial"/>
                  <w:sz w:val="16"/>
                  <w:szCs w:val="16"/>
                  <w:color w:val="0000EE"/>
                  <w:w w:val="88"/>
                </w:rPr>
                <w:t>2018).</w:t>
              </w:r>
            </w:hyperlink>
          </w:p>
        </w:tc>
        <w:tc>
          <w:tcPr>
            <w:tcW w:w="1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0"/>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29"/>
          </w:tcPr>
          <w:p>
            <w:pPr>
              <w:spacing w:after="0"/>
              <w:rPr>
                <w:sz w:val="20"/>
                <w:szCs w:val="20"/>
                <w:color w:val="auto"/>
              </w:rPr>
            </w:pPr>
            <w:r>
              <w:rPr>
                <w:rFonts w:ascii="Arial" w:cs="Arial" w:eastAsia="Arial" w:hAnsi="Arial"/>
                <w:sz w:val="16"/>
                <w:szCs w:val="16"/>
                <w:b w:val="1"/>
                <w:bCs w:val="1"/>
                <w:color w:val="auto"/>
              </w:rPr>
              <w:t>Bank Agreements</w:t>
            </w:r>
          </w:p>
        </w:tc>
      </w:tr>
      <w:tr>
        <w:trPr>
          <w:trHeight w:val="40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10.19</w:t>
            </w:r>
          </w:p>
        </w:tc>
        <w:tc>
          <w:tcPr>
            <w:tcW w:w="360" w:type="dxa"/>
            <w:vAlign w:val="bottom"/>
          </w:tcPr>
          <w:p>
            <w:pPr>
              <w:spacing w:after="0"/>
              <w:rPr>
                <w:sz w:val="24"/>
                <w:szCs w:val="24"/>
                <w:color w:val="auto"/>
              </w:rPr>
            </w:pPr>
          </w:p>
        </w:tc>
        <w:tc>
          <w:tcPr>
            <w:tcW w:w="7740" w:type="dxa"/>
            <w:vAlign w:val="bottom"/>
            <w:gridSpan w:val="29"/>
          </w:tcPr>
          <w:p>
            <w:pPr>
              <w:spacing w:after="0"/>
              <w:rPr>
                <w:sz w:val="20"/>
                <w:szCs w:val="20"/>
                <w:color w:val="auto"/>
              </w:rPr>
            </w:pPr>
            <w:r>
              <w:rPr>
                <w:rFonts w:ascii="Arial" w:cs="Arial" w:eastAsia="Arial" w:hAnsi="Arial"/>
                <w:sz w:val="16"/>
                <w:szCs w:val="16"/>
                <w:color w:val="auto"/>
              </w:rPr>
              <w:t>Securitization Program</w:t>
            </w:r>
          </w:p>
        </w:tc>
      </w:tr>
      <w:tr>
        <w:trPr>
          <w:trHeight w:val="370"/>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tcBorders>
              <w:bottom w:val="single" w:sz="8" w:color="0000EE"/>
            </w:tcBorders>
            <w:gridSpan w:val="23"/>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(a) Receivables Sale Agreement: (1) Second Amended and Restated Receivables Sale Agreement, dated August 16,</w:t>
              </w:r>
            </w:hyperlink>
          </w:p>
        </w:tc>
        <w:tc>
          <w:tcPr>
            <w:tcW w:w="220" w:type="dxa"/>
            <w:vAlign w:val="bottom"/>
            <w:gridSpan w:val="6"/>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6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121">
              <w:r>
                <w:rPr>
                  <w:rFonts w:ascii="Arial" w:cs="Arial" w:eastAsia="Arial" w:hAnsi="Arial"/>
                  <w:sz w:val="16"/>
                  <w:szCs w:val="16"/>
                  <w:color w:val="0000EE"/>
                  <w:w w:val="91"/>
                </w:rPr>
                <w:t>2018, between Avnet, Inc. and Avnet Receivables Corporation (incorporated herein by reference to Exhibit 10.2 to the</w:t>
              </w:r>
            </w:hyperlink>
          </w:p>
        </w:tc>
        <w:tc>
          <w:tcPr>
            <w:tcW w:w="80" w:type="dxa"/>
            <w:vAlign w:val="bottom"/>
            <w:gridSpan w:val="2"/>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Company’s Current Report on Form 8-K filed on August 17, 2018).</w:t>
              </w:r>
            </w:hyperlink>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color w:val="0000EE"/>
                <w:w w:val="91"/>
              </w:rPr>
            </w:pPr>
            <w:hyperlink r:id="rId122">
              <w:r>
                <w:rPr>
                  <w:rFonts w:ascii="Arial" w:cs="Arial" w:eastAsia="Arial" w:hAnsi="Arial"/>
                  <w:sz w:val="16"/>
                  <w:szCs w:val="16"/>
                  <w:color w:val="0000EE"/>
                  <w:w w:val="91"/>
                </w:rPr>
                <w:t>(2) Amendment No. 1 to the Second Amended and Restated Receivables Sale Agreement, dated July 31, 2020, among</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20"/>
          </w:tcPr>
          <w:p>
            <w:pPr>
              <w:spacing w:after="0" w:line="183" w:lineRule="exact"/>
              <w:rPr>
                <w:rFonts w:ascii="Arial" w:cs="Arial" w:eastAsia="Arial" w:hAnsi="Arial"/>
                <w:sz w:val="16"/>
                <w:szCs w:val="16"/>
                <w:color w:val="0000EE"/>
                <w:w w:val="92"/>
              </w:rPr>
            </w:pPr>
            <w:hyperlink r:id="rId122">
              <w:r>
                <w:rPr>
                  <w:rFonts w:ascii="Arial" w:cs="Arial" w:eastAsia="Arial" w:hAnsi="Arial"/>
                  <w:sz w:val="16"/>
                  <w:szCs w:val="16"/>
                  <w:color w:val="0000EE"/>
                  <w:w w:val="92"/>
                </w:rPr>
                <w:t>Avnet, Inc. and Avnet Receivables Corporation (incorporated herein by reference to Exhibit 10.2 to the Company’s</w:t>
              </w:r>
            </w:hyperlink>
          </w:p>
        </w:tc>
        <w:tc>
          <w:tcPr>
            <w:tcW w:w="200" w:type="dxa"/>
            <w:vAlign w:val="bottom"/>
            <w:tcBorders>
              <w:top w:val="single" w:sz="8" w:color="0000EE"/>
            </w:tcBorders>
            <w:gridSpan w:val="7"/>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Borders>
              <w:bottom w:val="single" w:sz="8" w:color="0000EE"/>
            </w:tcBorders>
            <w:gridSpan w:val="6"/>
          </w:tcPr>
          <w:p>
            <w:pPr>
              <w:spacing w:after="0" w:line="183" w:lineRule="exact"/>
              <w:rPr>
                <w:rFonts w:ascii="Arial" w:cs="Arial" w:eastAsia="Arial" w:hAnsi="Arial"/>
                <w:sz w:val="16"/>
                <w:szCs w:val="16"/>
                <w:color w:val="0000EE"/>
                <w:w w:val="93"/>
              </w:rPr>
            </w:pPr>
            <w:hyperlink r:id="rId122">
              <w:r>
                <w:rPr>
                  <w:rFonts w:ascii="Arial" w:cs="Arial" w:eastAsia="Arial" w:hAnsi="Arial"/>
                  <w:sz w:val="16"/>
                  <w:szCs w:val="16"/>
                  <w:color w:val="0000EE"/>
                  <w:w w:val="93"/>
                </w:rPr>
                <w:t>Current Report on Form 8-K filed on August 6, 2020).</w:t>
              </w:r>
            </w:hyperlink>
          </w:p>
        </w:tc>
        <w:tc>
          <w:tcPr>
            <w:tcW w:w="4200" w:type="dxa"/>
            <w:vAlign w:val="bottom"/>
            <w:gridSpan w:val="23"/>
          </w:tcPr>
          <w:p>
            <w:pPr>
              <w:spacing w:after="0"/>
              <w:rPr>
                <w:sz w:val="15"/>
                <w:szCs w:val="15"/>
                <w:color w:val="auto"/>
              </w:rPr>
            </w:pPr>
          </w:p>
        </w:tc>
      </w:tr>
      <w:tr>
        <w:trPr>
          <w:trHeight w:val="38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60" w:type="dxa"/>
            <w:vAlign w:val="bottom"/>
            <w:tcBorders>
              <w:bottom w:val="single" w:sz="8" w:color="0000EE"/>
            </w:tcBorders>
            <w:gridSpan w:val="18"/>
          </w:tcPr>
          <w:p>
            <w:pPr>
              <w:spacing w:after="0"/>
              <w:rPr>
                <w:rFonts w:ascii="Arial" w:cs="Arial" w:eastAsia="Arial" w:hAnsi="Arial"/>
                <w:sz w:val="16"/>
                <w:szCs w:val="16"/>
                <w:color w:val="0000EE"/>
                <w:w w:val="90"/>
              </w:rPr>
            </w:pPr>
            <w:hyperlink r:id="rId123">
              <w:r>
                <w:rPr>
                  <w:rFonts w:ascii="Arial" w:cs="Arial" w:eastAsia="Arial" w:hAnsi="Arial"/>
                  <w:sz w:val="16"/>
                  <w:szCs w:val="16"/>
                  <w:color w:val="0000EE"/>
                  <w:w w:val="90"/>
                </w:rPr>
                <w:t>(b) Receivables Purchase Agreement: (1) Fourth Amended and Restated Receivables Purchase Agreement, dated</w:t>
              </w:r>
            </w:hyperlink>
          </w:p>
        </w:tc>
        <w:tc>
          <w:tcPr>
            <w:tcW w:w="380" w:type="dxa"/>
            <w:vAlign w:val="bottom"/>
            <w:gridSpan w:val="11"/>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5"/>
              </w:rPr>
            </w:pPr>
            <w:hyperlink r:id="rId123">
              <w:r>
                <w:rPr>
                  <w:rFonts w:ascii="Arial" w:cs="Arial" w:eastAsia="Arial" w:hAnsi="Arial"/>
                  <w:sz w:val="16"/>
                  <w:szCs w:val="16"/>
                  <w:color w:val="0000EE"/>
                  <w:w w:val="95"/>
                </w:rPr>
                <w:t>August 16, 2018, among Avnet, Inc., Avnet Receivables Corporation, the companies and financial institutions party</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4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1"/>
              </w:rPr>
            </w:pPr>
            <w:hyperlink r:id="rId123">
              <w:r>
                <w:rPr>
                  <w:rFonts w:ascii="Arial" w:cs="Arial" w:eastAsia="Arial" w:hAnsi="Arial"/>
                  <w:sz w:val="16"/>
                  <w:szCs w:val="16"/>
                  <w:color w:val="0000EE"/>
                  <w:w w:val="91"/>
                </w:rPr>
                <w:t>thereto and Wells Fargo Bank, N.A., as agent (incorporated herein by reference to Exhibit 10.1 to the Company’s</w:t>
              </w:r>
            </w:hyperlink>
          </w:p>
        </w:tc>
        <w:tc>
          <w:tcPr>
            <w:tcW w:w="140" w:type="dxa"/>
            <w:vAlign w:val="bottom"/>
            <w:tcBorders>
              <w:top w:val="single" w:sz="8" w:color="0000EE"/>
            </w:tcBorders>
            <w:gridSpan w:val="4"/>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20" w:type="dxa"/>
            <w:vAlign w:val="bottom"/>
            <w:tcBorders>
              <w:bottom w:val="single" w:sz="8" w:color="0000EE"/>
            </w:tcBorders>
            <w:gridSpan w:val="7"/>
          </w:tcPr>
          <w:p>
            <w:pPr>
              <w:spacing w:after="0" w:line="183" w:lineRule="exact"/>
              <w:rPr>
                <w:rFonts w:ascii="Arial" w:cs="Arial" w:eastAsia="Arial" w:hAnsi="Arial"/>
                <w:sz w:val="16"/>
                <w:szCs w:val="16"/>
                <w:color w:val="0000EE"/>
                <w:w w:val="93"/>
              </w:rPr>
            </w:pPr>
            <w:hyperlink r:id="rId123">
              <w:r>
                <w:rPr>
                  <w:rFonts w:ascii="Arial" w:cs="Arial" w:eastAsia="Arial" w:hAnsi="Arial"/>
                  <w:sz w:val="16"/>
                  <w:szCs w:val="16"/>
                  <w:color w:val="0000EE"/>
                  <w:w w:val="93"/>
                </w:rPr>
                <w:t>Current Report on Form 8-K filed on August 17, 2018).</w:t>
              </w:r>
            </w:hyperlink>
          </w:p>
        </w:tc>
        <w:tc>
          <w:tcPr>
            <w:tcW w:w="4120" w:type="dxa"/>
            <w:vAlign w:val="bottom"/>
            <w:gridSpan w:val="22"/>
          </w:tcPr>
          <w:p>
            <w:pPr>
              <w:spacing w:after="0"/>
              <w:rPr>
                <w:sz w:val="15"/>
                <w:szCs w:val="15"/>
                <w:color w:val="auto"/>
              </w:rPr>
            </w:pPr>
          </w:p>
        </w:tc>
      </w:tr>
      <w:tr>
        <w:trPr>
          <w:trHeight w:val="38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color w:val="0000EE"/>
                <w:w w:val="93"/>
              </w:rPr>
            </w:pPr>
            <w:hyperlink r:id="rId124">
              <w:r>
                <w:rPr>
                  <w:rFonts w:ascii="Arial" w:cs="Arial" w:eastAsia="Arial" w:hAnsi="Arial"/>
                  <w:sz w:val="16"/>
                  <w:szCs w:val="16"/>
                  <w:color w:val="0000EE"/>
                  <w:w w:val="93"/>
                </w:rPr>
                <w:t>(2) Amendment No. 1 to Fourth Amended and Restated Receivables Purchase Agreement, dated February 28, 2020,</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20" w:type="dxa"/>
            <w:vAlign w:val="bottom"/>
            <w:tcBorders>
              <w:top w:val="single" w:sz="8" w:color="0000EE"/>
            </w:tcBorders>
            <w:gridSpan w:val="23"/>
          </w:tcPr>
          <w:p>
            <w:pPr>
              <w:spacing w:after="0" w:line="183" w:lineRule="exact"/>
              <w:rPr>
                <w:rFonts w:ascii="Arial" w:cs="Arial" w:eastAsia="Arial" w:hAnsi="Arial"/>
                <w:sz w:val="16"/>
                <w:szCs w:val="16"/>
                <w:color w:val="0000EE"/>
                <w:w w:val="92"/>
              </w:rPr>
            </w:pPr>
            <w:hyperlink r:id="rId124">
              <w:r>
                <w:rPr>
                  <w:rFonts w:ascii="Arial" w:cs="Arial" w:eastAsia="Arial" w:hAnsi="Arial"/>
                  <w:sz w:val="16"/>
                  <w:szCs w:val="16"/>
                  <w:color w:val="0000EE"/>
                  <w:w w:val="92"/>
                </w:rPr>
                <w:t>among Avnet, Inc., Avnet Receivables Corporation, the companies and financial institutions party thereto and Wells</w:t>
              </w:r>
            </w:hyperlink>
          </w:p>
        </w:tc>
        <w:tc>
          <w:tcPr>
            <w:tcW w:w="220" w:type="dxa"/>
            <w:vAlign w:val="bottom"/>
            <w:gridSpan w:val="6"/>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tcBorders>
              <w:bottom w:val="single" w:sz="8" w:color="0000EE"/>
            </w:tcBorders>
            <w:gridSpan w:val="29"/>
          </w:tcPr>
          <w:p>
            <w:pPr>
              <w:spacing w:after="0" w:line="183" w:lineRule="exact"/>
              <w:rPr>
                <w:rFonts w:ascii="Arial" w:cs="Arial" w:eastAsia="Arial" w:hAnsi="Arial"/>
                <w:sz w:val="16"/>
                <w:szCs w:val="16"/>
                <w:color w:val="0000EE"/>
                <w:w w:val="91"/>
              </w:rPr>
            </w:pPr>
            <w:hyperlink r:id="rId124">
              <w:r>
                <w:rPr>
                  <w:rFonts w:ascii="Arial" w:cs="Arial" w:eastAsia="Arial" w:hAnsi="Arial"/>
                  <w:sz w:val="16"/>
                  <w:szCs w:val="16"/>
                  <w:color w:val="0000EE"/>
                  <w:w w:val="91"/>
                </w:rPr>
                <w:t>Fargo Bank, N.A., as agent (incorporated herein by reference to Exhibit 10.1 to the Company’s Annual Report on Form</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10-Q filed on May 1, 2020).</w:t>
              </w:r>
            </w:hyperlink>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color w:val="0000EE"/>
                <w:w w:val="94"/>
              </w:rPr>
            </w:pPr>
            <w:hyperlink r:id="rId125">
              <w:r>
                <w:rPr>
                  <w:rFonts w:ascii="Arial" w:cs="Arial" w:eastAsia="Arial" w:hAnsi="Arial"/>
                  <w:sz w:val="16"/>
                  <w:szCs w:val="16"/>
                  <w:color w:val="0000EE"/>
                  <w:w w:val="94"/>
                </w:rPr>
                <w:t>(3) Amendment No. 2 to the Fourth Amended and Restated Receivables Purchase Agreement, dated July 31, 2020,</w:t>
              </w:r>
            </w:hyperlink>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20" w:type="dxa"/>
            <w:vAlign w:val="bottom"/>
            <w:tcBorders>
              <w:bottom w:val="single" w:sz="8" w:color="0000EE"/>
            </w:tcBorders>
            <w:gridSpan w:val="28"/>
          </w:tcPr>
          <w:p>
            <w:pPr>
              <w:spacing w:after="0" w:line="183" w:lineRule="exact"/>
              <w:rPr>
                <w:rFonts w:ascii="Arial" w:cs="Arial" w:eastAsia="Arial" w:hAnsi="Arial"/>
                <w:sz w:val="16"/>
                <w:szCs w:val="16"/>
                <w:color w:val="0000EE"/>
                <w:w w:val="91"/>
              </w:rPr>
            </w:pPr>
            <w:hyperlink r:id="rId125">
              <w:r>
                <w:rPr>
                  <w:rFonts w:ascii="Arial" w:cs="Arial" w:eastAsia="Arial" w:hAnsi="Arial"/>
                  <w:sz w:val="16"/>
                  <w:szCs w:val="16"/>
                  <w:color w:val="0000EE"/>
                  <w:w w:val="91"/>
                </w:rPr>
                <w:t>among Avnet, Inc., Avnet Receivables Corporation, Wells Fargo Bank, N.A., as agent, and the companies and financial</w:t>
              </w:r>
            </w:hyperlink>
          </w:p>
        </w:tc>
        <w:tc>
          <w:tcPr>
            <w:tcW w:w="2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4"/>
              </w:rPr>
            </w:pPr>
            <w:hyperlink r:id="rId125">
              <w:r>
                <w:rPr>
                  <w:rFonts w:ascii="Arial" w:cs="Arial" w:eastAsia="Arial" w:hAnsi="Arial"/>
                  <w:sz w:val="16"/>
                  <w:szCs w:val="16"/>
                  <w:color w:val="0000EE"/>
                  <w:w w:val="94"/>
                </w:rPr>
                <w:t>institutions party thereto (incorporated herein by reference to Exhibit 10.1 to the Company’s Current Report on Form</w:t>
              </w:r>
            </w:hyperlink>
          </w:p>
        </w:tc>
      </w:tr>
      <w:tr>
        <w:trPr>
          <w:trHeight w:val="182"/>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3"/>
              </w:rPr>
            </w:pPr>
            <w:hyperlink r:id="rId125">
              <w:r>
                <w:rPr>
                  <w:rFonts w:ascii="Arial" w:cs="Arial" w:eastAsia="Arial" w:hAnsi="Arial"/>
                  <w:sz w:val="16"/>
                  <w:szCs w:val="16"/>
                  <w:color w:val="0000EE"/>
                  <w:w w:val="93"/>
                </w:rPr>
                <w:t>8-K filed on August 6, 2020).</w:t>
              </w:r>
            </w:hyperlink>
          </w:p>
        </w:tc>
        <w:tc>
          <w:tcPr>
            <w:tcW w:w="5660" w:type="dxa"/>
            <w:vAlign w:val="bottom"/>
            <w:tcBorders>
              <w:top w:val="single" w:sz="8" w:color="0000EE"/>
            </w:tcBorders>
            <w:gridSpan w:val="21"/>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10.20</w:t>
            </w:r>
          </w:p>
        </w:tc>
        <w:tc>
          <w:tcPr>
            <w:tcW w:w="36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color w:val="auto"/>
                <w:w w:val="94"/>
              </w:rPr>
            </w:pPr>
            <w:hyperlink r:id="rId126">
              <w:r>
                <w:rPr>
                  <w:rFonts w:ascii="Arial" w:cs="Arial" w:eastAsia="Arial" w:hAnsi="Arial"/>
                  <w:sz w:val="16"/>
                  <w:szCs w:val="16"/>
                  <w:color w:val="auto"/>
                  <w:w w:val="94"/>
                </w:rPr>
                <w:t xml:space="preserve">(a) </w:t>
              </w:r>
              <w:r>
                <w:rPr>
                  <w:rFonts w:ascii="Arial" w:cs="Arial" w:eastAsia="Arial" w:hAnsi="Arial"/>
                  <w:sz w:val="16"/>
                  <w:szCs w:val="16"/>
                  <w:color w:val="0000EE"/>
                  <w:w w:val="94"/>
                </w:rPr>
                <w:t>Amended and Restated Credit Agreement dated as of June 28, 2018, among Avnet, Inc., each subsidiary of the</w:t>
              </w:r>
            </w:hyperlink>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40" w:type="dxa"/>
            <w:vAlign w:val="bottom"/>
            <w:tcBorders>
              <w:bottom w:val="single" w:sz="8" w:color="0000EE"/>
            </w:tcBorders>
            <w:gridSpan w:val="24"/>
          </w:tcPr>
          <w:p>
            <w:pPr>
              <w:spacing w:after="0" w:line="183" w:lineRule="exact"/>
              <w:rPr>
                <w:rFonts w:ascii="Arial" w:cs="Arial" w:eastAsia="Arial" w:hAnsi="Arial"/>
                <w:sz w:val="16"/>
                <w:szCs w:val="16"/>
                <w:color w:val="0000EE"/>
                <w:w w:val="91"/>
              </w:rPr>
            </w:pPr>
            <w:hyperlink r:id="rId126">
              <w:r>
                <w:rPr>
                  <w:rFonts w:ascii="Arial" w:cs="Arial" w:eastAsia="Arial" w:hAnsi="Arial"/>
                  <w:sz w:val="16"/>
                  <w:szCs w:val="16"/>
                  <w:color w:val="0000EE"/>
                  <w:w w:val="91"/>
                </w:rPr>
                <w:t>Company party thereto, Bank of America, N.A., as administrative agent, and each lender party thereto (incorporated</w:t>
              </w:r>
            </w:hyperlink>
          </w:p>
        </w:tc>
        <w:tc>
          <w:tcPr>
            <w:tcW w:w="200" w:type="dxa"/>
            <w:vAlign w:val="bottom"/>
            <w:gridSpan w:val="5"/>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126">
              <w:r>
                <w:rPr>
                  <w:rFonts w:ascii="Arial" w:cs="Arial" w:eastAsia="Arial" w:hAnsi="Arial"/>
                  <w:sz w:val="16"/>
                  <w:szCs w:val="16"/>
                  <w:color w:val="0000EE"/>
                  <w:w w:val="92"/>
                </w:rPr>
                <w:t>herein by reference to Exhibit 10.1 to the Company’s Current Report on Form 8-K filed on July 2, 2018).</w:t>
              </w:r>
            </w:hyperlink>
          </w:p>
        </w:tc>
        <w:tc>
          <w:tcPr>
            <w:tcW w:w="920" w:type="dxa"/>
            <w:vAlign w:val="bottom"/>
            <w:gridSpan w:val="16"/>
          </w:tcPr>
          <w:p>
            <w:pPr>
              <w:spacing w:after="0"/>
              <w:rPr>
                <w:sz w:val="15"/>
                <w:szCs w:val="15"/>
                <w:color w:val="auto"/>
              </w:rPr>
            </w:pPr>
          </w:p>
        </w:tc>
      </w:tr>
      <w:tr>
        <w:trPr>
          <w:trHeight w:val="385"/>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color w:val="0000EE"/>
                <w:w w:val="96"/>
              </w:rPr>
            </w:pPr>
            <w:hyperlink r:id="rId127">
              <w:r>
                <w:rPr>
                  <w:rFonts w:ascii="Arial" w:cs="Arial" w:eastAsia="Arial" w:hAnsi="Arial"/>
                  <w:sz w:val="16"/>
                  <w:szCs w:val="16"/>
                  <w:color w:val="0000EE"/>
                  <w:w w:val="96"/>
                </w:rPr>
                <w:t>(b) Amendment No. 1 to the Amended and Restated Credit Agreement, dated August 4, 2020, among Avnet, Inc,</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20" w:type="dxa"/>
            <w:vAlign w:val="bottom"/>
            <w:tcBorders>
              <w:top w:val="single" w:sz="8" w:color="0000EE"/>
            </w:tcBorders>
            <w:gridSpan w:val="16"/>
          </w:tcPr>
          <w:p>
            <w:pPr>
              <w:spacing w:after="0" w:line="183" w:lineRule="exact"/>
              <w:rPr>
                <w:rFonts w:ascii="Arial" w:cs="Arial" w:eastAsia="Arial" w:hAnsi="Arial"/>
                <w:sz w:val="16"/>
                <w:szCs w:val="16"/>
                <w:color w:val="0000EE"/>
                <w:w w:val="96"/>
              </w:rPr>
            </w:pPr>
            <w:hyperlink r:id="rId127">
              <w:r>
                <w:rPr>
                  <w:rFonts w:ascii="Arial" w:cs="Arial" w:eastAsia="Arial" w:hAnsi="Arial"/>
                  <w:sz w:val="16"/>
                  <w:szCs w:val="16"/>
                  <w:color w:val="0000EE"/>
                  <w:w w:val="96"/>
                </w:rPr>
                <w:t>Avnet Holding Europe BVBA, Bank of America, N.A., as administrative agent, and the lenders party thereto</w:t>
              </w:r>
            </w:hyperlink>
          </w:p>
        </w:tc>
        <w:tc>
          <w:tcPr>
            <w:tcW w:w="420" w:type="dxa"/>
            <w:vAlign w:val="bottom"/>
            <w:gridSpan w:val="13"/>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6"/>
              </w:rPr>
            </w:pPr>
            <w:hyperlink r:id="rId127">
              <w:r>
                <w:rPr>
                  <w:rFonts w:ascii="Arial" w:cs="Arial" w:eastAsia="Arial" w:hAnsi="Arial"/>
                  <w:sz w:val="16"/>
                  <w:szCs w:val="16"/>
                  <w:color w:val="0000EE"/>
                  <w:w w:val="96"/>
                </w:rPr>
                <w:t>(incorporated herein by reference to Exhibit 10.3 to the Company’s Current Report on Form 8-K filed on August 6,</w:t>
              </w:r>
            </w:hyperlink>
          </w:p>
        </w:tc>
      </w:tr>
      <w:tr>
        <w:trPr>
          <w:trHeight w:val="183"/>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8"/>
              </w:rPr>
            </w:pPr>
            <w:hyperlink r:id="rId127">
              <w:r>
                <w:rPr>
                  <w:rFonts w:ascii="Arial" w:cs="Arial" w:eastAsia="Arial" w:hAnsi="Arial"/>
                  <w:sz w:val="16"/>
                  <w:szCs w:val="16"/>
                  <w:color w:val="0000EE"/>
                  <w:w w:val="88"/>
                </w:rPr>
                <w:t>2020).</w:t>
              </w:r>
            </w:hyperlink>
          </w:p>
        </w:tc>
        <w:tc>
          <w:tcPr>
            <w:tcW w:w="1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21.1</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7740" w:type="dxa"/>
            <w:vAlign w:val="bottom"/>
            <w:gridSpan w:val="29"/>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List of subsidiaries of the Company as of July 3, 2021.</w:t>
              </w:r>
            </w:hyperlink>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23.1</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3540" w:type="dxa"/>
            <w:vAlign w:val="bottom"/>
            <w:tcBorders>
              <w:top w:val="single" w:sz="8" w:color="0000EE"/>
            </w:tcBorders>
            <w:gridSpan w:val="6"/>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Consent of KPMG LLP.</w:t>
              </w:r>
            </w:hyperlink>
          </w:p>
        </w:tc>
        <w:tc>
          <w:tcPr>
            <w:tcW w:w="4200" w:type="dxa"/>
            <w:vAlign w:val="bottom"/>
            <w:gridSpan w:val="23"/>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24.1</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tcBorders>
              <w:bottom w:val="single" w:sz="8" w:color="0000EE"/>
            </w:tcBorders>
            <w:gridSpan w:val="14"/>
          </w:tcPr>
          <w:p>
            <w:pPr>
              <w:spacing w:after="0"/>
              <w:rPr>
                <w:rFonts w:ascii="Arial" w:cs="Arial" w:eastAsia="Arial" w:hAnsi="Arial"/>
                <w:sz w:val="16"/>
                <w:szCs w:val="16"/>
                <w:color w:val="0000EE"/>
                <w:w w:val="92"/>
              </w:rPr>
            </w:pPr>
            <w:hyperlink w:anchor="page78">
              <w:r>
                <w:rPr>
                  <w:rFonts w:ascii="Arial" w:cs="Arial" w:eastAsia="Arial" w:hAnsi="Arial"/>
                  <w:sz w:val="16"/>
                  <w:szCs w:val="16"/>
                  <w:color w:val="0000EE"/>
                  <w:w w:val="92"/>
                </w:rPr>
                <w:t>Power of Attorney (incorporated by reference to the signature page of this Annual Report on Form 10-K).</w:t>
              </w:r>
            </w:hyperlink>
          </w:p>
        </w:tc>
        <w:tc>
          <w:tcPr>
            <w:tcW w:w="880" w:type="dxa"/>
            <w:vAlign w:val="bottom"/>
            <w:gridSpan w:val="15"/>
          </w:tcPr>
          <w:p>
            <w:pPr>
              <w:spacing w:after="0"/>
              <w:rPr>
                <w:sz w:val="24"/>
                <w:szCs w:val="24"/>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31.1</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7740" w:type="dxa"/>
            <w:vAlign w:val="bottom"/>
            <w:gridSpan w:val="29"/>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Certification of Chief Executive Officer pursuant to Section 302 of the Sarbanes-Oxley Act of 2002.</w:t>
              </w:r>
            </w:hyperlink>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31.2</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6500" w:type="dxa"/>
            <w:vAlign w:val="bottom"/>
            <w:tcBorders>
              <w:top w:val="single" w:sz="8" w:color="0000EE"/>
            </w:tcBorders>
            <w:gridSpan w:val="12"/>
          </w:tcPr>
          <w:p>
            <w:pPr>
              <w:spacing w:after="0"/>
              <w:rPr>
                <w:rFonts w:ascii="Arial" w:cs="Arial" w:eastAsia="Arial" w:hAnsi="Arial"/>
                <w:sz w:val="16"/>
                <w:szCs w:val="16"/>
                <w:color w:val="0000EE"/>
                <w:w w:val="93"/>
              </w:rPr>
            </w:pPr>
            <w:hyperlink w:anchor="page93">
              <w:r>
                <w:rPr>
                  <w:rFonts w:ascii="Arial" w:cs="Arial" w:eastAsia="Arial" w:hAnsi="Arial"/>
                  <w:sz w:val="16"/>
                  <w:szCs w:val="16"/>
                  <w:color w:val="0000EE"/>
                  <w:w w:val="93"/>
                </w:rPr>
                <w:t>Certification of Chief Financial Officer pursuant to Section 302 of the Sarbanes-Oxley Act of 2002.</w:t>
              </w:r>
            </w:hyperlink>
          </w:p>
        </w:tc>
        <w:tc>
          <w:tcPr>
            <w:tcW w:w="1240" w:type="dxa"/>
            <w:vAlign w:val="bottom"/>
            <w:gridSpan w:val="17"/>
          </w:tcPr>
          <w:p>
            <w:pPr>
              <w:spacing w:after="0"/>
              <w:rPr>
                <w:sz w:val="24"/>
                <w:szCs w:val="24"/>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32.1</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476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2"/>
              </w:rPr>
            </w:pPr>
            <w:hyperlink w:anchor="page94">
              <w:r>
                <w:rPr>
                  <w:rFonts w:ascii="Arial" w:cs="Arial" w:eastAsia="Arial" w:hAnsi="Arial"/>
                  <w:sz w:val="16"/>
                  <w:szCs w:val="16"/>
                  <w:color w:val="0000EE"/>
                  <w:w w:val="92"/>
                </w:rPr>
                <w:t>Certification pursuant to Section 906 of the Sarbanes-Oxley Act of 2002.</w:t>
              </w:r>
            </w:hyperlink>
          </w:p>
        </w:tc>
        <w:tc>
          <w:tcPr>
            <w:tcW w:w="1700" w:type="dxa"/>
            <w:vAlign w:val="bottom"/>
            <w:tcBorders>
              <w:top w:val="single" w:sz="8" w:color="0000EE"/>
            </w:tcBorders>
          </w:tcPr>
          <w:p>
            <w:pPr>
              <w:spacing w:after="0"/>
              <w:rPr>
                <w:sz w:val="24"/>
                <w:szCs w:val="24"/>
                <w:color w:val="auto"/>
              </w:rPr>
            </w:pPr>
          </w:p>
        </w:tc>
        <w:tc>
          <w:tcPr>
            <w:tcW w:w="1280" w:type="dxa"/>
            <w:vAlign w:val="bottom"/>
            <w:gridSpan w:val="18"/>
          </w:tcPr>
          <w:p>
            <w:pPr>
              <w:spacing w:after="0"/>
              <w:rPr>
                <w:sz w:val="24"/>
                <w:szCs w:val="24"/>
                <w:color w:val="auto"/>
              </w:rPr>
            </w:pPr>
          </w:p>
        </w:tc>
      </w:tr>
      <w:tr>
        <w:trPr>
          <w:trHeight w:val="385"/>
        </w:trPr>
        <w:tc>
          <w:tcPr>
            <w:tcW w:w="620" w:type="dxa"/>
            <w:vAlign w:val="bottom"/>
          </w:tcPr>
          <w:p>
            <w:pPr>
              <w:jc w:val="center"/>
              <w:ind w:right="19"/>
              <w:spacing w:after="0"/>
              <w:rPr>
                <w:sz w:val="20"/>
                <w:szCs w:val="20"/>
                <w:color w:val="auto"/>
              </w:rPr>
            </w:pPr>
            <w:r>
              <w:rPr>
                <w:rFonts w:ascii="Arial" w:cs="Arial" w:eastAsia="Arial" w:hAnsi="Arial"/>
                <w:sz w:val="16"/>
                <w:szCs w:val="16"/>
                <w:color w:val="auto"/>
                <w:w w:val="89"/>
              </w:rPr>
              <w:t>32.2</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474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95">
              <w:r>
                <w:rPr>
                  <w:rFonts w:ascii="Arial" w:cs="Arial" w:eastAsia="Arial" w:hAnsi="Arial"/>
                  <w:sz w:val="16"/>
                  <w:szCs w:val="16"/>
                  <w:color w:val="0000EE"/>
                  <w:w w:val="92"/>
                </w:rPr>
                <w:t>Certification pursuant to Section 906 of the Sarbanes-Oxley Act of 2002.</w:t>
              </w:r>
            </w:hyperlink>
          </w:p>
        </w:tc>
        <w:tc>
          <w:tcPr>
            <w:tcW w:w="3000" w:type="dxa"/>
            <w:vAlign w:val="bottom"/>
            <w:gridSpan w:val="20"/>
          </w:tcPr>
          <w:p>
            <w:pPr>
              <w:spacing w:after="0"/>
              <w:rPr>
                <w:sz w:val="24"/>
                <w:szCs w:val="24"/>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6"/>
                <w:szCs w:val="16"/>
                <w:color w:val="auto"/>
              </w:rPr>
              <w:t>101.INS</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7740" w:type="dxa"/>
            <w:vAlign w:val="bottom"/>
            <w:gridSpan w:val="29"/>
          </w:tcPr>
          <w:p>
            <w:pPr>
              <w:spacing w:after="0"/>
              <w:rPr>
                <w:sz w:val="20"/>
                <w:szCs w:val="20"/>
                <w:color w:val="auto"/>
              </w:rPr>
            </w:pPr>
            <w:r>
              <w:rPr>
                <w:rFonts w:ascii="Arial" w:cs="Arial" w:eastAsia="Arial" w:hAnsi="Arial"/>
                <w:sz w:val="16"/>
                <w:szCs w:val="16"/>
                <w:color w:val="auto"/>
              </w:rPr>
              <w:t>Inline XBRL Instance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680" w:type="dxa"/>
            <w:vAlign w:val="bottom"/>
          </w:tcPr>
          <w:p>
            <w:pPr>
              <w:spacing w:after="0"/>
              <w:rPr>
                <w:sz w:val="20"/>
                <w:szCs w:val="20"/>
                <w:color w:val="auto"/>
              </w:rPr>
            </w:pPr>
            <w:r>
              <w:rPr>
                <w:rFonts w:ascii="Arial" w:cs="Arial" w:eastAsia="Arial" w:hAnsi="Arial"/>
                <w:sz w:val="16"/>
                <w:szCs w:val="16"/>
                <w:color w:val="auto"/>
              </w:rPr>
              <w:t>101.SCH</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0" w:type="dxa"/>
            <w:vAlign w:val="bottom"/>
          </w:tcPr>
          <w:p>
            <w:pPr>
              <w:ind w:left="100"/>
              <w:spacing w:after="0"/>
              <w:rPr>
                <w:sz w:val="20"/>
                <w:szCs w:val="20"/>
                <w:color w:val="auto"/>
              </w:rPr>
            </w:pPr>
            <w:r>
              <w:rPr>
                <w:rFonts w:ascii="Arial" w:cs="Arial" w:eastAsia="Arial" w:hAnsi="Arial"/>
                <w:sz w:val="16"/>
                <w:szCs w:val="16"/>
                <w:color w:val="auto"/>
              </w:rPr>
              <w:t>Inline XBRL Taxonomy Extension Schema Document.</w:t>
            </w:r>
          </w:p>
        </w:tc>
      </w:tr>
      <w:tr>
        <w:trPr>
          <w:trHeight w:val="405"/>
        </w:trPr>
        <w:tc>
          <w:tcPr>
            <w:tcW w:w="680" w:type="dxa"/>
            <w:vAlign w:val="bottom"/>
          </w:tcPr>
          <w:p>
            <w:pPr>
              <w:spacing w:after="0"/>
              <w:rPr>
                <w:sz w:val="20"/>
                <w:szCs w:val="20"/>
                <w:color w:val="auto"/>
              </w:rPr>
            </w:pPr>
            <w:r>
              <w:rPr>
                <w:rFonts w:ascii="Arial" w:cs="Arial" w:eastAsia="Arial" w:hAnsi="Arial"/>
                <w:sz w:val="16"/>
                <w:szCs w:val="16"/>
                <w:color w:val="auto"/>
              </w:rPr>
              <w:t>101.CAL</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0" w:type="dxa"/>
            <w:vAlign w:val="bottom"/>
          </w:tcPr>
          <w:p>
            <w:pPr>
              <w:ind w:left="100"/>
              <w:spacing w:after="0"/>
              <w:rPr>
                <w:sz w:val="20"/>
                <w:szCs w:val="20"/>
                <w:color w:val="auto"/>
              </w:rPr>
            </w:pPr>
            <w:r>
              <w:rPr>
                <w:rFonts w:ascii="Arial" w:cs="Arial" w:eastAsia="Arial" w:hAnsi="Arial"/>
                <w:sz w:val="16"/>
                <w:szCs w:val="16"/>
                <w:color w:val="auto"/>
                <w:w w:val="94"/>
              </w:rPr>
              <w:t>Inline XBRL Taxonomy Extension Calculation Linkbase Document.</w:t>
            </w:r>
          </w:p>
        </w:tc>
      </w:tr>
      <w:tr>
        <w:trPr>
          <w:trHeight w:val="405"/>
        </w:trPr>
        <w:tc>
          <w:tcPr>
            <w:tcW w:w="680" w:type="dxa"/>
            <w:vAlign w:val="bottom"/>
          </w:tcPr>
          <w:p>
            <w:pPr>
              <w:spacing w:after="0"/>
              <w:rPr>
                <w:sz w:val="20"/>
                <w:szCs w:val="20"/>
                <w:color w:val="auto"/>
              </w:rPr>
            </w:pPr>
            <w:r>
              <w:rPr>
                <w:rFonts w:ascii="Arial" w:cs="Arial" w:eastAsia="Arial" w:hAnsi="Arial"/>
                <w:sz w:val="16"/>
                <w:szCs w:val="16"/>
                <w:color w:val="auto"/>
              </w:rPr>
              <w:t>101.LAB</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0" w:type="dxa"/>
            <w:vAlign w:val="bottom"/>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05"/>
        </w:trPr>
        <w:tc>
          <w:tcPr>
            <w:tcW w:w="680" w:type="dxa"/>
            <w:vAlign w:val="bottom"/>
          </w:tcPr>
          <w:p>
            <w:pPr>
              <w:ind w:left="20"/>
              <w:spacing w:after="0"/>
              <w:rPr>
                <w:sz w:val="20"/>
                <w:szCs w:val="20"/>
                <w:color w:val="auto"/>
              </w:rPr>
            </w:pPr>
            <w:r>
              <w:rPr>
                <w:rFonts w:ascii="Arial" w:cs="Arial" w:eastAsia="Arial" w:hAnsi="Arial"/>
                <w:sz w:val="16"/>
                <w:szCs w:val="16"/>
                <w:color w:val="auto"/>
                <w:w w:val="99"/>
              </w:rPr>
              <w:t>101.PRE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0" w:type="dxa"/>
            <w:vAlign w:val="bottom"/>
          </w:tcPr>
          <w:p>
            <w:pPr>
              <w:ind w:left="100"/>
              <w:spacing w:after="0"/>
              <w:rPr>
                <w:sz w:val="20"/>
                <w:szCs w:val="20"/>
                <w:color w:val="auto"/>
              </w:rPr>
            </w:pPr>
            <w:r>
              <w:rPr>
                <w:rFonts w:ascii="Arial" w:cs="Arial" w:eastAsia="Arial" w:hAnsi="Arial"/>
                <w:sz w:val="16"/>
                <w:szCs w:val="16"/>
                <w:color w:val="auto"/>
                <w:w w:val="92"/>
              </w:rPr>
              <w:t>Inline XBRL Taxonomy Extension Presentation Linkbase Document.</w:t>
            </w:r>
          </w:p>
        </w:tc>
      </w:tr>
      <w:tr>
        <w:trPr>
          <w:trHeight w:val="405"/>
        </w:trPr>
        <w:tc>
          <w:tcPr>
            <w:tcW w:w="680" w:type="dxa"/>
            <w:vAlign w:val="bottom"/>
          </w:tcPr>
          <w:p>
            <w:pPr>
              <w:spacing w:after="0"/>
              <w:rPr>
                <w:sz w:val="20"/>
                <w:szCs w:val="20"/>
                <w:color w:val="auto"/>
              </w:rPr>
            </w:pPr>
            <w:r>
              <w:rPr>
                <w:rFonts w:ascii="Arial" w:cs="Arial" w:eastAsia="Arial" w:hAnsi="Arial"/>
                <w:sz w:val="16"/>
                <w:szCs w:val="16"/>
                <w:color w:val="auto"/>
              </w:rPr>
              <w:t>101.DEF</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0" w:type="dxa"/>
            <w:vAlign w:val="bottom"/>
          </w:tcPr>
          <w:p>
            <w:pPr>
              <w:ind w:left="100"/>
              <w:spacing w:after="0"/>
              <w:rPr>
                <w:sz w:val="20"/>
                <w:szCs w:val="20"/>
                <w:color w:val="auto"/>
              </w:rPr>
            </w:pPr>
            <w:r>
              <w:rPr>
                <w:rFonts w:ascii="Arial" w:cs="Arial" w:eastAsia="Arial" w:hAnsi="Arial"/>
                <w:sz w:val="16"/>
                <w:szCs w:val="16"/>
                <w:color w:val="auto"/>
                <w:w w:val="97"/>
              </w:rPr>
              <w:t>Inline XBRL Taxonomy Extension Definition Linkbase Document.</w:t>
            </w:r>
          </w:p>
        </w:tc>
      </w:tr>
    </w:tbl>
    <w:p>
      <w:pPr>
        <w:spacing w:after="0" w:line="199" w:lineRule="exact"/>
        <w:rPr>
          <w:sz w:val="20"/>
          <w:szCs w:val="20"/>
          <w:color w:val="auto"/>
        </w:rPr>
      </w:pPr>
    </w:p>
    <w:p>
      <w:pPr>
        <w:ind w:left="1200" w:right="719" w:hanging="839"/>
        <w:spacing w:after="0" w:line="293" w:lineRule="auto"/>
        <w:tabs>
          <w:tab w:leader="none" w:pos="916" w:val="left"/>
        </w:tabs>
        <w:numPr>
          <w:ilvl w:val="1"/>
          <w:numId w:val="20"/>
        </w:numPr>
        <w:rPr>
          <w:rFonts w:ascii="Arial" w:cs="Arial" w:eastAsia="Arial" w:hAnsi="Arial"/>
          <w:sz w:val="16"/>
          <w:szCs w:val="16"/>
          <w:color w:val="auto"/>
        </w:rPr>
      </w:pPr>
      <w:r>
        <w:rPr>
          <w:rFonts w:ascii="Arial" w:cs="Arial" w:eastAsia="Arial" w:hAnsi="Arial"/>
          <w:sz w:val="16"/>
          <w:szCs w:val="16"/>
          <w:color w:val="auto"/>
        </w:rPr>
        <w:t>* Cover Page Interactive Data File (formatted as Inline XBRL with applicable taxonomy extension information contained in Exhibits 101).</w:t>
      </w:r>
    </w:p>
    <w:p>
      <w:pPr>
        <w:spacing w:after="0" w:line="383"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157" w:lineRule="exact"/>
        <w:rPr>
          <w:rFonts w:ascii="Arial" w:cs="Arial" w:eastAsia="Arial" w:hAnsi="Arial"/>
          <w:sz w:val="16"/>
          <w:szCs w:val="16"/>
          <w:color w:val="auto"/>
        </w:rPr>
      </w:pPr>
    </w:p>
    <w:p>
      <w:pPr>
        <w:ind w:left="520" w:hanging="37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-430530</wp:posOffset>
            </wp:positionV>
            <wp:extent cx="1414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July 3, 2021, June 27, 2020, and June 29, 2019</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Balance at</w:t>
            </w:r>
          </w:p>
        </w:tc>
        <w:tc>
          <w:tcPr>
            <w:tcW w:w="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80"/>
              <w:spacing w:after="0" w:line="175" w:lineRule="exact"/>
              <w:rPr>
                <w:sz w:val="20"/>
                <w:szCs w:val="20"/>
                <w:color w:val="auto"/>
              </w:rPr>
            </w:pPr>
            <w:r>
              <w:rPr>
                <w:rFonts w:ascii="Arial" w:cs="Arial" w:eastAsia="Arial" w:hAnsi="Arial"/>
                <w:sz w:val="16"/>
                <w:szCs w:val="16"/>
                <w:b w:val="1"/>
                <w:bCs w:val="1"/>
                <w:color w:val="auto"/>
                <w:w w:val="89"/>
              </w:rPr>
              <w:t>Beginning of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Expense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End of</w:t>
            </w:r>
          </w:p>
        </w:tc>
        <w:tc>
          <w:tcPr>
            <w:tcW w:w="0" w:type="dxa"/>
            <w:vAlign w:val="bottom"/>
          </w:tcPr>
          <w:p>
            <w:pPr>
              <w:spacing w:after="0"/>
              <w:rPr>
                <w:sz w:val="1"/>
                <w:szCs w:val="1"/>
                <w:color w:val="auto"/>
              </w:rPr>
            </w:pPr>
          </w:p>
        </w:tc>
      </w:tr>
      <w:tr>
        <w:trPr>
          <w:trHeight w:val="210"/>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Account Description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Accounts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Deductions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gridSpan w:val="2"/>
          </w:tcPr>
          <w:p>
            <w:pPr>
              <w:spacing w:after="0"/>
              <w:rPr>
                <w:sz w:val="15"/>
                <w:szCs w:val="15"/>
                <w:color w:val="auto"/>
              </w:rPr>
            </w:pPr>
          </w:p>
        </w:tc>
        <w:tc>
          <w:tcPr>
            <w:tcW w:w="84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75"/>
              </w:rPr>
              <w:t>(Thousands)</w:t>
            </w: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Allowance for credit losses</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5"/>
              </w:rPr>
              <w:t>65,018 (a)</w:t>
            </w: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15,842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17,205</w:t>
            </w:r>
          </w:p>
        </w:tc>
        <w:tc>
          <w:tcPr>
            <w:tcW w:w="26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260" w:type="dxa"/>
            <w:vAlign w:val="bottom"/>
            <w:gridSpan w:val="2"/>
          </w:tcPr>
          <w:p>
            <w:pPr>
              <w:jc w:val="right"/>
              <w:ind w:right="19"/>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4"/>
              </w:rPr>
              <w:t>(9,905)(c)</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88,160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283,721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(d)</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w w:val="94"/>
              </w:rPr>
              <w:t>(11,509)(e)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293,569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Fiscal 2020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53,499</w:t>
            </w:r>
          </w:p>
        </w:tc>
        <w:tc>
          <w:tcPr>
            <w:tcW w:w="2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12,111</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(6,592)(c)</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59,018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231,463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50,018</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283,721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48,959</w:t>
            </w:r>
          </w:p>
        </w:tc>
        <w:tc>
          <w:tcPr>
            <w:tcW w:w="240" w:type="dxa"/>
            <w:vAlign w:val="bottom"/>
          </w:tcPr>
          <w:p>
            <w:pPr>
              <w:spacing w:after="0"/>
              <w:rPr>
                <w:sz w:val="15"/>
                <w:szCs w:val="15"/>
                <w:color w:val="auto"/>
              </w:rPr>
            </w:pP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10,360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4"/>
              </w:rPr>
              <w:t>(5,820)(c)</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53,499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239,483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(5,274)(g)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w w:val="96"/>
              </w:rPr>
              <w:t>(2,746)(h)</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231,463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559" w:hanging="330"/>
        <w:spacing w:after="0" w:line="31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Beginning balance includes $59,018 of allowance for credit losses associated with trade accounts receivable and $6,000 of allowance for credit losses associated with notes receivable prior to the adoption of a new accounting standard discussed further in (b) below.</w:t>
      </w:r>
    </w:p>
    <w:p>
      <w:pPr>
        <w:spacing w:after="0" w:line="21" w:lineRule="exact"/>
        <w:rPr>
          <w:rFonts w:ascii="Arial" w:cs="Arial" w:eastAsia="Arial" w:hAnsi="Arial"/>
          <w:sz w:val="18"/>
          <w:szCs w:val="18"/>
          <w:color w:val="auto"/>
        </w:rPr>
      </w:pPr>
    </w:p>
    <w:p>
      <w:pPr>
        <w:ind w:left="380" w:right="139" w:hanging="330"/>
        <w:spacing w:after="0" w:line="30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1, “Summary of significant accounting policies, Recently adopted accounting pronouncements” of the Notes to Consolidated Financial Statements of this Form 10-K regarding the adoption of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 Measurement of Credit Losses on Financial Instruments</w:t>
      </w:r>
      <w:r>
        <w:rPr>
          <w:rFonts w:ascii="Arial" w:cs="Arial" w:eastAsia="Arial" w:hAnsi="Arial"/>
          <w:sz w:val="18"/>
          <w:szCs w:val="18"/>
          <w:color w:val="auto"/>
        </w:rPr>
        <w: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the new standard on June 28, 2020, with a cumulative effect adjustment to the opening balance of retained earnings as of the beginning of fiscal 2021.</w:t>
      </w:r>
    </w:p>
    <w:p>
      <w:pPr>
        <w:spacing w:after="0" w:line="25" w:lineRule="exact"/>
        <w:rPr>
          <w:rFonts w:ascii="Arial" w:cs="Arial" w:eastAsia="Arial" w:hAnsi="Arial"/>
          <w:sz w:val="18"/>
          <w:szCs w:val="18"/>
          <w:color w:val="auto"/>
        </w:rPr>
      </w:pPr>
    </w:p>
    <w:p>
      <w:pPr>
        <w:ind w:left="380" w:right="319" w:hanging="330"/>
        <w:spacing w:after="0" w:line="32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represents uncollectible receivables written off and the impact of changes in foreign currency rates during the fiscal year.</w:t>
      </w:r>
    </w:p>
    <w:p>
      <w:pPr>
        <w:spacing w:after="0" w:line="8" w:lineRule="exact"/>
        <w:rPr>
          <w:rFonts w:ascii="Arial" w:cs="Arial" w:eastAsia="Arial" w:hAnsi="Arial"/>
          <w:sz w:val="18"/>
          <w:szCs w:val="18"/>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represents impact of current year activities.</w:t>
      </w:r>
    </w:p>
    <w:p>
      <w:pPr>
        <w:spacing w:after="0" w:line="103" w:lineRule="exact"/>
        <w:rPr>
          <w:rFonts w:ascii="Arial" w:cs="Arial" w:eastAsia="Arial" w:hAnsi="Arial"/>
          <w:sz w:val="18"/>
          <w:szCs w:val="18"/>
          <w:color w:val="auto"/>
        </w:rPr>
      </w:pPr>
    </w:p>
    <w:p>
      <w:pPr>
        <w:ind w:left="380" w:right="739" w:hanging="330"/>
        <w:spacing w:after="0" w:line="32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related to impact of pension-related other comprehensive income and foreign currency exchange on valuation allowances.</w:t>
      </w:r>
    </w:p>
    <w:p>
      <w:pPr>
        <w:spacing w:after="0" w:line="8" w:lineRule="exact"/>
        <w:rPr>
          <w:rFonts w:ascii="Arial" w:cs="Arial" w:eastAsia="Arial" w:hAnsi="Arial"/>
          <w:sz w:val="18"/>
          <w:szCs w:val="18"/>
          <w:color w:val="auto"/>
        </w:rPr>
      </w:pPr>
    </w:p>
    <w:p>
      <w:pPr>
        <w:ind w:left="340" w:hanging="290"/>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represents establishment of valuation allowance and impact of current year activities.</w:t>
      </w:r>
    </w:p>
    <w:p>
      <w:pPr>
        <w:spacing w:after="0" w:line="103" w:lineRule="exact"/>
        <w:rPr>
          <w:rFonts w:ascii="Arial" w:cs="Arial" w:eastAsia="Arial" w:hAnsi="Arial"/>
          <w:sz w:val="18"/>
          <w:szCs w:val="18"/>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represents a reduction due to the release of a valuation allowance.</w:t>
      </w:r>
    </w:p>
    <w:p>
      <w:pPr>
        <w:spacing w:after="0" w:line="103" w:lineRule="exact"/>
        <w:rPr>
          <w:rFonts w:ascii="Arial" w:cs="Arial" w:eastAsia="Arial" w:hAnsi="Arial"/>
          <w:sz w:val="18"/>
          <w:szCs w:val="18"/>
          <w:color w:val="auto"/>
        </w:rPr>
      </w:pPr>
    </w:p>
    <w:p>
      <w:pPr>
        <w:ind w:left="380" w:right="219" w:hanging="330"/>
        <w:spacing w:after="0" w:line="32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related to impact of prior year activities and foreign currency exchange on valuation allowances previously established in various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left="60" w:right="59" w:firstLine="427"/>
        <w:spacing w:after="0" w:line="32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AVNET, INC.</w:t>
            </w:r>
          </w:p>
        </w:tc>
        <w:tc>
          <w:tcPr>
            <w:tcW w:w="338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August 13, 2021</w:t>
            </w: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6"/>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2"/>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3"/>
              </w:rPr>
              <w:t>Philip R. Gallagher</w:t>
            </w:r>
          </w:p>
        </w:tc>
      </w:tr>
      <w:tr>
        <w:trPr>
          <w:trHeight w:val="230"/>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42"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Phil R. Gallagher and Thomas Liguori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0" w:lineRule="exact"/>
        <w:rPr>
          <w:sz w:val="20"/>
          <w:szCs w:val="20"/>
          <w:color w:val="auto"/>
        </w:rPr>
      </w:pPr>
    </w:p>
    <w:p>
      <w:pPr>
        <w:jc w:val="both"/>
        <w:ind w:left="60" w:right="59" w:firstLine="427"/>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13, 2021.</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PHILIP R. GALLAGHER</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2"/>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CARLO BOZOTTI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Carlo Bozotti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A. BRADLEY</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A. Bradley</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BRENDA L. FREEMAN</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 ANN JENKINS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OLEG KHAYKIN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ADALIO T. SANCHEZ</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 SCHUMANN, III</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2"/>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H. Schumann, III</w:t>
            </w:r>
          </w:p>
        </w:tc>
        <w:tc>
          <w:tcPr>
            <w:tcW w:w="320" w:type="dxa"/>
            <w:vAlign w:val="bottom"/>
          </w:tcPr>
          <w:p>
            <w:pPr>
              <w:spacing w:after="0"/>
              <w:rPr>
                <w:sz w:val="8"/>
                <w:szCs w:val="8"/>
                <w:color w:val="auto"/>
              </w:rPr>
            </w:pPr>
          </w:p>
        </w:tc>
        <w:tc>
          <w:tcPr>
            <w:tcW w:w="4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THOMAS LIGUORI</w:t>
            </w:r>
          </w:p>
        </w:tc>
        <w:tc>
          <w:tcPr>
            <w:tcW w:w="32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Thomas Liguori</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95"/>
              </w:rPr>
              <w:t>/s/ KENNETH A. JACOBSON</w:t>
            </w:r>
          </w:p>
        </w:tc>
        <w:tc>
          <w:tcPr>
            <w:tcW w:w="320" w:type="dxa"/>
            <w:vAlign w:val="bottom"/>
          </w:tcPr>
          <w:p>
            <w:pPr>
              <w:spacing w:after="0"/>
              <w:rPr>
                <w:sz w:val="17"/>
                <w:szCs w:val="17"/>
                <w:color w:val="auto"/>
              </w:rPr>
            </w:pPr>
          </w:p>
        </w:tc>
        <w:tc>
          <w:tcPr>
            <w:tcW w:w="4300" w:type="dxa"/>
            <w:vAlign w:val="bottom"/>
          </w:tcPr>
          <w:p>
            <w:pPr>
              <w:jc w:val="center"/>
              <w:spacing w:after="0" w:line="201" w:lineRule="exact"/>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jc w:val="right"/>
        <w:ind w:right="219"/>
        <w:spacing w:after="0"/>
        <w:rPr>
          <w:sz w:val="20"/>
          <w:szCs w:val="20"/>
          <w:color w:val="auto"/>
        </w:rPr>
      </w:pPr>
      <w:r>
        <w:rPr>
          <w:rFonts w:ascii="Arial" w:cs="Arial" w:eastAsia="Arial" w:hAnsi="Arial"/>
          <w:sz w:val="22"/>
          <w:szCs w:val="22"/>
          <w:b w:val="1"/>
          <w:bCs w:val="1"/>
          <w:color w:val="auto"/>
        </w:rPr>
        <w:t>Exhibit 10.7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 OF CONTROL AGREEMENT</w:t>
      </w:r>
    </w:p>
    <w:p>
      <w:pPr>
        <w:spacing w:after="0" w:line="233"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This Change of Control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Avnet, Inc., a New York corporation, with its principal place of business at 2211 South 47</w:t>
      </w:r>
      <w:r>
        <w:rPr>
          <w:rFonts w:ascii="Arial" w:cs="Arial" w:eastAsia="Arial" w:hAnsi="Arial"/>
          <w:sz w:val="14"/>
          <w:szCs w:val="14"/>
          <w:color w:val="auto"/>
        </w:rPr>
        <w:t>th</w:t>
      </w:r>
      <w:r>
        <w:rPr>
          <w:rFonts w:ascii="Arial" w:cs="Arial" w:eastAsia="Arial" w:hAnsi="Arial"/>
          <w:sz w:val="19"/>
          <w:szCs w:val="19"/>
          <w:color w:val="auto"/>
        </w:rPr>
        <w:t xml:space="preserve"> Street, Phoenix, Arizona 85034 (“</w:t>
      </w:r>
      <w:r>
        <w:rPr>
          <w:rFonts w:ascii="Arial" w:cs="Arial" w:eastAsia="Arial" w:hAnsi="Arial"/>
          <w:sz w:val="19"/>
          <w:szCs w:val="19"/>
          <w:b w:val="1"/>
          <w:bCs w:val="1"/>
          <w:color w:val="auto"/>
        </w:rPr>
        <w:t>Avnet</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__________________ (the “</w:t>
      </w:r>
      <w:r>
        <w:rPr>
          <w:rFonts w:ascii="Arial" w:cs="Arial" w:eastAsia="Arial" w:hAnsi="Arial"/>
          <w:sz w:val="19"/>
          <w:szCs w:val="19"/>
          <w:b w:val="1"/>
          <w:bCs w:val="1"/>
          <w:color w:val="auto"/>
        </w:rPr>
        <w:t>Officer</w:t>
      </w:r>
      <w:r>
        <w:rPr>
          <w:rFonts w:ascii="Arial" w:cs="Arial" w:eastAsia="Arial" w:hAnsi="Arial"/>
          <w:sz w:val="19"/>
          <w:szCs w:val="19"/>
          <w:color w:val="auto"/>
        </w:rPr>
        <w: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effective as of __________ (the “</w:t>
      </w:r>
      <w:r>
        <w:rPr>
          <w:rFonts w:ascii="Arial" w:cs="Arial" w:eastAsia="Arial" w:hAnsi="Arial"/>
          <w:sz w:val="19"/>
          <w:szCs w:val="19"/>
          <w:b w:val="1"/>
          <w:bCs w:val="1"/>
          <w:color w:val="auto"/>
        </w:rPr>
        <w:t>Effective Date</w:t>
      </w:r>
      <w:r>
        <w:rPr>
          <w:rFonts w:ascii="Arial" w:cs="Arial" w:eastAsia="Arial" w:hAnsi="Arial"/>
          <w:sz w:val="19"/>
          <w:szCs w:val="19"/>
          <w:color w:val="auto"/>
        </w:rPr>
        <w:t>”). Avnet and the Officer are collectively referred</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to in this Agreement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Officer  holds  the  position  of  ________________________  of  the</w:t>
      </w:r>
    </w:p>
    <w:p>
      <w:pPr>
        <w:spacing w:after="0" w:line="43" w:lineRule="exact"/>
        <w:rPr>
          <w:sz w:val="20"/>
          <w:szCs w:val="20"/>
          <w:color w:val="auto"/>
        </w:rPr>
      </w:pPr>
    </w:p>
    <w:p>
      <w:pPr>
        <w:jc w:val="both"/>
        <w:ind w:left="200" w:right="239"/>
        <w:spacing w:after="0" w:line="236" w:lineRule="auto"/>
        <w:rPr>
          <w:sz w:val="20"/>
          <w:szCs w:val="20"/>
          <w:color w:val="auto"/>
        </w:rPr>
      </w:pPr>
      <w:r>
        <w:rPr>
          <w:rFonts w:ascii="Arial" w:cs="Arial" w:eastAsia="Arial" w:hAnsi="Arial"/>
          <w:sz w:val="22"/>
          <w:szCs w:val="22"/>
          <w:color w:val="auto"/>
        </w:rPr>
        <w:t>Company, which may be pursuant to a letter agreement (the most current letter agreement, if any, if referred to herein as “</w:t>
      </w:r>
      <w:r>
        <w:rPr>
          <w:rFonts w:ascii="Arial" w:cs="Arial" w:eastAsia="Arial" w:hAnsi="Arial"/>
          <w:sz w:val="22"/>
          <w:szCs w:val="22"/>
          <w:b w:val="1"/>
          <w:bCs w:val="1"/>
          <w:color w:val="auto"/>
        </w:rPr>
        <w:t>Letter Agreement</w:t>
      </w:r>
      <w:r>
        <w:rPr>
          <w:rFonts w:ascii="Arial" w:cs="Arial" w:eastAsia="Arial" w:hAnsi="Arial"/>
          <w:sz w:val="22"/>
          <w:szCs w:val="22"/>
          <w:color w:val="auto"/>
        </w:rPr>
        <w:t>”); and</w:t>
      </w:r>
    </w:p>
    <w:p>
      <w:pPr>
        <w:spacing w:after="0" w:line="18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WHEREAS, the Parties wish to provide for certain payments to the Officer in the event of a Change of Control of the Company and the subsequent termination of the Officer’s employment without Cause or the Constructive Termination of the Officer’s employment, as those capitalized terms are defined below.</w:t>
      </w:r>
    </w:p>
    <w:p>
      <w:pPr>
        <w:spacing w:after="0" w:line="18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NOW, THEREFORE, in consideration of the mutual covenants and agreements contained in this Agreement, the Parties agree as follows:</w:t>
      </w:r>
    </w:p>
    <w:p>
      <w:pPr>
        <w:spacing w:after="0" w:line="169" w:lineRule="exact"/>
        <w:rPr>
          <w:sz w:val="20"/>
          <w:szCs w:val="20"/>
          <w:color w:val="auto"/>
        </w:rPr>
      </w:pPr>
    </w:p>
    <w:p>
      <w:pPr>
        <w:ind w:left="1500" w:hanging="643"/>
        <w:spacing w:after="0"/>
        <w:tabs>
          <w:tab w:leader="none" w:pos="150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305"/>
        <w:spacing w:after="0" w:line="243" w:lineRule="auto"/>
        <w:tabs>
          <w:tab w:leader="none" w:pos="2144"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but is not limited to, Officer’s gross misconduct, willful breach, habitual neglect or wanton disregard of Officer’s duties, or conviction of any criminal act.</w:t>
      </w:r>
    </w:p>
    <w:p>
      <w:pPr>
        <w:spacing w:after="0" w:line="176" w:lineRule="exact"/>
        <w:rPr>
          <w:rFonts w:ascii="Arial" w:cs="Arial" w:eastAsia="Arial" w:hAnsi="Arial"/>
          <w:sz w:val="22"/>
          <w:szCs w:val="22"/>
          <w:color w:val="auto"/>
        </w:rPr>
      </w:pPr>
    </w:p>
    <w:p>
      <w:pPr>
        <w:ind w:left="2160" w:hanging="655"/>
        <w:spacing w:after="0"/>
        <w:tabs>
          <w:tab w:leader="none" w:pos="21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date of the earliest to occur of the</w:t>
      </w:r>
    </w:p>
    <w:p>
      <w:pPr>
        <w:spacing w:after="0" w:line="14"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color w:val="auto"/>
        </w:rPr>
        <w:t>following events:</w:t>
      </w:r>
    </w:p>
    <w:p>
      <w:pPr>
        <w:spacing w:after="0" w:line="188" w:lineRule="exact"/>
        <w:rPr>
          <w:rFonts w:ascii="Arial" w:cs="Arial" w:eastAsia="Arial" w:hAnsi="Arial"/>
          <w:sz w:val="22"/>
          <w:szCs w:val="22"/>
          <w:color w:val="auto"/>
        </w:rPr>
      </w:pPr>
    </w:p>
    <w:p>
      <w:pPr>
        <w:jc w:val="both"/>
        <w:ind w:left="860" w:right="219" w:firstLine="1293"/>
        <w:spacing w:after="0" w:line="271" w:lineRule="auto"/>
        <w:tabs>
          <w:tab w:leader="none" w:pos="2804" w:val="left"/>
        </w:tabs>
        <w:numPr>
          <w:ilvl w:val="2"/>
          <w:numId w:val="23"/>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(a “</w:t>
      </w:r>
      <w:r>
        <w:rPr>
          <w:rFonts w:ascii="Arial" w:cs="Arial" w:eastAsia="Arial" w:hAnsi="Arial"/>
          <w:sz w:val="19"/>
          <w:szCs w:val="19"/>
          <w:b w:val="1"/>
          <w:bCs w:val="1"/>
          <w:color w:val="auto"/>
        </w:rPr>
        <w:t>Person</w:t>
      </w:r>
      <w:r>
        <w:rPr>
          <w:rFonts w:ascii="Arial" w:cs="Arial" w:eastAsia="Arial" w:hAnsi="Arial"/>
          <w:sz w:val="19"/>
          <w:szCs w:val="19"/>
          <w:color w:val="auto"/>
        </w:rPr>
        <w:t>”) of beneficial ownership (within the meaning of Rule 13d-3 promulgated under the Exchange Act) of 50% or more of either: (A) the then outstanding shares of common stock of Avnet or</w:t>
      </w:r>
    </w:p>
    <w:p>
      <w:pPr>
        <w:spacing w:after="0" w:line="3" w:lineRule="exact"/>
        <w:rPr>
          <w:rFonts w:ascii="Arial" w:cs="Arial" w:eastAsia="Arial" w:hAnsi="Arial"/>
          <w:sz w:val="19"/>
          <w:szCs w:val="19"/>
          <w:color w:val="auto"/>
        </w:rPr>
      </w:pPr>
    </w:p>
    <w:p>
      <w:pPr>
        <w:jc w:val="both"/>
        <w:ind w:left="860" w:right="219"/>
        <w:spacing w:after="0" w:line="232" w:lineRule="auto"/>
        <w:rPr>
          <w:rFonts w:ascii="Arial" w:cs="Arial" w:eastAsia="Arial" w:hAnsi="Arial"/>
          <w:sz w:val="19"/>
          <w:szCs w:val="19"/>
          <w:color w:val="auto"/>
        </w:rPr>
      </w:pPr>
      <w:r>
        <w:rPr>
          <w:rFonts w:ascii="Arial" w:cs="Arial" w:eastAsia="Arial" w:hAnsi="Arial"/>
          <w:sz w:val="22"/>
          <w:szCs w:val="22"/>
          <w:color w:val="auto"/>
        </w:rPr>
        <w:t>(B) the combined voting power of the then outstanding voting securities of Avnet entitled to vote generally in the election of members of the Board of Directors of Avnet (the “</w:t>
      </w:r>
      <w:r>
        <w:rPr>
          <w:rFonts w:ascii="Arial" w:cs="Arial" w:eastAsia="Arial" w:hAnsi="Arial"/>
          <w:sz w:val="22"/>
          <w:szCs w:val="22"/>
          <w:b w:val="1"/>
          <w:bCs w:val="1"/>
          <w:color w:val="auto"/>
        </w:rPr>
        <w:t>Board</w:t>
      </w:r>
      <w:r>
        <w:rPr>
          <w:rFonts w:ascii="Arial" w:cs="Arial" w:eastAsia="Arial" w:hAnsi="Arial"/>
          <w:sz w:val="22"/>
          <w:szCs w:val="22"/>
          <w:color w:val="auto"/>
        </w:rPr>
        <w:t>”); provided, however, that the following transactions shall not constitute a Change of Control under this subsection (i): (x) any acquisition directly from the Company (excluding an acquisition by virtue of the exercise of a conversion privilege), (y) any acquisition by the Company, or (z) any acquisition by any employee benefit plan (or related trust) sponsored or maintained by the Company or any entity controlled by the Company; or</w:t>
      </w:r>
    </w:p>
    <w:p>
      <w:pPr>
        <w:spacing w:after="0" w:line="185" w:lineRule="exact"/>
        <w:rPr>
          <w:rFonts w:ascii="Arial" w:cs="Arial" w:eastAsia="Arial" w:hAnsi="Arial"/>
          <w:sz w:val="19"/>
          <w:szCs w:val="19"/>
          <w:color w:val="auto"/>
        </w:rPr>
      </w:pPr>
    </w:p>
    <w:p>
      <w:pPr>
        <w:jc w:val="both"/>
        <w:ind w:left="860" w:right="219" w:firstLine="1293"/>
        <w:spacing w:after="0" w:line="277" w:lineRule="auto"/>
        <w:tabs>
          <w:tab w:leader="none" w:pos="2804" w:val="left"/>
        </w:tabs>
        <w:numPr>
          <w:ilvl w:val="2"/>
          <w:numId w:val="23"/>
        </w:numPr>
        <w:rPr>
          <w:rFonts w:ascii="Arial" w:cs="Arial" w:eastAsia="Arial" w:hAnsi="Arial"/>
          <w:sz w:val="19"/>
          <w:szCs w:val="19"/>
          <w:color w:val="auto"/>
        </w:rPr>
      </w:pPr>
      <w:r>
        <w:rPr>
          <w:rFonts w:ascii="Arial" w:cs="Arial" w:eastAsia="Arial" w:hAnsi="Arial"/>
          <w:sz w:val="19"/>
          <w:szCs w:val="19"/>
          <w:color w:val="auto"/>
        </w:rPr>
        <w:t>the individuals who, as of the Effective Date, constitute the Board (the “</w:t>
      </w:r>
      <w:r>
        <w:rPr>
          <w:rFonts w:ascii="Arial" w:cs="Arial" w:eastAsia="Arial" w:hAnsi="Arial"/>
          <w:sz w:val="19"/>
          <w:szCs w:val="19"/>
          <w:b w:val="1"/>
          <w:bCs w:val="1"/>
          <w:color w:val="auto"/>
        </w:rPr>
        <w:t>Incumbent Board</w:t>
      </w:r>
      <w:r>
        <w:rPr>
          <w:rFonts w:ascii="Arial" w:cs="Arial" w:eastAsia="Arial" w:hAnsi="Arial"/>
          <w:sz w:val="19"/>
          <w:szCs w:val="19"/>
          <w:color w:val="auto"/>
        </w:rPr>
        <w:t>”) are replaced during any twelve- (12-) month period by new Board members whose appointment or nomination was not endorsed by a majority of the Incumbent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was a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864235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0" w:name="page81"/>
    <w:bookmarkEnd w:id="80"/>
    <w:p>
      <w:pPr>
        <w:jc w:val="both"/>
        <w:ind w:left="860" w:right="219"/>
        <w:spacing w:after="0" w:line="236" w:lineRule="auto"/>
        <w:rPr>
          <w:sz w:val="20"/>
          <w:szCs w:val="20"/>
          <w:color w:val="auto"/>
        </w:rPr>
      </w:pPr>
      <w:r>
        <w:rPr>
          <w:rFonts w:ascii="Arial" w:cs="Arial" w:eastAsia="Arial" w:hAnsi="Arial"/>
          <w:sz w:val="22"/>
          <w:szCs w:val="22"/>
          <w:color w:val="auto"/>
        </w:rPr>
        <w:t>Incumbent Board, but excluding for this purpose any such individual whose appointment or nomination to the Board occurs as a result of an actual or threatened election contest with respect to the election or removal of any member of the Board, or other actual or threatened solicitation of proxies or consents, by or on behalf of a Person other than a majority of the then Incumbent Board; or</w:t>
      </w:r>
    </w:p>
    <w:p>
      <w:pPr>
        <w:spacing w:after="0" w:line="188" w:lineRule="exact"/>
        <w:rPr>
          <w:sz w:val="20"/>
          <w:szCs w:val="20"/>
          <w:color w:val="auto"/>
        </w:rPr>
      </w:pPr>
    </w:p>
    <w:p>
      <w:pPr>
        <w:jc w:val="both"/>
        <w:ind w:left="860" w:right="219" w:firstLine="1293"/>
        <w:spacing w:after="0"/>
        <w:tabs>
          <w:tab w:leader="none" w:pos="2804"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 the sale or other disposition of all or substantially all of the assets of the Company (in one or more transactions).</w:t>
      </w:r>
    </w:p>
    <w:p>
      <w:pPr>
        <w:spacing w:after="0" w:line="180" w:lineRule="exact"/>
        <w:rPr>
          <w:rFonts w:ascii="Arial" w:cs="Arial" w:eastAsia="Arial" w:hAnsi="Arial"/>
          <w:sz w:val="22"/>
          <w:szCs w:val="22"/>
          <w:color w:val="auto"/>
        </w:rPr>
      </w:pPr>
    </w:p>
    <w:p>
      <w:pPr>
        <w:ind w:left="200" w:right="239" w:firstLine="1305"/>
        <w:spacing w:after="0" w:line="256" w:lineRule="auto"/>
        <w:tabs>
          <w:tab w:leader="none" w:pos="2144"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Constructive Termination</w:t>
      </w:r>
      <w:r>
        <w:rPr>
          <w:rFonts w:ascii="Arial" w:cs="Arial" w:eastAsia="Arial" w:hAnsi="Arial"/>
          <w:sz w:val="22"/>
          <w:szCs w:val="22"/>
          <w:color w:val="auto"/>
        </w:rPr>
        <w:t>” means the happening of any of the following events (each an “</w:t>
      </w:r>
      <w:r>
        <w:rPr>
          <w:rFonts w:ascii="Arial" w:cs="Arial" w:eastAsia="Arial" w:hAnsi="Arial"/>
          <w:sz w:val="22"/>
          <w:szCs w:val="22"/>
          <w:b w:val="1"/>
          <w:bCs w:val="1"/>
          <w:color w:val="auto"/>
        </w:rPr>
        <w:t>Adverse Action</w:t>
      </w:r>
      <w:r>
        <w:rPr>
          <w:rFonts w:ascii="Arial" w:cs="Arial" w:eastAsia="Arial" w:hAnsi="Arial"/>
          <w:sz w:val="22"/>
          <w:szCs w:val="22"/>
          <w:color w:val="auto"/>
        </w:rPr>
        <w:t>”) without the written consent of the Officer:</w:t>
      </w:r>
    </w:p>
    <w:p>
      <w:pPr>
        <w:spacing w:after="0" w:line="168" w:lineRule="exact"/>
        <w:rPr>
          <w:rFonts w:ascii="Arial" w:cs="Arial" w:eastAsia="Arial" w:hAnsi="Arial"/>
          <w:sz w:val="22"/>
          <w:szCs w:val="22"/>
          <w:color w:val="auto"/>
        </w:rPr>
      </w:pPr>
    </w:p>
    <w:p>
      <w:pPr>
        <w:ind w:left="860" w:right="219" w:firstLine="1293"/>
        <w:spacing w:after="0" w:line="250" w:lineRule="auto"/>
        <w:tabs>
          <w:tab w:leader="none" w:pos="2804"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material diminution of the Officer’s authorities, duties or responsibilities, including, without limitation, title and reporting relationship;</w:t>
      </w:r>
    </w:p>
    <w:p>
      <w:pPr>
        <w:spacing w:after="0" w:line="175" w:lineRule="exact"/>
        <w:rPr>
          <w:sz w:val="20"/>
          <w:szCs w:val="20"/>
          <w:color w:val="auto"/>
        </w:rPr>
      </w:pPr>
    </w:p>
    <w:p>
      <w:pPr>
        <w:ind w:left="860" w:right="219" w:firstLine="1293"/>
        <w:spacing w:after="0" w:line="250" w:lineRule="auto"/>
        <w:tabs>
          <w:tab w:leader="none" w:pos="28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the Officer is primarily required to perform services for the Company;</w:t>
      </w:r>
    </w:p>
    <w:p>
      <w:pPr>
        <w:spacing w:after="0" w:line="174" w:lineRule="exact"/>
        <w:rPr>
          <w:rFonts w:ascii="Arial" w:cs="Arial" w:eastAsia="Arial" w:hAnsi="Arial"/>
          <w:sz w:val="22"/>
          <w:szCs w:val="22"/>
          <w:color w:val="auto"/>
        </w:rPr>
      </w:pPr>
    </w:p>
    <w:p>
      <w:pPr>
        <w:ind w:left="2800" w:hanging="647"/>
        <w:spacing w:after="0"/>
        <w:tabs>
          <w:tab w:leader="none" w:pos="2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material reduction in the Officer’s base compensation; or</w:t>
      </w:r>
    </w:p>
    <w:p>
      <w:pPr>
        <w:spacing w:after="0" w:line="206" w:lineRule="exact"/>
        <w:rPr>
          <w:rFonts w:ascii="Arial" w:cs="Arial" w:eastAsia="Arial" w:hAnsi="Arial"/>
          <w:sz w:val="22"/>
          <w:szCs w:val="22"/>
          <w:color w:val="auto"/>
        </w:rPr>
      </w:pPr>
    </w:p>
    <w:p>
      <w:pPr>
        <w:ind w:left="860" w:right="219" w:firstLine="1293"/>
        <w:spacing w:after="0" w:line="250" w:lineRule="auto"/>
        <w:tabs>
          <w:tab w:leader="none" w:pos="28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under its Letter Agreement with the Officer;</w:t>
      </w:r>
    </w:p>
    <w:p>
      <w:pPr>
        <w:spacing w:after="0" w:line="175"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provided, however, that the Officer shall not be deemed to have terminated employment on account of a Constructive Termination unless:</w:t>
      </w:r>
    </w:p>
    <w:p>
      <w:pPr>
        <w:spacing w:after="0" w:line="175" w:lineRule="exact"/>
        <w:rPr>
          <w:sz w:val="20"/>
          <w:szCs w:val="20"/>
          <w:color w:val="auto"/>
        </w:rPr>
      </w:pPr>
    </w:p>
    <w:p>
      <w:pPr>
        <w:jc w:val="both"/>
        <w:ind w:left="860" w:right="219" w:firstLine="1293"/>
        <w:spacing w:after="0"/>
        <w:tabs>
          <w:tab w:leader="none" w:pos="2804"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within ninety (90) days after the Adverse Action, the Officer notifies the Company in writing of his desire to terminate employment on account of such Constructive Termination;</w:t>
      </w:r>
    </w:p>
    <w:p>
      <w:pPr>
        <w:spacing w:after="0" w:line="186" w:lineRule="exact"/>
        <w:rPr>
          <w:rFonts w:ascii="Arial" w:cs="Arial" w:eastAsia="Arial" w:hAnsi="Arial"/>
          <w:sz w:val="22"/>
          <w:szCs w:val="22"/>
          <w:color w:val="auto"/>
        </w:rPr>
      </w:pPr>
    </w:p>
    <w:p>
      <w:pPr>
        <w:ind w:left="860" w:right="219" w:firstLine="1293"/>
        <w:spacing w:after="0" w:line="250" w:lineRule="auto"/>
        <w:tabs>
          <w:tab w:leader="none" w:pos="2804" w:val="left"/>
        </w:tabs>
        <w:numPr>
          <w:ilvl w:val="1"/>
          <w:numId w:val="27"/>
        </w:numPr>
        <w:rPr>
          <w:rFonts w:ascii="Arial" w:cs="Arial" w:eastAsia="Arial" w:hAnsi="Arial"/>
          <w:sz w:val="22"/>
          <w:szCs w:val="22"/>
          <w:color w:val="auto"/>
        </w:rPr>
      </w:pPr>
      <w:r>
        <w:rPr>
          <w:rFonts w:ascii="Arial" w:cs="Arial" w:eastAsia="Arial" w:hAnsi="Arial"/>
          <w:sz w:val="22"/>
          <w:szCs w:val="22"/>
          <w:color w:val="auto"/>
        </w:rPr>
        <w:t>following its receipt of such notice, the Company has thirty (30) days to remedy the Adverse Action; and</w:t>
      </w:r>
    </w:p>
    <w:p>
      <w:pPr>
        <w:spacing w:after="0" w:line="174" w:lineRule="exact"/>
        <w:rPr>
          <w:rFonts w:ascii="Arial" w:cs="Arial" w:eastAsia="Arial" w:hAnsi="Arial"/>
          <w:sz w:val="22"/>
          <w:szCs w:val="22"/>
          <w:color w:val="auto"/>
        </w:rPr>
      </w:pPr>
    </w:p>
    <w:p>
      <w:pPr>
        <w:ind w:left="2800" w:hanging="647"/>
        <w:spacing w:after="0"/>
        <w:tabs>
          <w:tab w:leader="none" w:pos="280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Company fails to remedy such event by the end of such thirty</w:t>
      </w:r>
    </w:p>
    <w:p>
      <w:pPr>
        <w:spacing w:after="0" w:line="42" w:lineRule="exact"/>
        <w:rPr>
          <w:rFonts w:ascii="Arial" w:cs="Arial" w:eastAsia="Arial" w:hAnsi="Arial"/>
          <w:sz w:val="19"/>
          <w:szCs w:val="19"/>
          <w:color w:val="auto"/>
        </w:rPr>
      </w:pPr>
    </w:p>
    <w:p>
      <w:pPr>
        <w:ind w:left="860" w:right="219" w:hanging="3"/>
        <w:spacing w:after="0" w:line="236" w:lineRule="auto"/>
        <w:tabs>
          <w:tab w:leader="none" w:pos="1291" w:val="left"/>
        </w:tabs>
        <w:numPr>
          <w:ilvl w:val="0"/>
          <w:numId w:val="28"/>
        </w:numPr>
        <w:rPr>
          <w:rFonts w:ascii="Arial" w:cs="Arial" w:eastAsia="Arial" w:hAnsi="Arial"/>
          <w:sz w:val="22"/>
          <w:szCs w:val="22"/>
          <w:color w:val="auto"/>
        </w:rPr>
      </w:pPr>
      <w:r>
        <w:rPr>
          <w:rFonts w:ascii="Arial" w:cs="Arial" w:eastAsia="Arial" w:hAnsi="Arial"/>
          <w:sz w:val="22"/>
          <w:szCs w:val="22"/>
          <w:color w:val="auto"/>
        </w:rPr>
        <w:t>day period and the Officer’s termination of employment occurs no later than two (2) years after the Adverse Action.</w:t>
      </w:r>
    </w:p>
    <w:p>
      <w:pPr>
        <w:spacing w:after="0" w:line="18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The “</w:t>
      </w:r>
      <w:r>
        <w:rPr>
          <w:rFonts w:ascii="Arial" w:cs="Arial" w:eastAsia="Arial" w:hAnsi="Arial"/>
          <w:sz w:val="21"/>
          <w:szCs w:val="21"/>
          <w:b w:val="1"/>
          <w:bCs w:val="1"/>
          <w:color w:val="auto"/>
        </w:rPr>
        <w:t>Exchange Act</w:t>
      </w:r>
      <w:r>
        <w:rPr>
          <w:rFonts w:ascii="Arial" w:cs="Arial" w:eastAsia="Arial" w:hAnsi="Arial"/>
          <w:sz w:val="21"/>
          <w:szCs w:val="21"/>
          <w:color w:val="auto"/>
        </w:rPr>
        <w:t>” shall mean the 1934 Securities Exchange Act, as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amended.</w:t>
      </w:r>
    </w:p>
    <w:p>
      <w:pPr>
        <w:spacing w:after="0" w:line="182" w:lineRule="exact"/>
        <w:rPr>
          <w:sz w:val="20"/>
          <w:szCs w:val="20"/>
          <w:color w:val="auto"/>
        </w:rPr>
      </w:pPr>
    </w:p>
    <w:p>
      <w:pPr>
        <w:jc w:val="both"/>
        <w:ind w:left="200" w:right="219" w:firstLine="657"/>
        <w:spacing w:after="0" w:line="239" w:lineRule="auto"/>
        <w:tabs>
          <w:tab w:leader="none" w:pos="1496"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Constructive Termination or Termination after Change of Control</w:t>
      </w:r>
      <w:r>
        <w:rPr>
          <w:rFonts w:ascii="Arial" w:cs="Arial" w:eastAsia="Arial" w:hAnsi="Arial"/>
          <w:sz w:val="22"/>
          <w:szCs w:val="22"/>
          <w:color w:val="auto"/>
        </w:rPr>
        <w:t>. If, within</w:t>
      </w:r>
      <w:r>
        <w:rPr>
          <w:rFonts w:ascii="Arial" w:cs="Arial" w:eastAsia="Arial" w:hAnsi="Arial"/>
          <w:sz w:val="22"/>
          <w:szCs w:val="22"/>
          <w:b w:val="1"/>
          <w:bCs w:val="1"/>
          <w:color w:val="auto"/>
        </w:rPr>
        <w:t xml:space="preserve"> </w:t>
      </w:r>
      <w:r>
        <w:rPr>
          <w:rFonts w:ascii="Arial" w:cs="Arial" w:eastAsia="Arial" w:hAnsi="Arial"/>
          <w:sz w:val="22"/>
          <w:szCs w:val="22"/>
          <w:color w:val="auto"/>
        </w:rPr>
        <w:t>twenty-four (24) months after a Change of Control, the Company terminates the Officer’s employment without Cause or the Officer’s employment terminates on account of a Constructive Termination, the following provisions shall apply:</w:t>
      </w:r>
    </w:p>
    <w:p>
      <w:pPr>
        <w:spacing w:after="0" w:line="186" w:lineRule="exact"/>
        <w:rPr>
          <w:rFonts w:ascii="Arial" w:cs="Arial" w:eastAsia="Arial" w:hAnsi="Arial"/>
          <w:sz w:val="22"/>
          <w:szCs w:val="22"/>
          <w:color w:val="auto"/>
        </w:rPr>
      </w:pPr>
    </w:p>
    <w:p>
      <w:pPr>
        <w:ind w:left="200" w:right="219" w:firstLine="1305"/>
        <w:spacing w:after="0" w:line="328" w:lineRule="auto"/>
        <w:tabs>
          <w:tab w:leader="none" w:pos="2144"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Company shall pay to the Officer, in lieu of any other payment rights under the Letter Agreement (except as provided in paragraph (c), below), an amount equal to 1.5</w:t>
      </w:r>
    </w:p>
    <w:p>
      <w:pPr>
        <w:spacing w:after="0" w:line="266" w:lineRule="exact"/>
        <w:rPr>
          <w:rFonts w:ascii="Arial" w:cs="Arial" w:eastAsia="Arial" w:hAnsi="Arial"/>
          <w:sz w:val="19"/>
          <w:szCs w:val="19"/>
          <w:color w:val="auto"/>
        </w:rPr>
      </w:pPr>
    </w:p>
    <w:p>
      <w:pPr>
        <w:ind w:left="4460" w:hanging="125"/>
        <w:spacing w:after="0"/>
        <w:tabs>
          <w:tab w:leader="none" w:pos="4460" w:val="left"/>
        </w:tabs>
        <w:numPr>
          <w:ilvl w:val="2"/>
          <w:numId w:val="29"/>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jc w:val="both"/>
        <w:ind w:left="200" w:right="219"/>
        <w:spacing w:after="0" w:line="235" w:lineRule="auto"/>
        <w:rPr>
          <w:sz w:val="20"/>
          <w:szCs w:val="20"/>
          <w:color w:val="auto"/>
        </w:rPr>
      </w:pPr>
      <w:r>
        <w:rPr>
          <w:rFonts w:ascii="Arial" w:cs="Arial" w:eastAsia="Arial" w:hAnsi="Arial"/>
          <w:sz w:val="22"/>
          <w:szCs w:val="22"/>
          <w:color w:val="auto"/>
        </w:rPr>
        <w:t>times the sum of: (i) the Officer’s annual salary for the year in which such termination occurs (disregarding any reduction in such salary that gives rise to a termination of employment on account of a Constructive Termination), and (ii) the Officer’s target incentive compensation for the fiscal year of the Company in which such termination occurs. Subject to the Six-Month Delay Rule described in Section 3(d), below, such amount shall be paid within five (5) days after the Officer’s termination of employment.</w:t>
      </w:r>
    </w:p>
    <w:p>
      <w:pPr>
        <w:spacing w:after="0" w:line="188" w:lineRule="exact"/>
        <w:rPr>
          <w:sz w:val="20"/>
          <w:szCs w:val="20"/>
          <w:color w:val="auto"/>
        </w:rPr>
      </w:pPr>
    </w:p>
    <w:p>
      <w:pPr>
        <w:jc w:val="both"/>
        <w:ind w:left="200" w:right="219" w:firstLine="1305"/>
        <w:spacing w:after="0" w:line="234" w:lineRule="auto"/>
        <w:tabs>
          <w:tab w:leader="none" w:pos="2144" w:val="left"/>
        </w:tabs>
        <w:numPr>
          <w:ilvl w:val="1"/>
          <w:numId w:val="30"/>
        </w:numPr>
        <w:rPr>
          <w:rFonts w:ascii="Arial" w:cs="Arial" w:eastAsia="Arial" w:hAnsi="Arial"/>
          <w:sz w:val="22"/>
          <w:szCs w:val="22"/>
          <w:color w:val="auto"/>
        </w:rPr>
      </w:pPr>
      <w:r>
        <w:rPr>
          <w:rFonts w:ascii="Arial" w:cs="Arial" w:eastAsia="Arial" w:hAnsi="Arial"/>
          <w:sz w:val="22"/>
          <w:szCs w:val="22"/>
          <w:color w:val="auto"/>
        </w:rPr>
        <w:t>All of the Officer’s unvested stock options, stock appreciation rights, restricted stock, restricted stock units, performance shares, performance share units, and other equity compensation rights and awards shall accelerate and vest, so as to be immediately deliverable to, and where applicable exercisable by, the Officer. To the extent that the number of shares or amount of cash deliverable is contingent on achieving performance objectives, such number of shares or amount of cash shall be the target number or amount prescribed by the applicable award agreement.</w:t>
      </w:r>
    </w:p>
    <w:p>
      <w:pPr>
        <w:spacing w:after="0" w:line="190" w:lineRule="exact"/>
        <w:rPr>
          <w:rFonts w:ascii="Arial" w:cs="Arial" w:eastAsia="Arial" w:hAnsi="Arial"/>
          <w:sz w:val="22"/>
          <w:szCs w:val="22"/>
          <w:color w:val="auto"/>
        </w:rPr>
      </w:pPr>
    </w:p>
    <w:p>
      <w:pPr>
        <w:jc w:val="both"/>
        <w:ind w:left="200" w:right="219" w:firstLine="1305"/>
        <w:spacing w:after="0" w:line="234" w:lineRule="auto"/>
        <w:tabs>
          <w:tab w:leader="none" w:pos="2144"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Company shall pay to the Officer the following compensation for services performed through his termination date: (i) all accrued and unpaid salary, and (ii) a pro-rated annual incentive payment. The accrued and unpaid salary shall be paid on the Officer’s last day of employment. The pro-rated annual incentive payment shall be paid after the performance period, at the time prescribed by the applicable incentive plan, based on (and subject to) actual achievement of the applicable performance goals (as modified to the extent required by the Letter Agreement).</w:t>
      </w:r>
    </w:p>
    <w:p>
      <w:pPr>
        <w:spacing w:after="0" w:line="190"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Officer shall continue to be eligible for the medical, dental, life insurance, disability insurance and automobile benefits for which the Officer is eligible immediately before his termination of employment for a period of two years after such termination; provided, however, that—</w:t>
      </w:r>
    </w:p>
    <w:p>
      <w:pPr>
        <w:spacing w:after="0" w:line="184" w:lineRule="exact"/>
        <w:rPr>
          <w:rFonts w:ascii="Arial" w:cs="Arial" w:eastAsia="Arial" w:hAnsi="Arial"/>
          <w:sz w:val="22"/>
          <w:szCs w:val="22"/>
          <w:color w:val="auto"/>
        </w:rPr>
      </w:pPr>
    </w:p>
    <w:p>
      <w:pPr>
        <w:jc w:val="both"/>
        <w:ind w:left="860" w:right="219" w:firstLine="1293"/>
        <w:spacing w:after="0"/>
        <w:tabs>
          <w:tab w:leader="none" w:pos="2804"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the Officer’s participation in each such benefit shall be conditioned on the Officer paying for any portion of the premiums or costs that are charged to similarly situated active employees;</w:t>
      </w:r>
    </w:p>
    <w:p>
      <w:pPr>
        <w:spacing w:after="0" w:line="186" w:lineRule="exact"/>
        <w:rPr>
          <w:rFonts w:ascii="Arial" w:cs="Arial" w:eastAsia="Arial" w:hAnsi="Arial"/>
          <w:sz w:val="22"/>
          <w:szCs w:val="22"/>
          <w:color w:val="auto"/>
        </w:rPr>
      </w:pPr>
    </w:p>
    <w:p>
      <w:pPr>
        <w:jc w:val="both"/>
        <w:ind w:left="860" w:right="219" w:firstLine="1293"/>
        <w:spacing w:after="0" w:line="257" w:lineRule="auto"/>
        <w:tabs>
          <w:tab w:leader="none" w:pos="2804" w:val="left"/>
        </w:tabs>
        <w:numPr>
          <w:ilvl w:val="2"/>
          <w:numId w:val="30"/>
        </w:numPr>
        <w:rPr>
          <w:rFonts w:ascii="Arial" w:cs="Arial" w:eastAsia="Arial" w:hAnsi="Arial"/>
          <w:sz w:val="21"/>
          <w:szCs w:val="21"/>
          <w:color w:val="auto"/>
        </w:rPr>
      </w:pPr>
      <w:r>
        <w:rPr>
          <w:rFonts w:ascii="Arial" w:cs="Arial" w:eastAsia="Arial" w:hAnsi="Arial"/>
          <w:sz w:val="21"/>
          <w:szCs w:val="21"/>
          <w:color w:val="auto"/>
        </w:rPr>
        <w:t>payment of the automobile benefits and any other benefits that are treated as “nonqualified deferred compensation” under Section 409A of the Code shall be subject to the Six-Month Delay Rule described in Section 3(d), below; and</w:t>
      </w:r>
    </w:p>
    <w:p>
      <w:pPr>
        <w:spacing w:after="0" w:line="169" w:lineRule="exact"/>
        <w:rPr>
          <w:rFonts w:ascii="Arial" w:cs="Arial" w:eastAsia="Arial" w:hAnsi="Arial"/>
          <w:sz w:val="21"/>
          <w:szCs w:val="21"/>
          <w:color w:val="auto"/>
        </w:rPr>
      </w:pPr>
    </w:p>
    <w:p>
      <w:pPr>
        <w:jc w:val="both"/>
        <w:ind w:left="860" w:right="219" w:firstLine="1293"/>
        <w:spacing w:after="0" w:line="270" w:lineRule="auto"/>
        <w:tabs>
          <w:tab w:leader="none" w:pos="2804" w:val="left"/>
        </w:tabs>
        <w:numPr>
          <w:ilvl w:val="2"/>
          <w:numId w:val="30"/>
        </w:numPr>
        <w:rPr>
          <w:rFonts w:ascii="Arial" w:cs="Arial" w:eastAsia="Arial" w:hAnsi="Arial"/>
          <w:sz w:val="19"/>
          <w:szCs w:val="19"/>
          <w:color w:val="auto"/>
        </w:rPr>
      </w:pPr>
      <w:r>
        <w:rPr>
          <w:rFonts w:ascii="Arial" w:cs="Arial" w:eastAsia="Arial" w:hAnsi="Arial"/>
          <w:sz w:val="19"/>
          <w:szCs w:val="19"/>
          <w:color w:val="auto"/>
        </w:rPr>
        <w:t>unless the Company determines that it can provide continued medical and dental benefits under a group health plan without violating any applicable nondiscrimination or similar rules, in lieu of subsidized medical and dental benefits under a Company plan, the Company shall pay to the Officer an amount for each month during such two-year period. The amount for each month shall be 167 percent of the excess of</w:t>
      </w:r>
    </w:p>
    <w:p>
      <w:pPr>
        <w:spacing w:after="0" w:line="4" w:lineRule="exact"/>
        <w:rPr>
          <w:rFonts w:ascii="Arial" w:cs="Arial" w:eastAsia="Arial" w:hAnsi="Arial"/>
          <w:sz w:val="19"/>
          <w:szCs w:val="19"/>
          <w:color w:val="auto"/>
        </w:rPr>
      </w:pPr>
    </w:p>
    <w:p>
      <w:pPr>
        <w:jc w:val="both"/>
        <w:ind w:left="860" w:right="219" w:hanging="3"/>
        <w:spacing w:after="0" w:line="233" w:lineRule="auto"/>
        <w:tabs>
          <w:tab w:leader="none" w:pos="123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COBRA premium for the applicable coverage under the Company’s plan for such month, over (B) the premium that an active senior executive of the Company would be required to pay for such coverage under the Company’s plan for such month. Subject to the Six-Month Delay Rule described in Section 3(d), below, such amount shall be paid monthly in arrears.</w:t>
      </w:r>
    </w:p>
    <w:p>
      <w:pPr>
        <w:spacing w:after="0" w:line="347" w:lineRule="exact"/>
        <w:rPr>
          <w:rFonts w:ascii="Arial" w:cs="Arial" w:eastAsia="Arial" w:hAnsi="Arial"/>
          <w:sz w:val="22"/>
          <w:szCs w:val="22"/>
          <w:color w:val="auto"/>
        </w:rPr>
      </w:pPr>
    </w:p>
    <w:p>
      <w:pPr>
        <w:ind w:left="4460" w:hanging="125"/>
        <w:spacing w:after="0"/>
        <w:tabs>
          <w:tab w:leader="none" w:pos="4460" w:val="left"/>
        </w:tabs>
        <w:numPr>
          <w:ilvl w:val="3"/>
          <w:numId w:val="31"/>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ind w:left="1500" w:hanging="643"/>
        <w:spacing w:after="0"/>
        <w:tabs>
          <w:tab w:leader="none" w:pos="1500" w:val="left"/>
        </w:tabs>
        <w:numPr>
          <w:ilvl w:val="1"/>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200" w:right="219" w:firstLine="1305"/>
        <w:spacing w:after="0" w:line="277" w:lineRule="auto"/>
        <w:tabs>
          <w:tab w:leader="none" w:pos="2144" w:val="left"/>
        </w:tabs>
        <w:numPr>
          <w:ilvl w:val="2"/>
          <w:numId w:val="32"/>
        </w:numPr>
        <w:rPr>
          <w:rFonts w:ascii="Arial" w:cs="Arial" w:eastAsia="Arial" w:hAnsi="Arial"/>
          <w:sz w:val="19"/>
          <w:szCs w:val="19"/>
          <w:color w:val="auto"/>
        </w:rPr>
      </w:pPr>
      <w:r>
        <w:rPr>
          <w:rFonts w:ascii="Arial" w:cs="Arial" w:eastAsia="Arial" w:hAnsi="Arial"/>
          <w:sz w:val="19"/>
          <w:szCs w:val="19"/>
          <w:u w:val="single" w:color="auto"/>
          <w:color w:val="auto"/>
        </w:rPr>
        <w:t>Intent to Comply With Section 409A</w:t>
      </w:r>
      <w:r>
        <w:rPr>
          <w:rFonts w:ascii="Arial" w:cs="Arial" w:eastAsia="Arial" w:hAnsi="Arial"/>
          <w:sz w:val="19"/>
          <w:szCs w:val="19"/>
          <w:color w:val="auto"/>
        </w:rPr>
        <w:t>. This Agreement shall be interpreted consistent with the intent to comply with the requirements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such that there are no adverse tax consequences, interest or penalties as a result of any amount paid or payable under this Agreement. Any ambiguity or inconsistency in the provisions of this Agreement shall be resolved consistent with such intent. In addition, to the extent permitted by law, the parties agree to make a good faith effort to modify this Agreement to the extent that either party determines is necessary to comply with Section 409A.</w:t>
      </w:r>
    </w:p>
    <w:p>
      <w:pPr>
        <w:spacing w:after="0" w:line="151" w:lineRule="exact"/>
        <w:rPr>
          <w:rFonts w:ascii="Arial" w:cs="Arial" w:eastAsia="Arial" w:hAnsi="Arial"/>
          <w:sz w:val="19"/>
          <w:szCs w:val="19"/>
          <w:color w:val="auto"/>
        </w:rPr>
      </w:pPr>
    </w:p>
    <w:p>
      <w:pPr>
        <w:jc w:val="both"/>
        <w:ind w:left="200" w:right="219" w:firstLine="1305"/>
        <w:spacing w:after="0" w:line="236" w:lineRule="auto"/>
        <w:tabs>
          <w:tab w:leader="none" w:pos="2144" w:val="left"/>
        </w:tabs>
        <w:numPr>
          <w:ilvl w:val="2"/>
          <w:numId w:val="32"/>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Except as otherwise expressly provided, references in this Agreement to the Officer’s termination of employment, termination date and similar terms related to Officer’s termination of employment or separation from service shall refer to the date of Officer’s “separation from service” within the meaning of Section 409A(a)(2)(A)(i) of the Code, as determined by the Company.</w:t>
      </w:r>
    </w:p>
    <w:p>
      <w:pPr>
        <w:spacing w:after="0" w:line="187" w:lineRule="exact"/>
        <w:rPr>
          <w:rFonts w:ascii="Arial" w:cs="Arial" w:eastAsia="Arial" w:hAnsi="Arial"/>
          <w:sz w:val="22"/>
          <w:szCs w:val="22"/>
          <w:color w:val="auto"/>
        </w:rPr>
      </w:pPr>
    </w:p>
    <w:p>
      <w:pPr>
        <w:jc w:val="both"/>
        <w:ind w:left="200" w:right="219" w:firstLine="1305"/>
        <w:spacing w:after="0" w:line="246" w:lineRule="auto"/>
        <w:tabs>
          <w:tab w:leader="none" w:pos="2144" w:val="left"/>
        </w:tabs>
        <w:numPr>
          <w:ilvl w:val="2"/>
          <w:numId w:val="32"/>
        </w:numPr>
        <w:rPr>
          <w:rFonts w:ascii="Arial" w:cs="Arial" w:eastAsia="Arial" w:hAnsi="Arial"/>
          <w:sz w:val="21"/>
          <w:szCs w:val="21"/>
          <w:color w:val="auto"/>
        </w:rPr>
      </w:pPr>
      <w:r>
        <w:rPr>
          <w:rFonts w:ascii="Arial" w:cs="Arial" w:eastAsia="Arial" w:hAnsi="Arial"/>
          <w:sz w:val="21"/>
          <w:szCs w:val="21"/>
          <w:u w:val="single" w:color="auto"/>
          <w:color w:val="auto"/>
        </w:rPr>
        <w:t>Section 409A Substitution Rule</w:t>
      </w:r>
      <w:r>
        <w:rPr>
          <w:rFonts w:ascii="Arial" w:cs="Arial" w:eastAsia="Arial" w:hAnsi="Arial"/>
          <w:sz w:val="21"/>
          <w:szCs w:val="21"/>
          <w:color w:val="auto"/>
        </w:rPr>
        <w:t>. To the extent that an amount payable under this Agreement is provided in lieu of, or as a substitution for, an amount otherwise due under the Letter Agreement, such amount shall be paid at the time prescribed by the Letter Agreement (</w:t>
      </w:r>
      <w:r>
        <w:rPr>
          <w:rFonts w:ascii="Arial" w:cs="Arial" w:eastAsia="Arial" w:hAnsi="Arial"/>
          <w:sz w:val="21"/>
          <w:szCs w:val="21"/>
          <w:i w:val="1"/>
          <w:iCs w:val="1"/>
          <w:color w:val="auto"/>
        </w:rPr>
        <w:t>i.e.</w:t>
      </w:r>
      <w:r>
        <w:rPr>
          <w:rFonts w:ascii="Arial" w:cs="Arial" w:eastAsia="Arial" w:hAnsi="Arial"/>
          <w:sz w:val="21"/>
          <w:szCs w:val="21"/>
          <w:color w:val="auto"/>
        </w:rPr>
        <w:t>, without regard to the acceleration that would otherwise occur by reason of this Agreement) unless the Officer’s termination of employment occurs and payment is due within 24 months after a change in the ownership or effective control of the Company, or a change in the ownership of a substantial portion of the assets of the Company, within the meaning of the Treasury Regulations issued under Section 409A(a)(2)(A)(v) of the Code.</w:t>
      </w:r>
    </w:p>
    <w:p>
      <w:pPr>
        <w:spacing w:after="0" w:line="179" w:lineRule="exact"/>
        <w:rPr>
          <w:rFonts w:ascii="Arial" w:cs="Arial" w:eastAsia="Arial" w:hAnsi="Arial"/>
          <w:sz w:val="21"/>
          <w:szCs w:val="21"/>
          <w:color w:val="auto"/>
        </w:rPr>
      </w:pPr>
    </w:p>
    <w:p>
      <w:pPr>
        <w:jc w:val="both"/>
        <w:ind w:left="200" w:right="219" w:firstLine="1305"/>
        <w:spacing w:after="0" w:line="269" w:lineRule="auto"/>
        <w:tabs>
          <w:tab w:leader="none" w:pos="2144" w:val="left"/>
        </w:tabs>
        <w:numPr>
          <w:ilvl w:val="2"/>
          <w:numId w:val="32"/>
        </w:numPr>
        <w:rPr>
          <w:rFonts w:ascii="Arial" w:cs="Arial" w:eastAsia="Arial" w:hAnsi="Arial"/>
          <w:sz w:val="19"/>
          <w:szCs w:val="19"/>
          <w:color w:val="auto"/>
        </w:rPr>
      </w:pPr>
      <w:r>
        <w:rPr>
          <w:rFonts w:ascii="Arial" w:cs="Arial" w:eastAsia="Arial" w:hAnsi="Arial"/>
          <w:sz w:val="19"/>
          <w:szCs w:val="19"/>
          <w:u w:val="single" w:color="auto"/>
          <w:color w:val="auto"/>
        </w:rPr>
        <w:t>Six-Month Delay Rule</w:t>
      </w:r>
      <w:r>
        <w:rPr>
          <w:rFonts w:ascii="Arial" w:cs="Arial" w:eastAsia="Arial" w:hAnsi="Arial"/>
          <w:sz w:val="19"/>
          <w:szCs w:val="19"/>
          <w:color w:val="auto"/>
        </w:rPr>
        <w:t>. If, as of his termination date, the Officer is a “specified employee” (as determined by the Company in accordance with Treas. Reg. § 1.409A-1(i)), any amount payable to the Officer upon or by reason of his termination of employment (including expense reimbursements and in-kind benefits that are includible in income) shall be subject to the six (6) month delay required by Section 409A(a)(2)(B)(i) of the Code; provided, however, that such six (6) month delay shall not be required with respect to any payment that the Company determines is not subject to Section 409A by reason of the “short-term deferral” rule described in Treas. Reg. § 1.409A-1(b)(4), the “two-year, two-time” rule described in Treas. Reg.</w:t>
      </w:r>
    </w:p>
    <w:p>
      <w:pPr>
        <w:spacing w:after="0" w:line="2" w:lineRule="exact"/>
        <w:rPr>
          <w:rFonts w:ascii="Arial" w:cs="Arial" w:eastAsia="Arial" w:hAnsi="Arial"/>
          <w:sz w:val="19"/>
          <w:szCs w:val="19"/>
          <w:color w:val="auto"/>
        </w:rPr>
      </w:pPr>
    </w:p>
    <w:p>
      <w:pPr>
        <w:jc w:val="both"/>
        <w:ind w:left="200" w:right="219" w:firstLine="9"/>
        <w:spacing w:after="0" w:line="273" w:lineRule="auto"/>
        <w:tabs>
          <w:tab w:leader="none" w:pos="375" w:val="left"/>
        </w:tabs>
        <w:numPr>
          <w:ilvl w:val="0"/>
          <w:numId w:val="32"/>
        </w:numPr>
        <w:rPr>
          <w:rFonts w:ascii="Arial" w:cs="Arial" w:eastAsia="Arial" w:hAnsi="Arial"/>
          <w:sz w:val="19"/>
          <w:szCs w:val="19"/>
          <w:color w:val="auto"/>
        </w:rPr>
      </w:pPr>
      <w:r>
        <w:rPr>
          <w:rFonts w:ascii="Arial" w:cs="Arial" w:eastAsia="Arial" w:hAnsi="Arial"/>
          <w:sz w:val="19"/>
          <w:szCs w:val="19"/>
          <w:color w:val="auto"/>
        </w:rPr>
        <w:t>1.409A-1(b)(9)(iii), or any other exemption. If payment of any amount is delayed by reason of this six (6) month delay, such amount shall be paid with interest within five (5) business days after the first day of the seventh (7th) month that starts after the Officer’s termination date (or, if earlier, within 90 days after the Officer’s death). Except as otherwise provided in a governing document for an applicable benefit plan, program, or other arrangement, interest shall be calculated using the prime rate of interest in effect at Bank of America, N.A. (or another bank designated by the Company that is one of its principal banks) on the Officer’s termination date.</w:t>
      </w:r>
    </w:p>
    <w:p>
      <w:pPr>
        <w:spacing w:after="0" w:line="159" w:lineRule="exact"/>
        <w:rPr>
          <w:rFonts w:ascii="Arial" w:cs="Arial" w:eastAsia="Arial" w:hAnsi="Arial"/>
          <w:sz w:val="19"/>
          <w:szCs w:val="19"/>
          <w:color w:val="auto"/>
        </w:rPr>
      </w:pPr>
    </w:p>
    <w:p>
      <w:pPr>
        <w:jc w:val="both"/>
        <w:ind w:left="200" w:right="219" w:firstLine="1305"/>
        <w:spacing w:after="0" w:line="257" w:lineRule="auto"/>
        <w:tabs>
          <w:tab w:leader="none" w:pos="2144" w:val="left"/>
        </w:tabs>
        <w:numPr>
          <w:ilvl w:val="2"/>
          <w:numId w:val="33"/>
        </w:numPr>
        <w:rPr>
          <w:rFonts w:ascii="Arial" w:cs="Arial" w:eastAsia="Arial" w:hAnsi="Arial"/>
          <w:sz w:val="21"/>
          <w:szCs w:val="21"/>
          <w:color w:val="auto"/>
        </w:rPr>
      </w:pPr>
      <w:r>
        <w:rPr>
          <w:rFonts w:ascii="Arial" w:cs="Arial" w:eastAsia="Arial" w:hAnsi="Arial"/>
          <w:sz w:val="21"/>
          <w:szCs w:val="21"/>
          <w:u w:val="single" w:color="auto"/>
          <w:color w:val="auto"/>
        </w:rPr>
        <w:t>Installments Treated as Separate Payments</w:t>
      </w:r>
      <w:r>
        <w:rPr>
          <w:rFonts w:ascii="Arial" w:cs="Arial" w:eastAsia="Arial" w:hAnsi="Arial"/>
          <w:sz w:val="21"/>
          <w:szCs w:val="21"/>
          <w:color w:val="auto"/>
        </w:rPr>
        <w:t>. For purposes of Section 409A of the Code, except as otherwise expressly provided, each installment of payments and benefits due under this Agreement shall be treated as a separate payment.</w:t>
      </w:r>
    </w:p>
    <w:p>
      <w:pPr>
        <w:spacing w:after="0" w:line="331" w:lineRule="exact"/>
        <w:rPr>
          <w:rFonts w:ascii="Arial" w:cs="Arial" w:eastAsia="Arial" w:hAnsi="Arial"/>
          <w:sz w:val="21"/>
          <w:szCs w:val="21"/>
          <w:color w:val="auto"/>
        </w:rPr>
      </w:pPr>
    </w:p>
    <w:p>
      <w:pPr>
        <w:ind w:left="4460" w:hanging="125"/>
        <w:spacing w:after="0"/>
        <w:tabs>
          <w:tab w:leader="none" w:pos="4460" w:val="left"/>
        </w:tabs>
        <w:numPr>
          <w:ilvl w:val="3"/>
          <w:numId w:val="33"/>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3" w:name="page84"/>
    <w:bookmarkEnd w:id="83"/>
    <w:p>
      <w:pPr>
        <w:jc w:val="both"/>
        <w:ind w:left="200" w:right="239" w:firstLine="1305"/>
        <w:spacing w:after="0" w:line="258" w:lineRule="auto"/>
        <w:tabs>
          <w:tab w:leader="none" w:pos="2144"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Acceleration or Deferral of Payments</w:t>
      </w:r>
      <w:r>
        <w:rPr>
          <w:rFonts w:ascii="Arial" w:cs="Arial" w:eastAsia="Arial" w:hAnsi="Arial"/>
          <w:sz w:val="21"/>
          <w:szCs w:val="21"/>
          <w:color w:val="auto"/>
        </w:rPr>
        <w:t>. Neither the Company nor the Officer shall have the right to accelerate or defer the delivery of any payment or benefit due under this Agreement, except to the extent expressly permitted or required by Section 409A.</w:t>
      </w:r>
    </w:p>
    <w:p>
      <w:pPr>
        <w:spacing w:after="0" w:line="166" w:lineRule="exact"/>
        <w:rPr>
          <w:rFonts w:ascii="Arial" w:cs="Arial" w:eastAsia="Arial" w:hAnsi="Arial"/>
          <w:sz w:val="21"/>
          <w:szCs w:val="21"/>
          <w:color w:val="auto"/>
        </w:rPr>
      </w:pPr>
    </w:p>
    <w:p>
      <w:pPr>
        <w:jc w:val="both"/>
        <w:ind w:left="200" w:right="219" w:firstLine="1305"/>
        <w:spacing w:after="0" w:line="297" w:lineRule="auto"/>
        <w:tabs>
          <w:tab w:leader="none" w:pos="2144"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Payment Date</w:t>
      </w:r>
      <w:r>
        <w:rPr>
          <w:rFonts w:ascii="Arial" w:cs="Arial" w:eastAsia="Arial" w:hAnsi="Arial"/>
          <w:sz w:val="19"/>
          <w:szCs w:val="19"/>
          <w:color w:val="auto"/>
        </w:rPr>
        <w:t>. To the extent that any payment under this Agreement may be made during a payment window, the date of payment shall be determined by the Company, in its sole discretion, and not by the Officer or any other individual entitled to receive the payment.</w:t>
      </w:r>
    </w:p>
    <w:p>
      <w:pPr>
        <w:spacing w:after="0" w:line="133" w:lineRule="exact"/>
        <w:rPr>
          <w:rFonts w:ascii="Arial" w:cs="Arial" w:eastAsia="Arial" w:hAnsi="Arial"/>
          <w:sz w:val="19"/>
          <w:szCs w:val="19"/>
          <w:color w:val="auto"/>
        </w:rPr>
      </w:pPr>
    </w:p>
    <w:p>
      <w:pPr>
        <w:jc w:val="both"/>
        <w:ind w:left="200" w:right="219" w:firstLine="1305"/>
        <w:spacing w:after="0" w:line="235" w:lineRule="auto"/>
        <w:tabs>
          <w:tab w:leader="none" w:pos="2144"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Expense Reimbursements and In-Kind Benefits</w:t>
      </w:r>
      <w:r>
        <w:rPr>
          <w:rFonts w:ascii="Arial" w:cs="Arial" w:eastAsia="Arial" w:hAnsi="Arial"/>
          <w:sz w:val="22"/>
          <w:szCs w:val="22"/>
          <w:color w:val="auto"/>
        </w:rPr>
        <w:t>. To the extent that any expense reimbursement or in-kind benefit is subject to Section 409A (</w:t>
      </w:r>
      <w:r>
        <w:rPr>
          <w:rFonts w:ascii="Arial" w:cs="Arial" w:eastAsia="Arial" w:hAnsi="Arial"/>
          <w:sz w:val="22"/>
          <w:szCs w:val="22"/>
          <w:i w:val="1"/>
          <w:iCs w:val="1"/>
          <w:color w:val="auto"/>
        </w:rPr>
        <w:t>e.g.</w:t>
      </w:r>
      <w:r>
        <w:rPr>
          <w:rFonts w:ascii="Arial" w:cs="Arial" w:eastAsia="Arial" w:hAnsi="Arial"/>
          <w:sz w:val="22"/>
          <w:szCs w:val="22"/>
          <w:color w:val="auto"/>
        </w:rPr>
        <w:t>, the expense reimbursement is includible in income and is not required to be paid by the end of the “applicable 2½-month period” described in Treas. Reg. § 1.409A-1(b)(4)(i)(A)), such reimbursement or benefit shall be subject to the conditions set forth in Treas. Reg. § 1.409A-3(i)(1)(iv). Accordingly:</w:t>
      </w:r>
    </w:p>
    <w:p>
      <w:pPr>
        <w:spacing w:after="0" w:line="187" w:lineRule="exact"/>
        <w:rPr>
          <w:rFonts w:ascii="Arial" w:cs="Arial" w:eastAsia="Arial" w:hAnsi="Arial"/>
          <w:sz w:val="22"/>
          <w:szCs w:val="22"/>
          <w:color w:val="auto"/>
        </w:rPr>
      </w:pPr>
    </w:p>
    <w:p>
      <w:pPr>
        <w:jc w:val="both"/>
        <w:ind w:left="860" w:right="219" w:firstLine="1293"/>
        <w:spacing w:after="0" w:line="297" w:lineRule="auto"/>
        <w:tabs>
          <w:tab w:leader="none" w:pos="2804"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amount of such expenses eligible for reimbursement, or in-kind benefits provided, during a taxable year of the Officer shall not affect the expenses eligible for reimbursement, or in-kind benefits to be provided, in any other taxable year;</w:t>
      </w:r>
    </w:p>
    <w:p>
      <w:pPr>
        <w:spacing w:after="0" w:line="133" w:lineRule="exact"/>
        <w:rPr>
          <w:rFonts w:ascii="Arial" w:cs="Arial" w:eastAsia="Arial" w:hAnsi="Arial"/>
          <w:sz w:val="19"/>
          <w:szCs w:val="19"/>
          <w:color w:val="auto"/>
        </w:rPr>
      </w:pPr>
    </w:p>
    <w:p>
      <w:pPr>
        <w:jc w:val="both"/>
        <w:ind w:left="860" w:right="219" w:firstLine="1293"/>
        <w:spacing w:after="0"/>
        <w:tabs>
          <w:tab w:leader="none" w:pos="2804"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reimbursement of each such expense shall be paid no later than the last day of the Officer’s taxable year next following the taxable year in which the expense was incurred; and</w:t>
      </w:r>
    </w:p>
    <w:p>
      <w:pPr>
        <w:spacing w:after="0" w:line="186" w:lineRule="exact"/>
        <w:rPr>
          <w:rFonts w:ascii="Arial" w:cs="Arial" w:eastAsia="Arial" w:hAnsi="Arial"/>
          <w:sz w:val="22"/>
          <w:szCs w:val="22"/>
          <w:color w:val="auto"/>
        </w:rPr>
      </w:pPr>
    </w:p>
    <w:p>
      <w:pPr>
        <w:ind w:left="860" w:right="219" w:firstLine="1293"/>
        <w:spacing w:after="0" w:line="250" w:lineRule="auto"/>
        <w:tabs>
          <w:tab w:leader="none" w:pos="2804"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right to reimbursement or in-kind benefits shall not be subject to liquidation or exchange for another benefit.</w:t>
      </w:r>
    </w:p>
    <w:p>
      <w:pPr>
        <w:spacing w:after="0" w:line="168" w:lineRule="exact"/>
        <w:rPr>
          <w:rFonts w:ascii="Arial" w:cs="Arial" w:eastAsia="Arial" w:hAnsi="Arial"/>
          <w:sz w:val="22"/>
          <w:szCs w:val="22"/>
          <w:color w:val="auto"/>
        </w:rPr>
      </w:pPr>
    </w:p>
    <w:p>
      <w:pPr>
        <w:jc w:val="both"/>
        <w:ind w:left="200" w:right="219" w:firstLine="657"/>
        <w:spacing w:after="0" w:line="237" w:lineRule="auto"/>
        <w:tabs>
          <w:tab w:leader="none" w:pos="14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construed, interpreted and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law of the State of Arizona, without giving effect to Arizona principles regarding conflict of laws. Reference to any provision of the Code or other law shall include all regulations and other guidance of general applicability issued thereunder, and shall be deemed to include any successor provision.</w:t>
      </w:r>
    </w:p>
    <w:p>
      <w:pPr>
        <w:spacing w:after="0" w:line="181" w:lineRule="exact"/>
        <w:rPr>
          <w:rFonts w:ascii="Arial" w:cs="Arial" w:eastAsia="Arial" w:hAnsi="Arial"/>
          <w:sz w:val="22"/>
          <w:szCs w:val="22"/>
          <w:color w:val="auto"/>
        </w:rPr>
      </w:pPr>
    </w:p>
    <w:p>
      <w:pPr>
        <w:ind w:left="1500" w:hanging="6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200" w:right="219" w:firstLine="1305"/>
        <w:spacing w:after="0" w:line="279" w:lineRule="auto"/>
        <w:tabs>
          <w:tab w:leader="none" w:pos="2144"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amounts payable under this Agreement are subject to withholding for all federal, state and local taxes, and all other amounts relating to tax or other payroll deductions, as the Company may reasonably determine should be withheld. Regardless of the amount withheld, the Officer shall be solely responsible for paying all required taxes (other than the employer’s share of employment taxes) on all payments and other compensation (including imputed compensation) and benefits provided under this Agreement.</w:t>
      </w:r>
    </w:p>
    <w:p>
      <w:pPr>
        <w:spacing w:after="0" w:line="150" w:lineRule="exact"/>
        <w:rPr>
          <w:rFonts w:ascii="Arial" w:cs="Arial" w:eastAsia="Arial" w:hAnsi="Arial"/>
          <w:sz w:val="19"/>
          <w:szCs w:val="19"/>
          <w:color w:val="auto"/>
        </w:rPr>
      </w:pPr>
    </w:p>
    <w:p>
      <w:pPr>
        <w:jc w:val="both"/>
        <w:ind w:left="200" w:right="219" w:firstLine="1305"/>
        <w:spacing w:after="0" w:line="277" w:lineRule="auto"/>
        <w:tabs>
          <w:tab w:leader="none" w:pos="2144"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Succession</w:t>
      </w:r>
      <w:r>
        <w:rPr>
          <w:rFonts w:ascii="Arial" w:cs="Arial" w:eastAsia="Arial" w:hAnsi="Arial"/>
          <w:sz w:val="19"/>
          <w:szCs w:val="19"/>
          <w:color w:val="auto"/>
        </w:rPr>
        <w:t>. This Agreement shall extend to and be binding upon the Officer, his legal representatives, heirs and distributees, and upon the Company, its successors and assigns. Without limiting the foregoing sentence, Avnet shall require any successor (whether direct or indirect, by merger, consolidation, sale of stock or assets or otherwise) to the business or assets of Avnet expressly, absolutely and unconditionally to assume and to agree to perform under this Agreement in the same manner and to the same extent as Avnet would have been required to perform if no such succession had taken place. As used in this Agreement, “Avnet” and the</w:t>
      </w:r>
    </w:p>
    <w:p>
      <w:pPr>
        <w:spacing w:after="0" w:line="313" w:lineRule="exact"/>
        <w:rPr>
          <w:rFonts w:ascii="Arial" w:cs="Arial" w:eastAsia="Arial" w:hAnsi="Arial"/>
          <w:sz w:val="19"/>
          <w:szCs w:val="19"/>
          <w:color w:val="auto"/>
        </w:rPr>
      </w:pPr>
    </w:p>
    <w:p>
      <w:pPr>
        <w:ind w:left="4460" w:hanging="125"/>
        <w:spacing w:after="0"/>
        <w:tabs>
          <w:tab w:leader="none" w:pos="4460" w:val="left"/>
        </w:tabs>
        <w:numPr>
          <w:ilvl w:val="3"/>
          <w:numId w:val="35"/>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jc w:val="both"/>
        <w:ind w:left="200" w:right="219"/>
        <w:spacing w:after="0" w:line="241" w:lineRule="auto"/>
        <w:rPr>
          <w:sz w:val="20"/>
          <w:szCs w:val="20"/>
          <w:color w:val="auto"/>
        </w:rPr>
      </w:pPr>
      <w:r>
        <w:rPr>
          <w:rFonts w:ascii="Arial" w:cs="Arial" w:eastAsia="Arial" w:hAnsi="Arial"/>
          <w:sz w:val="22"/>
          <w:szCs w:val="22"/>
          <w:color w:val="auto"/>
        </w:rPr>
        <w:t>“Company” shall mean Avnet and the Company as heretofore defined and any successor to its business or assets that becomes bound by this Agreement either pursuant to this Agreement or by operation of law.</w:t>
      </w:r>
    </w:p>
    <w:p>
      <w:pPr>
        <w:spacing w:after="0" w:line="183" w:lineRule="exact"/>
        <w:rPr>
          <w:sz w:val="20"/>
          <w:szCs w:val="20"/>
          <w:color w:val="auto"/>
        </w:rPr>
      </w:pPr>
    </w:p>
    <w:p>
      <w:pPr>
        <w:ind w:left="2160" w:hanging="655"/>
        <w:spacing w:after="0"/>
        <w:tabs>
          <w:tab w:leader="none" w:pos="216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Entire Agreement, Coordination with Letter Agreement and Executive</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u w:val="single" w:color="auto"/>
          <w:color w:val="auto"/>
        </w:rPr>
        <w:t>Severance Plan</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jc w:val="both"/>
        <w:ind w:left="860" w:right="219" w:firstLine="1293"/>
        <w:spacing w:after="0" w:line="236" w:lineRule="auto"/>
        <w:tabs>
          <w:tab w:leader="none" w:pos="2804" w:val="left"/>
        </w:tabs>
        <w:numPr>
          <w:ilvl w:val="1"/>
          <w:numId w:val="36"/>
        </w:numPr>
        <w:rPr>
          <w:rFonts w:ascii="Arial" w:cs="Arial" w:eastAsia="Arial" w:hAnsi="Arial"/>
          <w:sz w:val="22"/>
          <w:szCs w:val="22"/>
          <w:color w:val="auto"/>
        </w:rPr>
      </w:pPr>
      <w:r>
        <w:rPr>
          <w:rFonts w:ascii="Arial" w:cs="Arial" w:eastAsia="Arial" w:hAnsi="Arial"/>
          <w:sz w:val="22"/>
          <w:szCs w:val="22"/>
          <w:color w:val="auto"/>
        </w:rPr>
        <w:t>Except with respect to the Letter Agreement and the Avnet, Inc. Executive Severance Plan (the “Executive Severance Plan”), this Agreement is the entire agreement of the parties with respect to its subject matter and no waiver, modification or amendment of any of its provisions shall be valid unless in writing and signed by both parties.</w:t>
      </w:r>
    </w:p>
    <w:p>
      <w:pPr>
        <w:spacing w:after="0" w:line="187" w:lineRule="exact"/>
        <w:rPr>
          <w:rFonts w:ascii="Arial" w:cs="Arial" w:eastAsia="Arial" w:hAnsi="Arial"/>
          <w:sz w:val="22"/>
          <w:szCs w:val="22"/>
          <w:color w:val="auto"/>
        </w:rPr>
      </w:pPr>
    </w:p>
    <w:p>
      <w:pPr>
        <w:jc w:val="both"/>
        <w:ind w:left="860" w:right="219" w:firstLine="1293"/>
        <w:spacing w:after="0" w:line="252" w:lineRule="auto"/>
        <w:tabs>
          <w:tab w:leader="none" w:pos="2804"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This Agreement modifies the Letter Agreement and the Executive Severance Plan only with respect to such terms and conditions that are specifically addressed in this Agreement. All other provisions of the Letter Agreement and the Executive Severance Plan shall remain in full force and effect.</w:t>
      </w:r>
    </w:p>
    <w:p>
      <w:pPr>
        <w:spacing w:after="0" w:line="173" w:lineRule="exact"/>
        <w:rPr>
          <w:rFonts w:ascii="Arial" w:cs="Arial" w:eastAsia="Arial" w:hAnsi="Arial"/>
          <w:sz w:val="21"/>
          <w:szCs w:val="21"/>
          <w:color w:val="auto"/>
        </w:rPr>
      </w:pPr>
    </w:p>
    <w:p>
      <w:pPr>
        <w:jc w:val="both"/>
        <w:ind w:left="200" w:right="219" w:firstLine="1305"/>
        <w:spacing w:after="0"/>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of breach of any term or condition of this Agreement shall not be deemed to constitute a waiver of any other term or condition of this Agreement.</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Forfeiture of Certain Parachute 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right="219" w:firstLine="1293"/>
        <w:spacing w:after="0" w:line="246" w:lineRule="auto"/>
        <w:tabs>
          <w:tab w:leader="none" w:pos="2804" w:val="left"/>
        </w:tabs>
        <w:numPr>
          <w:ilvl w:val="1"/>
          <w:numId w:val="36"/>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if paragraph (ii), below, applies, the Officer shall forfeit amounts payable to the Officer under this Agreement to the extent that a certified public accounting firm selected and paid by the Company (the “</w:t>
      </w:r>
      <w:r>
        <w:rPr>
          <w:rFonts w:ascii="Arial" w:cs="Arial" w:eastAsia="Arial" w:hAnsi="Arial"/>
          <w:sz w:val="21"/>
          <w:szCs w:val="21"/>
          <w:b w:val="1"/>
          <w:bCs w:val="1"/>
          <w:color w:val="auto"/>
        </w:rPr>
        <w:t>Accounting Firm</w:t>
      </w:r>
      <w:r>
        <w:rPr>
          <w:rFonts w:ascii="Arial" w:cs="Arial" w:eastAsia="Arial" w:hAnsi="Arial"/>
          <w:sz w:val="21"/>
          <w:szCs w:val="21"/>
          <w:color w:val="auto"/>
        </w:rPr>
        <w:t>”) determines is necessary to ensure that the Officer is not reasonably likely to receive a “parachute payment” within the meaning of Section 280G(b)(2) of the Code. The Accounting Firm’s determination shall be conclusive and binding upon the Company and the Officer.</w:t>
      </w:r>
    </w:p>
    <w:p>
      <w:pPr>
        <w:spacing w:after="0" w:line="184" w:lineRule="exact"/>
        <w:rPr>
          <w:rFonts w:ascii="Arial" w:cs="Arial" w:eastAsia="Arial" w:hAnsi="Arial"/>
          <w:sz w:val="21"/>
          <w:szCs w:val="21"/>
          <w:color w:val="auto"/>
        </w:rPr>
      </w:pPr>
    </w:p>
    <w:p>
      <w:pPr>
        <w:jc w:val="both"/>
        <w:ind w:left="860" w:right="219" w:firstLine="1293"/>
        <w:spacing w:after="0" w:line="279" w:lineRule="auto"/>
        <w:tabs>
          <w:tab w:leader="none" w:pos="2804"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This paragraph (ii) shall apply if (and only if) (A) any payment to be made under this Agreement is reasonably likely to result in the Officer receiving a “parachute payment” (as defined in Section 280G(b)(2) of the Code), and (B) the Officer’s forfeiture of payments due under this Agreement would result in the aggregate after-tax amount that the Officer would receive being greater than the aggregate after-tax amount that the Officer would receive if there were no such forfeiture.</w:t>
      </w:r>
    </w:p>
    <w:p>
      <w:pPr>
        <w:spacing w:after="0" w:line="150" w:lineRule="exact"/>
        <w:rPr>
          <w:rFonts w:ascii="Arial" w:cs="Arial" w:eastAsia="Arial" w:hAnsi="Arial"/>
          <w:sz w:val="19"/>
          <w:szCs w:val="19"/>
          <w:color w:val="auto"/>
        </w:rPr>
      </w:pPr>
    </w:p>
    <w:p>
      <w:pPr>
        <w:jc w:val="both"/>
        <w:ind w:left="860" w:right="219" w:firstLine="1293"/>
        <w:spacing w:after="0" w:line="238" w:lineRule="auto"/>
        <w:tabs>
          <w:tab w:leader="none" w:pos="2804" w:val="left"/>
        </w:tabs>
        <w:numPr>
          <w:ilvl w:val="1"/>
          <w:numId w:val="36"/>
        </w:numPr>
        <w:rPr>
          <w:rFonts w:ascii="Arial" w:cs="Arial" w:eastAsia="Arial" w:hAnsi="Arial"/>
          <w:sz w:val="22"/>
          <w:szCs w:val="22"/>
          <w:color w:val="auto"/>
        </w:rPr>
      </w:pPr>
      <w:r>
        <w:rPr>
          <w:rFonts w:ascii="Arial" w:cs="Arial" w:eastAsia="Arial" w:hAnsi="Arial"/>
          <w:sz w:val="22"/>
          <w:szCs w:val="22"/>
          <w:color w:val="auto"/>
        </w:rPr>
        <w:t>Neither the Company nor the Officer shall have any discretion to determine which payments are forfeited. The forfeiture shall apply in reverse chronological order—</w:t>
      </w:r>
      <w:r>
        <w:rPr>
          <w:rFonts w:ascii="Arial" w:cs="Arial" w:eastAsia="Arial" w:hAnsi="Arial"/>
          <w:sz w:val="22"/>
          <w:szCs w:val="22"/>
          <w:i w:val="1"/>
          <w:iCs w:val="1"/>
          <w:color w:val="auto"/>
        </w:rPr>
        <w:t>e.g.</w:t>
      </w:r>
      <w:r>
        <w:rPr>
          <w:rFonts w:ascii="Arial" w:cs="Arial" w:eastAsia="Arial" w:hAnsi="Arial"/>
          <w:sz w:val="22"/>
          <w:szCs w:val="22"/>
          <w:color w:val="auto"/>
        </w:rPr>
        <w:t>, the last payment in any series of payments shall be forfeited before any part of an earlier payment is forfeited.</w:t>
      </w:r>
    </w:p>
    <w:p>
      <w:pPr>
        <w:spacing w:after="0" w:line="184" w:lineRule="exact"/>
        <w:rPr>
          <w:rFonts w:ascii="Arial" w:cs="Arial" w:eastAsia="Arial" w:hAnsi="Arial"/>
          <w:sz w:val="22"/>
          <w:szCs w:val="22"/>
          <w:color w:val="auto"/>
        </w:rPr>
      </w:pPr>
    </w:p>
    <w:p>
      <w:pPr>
        <w:jc w:val="both"/>
        <w:ind w:left="200" w:right="219" w:firstLine="1305"/>
        <w:spacing w:after="0"/>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and subsections are inserted for convenience only and shall not be deemed to constitute a part hereof or to affect the meaning thereof.</w:t>
      </w:r>
    </w:p>
    <w:p>
      <w:pPr>
        <w:spacing w:after="0" w:line="348" w:lineRule="exact"/>
        <w:rPr>
          <w:rFonts w:ascii="Arial" w:cs="Arial" w:eastAsia="Arial" w:hAnsi="Arial"/>
          <w:sz w:val="22"/>
          <w:szCs w:val="22"/>
          <w:color w:val="auto"/>
        </w:rPr>
      </w:pPr>
    </w:p>
    <w:p>
      <w:pPr>
        <w:ind w:left="4460" w:hanging="125"/>
        <w:spacing w:after="0"/>
        <w:tabs>
          <w:tab w:leader="none" w:pos="4460" w:val="left"/>
        </w:tabs>
        <w:numPr>
          <w:ilvl w:val="2"/>
          <w:numId w:val="36"/>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ind w:left="200" w:right="219" w:firstLine="648"/>
        <w:spacing w:after="0" w:line="250" w:lineRule="auto"/>
        <w:rPr>
          <w:sz w:val="20"/>
          <w:szCs w:val="20"/>
          <w:color w:val="auto"/>
        </w:rPr>
      </w:pPr>
      <w:r>
        <w:rPr>
          <w:rFonts w:ascii="Arial" w:cs="Arial" w:eastAsia="Arial" w:hAnsi="Arial"/>
          <w:sz w:val="22"/>
          <w:szCs w:val="22"/>
          <w:color w:val="auto"/>
        </w:rPr>
        <w:t>IN WITNESS WHEREOF, the parties have executed this Agreement effective as of the day and year first above written.</w:t>
      </w:r>
    </w:p>
    <w:p>
      <w:pPr>
        <w:sectPr>
          <w:pgSz w:w="11900" w:h="16838" w:orient="portrait"/>
          <w:cols w:equalWidth="0" w:num="1">
            <w:col w:w="9019"/>
          </w:cols>
          <w:pgMar w:left="1440" w:top="5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AVNET, INC.</w:t>
      </w:r>
    </w:p>
    <w:p>
      <w:pPr>
        <w:spacing w:after="0" w:line="211" w:lineRule="exact"/>
        <w:rPr>
          <w:sz w:val="20"/>
          <w:szCs w:val="20"/>
          <w:color w:val="auto"/>
        </w:rPr>
      </w:pPr>
    </w:p>
    <w:p>
      <w:pPr>
        <w:sectPr>
          <w:pgSz w:w="11900" w:h="16838" w:orient="portrait"/>
          <w:cols w:equalWidth="0" w:num="2">
            <w:col w:w="4060" w:space="720"/>
            <w:col w:w="4239"/>
          </w:cols>
          <w:pgMar w:left="1440" w:top="577" w:right="1440" w:bottom="1440" w:gutter="0" w:footer="0" w:header="0"/>
          <w:type w:val="continuous"/>
        </w:sect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_______________________________</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w:t>
      </w:r>
    </w:p>
    <w:p>
      <w:pPr>
        <w:spacing w:after="0" w:line="200" w:lineRule="exact"/>
        <w:rPr>
          <w:sz w:val="20"/>
          <w:szCs w:val="20"/>
          <w:color w:val="auto"/>
        </w:rPr>
      </w:pPr>
    </w:p>
    <w:p>
      <w:pPr>
        <w:sectPr>
          <w:pgSz w:w="11900" w:h="16838" w:orient="portrait"/>
          <w:cols w:equalWidth="0" w:num="2">
            <w:col w:w="4060" w:space="720"/>
            <w:col w:w="4239"/>
          </w:cols>
          <w:pgMar w:left="1440" w:top="5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526415</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86" w:name="page87"/>
    <w:bookmarkEnd w:id="86"/>
    <w:tbl>
      <w:tblPr>
        <w:tblLayout w:type="fixed"/>
        <w:tblInd w:w="220" w:type="dxa"/>
        <w:tblCellMar>
          <w:top w:w="0" w:type="dxa"/>
          <w:left w:w="0" w:type="dxa"/>
          <w:bottom w:w="0" w:type="dxa"/>
          <w:right w:w="0" w:type="dxa"/>
        </w:tblCellMar>
      </w:tblPr>
      <w:tr>
        <w:trPr>
          <w:trHeight w:val="287"/>
        </w:trPr>
        <w:tc>
          <w:tcPr>
            <w:tcW w:w="6260" w:type="dxa"/>
            <w:vAlign w:val="bottom"/>
          </w:tcPr>
          <w:p>
            <w:pPr>
              <w:spacing w:after="0"/>
              <w:rPr>
                <w:sz w:val="24"/>
                <w:szCs w:val="24"/>
                <w:color w:val="auto"/>
              </w:rPr>
            </w:pPr>
          </w:p>
        </w:tc>
        <w:tc>
          <w:tcPr>
            <w:tcW w:w="2340" w:type="dxa"/>
            <w:vAlign w:val="bottom"/>
            <w:gridSpan w:val="2"/>
          </w:tcPr>
          <w:p>
            <w:pPr>
              <w:ind w:left="112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499"/>
        </w:trPr>
        <w:tc>
          <w:tcPr>
            <w:tcW w:w="626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60" w:type="dxa"/>
            <w:vAlign w:val="bottom"/>
          </w:tcPr>
          <w:p>
            <w:pPr>
              <w:ind w:left="2480"/>
              <w:spacing w:after="0"/>
              <w:rPr>
                <w:sz w:val="20"/>
                <w:szCs w:val="20"/>
                <w:color w:val="auto"/>
              </w:rPr>
            </w:pPr>
            <w:r>
              <w:rPr>
                <w:rFonts w:ascii="Arial" w:cs="Arial" w:eastAsia="Arial" w:hAnsi="Arial"/>
                <w:sz w:val="22"/>
                <w:szCs w:val="22"/>
                <w:b w:val="1"/>
                <w:bCs w:val="1"/>
                <w:color w:val="auto"/>
              </w:rPr>
              <w:t>Foreign and Domestic Subsidiaries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260" w:type="dxa"/>
            <w:vAlign w:val="bottom"/>
            <w:tcBorders>
              <w:bottom w:val="single" w:sz="8" w:color="A0A0A0"/>
            </w:tcBorders>
          </w:tcPr>
          <w:p>
            <w:pPr>
              <w:spacing w:after="0"/>
              <w:rPr>
                <w:sz w:val="24"/>
                <w:szCs w:val="24"/>
                <w:color w:val="auto"/>
              </w:rPr>
            </w:pPr>
          </w:p>
        </w:tc>
        <w:tc>
          <w:tcPr>
            <w:tcW w:w="2320" w:type="dxa"/>
            <w:vAlign w:val="bottom"/>
            <w:tcBorders>
              <w:bottom w:val="single" w:sz="8" w:color="A0A0A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BFBFBF"/>
          </w:tcPr>
          <w:p>
            <w:pPr>
              <w:spacing w:after="0"/>
              <w:rPr>
                <w:sz w:val="20"/>
                <w:szCs w:val="20"/>
                <w:color w:val="auto"/>
              </w:rPr>
            </w:pPr>
            <w:r>
              <w:rPr>
                <w:rFonts w:ascii="Arial" w:cs="Arial" w:eastAsia="Arial" w:hAnsi="Arial"/>
                <w:sz w:val="18"/>
                <w:szCs w:val="18"/>
                <w:b w:val="1"/>
                <w:bCs w:val="1"/>
                <w:color w:val="auto"/>
              </w:rPr>
              <w:t>Company Name</w:t>
            </w:r>
          </w:p>
        </w:tc>
        <w:tc>
          <w:tcPr>
            <w:tcW w:w="2320" w:type="dxa"/>
            <w:vAlign w:val="bottom"/>
            <w:shd w:val="clear" w:color="auto" w:fill="BFBFBF"/>
          </w:tcPr>
          <w:p>
            <w:pPr>
              <w:ind w:left="180"/>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Alpha 3 Manufacturing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AVID Technologies, Inc.</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(Asia Pacific Holdings)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(Holdings)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(NZ)</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(Shanghai)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Abacus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Asia Pte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ASIC Israel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B.V.</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Bidco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Business Services GmbH</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Components Israel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de Mexico, S.A. de C.V.</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Delaware Holdings, Inc.</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Delaware LLC</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do Brasil Ltda.</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Electronics Marketing (Australia) Pty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Electronics Technology (China)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Electronics Technology (Shenzhen)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Electronics Turkey İthalat İhracat Sanayi ve Ticaret Limited Şirketi</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 Holdings (Japan) Kabushiki Kaisha</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EM Sp. z.o.o.</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EMG Elektronische Bauelemente GmbH</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EMG France</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EMG GmbH</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EMG GmbH</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EMG Italy S.r.l.</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EMG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Europe BV</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Europe Executive BV</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Finance International S.à r.l.</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Financial Services Asia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France S.A.S.</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Group Holdings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Holding Europe BV</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Holding South Africa (Pty)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Holdings UK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Holdings, LLC</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Avnet Iberia S.L.U.</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India Private Limited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Avnet International (Canada) Ltd.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561"/>
        </w:trPr>
        <w:tc>
          <w:tcPr>
            <w:tcW w:w="6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5" w:right="1440" w:bottom="1440" w:gutter="0" w:footer="0" w:header="0"/>
        </w:sectPr>
      </w:pPr>
    </w:p>
    <w:bookmarkStart w:id="87" w:name="page88"/>
    <w:bookmarkEnd w:id="8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540" w:type="dxa"/>
            <w:vAlign w:val="bottom"/>
          </w:tcPr>
          <w:p>
            <w:pPr>
              <w:spacing w:after="0"/>
              <w:rPr>
                <w:sz w:val="20"/>
                <w:szCs w:val="20"/>
                <w:color w:val="auto"/>
              </w:rPr>
            </w:pPr>
            <w:r>
              <w:rPr>
                <w:rFonts w:ascii="Arial" w:cs="Arial" w:eastAsia="Arial" w:hAnsi="Arial"/>
                <w:sz w:val="18"/>
                <w:szCs w:val="18"/>
                <w:color w:val="auto"/>
              </w:rPr>
              <w:t>Avnet International Holdings 1 BV</w:t>
            </w:r>
          </w:p>
        </w:tc>
        <w:tc>
          <w:tcPr>
            <w:tcW w:w="3040" w:type="dxa"/>
            <w:vAlign w:val="bottom"/>
          </w:tcPr>
          <w:p>
            <w:pPr>
              <w:ind w:left="900"/>
              <w:spacing w:after="0"/>
              <w:rPr>
                <w:sz w:val="20"/>
                <w:szCs w:val="20"/>
                <w:color w:val="auto"/>
              </w:rPr>
            </w:pPr>
            <w:r>
              <w:rPr>
                <w:rFonts w:ascii="Arial" w:cs="Arial" w:eastAsia="Arial" w:hAnsi="Arial"/>
                <w:sz w:val="18"/>
                <w:szCs w:val="18"/>
                <w:color w:val="auto"/>
              </w:rPr>
              <w:t>Belgium</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International Holdings 2 BV</w:t>
            </w:r>
          </w:p>
        </w:tc>
        <w:tc>
          <w:tcPr>
            <w:tcW w:w="3040" w:type="dxa"/>
            <w:vAlign w:val="bottom"/>
          </w:tcPr>
          <w:p>
            <w:pPr>
              <w:ind w:left="900"/>
              <w:spacing w:after="0"/>
              <w:rPr>
                <w:sz w:val="20"/>
                <w:szCs w:val="20"/>
                <w:color w:val="auto"/>
              </w:rPr>
            </w:pPr>
            <w:r>
              <w:rPr>
                <w:rFonts w:ascii="Arial" w:cs="Arial" w:eastAsia="Arial" w:hAnsi="Arial"/>
                <w:sz w:val="18"/>
                <w:szCs w:val="18"/>
                <w:color w:val="auto"/>
              </w:rPr>
              <w:t>Belgium</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International Holdings UK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International, LLC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Kabushiki Kaisha</w:t>
            </w:r>
          </w:p>
        </w:tc>
        <w:tc>
          <w:tcPr>
            <w:tcW w:w="304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Korea, Inc.</w:t>
            </w:r>
          </w:p>
        </w:tc>
        <w:tc>
          <w:tcPr>
            <w:tcW w:w="3040" w:type="dxa"/>
            <w:vAlign w:val="bottom"/>
          </w:tcPr>
          <w:p>
            <w:pPr>
              <w:ind w:left="900"/>
              <w:spacing w:after="0"/>
              <w:rPr>
                <w:sz w:val="20"/>
                <w:szCs w:val="20"/>
                <w:color w:val="auto"/>
              </w:rPr>
            </w:pPr>
            <w:r>
              <w:rPr>
                <w:rFonts w:ascii="Arial" w:cs="Arial" w:eastAsia="Arial" w:hAnsi="Arial"/>
                <w:sz w:val="18"/>
                <w:szCs w:val="18"/>
                <w:color w:val="auto"/>
              </w:rPr>
              <w:t>Korea, Republic of</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Ireland</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Logistics BV</w:t>
            </w:r>
          </w:p>
        </w:tc>
        <w:tc>
          <w:tcPr>
            <w:tcW w:w="3040" w:type="dxa"/>
            <w:vAlign w:val="bottom"/>
          </w:tcPr>
          <w:p>
            <w:pPr>
              <w:ind w:left="900"/>
              <w:spacing w:after="0"/>
              <w:rPr>
                <w:sz w:val="20"/>
                <w:szCs w:val="20"/>
                <w:color w:val="auto"/>
              </w:rPr>
            </w:pPr>
            <w:r>
              <w:rPr>
                <w:rFonts w:ascii="Arial" w:cs="Arial" w:eastAsia="Arial" w:hAnsi="Arial"/>
                <w:sz w:val="18"/>
                <w:szCs w:val="18"/>
                <w:color w:val="auto"/>
              </w:rPr>
              <w:t>Belgium</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Logistics GmbH</w:t>
            </w:r>
          </w:p>
        </w:tc>
        <w:tc>
          <w:tcPr>
            <w:tcW w:w="304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Logistics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Malaysia Sdn Bhd</w:t>
            </w:r>
          </w:p>
        </w:tc>
        <w:tc>
          <w:tcPr>
            <w:tcW w:w="3040" w:type="dxa"/>
            <w:vAlign w:val="bottom"/>
          </w:tcPr>
          <w:p>
            <w:pPr>
              <w:ind w:left="900"/>
              <w:spacing w:after="0"/>
              <w:rPr>
                <w:sz w:val="20"/>
                <w:szCs w:val="20"/>
                <w:color w:val="auto"/>
              </w:rPr>
            </w:pPr>
            <w:r>
              <w:rPr>
                <w:rFonts w:ascii="Arial" w:cs="Arial" w:eastAsia="Arial" w:hAnsi="Arial"/>
                <w:sz w:val="18"/>
                <w:szCs w:val="18"/>
                <w:color w:val="auto"/>
              </w:rPr>
              <w:t>Malaysia</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Mexicana S. de R.L. de C.V.</w:t>
            </w:r>
          </w:p>
        </w:tc>
        <w:tc>
          <w:tcPr>
            <w:tcW w:w="3040" w:type="dxa"/>
            <w:vAlign w:val="bottom"/>
          </w:tcPr>
          <w:p>
            <w:pPr>
              <w:ind w:left="900"/>
              <w:spacing w:after="0"/>
              <w:rPr>
                <w:sz w:val="20"/>
                <w:szCs w:val="20"/>
                <w:color w:val="auto"/>
              </w:rPr>
            </w:pPr>
            <w:r>
              <w:rPr>
                <w:rFonts w:ascii="Arial" w:cs="Arial" w:eastAsia="Arial" w:hAnsi="Arial"/>
                <w:sz w:val="18"/>
                <w:szCs w:val="18"/>
                <w:color w:val="auto"/>
              </w:rPr>
              <w:t>Mexico</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Nortec AB</w:t>
            </w:r>
          </w:p>
        </w:tc>
        <w:tc>
          <w:tcPr>
            <w:tcW w:w="3040" w:type="dxa"/>
            <w:vAlign w:val="bottom"/>
          </w:tcPr>
          <w:p>
            <w:pPr>
              <w:ind w:left="900"/>
              <w:spacing w:after="0"/>
              <w:rPr>
                <w:sz w:val="20"/>
                <w:szCs w:val="20"/>
                <w:color w:val="auto"/>
              </w:rPr>
            </w:pPr>
            <w:r>
              <w:rPr>
                <w:rFonts w:ascii="Arial" w:cs="Arial" w:eastAsia="Arial" w:hAnsi="Arial"/>
                <w:sz w:val="18"/>
                <w:szCs w:val="18"/>
                <w:color w:val="auto"/>
              </w:rPr>
              <w:t>Sweden</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Nortec ApS</w:t>
            </w:r>
          </w:p>
        </w:tc>
        <w:tc>
          <w:tcPr>
            <w:tcW w:w="3040" w:type="dxa"/>
            <w:vAlign w:val="bottom"/>
          </w:tcPr>
          <w:p>
            <w:pPr>
              <w:ind w:left="900"/>
              <w:spacing w:after="0"/>
              <w:rPr>
                <w:sz w:val="20"/>
                <w:szCs w:val="20"/>
                <w:color w:val="auto"/>
              </w:rPr>
            </w:pPr>
            <w:r>
              <w:rPr>
                <w:rFonts w:ascii="Arial" w:cs="Arial" w:eastAsia="Arial" w:hAnsi="Arial"/>
                <w:sz w:val="18"/>
                <w:szCs w:val="18"/>
                <w:color w:val="auto"/>
              </w:rPr>
              <w:t>Denmark</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Nortec AS</w:t>
            </w:r>
          </w:p>
        </w:tc>
        <w:tc>
          <w:tcPr>
            <w:tcW w:w="3040" w:type="dxa"/>
            <w:vAlign w:val="bottom"/>
          </w:tcPr>
          <w:p>
            <w:pPr>
              <w:ind w:left="900"/>
              <w:spacing w:after="0"/>
              <w:rPr>
                <w:sz w:val="20"/>
                <w:szCs w:val="20"/>
                <w:color w:val="auto"/>
              </w:rPr>
            </w:pPr>
            <w:r>
              <w:rPr>
                <w:rFonts w:ascii="Arial" w:cs="Arial" w:eastAsia="Arial" w:hAnsi="Arial"/>
                <w:sz w:val="18"/>
                <w:szCs w:val="18"/>
                <w:color w:val="auto"/>
              </w:rPr>
              <w:t>Norway</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Nortec Oy</w:t>
            </w:r>
          </w:p>
        </w:tc>
        <w:tc>
          <w:tcPr>
            <w:tcW w:w="3040" w:type="dxa"/>
            <w:vAlign w:val="bottom"/>
          </w:tcPr>
          <w:p>
            <w:pPr>
              <w:ind w:left="900"/>
              <w:spacing w:after="0"/>
              <w:rPr>
                <w:sz w:val="20"/>
                <w:szCs w:val="20"/>
                <w:color w:val="auto"/>
              </w:rPr>
            </w:pPr>
            <w:r>
              <w:rPr>
                <w:rFonts w:ascii="Arial" w:cs="Arial" w:eastAsia="Arial" w:hAnsi="Arial"/>
                <w:sz w:val="18"/>
                <w:szCs w:val="18"/>
                <w:color w:val="auto"/>
              </w:rPr>
              <w:t>Finland</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Philippines Pty Ltd., Inc.</w:t>
            </w:r>
          </w:p>
        </w:tc>
        <w:tc>
          <w:tcPr>
            <w:tcW w:w="3040" w:type="dxa"/>
            <w:vAlign w:val="bottom"/>
          </w:tcPr>
          <w:p>
            <w:pPr>
              <w:ind w:left="900"/>
              <w:spacing w:after="0"/>
              <w:rPr>
                <w:sz w:val="20"/>
                <w:szCs w:val="20"/>
                <w:color w:val="auto"/>
              </w:rPr>
            </w:pPr>
            <w:r>
              <w:rPr>
                <w:rFonts w:ascii="Arial" w:cs="Arial" w:eastAsia="Arial" w:hAnsi="Arial"/>
                <w:sz w:val="18"/>
                <w:szCs w:val="18"/>
                <w:color w:val="auto"/>
              </w:rPr>
              <w:t>Philippines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Receivables Corporation</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SellCo B.V.</w:t>
            </w:r>
          </w:p>
        </w:tc>
        <w:tc>
          <w:tcPr>
            <w:tcW w:w="3040" w:type="dxa"/>
            <w:vAlign w:val="bottom"/>
          </w:tcPr>
          <w:p>
            <w:pPr>
              <w:ind w:left="900"/>
              <w:spacing w:after="0"/>
              <w:rPr>
                <w:sz w:val="20"/>
                <w:szCs w:val="20"/>
                <w:color w:val="auto"/>
              </w:rPr>
            </w:pPr>
            <w:r>
              <w:rPr>
                <w:rFonts w:ascii="Arial" w:cs="Arial" w:eastAsia="Arial" w:hAnsi="Arial"/>
                <w:sz w:val="18"/>
                <w:szCs w:val="18"/>
                <w:color w:val="auto"/>
              </w:rPr>
              <w:t>Netherlands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Services S. de R.L. de C.V.</w:t>
            </w:r>
          </w:p>
        </w:tc>
        <w:tc>
          <w:tcPr>
            <w:tcW w:w="3040" w:type="dxa"/>
            <w:vAlign w:val="bottom"/>
          </w:tcPr>
          <w:p>
            <w:pPr>
              <w:ind w:left="900"/>
              <w:spacing w:after="0"/>
              <w:rPr>
                <w:sz w:val="20"/>
                <w:szCs w:val="20"/>
                <w:color w:val="auto"/>
              </w:rPr>
            </w:pPr>
            <w:r>
              <w:rPr>
                <w:rFonts w:ascii="Arial" w:cs="Arial" w:eastAsia="Arial" w:hAnsi="Arial"/>
                <w:sz w:val="18"/>
                <w:szCs w:val="18"/>
                <w:color w:val="auto"/>
              </w:rPr>
              <w:t>Mexico</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South Africa (Pty)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South Africa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Sunrise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Technology (Thailand) Ltd.</w:t>
            </w:r>
          </w:p>
        </w:tc>
        <w:tc>
          <w:tcPr>
            <w:tcW w:w="3040" w:type="dxa"/>
            <w:vAlign w:val="bottom"/>
          </w:tcPr>
          <w:p>
            <w:pPr>
              <w:ind w:left="900"/>
              <w:spacing w:after="0"/>
              <w:rPr>
                <w:sz w:val="20"/>
                <w:szCs w:val="20"/>
                <w:color w:val="auto"/>
              </w:rPr>
            </w:pPr>
            <w:r>
              <w:rPr>
                <w:rFonts w:ascii="Arial" w:cs="Arial" w:eastAsia="Arial" w:hAnsi="Arial"/>
                <w:sz w:val="18"/>
                <w:szCs w:val="18"/>
                <w:color w:val="auto"/>
              </w:rPr>
              <w:t>Thailand</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Technology Electronics Marketing (Taiwan) Co., Ltd.</w:t>
            </w:r>
          </w:p>
        </w:tc>
        <w:tc>
          <w:tcPr>
            <w:tcW w:w="3040" w:type="dxa"/>
            <w:vAlign w:val="bottom"/>
          </w:tcPr>
          <w:p>
            <w:pPr>
              <w:ind w:left="900"/>
              <w:spacing w:after="0"/>
              <w:rPr>
                <w:sz w:val="20"/>
                <w:szCs w:val="20"/>
                <w:color w:val="auto"/>
              </w:rPr>
            </w:pPr>
            <w:r>
              <w:rPr>
                <w:rFonts w:ascii="Arial" w:cs="Arial" w:eastAsia="Arial" w:hAnsi="Arial"/>
                <w:sz w:val="18"/>
                <w:szCs w:val="18"/>
                <w:color w:val="auto"/>
              </w:rPr>
              <w:t>Taiwan</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Technology Hong Kong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Technology Solutions (China) Ltd</w:t>
            </w:r>
          </w:p>
        </w:tc>
        <w:tc>
          <w:tcPr>
            <w:tcW w:w="304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Avnet Technology Solutions (Tianjin) Ltd</w:t>
            </w:r>
          </w:p>
        </w:tc>
        <w:tc>
          <w:tcPr>
            <w:tcW w:w="304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Avnet, Inc.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AVT Holdings LLC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Beijing Vanda Yunda IT Services Co., Ltd</w:t>
            </w:r>
          </w:p>
        </w:tc>
        <w:tc>
          <w:tcPr>
            <w:tcW w:w="304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Bell Microproducts Brazil Holdings, LLC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Bell Microproducts Mexico Shareholder, LLC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CELDIS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CM Satellite Systems, Inc.</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States</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COMBINED PRECISION COMPONENTS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Dragon Innovation (HK)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Beteiligungs-Verwaltungs GmbH</w:t>
            </w:r>
          </w:p>
        </w:tc>
        <w:tc>
          <w:tcPr>
            <w:tcW w:w="304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ApS</w:t>
            </w:r>
          </w:p>
        </w:tc>
        <w:tc>
          <w:tcPr>
            <w:tcW w:w="3040" w:type="dxa"/>
            <w:vAlign w:val="bottom"/>
          </w:tcPr>
          <w:p>
            <w:pPr>
              <w:ind w:left="900"/>
              <w:spacing w:after="0"/>
              <w:rPr>
                <w:sz w:val="20"/>
                <w:szCs w:val="20"/>
                <w:color w:val="auto"/>
              </w:rPr>
            </w:pPr>
            <w:r>
              <w:rPr>
                <w:rFonts w:ascii="Arial" w:cs="Arial" w:eastAsia="Arial" w:hAnsi="Arial"/>
                <w:sz w:val="18"/>
                <w:szCs w:val="18"/>
                <w:color w:val="auto"/>
              </w:rPr>
              <w:t>Denmark</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d.o.o.</w:t>
            </w:r>
          </w:p>
        </w:tc>
        <w:tc>
          <w:tcPr>
            <w:tcW w:w="3040" w:type="dxa"/>
            <w:vAlign w:val="bottom"/>
          </w:tcPr>
          <w:p>
            <w:pPr>
              <w:ind w:left="900"/>
              <w:spacing w:after="0"/>
              <w:rPr>
                <w:sz w:val="20"/>
                <w:szCs w:val="20"/>
                <w:color w:val="auto"/>
              </w:rPr>
            </w:pPr>
            <w:r>
              <w:rPr>
                <w:rFonts w:ascii="Arial" w:cs="Arial" w:eastAsia="Arial" w:hAnsi="Arial"/>
                <w:sz w:val="18"/>
                <w:szCs w:val="18"/>
                <w:color w:val="auto"/>
              </w:rPr>
              <w:t>Serbia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EBV Elektronik EOOD</w:t>
            </w:r>
          </w:p>
        </w:tc>
        <w:tc>
          <w:tcPr>
            <w:tcW w:w="3040" w:type="dxa"/>
            <w:vAlign w:val="bottom"/>
          </w:tcPr>
          <w:p>
            <w:pPr>
              <w:ind w:left="900"/>
              <w:spacing w:after="0"/>
              <w:rPr>
                <w:sz w:val="20"/>
                <w:szCs w:val="20"/>
                <w:color w:val="auto"/>
              </w:rPr>
            </w:pPr>
            <w:r>
              <w:rPr>
                <w:rFonts w:ascii="Arial" w:cs="Arial" w:eastAsia="Arial" w:hAnsi="Arial"/>
                <w:sz w:val="18"/>
                <w:szCs w:val="18"/>
                <w:color w:val="auto"/>
              </w:rPr>
              <w:t>Bulgaria</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GmbH &amp; Co. KG</w:t>
            </w:r>
          </w:p>
        </w:tc>
        <w:tc>
          <w:tcPr>
            <w:tcW w:w="304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International GmbH</w:t>
            </w:r>
          </w:p>
        </w:tc>
        <w:tc>
          <w:tcPr>
            <w:tcW w:w="304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Israel (2008) Ltd</w:t>
            </w:r>
          </w:p>
        </w:tc>
        <w:tc>
          <w:tcPr>
            <w:tcW w:w="3040" w:type="dxa"/>
            <w:vAlign w:val="bottom"/>
          </w:tcPr>
          <w:p>
            <w:pPr>
              <w:ind w:left="900"/>
              <w:spacing w:after="0"/>
              <w:rPr>
                <w:sz w:val="20"/>
                <w:szCs w:val="20"/>
                <w:color w:val="auto"/>
              </w:rPr>
            </w:pPr>
            <w:r>
              <w:rPr>
                <w:rFonts w:ascii="Arial" w:cs="Arial" w:eastAsia="Arial" w:hAnsi="Arial"/>
                <w:sz w:val="18"/>
                <w:szCs w:val="18"/>
                <w:color w:val="auto"/>
              </w:rPr>
              <w:t>Israel</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EBV Elektronik Kft</w:t>
            </w:r>
          </w:p>
        </w:tc>
        <w:tc>
          <w:tcPr>
            <w:tcW w:w="3040" w:type="dxa"/>
            <w:vAlign w:val="bottom"/>
          </w:tcPr>
          <w:p>
            <w:pPr>
              <w:ind w:left="900"/>
              <w:spacing w:after="0"/>
              <w:rPr>
                <w:sz w:val="20"/>
                <w:szCs w:val="20"/>
                <w:color w:val="auto"/>
              </w:rPr>
            </w:pPr>
            <w:r>
              <w:rPr>
                <w:rFonts w:ascii="Arial" w:cs="Arial" w:eastAsia="Arial" w:hAnsi="Arial"/>
                <w:sz w:val="18"/>
                <w:szCs w:val="18"/>
                <w:color w:val="auto"/>
              </w:rPr>
              <w:t>Hungary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Limited</w:t>
            </w:r>
          </w:p>
        </w:tc>
        <w:tc>
          <w:tcPr>
            <w:tcW w:w="3040" w:type="dxa"/>
            <w:vAlign w:val="bottom"/>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M</w:t>
            </w:r>
          </w:p>
        </w:tc>
        <w:tc>
          <w:tcPr>
            <w:tcW w:w="3040" w:type="dxa"/>
            <w:vAlign w:val="bottom"/>
          </w:tcPr>
          <w:p>
            <w:pPr>
              <w:ind w:left="900"/>
              <w:spacing w:after="0"/>
              <w:rPr>
                <w:sz w:val="20"/>
                <w:szCs w:val="20"/>
                <w:color w:val="auto"/>
              </w:rPr>
            </w:pPr>
            <w:r>
              <w:rPr>
                <w:rFonts w:ascii="Arial" w:cs="Arial" w:eastAsia="Arial" w:hAnsi="Arial"/>
                <w:sz w:val="18"/>
                <w:szCs w:val="18"/>
                <w:color w:val="auto"/>
              </w:rPr>
              <w:t>Russian Federation</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OÜ</w:t>
            </w:r>
          </w:p>
        </w:tc>
        <w:tc>
          <w:tcPr>
            <w:tcW w:w="3040" w:type="dxa"/>
            <w:vAlign w:val="bottom"/>
          </w:tcPr>
          <w:p>
            <w:pPr>
              <w:ind w:left="900"/>
              <w:spacing w:after="0"/>
              <w:rPr>
                <w:sz w:val="20"/>
                <w:szCs w:val="20"/>
                <w:color w:val="auto"/>
              </w:rPr>
            </w:pPr>
            <w:r>
              <w:rPr>
                <w:rFonts w:ascii="Arial" w:cs="Arial" w:eastAsia="Arial" w:hAnsi="Arial"/>
                <w:sz w:val="18"/>
                <w:szCs w:val="18"/>
                <w:color w:val="auto"/>
              </w:rPr>
              <w:t>Estonia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EBV Elektronik S.r.l.</w:t>
            </w:r>
          </w:p>
        </w:tc>
        <w:tc>
          <w:tcPr>
            <w:tcW w:w="3040" w:type="dxa"/>
            <w:vAlign w:val="bottom"/>
          </w:tcPr>
          <w:p>
            <w:pPr>
              <w:ind w:left="900"/>
              <w:spacing w:after="0"/>
              <w:rPr>
                <w:sz w:val="20"/>
                <w:szCs w:val="20"/>
                <w:color w:val="auto"/>
              </w:rPr>
            </w:pPr>
            <w:r>
              <w:rPr>
                <w:rFonts w:ascii="Arial" w:cs="Arial" w:eastAsia="Arial" w:hAnsi="Arial"/>
                <w:sz w:val="18"/>
                <w:szCs w:val="18"/>
                <w:color w:val="auto"/>
              </w:rPr>
              <w:t>Italy</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S.R.L.</w:t>
            </w:r>
          </w:p>
        </w:tc>
        <w:tc>
          <w:tcPr>
            <w:tcW w:w="3040" w:type="dxa"/>
            <w:vAlign w:val="bottom"/>
          </w:tcPr>
          <w:p>
            <w:pPr>
              <w:ind w:left="900"/>
              <w:spacing w:after="0"/>
              <w:rPr>
                <w:sz w:val="20"/>
                <w:szCs w:val="20"/>
                <w:color w:val="auto"/>
              </w:rPr>
            </w:pPr>
            <w:r>
              <w:rPr>
                <w:rFonts w:ascii="Arial" w:cs="Arial" w:eastAsia="Arial" w:hAnsi="Arial"/>
                <w:sz w:val="18"/>
                <w:szCs w:val="18"/>
                <w:color w:val="auto"/>
              </w:rPr>
              <w:t>Romania</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s.r.o.</w:t>
            </w:r>
          </w:p>
        </w:tc>
        <w:tc>
          <w:tcPr>
            <w:tcW w:w="3040" w:type="dxa"/>
            <w:vAlign w:val="bottom"/>
          </w:tcPr>
          <w:p>
            <w:pPr>
              <w:ind w:left="900"/>
              <w:spacing w:after="0"/>
              <w:rPr>
                <w:sz w:val="20"/>
                <w:szCs w:val="20"/>
                <w:color w:val="auto"/>
              </w:rPr>
            </w:pPr>
            <w:r>
              <w:rPr>
                <w:rFonts w:ascii="Arial" w:cs="Arial" w:eastAsia="Arial" w:hAnsi="Arial"/>
                <w:sz w:val="18"/>
                <w:szCs w:val="18"/>
                <w:color w:val="auto"/>
              </w:rPr>
              <w:t>Slovakia</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EBV Elektronik SAS</w:t>
            </w:r>
          </w:p>
        </w:tc>
        <w:tc>
          <w:tcPr>
            <w:tcW w:w="3040" w:type="dxa"/>
            <w:vAlign w:val="bottom"/>
          </w:tcPr>
          <w:p>
            <w:pPr>
              <w:ind w:left="900"/>
              <w:spacing w:after="0"/>
              <w:rPr>
                <w:sz w:val="20"/>
                <w:szCs w:val="20"/>
                <w:color w:val="auto"/>
              </w:rPr>
            </w:pPr>
            <w:r>
              <w:rPr>
                <w:rFonts w:ascii="Arial" w:cs="Arial" w:eastAsia="Arial" w:hAnsi="Arial"/>
                <w:sz w:val="18"/>
                <w:szCs w:val="18"/>
                <w:color w:val="auto"/>
              </w:rPr>
              <w:t>France</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EBV Elektronik sp. z o.o.</w:t>
            </w:r>
          </w:p>
        </w:tc>
        <w:tc>
          <w:tcPr>
            <w:tcW w:w="3040" w:type="dxa"/>
            <w:vAlign w:val="bottom"/>
          </w:tcPr>
          <w:p>
            <w:pPr>
              <w:ind w:left="900"/>
              <w:spacing w:after="0"/>
              <w:rPr>
                <w:sz w:val="20"/>
                <w:szCs w:val="20"/>
                <w:color w:val="auto"/>
              </w:rPr>
            </w:pPr>
            <w:r>
              <w:rPr>
                <w:rFonts w:ascii="Arial" w:cs="Arial" w:eastAsia="Arial" w:hAnsi="Arial"/>
                <w:sz w:val="18"/>
                <w:szCs w:val="18"/>
                <w:color w:val="auto"/>
              </w:rPr>
              <w:t>Poland</w:t>
            </w:r>
          </w:p>
        </w:tc>
      </w:tr>
      <w:tr>
        <w:trPr>
          <w:trHeight w:val="560"/>
        </w:trPr>
        <w:tc>
          <w:tcPr>
            <w:tcW w:w="5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2" w:right="1440" w:bottom="1440" w:gutter="0" w:footer="0" w:header="0"/>
        </w:sectPr>
      </w:pPr>
    </w:p>
    <w:bookmarkStart w:id="88" w:name="page89"/>
    <w:bookmarkEnd w:id="8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EBV Elektronik Spain S.L.</w:t>
            </w:r>
          </w:p>
        </w:tc>
        <w:tc>
          <w:tcPr>
            <w:tcW w:w="3300" w:type="dxa"/>
            <w:vAlign w:val="bottom"/>
          </w:tcPr>
          <w:p>
            <w:pPr>
              <w:ind w:left="1160"/>
              <w:spacing w:after="0"/>
              <w:rPr>
                <w:sz w:val="20"/>
                <w:szCs w:val="20"/>
                <w:color w:val="auto"/>
              </w:rPr>
            </w:pPr>
            <w:r>
              <w:rPr>
                <w:rFonts w:ascii="Arial" w:cs="Arial" w:eastAsia="Arial" w:hAnsi="Arial"/>
                <w:sz w:val="18"/>
                <w:szCs w:val="18"/>
                <w:color w:val="auto"/>
              </w:rPr>
              <w:t>Spain</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EBV Elektronik spol. s r.o.</w:t>
            </w:r>
          </w:p>
        </w:tc>
        <w:tc>
          <w:tcPr>
            <w:tcW w:w="3300" w:type="dxa"/>
            <w:vAlign w:val="bottom"/>
          </w:tcPr>
          <w:p>
            <w:pPr>
              <w:ind w:left="1160"/>
              <w:spacing w:after="0"/>
              <w:rPr>
                <w:sz w:val="20"/>
                <w:szCs w:val="20"/>
                <w:color w:val="auto"/>
              </w:rPr>
            </w:pPr>
            <w:r>
              <w:rPr>
                <w:rFonts w:ascii="Arial" w:cs="Arial" w:eastAsia="Arial" w:hAnsi="Arial"/>
                <w:sz w:val="18"/>
                <w:szCs w:val="18"/>
                <w:color w:val="auto"/>
              </w:rPr>
              <w:t>Czech Republic</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EBV Elektronik Ticaret Limited Sirketi</w:t>
            </w:r>
          </w:p>
        </w:tc>
        <w:tc>
          <w:tcPr>
            <w:tcW w:w="3300" w:type="dxa"/>
            <w:vAlign w:val="bottom"/>
          </w:tcPr>
          <w:p>
            <w:pPr>
              <w:ind w:left="1160"/>
              <w:spacing w:after="0"/>
              <w:rPr>
                <w:sz w:val="20"/>
                <w:szCs w:val="20"/>
                <w:color w:val="auto"/>
              </w:rPr>
            </w:pPr>
            <w:r>
              <w:rPr>
                <w:rFonts w:ascii="Arial" w:cs="Arial" w:eastAsia="Arial" w:hAnsi="Arial"/>
                <w:sz w:val="18"/>
                <w:szCs w:val="18"/>
                <w:color w:val="auto"/>
              </w:rPr>
              <w:t>Turkey</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EBV Elektronik TOV</w:t>
            </w:r>
          </w:p>
        </w:tc>
        <w:tc>
          <w:tcPr>
            <w:tcW w:w="3300" w:type="dxa"/>
            <w:vAlign w:val="bottom"/>
          </w:tcPr>
          <w:p>
            <w:pPr>
              <w:ind w:left="1160"/>
              <w:spacing w:after="0"/>
              <w:rPr>
                <w:sz w:val="20"/>
                <w:szCs w:val="20"/>
                <w:color w:val="auto"/>
              </w:rPr>
            </w:pPr>
            <w:r>
              <w:rPr>
                <w:rFonts w:ascii="Arial" w:cs="Arial" w:eastAsia="Arial" w:hAnsi="Arial"/>
                <w:sz w:val="18"/>
                <w:szCs w:val="18"/>
                <w:color w:val="auto"/>
              </w:rPr>
              <w:t>Ukraine</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EBV Elektronik, Druzba Za Posredovanje D.O.O.</w:t>
            </w:r>
          </w:p>
        </w:tc>
        <w:tc>
          <w:tcPr>
            <w:tcW w:w="3300" w:type="dxa"/>
            <w:vAlign w:val="bottom"/>
          </w:tcPr>
          <w:p>
            <w:pPr>
              <w:ind w:left="1160"/>
              <w:spacing w:after="0"/>
              <w:rPr>
                <w:sz w:val="20"/>
                <w:szCs w:val="20"/>
                <w:color w:val="auto"/>
              </w:rPr>
            </w:pPr>
            <w:r>
              <w:rPr>
                <w:rFonts w:ascii="Arial" w:cs="Arial" w:eastAsia="Arial" w:hAnsi="Arial"/>
                <w:sz w:val="18"/>
                <w:szCs w:val="18"/>
                <w:color w:val="auto"/>
              </w:rPr>
              <w:t>Slovenia</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EBV Elektronik, Unipessoal Lda,</w:t>
            </w:r>
          </w:p>
        </w:tc>
        <w:tc>
          <w:tcPr>
            <w:tcW w:w="3300" w:type="dxa"/>
            <w:vAlign w:val="bottom"/>
          </w:tcPr>
          <w:p>
            <w:pPr>
              <w:ind w:left="1160"/>
              <w:spacing w:after="0"/>
              <w:rPr>
                <w:sz w:val="20"/>
                <w:szCs w:val="20"/>
                <w:color w:val="auto"/>
              </w:rPr>
            </w:pPr>
            <w:r>
              <w:rPr>
                <w:rFonts w:ascii="Arial" w:cs="Arial" w:eastAsia="Arial" w:hAnsi="Arial"/>
                <w:sz w:val="18"/>
                <w:szCs w:val="18"/>
                <w:color w:val="auto"/>
              </w:rPr>
              <w:t>Portugal</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EBV Erste Holding GmbH &amp; Co. KG</w:t>
            </w:r>
          </w:p>
        </w:tc>
        <w:tc>
          <w:tcPr>
            <w:tcW w:w="330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EBV Management GmbH</w:t>
            </w:r>
          </w:p>
        </w:tc>
        <w:tc>
          <w:tcPr>
            <w:tcW w:w="330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EBV Zweite Holding GmbH &amp; Co. KG</w:t>
            </w:r>
          </w:p>
        </w:tc>
        <w:tc>
          <w:tcPr>
            <w:tcW w:w="330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EBV-Elektronik GmbH</w:t>
            </w:r>
          </w:p>
        </w:tc>
        <w:tc>
          <w:tcPr>
            <w:tcW w:w="3300" w:type="dxa"/>
            <w:vAlign w:val="bottom"/>
          </w:tcPr>
          <w:p>
            <w:pPr>
              <w:ind w:left="1160"/>
              <w:spacing w:after="0"/>
              <w:rPr>
                <w:sz w:val="20"/>
                <w:szCs w:val="20"/>
                <w:color w:val="auto"/>
              </w:rPr>
            </w:pPr>
            <w:r>
              <w:rPr>
                <w:rFonts w:ascii="Arial" w:cs="Arial" w:eastAsia="Arial" w:hAnsi="Arial"/>
                <w:sz w:val="18"/>
                <w:szCs w:val="18"/>
                <w:color w:val="auto"/>
              </w:rPr>
              <w:t>Austria</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Electrolink (PTY) Ltd</w:t>
            </w:r>
          </w:p>
        </w:tc>
        <w:tc>
          <w:tcPr>
            <w:tcW w:w="3300" w:type="dxa"/>
            <w:vAlign w:val="bottom"/>
          </w:tcPr>
          <w:p>
            <w:pPr>
              <w:ind w:left="1160"/>
              <w:spacing w:after="0"/>
              <w:rPr>
                <w:sz w:val="20"/>
                <w:szCs w:val="20"/>
                <w:color w:val="auto"/>
              </w:rPr>
            </w:pPr>
            <w:r>
              <w:rPr>
                <w:rFonts w:ascii="Arial" w:cs="Arial" w:eastAsia="Arial" w:hAnsi="Arial"/>
                <w:sz w:val="18"/>
                <w:szCs w:val="18"/>
                <w:color w:val="auto"/>
              </w:rPr>
              <w:t>South Africa</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Electron House (Overseas)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 14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 14 sp. zoo</w:t>
            </w:r>
          </w:p>
        </w:tc>
        <w:tc>
          <w:tcPr>
            <w:tcW w:w="3300" w:type="dxa"/>
            <w:vAlign w:val="bottom"/>
          </w:tcPr>
          <w:p>
            <w:pPr>
              <w:ind w:left="1160"/>
              <w:spacing w:after="0"/>
              <w:rPr>
                <w:sz w:val="20"/>
                <w:szCs w:val="20"/>
                <w:color w:val="auto"/>
              </w:rPr>
            </w:pPr>
            <w:r>
              <w:rPr>
                <w:rFonts w:ascii="Arial" w:cs="Arial" w:eastAsia="Arial" w:hAnsi="Arial"/>
                <w:sz w:val="18"/>
                <w:szCs w:val="18"/>
                <w:color w:val="auto"/>
              </w:rPr>
              <w:t>Poland</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Asia Pte. Ltd.</w:t>
            </w:r>
          </w:p>
        </w:tc>
        <w:tc>
          <w:tcPr>
            <w:tcW w:w="3300" w:type="dxa"/>
            <w:vAlign w:val="bottom"/>
          </w:tcPr>
          <w:p>
            <w:pPr>
              <w:ind w:left="1160"/>
              <w:spacing w:after="0"/>
              <w:rPr>
                <w:sz w:val="20"/>
                <w:szCs w:val="20"/>
                <w:color w:val="auto"/>
              </w:rPr>
            </w:pPr>
            <w:r>
              <w:rPr>
                <w:rFonts w:ascii="Arial" w:cs="Arial" w:eastAsia="Arial" w:hAnsi="Arial"/>
                <w:sz w:val="18"/>
                <w:szCs w:val="18"/>
                <w:color w:val="auto"/>
              </w:rPr>
              <w:t>Singapore</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de Mexico, S. de R.L de C.V</w:t>
            </w:r>
          </w:p>
        </w:tc>
        <w:tc>
          <w:tcPr>
            <w:tcW w:w="3300" w:type="dxa"/>
            <w:vAlign w:val="bottom"/>
          </w:tcPr>
          <w:p>
            <w:pPr>
              <w:ind w:left="1160"/>
              <w:spacing w:after="0"/>
              <w:rPr>
                <w:sz w:val="20"/>
                <w:szCs w:val="20"/>
                <w:color w:val="auto"/>
              </w:rPr>
            </w:pPr>
            <w:r>
              <w:rPr>
                <w:rFonts w:ascii="Arial" w:cs="Arial" w:eastAsia="Arial" w:hAnsi="Arial"/>
                <w:sz w:val="18"/>
                <w:szCs w:val="18"/>
                <w:color w:val="auto"/>
              </w:rPr>
              <w:t>Mexico</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Electronics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Ireland</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Finance UK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Holding BV</w:t>
            </w:r>
          </w:p>
        </w:tc>
        <w:tc>
          <w:tcPr>
            <w:tcW w:w="3300" w:type="dxa"/>
            <w:vAlign w:val="bottom"/>
          </w:tcPr>
          <w:p>
            <w:pPr>
              <w:ind w:left="1160"/>
              <w:spacing w:after="0"/>
              <w:rPr>
                <w:sz w:val="20"/>
                <w:szCs w:val="20"/>
                <w:color w:val="auto"/>
              </w:rPr>
            </w:pPr>
            <w:r>
              <w:rPr>
                <w:rFonts w:ascii="Arial" w:cs="Arial" w:eastAsia="Arial" w:hAnsi="Arial"/>
                <w:sz w:val="18"/>
                <w:szCs w:val="18"/>
                <w:color w:val="auto"/>
              </w:rPr>
              <w:t>Netherlands</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India Pvt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India</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New Zealand</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Ltd.</w:t>
            </w:r>
          </w:p>
        </w:tc>
        <w:tc>
          <w:tcPr>
            <w:tcW w:w="3300" w:type="dxa"/>
            <w:vAlign w:val="bottom"/>
          </w:tcPr>
          <w:p>
            <w:pPr>
              <w:ind w:left="1160"/>
              <w:spacing w:after="0"/>
              <w:rPr>
                <w:sz w:val="20"/>
                <w:szCs w:val="20"/>
                <w:color w:val="auto"/>
              </w:rPr>
            </w:pPr>
            <w:r>
              <w:rPr>
                <w:rFonts w:ascii="Arial" w:cs="Arial" w:eastAsia="Arial" w:hAnsi="Arial"/>
                <w:sz w:val="18"/>
                <w:szCs w:val="18"/>
                <w:color w:val="auto"/>
              </w:rPr>
              <w:t>Korea, Republic of</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Pte. Ltd.</w:t>
            </w:r>
          </w:p>
        </w:tc>
        <w:tc>
          <w:tcPr>
            <w:tcW w:w="3300" w:type="dxa"/>
            <w:vAlign w:val="bottom"/>
          </w:tcPr>
          <w:p>
            <w:pPr>
              <w:ind w:left="1160"/>
              <w:spacing w:after="0"/>
              <w:rPr>
                <w:sz w:val="20"/>
                <w:szCs w:val="20"/>
                <w:color w:val="auto"/>
              </w:rPr>
            </w:pPr>
            <w:r>
              <w:rPr>
                <w:rFonts w:ascii="Arial" w:cs="Arial" w:eastAsia="Arial" w:hAnsi="Arial"/>
                <w:sz w:val="18"/>
                <w:szCs w:val="18"/>
                <w:color w:val="auto"/>
              </w:rPr>
              <w:t>Singapore</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Pty Ltd</w:t>
            </w:r>
          </w:p>
        </w:tc>
        <w:tc>
          <w:tcPr>
            <w:tcW w:w="3300" w:type="dxa"/>
            <w:vAlign w:val="bottom"/>
          </w:tcPr>
          <w:p>
            <w:pPr>
              <w:ind w:left="1160"/>
              <w:spacing w:after="0"/>
              <w:rPr>
                <w:sz w:val="20"/>
                <w:szCs w:val="20"/>
                <w:color w:val="auto"/>
              </w:rPr>
            </w:pPr>
            <w:r>
              <w:rPr>
                <w:rFonts w:ascii="Arial" w:cs="Arial" w:eastAsia="Arial" w:hAnsi="Arial"/>
                <w:sz w:val="18"/>
                <w:szCs w:val="18"/>
                <w:color w:val="auto"/>
              </w:rPr>
              <w:t>Australia</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SDN. BHD.</w:t>
            </w:r>
          </w:p>
        </w:tc>
        <w:tc>
          <w:tcPr>
            <w:tcW w:w="3300" w:type="dxa"/>
            <w:vAlign w:val="bottom"/>
          </w:tcPr>
          <w:p>
            <w:pPr>
              <w:ind w:left="1160"/>
              <w:spacing w:after="0"/>
              <w:rPr>
                <w:sz w:val="20"/>
                <w:szCs w:val="20"/>
                <w:color w:val="auto"/>
              </w:rPr>
            </w:pPr>
            <w:r>
              <w:rPr>
                <w:rFonts w:ascii="Arial" w:cs="Arial" w:eastAsia="Arial" w:hAnsi="Arial"/>
                <w:sz w:val="18"/>
                <w:szCs w:val="18"/>
                <w:color w:val="auto"/>
              </w:rPr>
              <w:t>Malaysia</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US Holdings Inc.</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States</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Element14 US Holdings LLC</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States</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Element14. S. de R.L. de C.V</w:t>
            </w:r>
          </w:p>
        </w:tc>
        <w:tc>
          <w:tcPr>
            <w:tcW w:w="3300" w:type="dxa"/>
            <w:vAlign w:val="bottom"/>
          </w:tcPr>
          <w:p>
            <w:pPr>
              <w:ind w:left="1160"/>
              <w:spacing w:after="0"/>
              <w:rPr>
                <w:sz w:val="20"/>
                <w:szCs w:val="20"/>
                <w:color w:val="auto"/>
              </w:rPr>
            </w:pPr>
            <w:r>
              <w:rPr>
                <w:rFonts w:ascii="Arial" w:cs="Arial" w:eastAsia="Arial" w:hAnsi="Arial"/>
                <w:sz w:val="18"/>
                <w:szCs w:val="18"/>
                <w:color w:val="auto"/>
              </w:rPr>
              <w:t>Mexico</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eluomeng Electronics (China) Co. Ltd</w:t>
            </w:r>
          </w:p>
        </w:tc>
        <w:tc>
          <w:tcPr>
            <w:tcW w:w="3300" w:type="dxa"/>
            <w:vAlign w:val="bottom"/>
          </w:tcPr>
          <w:p>
            <w:pPr>
              <w:ind w:left="1160"/>
              <w:spacing w:after="0"/>
              <w:rPr>
                <w:sz w:val="20"/>
                <w:szCs w:val="20"/>
                <w:color w:val="auto"/>
              </w:rPr>
            </w:pPr>
            <w:r>
              <w:rPr>
                <w:rFonts w:ascii="Arial" w:cs="Arial" w:eastAsia="Arial" w:hAnsi="Arial"/>
                <w:sz w:val="18"/>
                <w:szCs w:val="18"/>
                <w:color w:val="auto"/>
              </w:rPr>
              <w:t>China</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ELUOMENG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Hong Kong</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ELUOMENG LIMITED COMPANY</w:t>
            </w:r>
          </w:p>
        </w:tc>
        <w:tc>
          <w:tcPr>
            <w:tcW w:w="3300" w:type="dxa"/>
            <w:vAlign w:val="bottom"/>
          </w:tcPr>
          <w:p>
            <w:pPr>
              <w:ind w:left="1160"/>
              <w:spacing w:after="0"/>
              <w:rPr>
                <w:sz w:val="20"/>
                <w:szCs w:val="20"/>
                <w:color w:val="auto"/>
              </w:rPr>
            </w:pPr>
            <w:r>
              <w:rPr>
                <w:rFonts w:ascii="Arial" w:cs="Arial" w:eastAsia="Arial" w:hAnsi="Arial"/>
                <w:sz w:val="18"/>
                <w:szCs w:val="18"/>
                <w:color w:val="auto"/>
              </w:rPr>
              <w:t>Taiwan</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Embest HK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Hong Kong</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Erste TENVA Property GmbH Gruber Straße</w:t>
            </w:r>
          </w:p>
        </w:tc>
        <w:tc>
          <w:tcPr>
            <w:tcW w:w="330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(BELGIUM) SA</w:t>
            </w:r>
          </w:p>
        </w:tc>
        <w:tc>
          <w:tcPr>
            <w:tcW w:w="3300" w:type="dxa"/>
            <w:vAlign w:val="bottom"/>
          </w:tcPr>
          <w:p>
            <w:pPr>
              <w:ind w:left="1160"/>
              <w:spacing w:after="0"/>
              <w:rPr>
                <w:sz w:val="20"/>
                <w:szCs w:val="20"/>
                <w:color w:val="auto"/>
              </w:rPr>
            </w:pPr>
            <w:r>
              <w:rPr>
                <w:rFonts w:ascii="Arial" w:cs="Arial" w:eastAsia="Arial" w:hAnsi="Arial"/>
                <w:sz w:val="18"/>
                <w:szCs w:val="18"/>
                <w:color w:val="auto"/>
              </w:rPr>
              <w:t>Belgium</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(FRANCE) SAS</w:t>
            </w:r>
          </w:p>
        </w:tc>
        <w:tc>
          <w:tcPr>
            <w:tcW w:w="3300" w:type="dxa"/>
            <w:vAlign w:val="bottom"/>
          </w:tcPr>
          <w:p>
            <w:pPr>
              <w:ind w:left="1160"/>
              <w:spacing w:after="0"/>
              <w:rPr>
                <w:sz w:val="20"/>
                <w:szCs w:val="20"/>
                <w:color w:val="auto"/>
              </w:rPr>
            </w:pPr>
            <w:r>
              <w:rPr>
                <w:rFonts w:ascii="Arial" w:cs="Arial" w:eastAsia="Arial" w:hAnsi="Arial"/>
                <w:sz w:val="18"/>
                <w:szCs w:val="18"/>
                <w:color w:val="auto"/>
              </w:rPr>
              <w:t>France</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FARNELL (NETHERLANDS) B.V.</w:t>
            </w:r>
          </w:p>
        </w:tc>
        <w:tc>
          <w:tcPr>
            <w:tcW w:w="3300" w:type="dxa"/>
            <w:vAlign w:val="bottom"/>
          </w:tcPr>
          <w:p>
            <w:pPr>
              <w:ind w:left="1160"/>
              <w:spacing w:after="0"/>
              <w:rPr>
                <w:sz w:val="20"/>
                <w:szCs w:val="20"/>
                <w:color w:val="auto"/>
              </w:rPr>
            </w:pPr>
            <w:r>
              <w:rPr>
                <w:rFonts w:ascii="Arial" w:cs="Arial" w:eastAsia="Arial" w:hAnsi="Arial"/>
                <w:sz w:val="18"/>
                <w:szCs w:val="18"/>
                <w:color w:val="auto"/>
              </w:rPr>
              <w:t>Netherlands</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AG</w:t>
            </w:r>
          </w:p>
        </w:tc>
        <w:tc>
          <w:tcPr>
            <w:tcW w:w="3300" w:type="dxa"/>
            <w:vAlign w:val="bottom"/>
          </w:tcPr>
          <w:p>
            <w:pPr>
              <w:ind w:left="1160"/>
              <w:spacing w:after="0"/>
              <w:rPr>
                <w:sz w:val="20"/>
                <w:szCs w:val="20"/>
                <w:color w:val="auto"/>
              </w:rPr>
            </w:pPr>
            <w:r>
              <w:rPr>
                <w:rFonts w:ascii="Arial" w:cs="Arial" w:eastAsia="Arial" w:hAnsi="Arial"/>
                <w:sz w:val="18"/>
                <w:szCs w:val="18"/>
                <w:color w:val="auto"/>
              </w:rPr>
              <w:t>Switzerland</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COMPONENTS (IRELAND)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Ireland</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COMPONENTS (ISRAEL) LTD</w:t>
            </w:r>
          </w:p>
        </w:tc>
        <w:tc>
          <w:tcPr>
            <w:tcW w:w="3300" w:type="dxa"/>
            <w:vAlign w:val="bottom"/>
          </w:tcPr>
          <w:p>
            <w:pPr>
              <w:ind w:left="1160"/>
              <w:spacing w:after="0"/>
              <w:rPr>
                <w:sz w:val="20"/>
                <w:szCs w:val="20"/>
                <w:color w:val="auto"/>
              </w:rPr>
            </w:pPr>
            <w:r>
              <w:rPr>
                <w:rFonts w:ascii="Arial" w:cs="Arial" w:eastAsia="Arial" w:hAnsi="Arial"/>
                <w:sz w:val="18"/>
                <w:szCs w:val="18"/>
                <w:color w:val="auto"/>
              </w:rPr>
              <w:t>Israel</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FARNELL COMPONENTS AB</w:t>
            </w:r>
          </w:p>
        </w:tc>
        <w:tc>
          <w:tcPr>
            <w:tcW w:w="3300" w:type="dxa"/>
            <w:vAlign w:val="bottom"/>
          </w:tcPr>
          <w:p>
            <w:pPr>
              <w:ind w:left="1160"/>
              <w:spacing w:after="0"/>
              <w:rPr>
                <w:sz w:val="20"/>
                <w:szCs w:val="20"/>
                <w:color w:val="auto"/>
              </w:rPr>
            </w:pPr>
            <w:r>
              <w:rPr>
                <w:rFonts w:ascii="Arial" w:cs="Arial" w:eastAsia="Arial" w:hAnsi="Arial"/>
                <w:sz w:val="18"/>
                <w:szCs w:val="18"/>
                <w:color w:val="auto"/>
              </w:rPr>
              <w:t>Sweden</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COMPONENTS SL</w:t>
            </w:r>
          </w:p>
        </w:tc>
        <w:tc>
          <w:tcPr>
            <w:tcW w:w="3300" w:type="dxa"/>
            <w:vAlign w:val="bottom"/>
          </w:tcPr>
          <w:p>
            <w:pPr>
              <w:ind w:left="1160"/>
              <w:spacing w:after="0"/>
              <w:rPr>
                <w:sz w:val="20"/>
                <w:szCs w:val="20"/>
                <w:color w:val="auto"/>
              </w:rPr>
            </w:pPr>
            <w:r>
              <w:rPr>
                <w:rFonts w:ascii="Arial" w:cs="Arial" w:eastAsia="Arial" w:hAnsi="Arial"/>
                <w:sz w:val="18"/>
                <w:szCs w:val="18"/>
                <w:color w:val="auto"/>
              </w:rPr>
              <w:t>Spain</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DANMARK A/S</w:t>
            </w:r>
          </w:p>
        </w:tc>
        <w:tc>
          <w:tcPr>
            <w:tcW w:w="3300" w:type="dxa"/>
            <w:vAlign w:val="bottom"/>
          </w:tcPr>
          <w:p>
            <w:pPr>
              <w:ind w:left="1160"/>
              <w:spacing w:after="0"/>
              <w:rPr>
                <w:sz w:val="20"/>
                <w:szCs w:val="20"/>
                <w:color w:val="auto"/>
              </w:rPr>
            </w:pPr>
            <w:r>
              <w:rPr>
                <w:rFonts w:ascii="Arial" w:cs="Arial" w:eastAsia="Arial" w:hAnsi="Arial"/>
                <w:sz w:val="18"/>
                <w:szCs w:val="18"/>
                <w:color w:val="auto"/>
              </w:rPr>
              <w:t>Denmark</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ELECTRONIC COMPONENTS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FARNELL GMBH</w:t>
            </w:r>
          </w:p>
        </w:tc>
        <w:tc>
          <w:tcPr>
            <w:tcW w:w="330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HOLDING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ITALIA SRL</w:t>
            </w:r>
          </w:p>
        </w:tc>
        <w:tc>
          <w:tcPr>
            <w:tcW w:w="3300" w:type="dxa"/>
            <w:vAlign w:val="bottom"/>
          </w:tcPr>
          <w:p>
            <w:pPr>
              <w:ind w:left="1160"/>
              <w:spacing w:after="0"/>
              <w:rPr>
                <w:sz w:val="20"/>
                <w:szCs w:val="20"/>
                <w:color w:val="auto"/>
              </w:rPr>
            </w:pPr>
            <w:r>
              <w:rPr>
                <w:rFonts w:ascii="Arial" w:cs="Arial" w:eastAsia="Arial" w:hAnsi="Arial"/>
                <w:sz w:val="18"/>
                <w:szCs w:val="18"/>
                <w:color w:val="auto"/>
              </w:rPr>
              <w:t>Italy</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FARNELL OVERSEAS</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Import Holdings LLC</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States</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INONE HOLDINGS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Kent One Corporation</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States</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Memec Group Holdings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Memec Group Limited</w:t>
            </w:r>
          </w:p>
        </w:tc>
        <w:tc>
          <w:tcPr>
            <w:tcW w:w="33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560"/>
        </w:trPr>
        <w:tc>
          <w:tcPr>
            <w:tcW w:w="5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2" w:right="1440" w:bottom="1440" w:gutter="0" w:footer="0" w:header="0"/>
        </w:sectPr>
      </w:pPr>
    </w:p>
    <w:bookmarkStart w:id="89" w:name="page90"/>
    <w:bookmarkEnd w:id="8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Memec Pty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Australia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Mexico Holdings LLC</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MSC (Malta)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Malta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MSC Technologies GmbH</w:t>
            </w:r>
          </w:p>
        </w:tc>
        <w:tc>
          <w:tcPr>
            <w:tcW w:w="272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MSC Technologies Systems GmbH</w:t>
            </w:r>
          </w:p>
        </w:tc>
        <w:tc>
          <w:tcPr>
            <w:tcW w:w="272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Newark Corporation</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Newark Electronics Corporation</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OY FARNELL (FINLAND) AB</w:t>
            </w:r>
          </w:p>
        </w:tc>
        <w:tc>
          <w:tcPr>
            <w:tcW w:w="2720" w:type="dxa"/>
            <w:vAlign w:val="bottom"/>
          </w:tcPr>
          <w:p>
            <w:pPr>
              <w:ind w:left="580"/>
              <w:spacing w:after="0"/>
              <w:rPr>
                <w:sz w:val="20"/>
                <w:szCs w:val="20"/>
                <w:color w:val="auto"/>
              </w:rPr>
            </w:pPr>
            <w:r>
              <w:rPr>
                <w:rFonts w:ascii="Arial" w:cs="Arial" w:eastAsia="Arial" w:hAnsi="Arial"/>
                <w:sz w:val="18"/>
                <w:szCs w:val="18"/>
                <w:color w:val="auto"/>
              </w:rPr>
              <w:t>Finland</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Phoenics Electronics Corporation</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PREMIER FARNELL (SCOTLAND)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Premier Farnell Canada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Canada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Premier Farnell Corp.</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PREMIER FARNELL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PREMIER FARNELL PENSION FUNDING SCOTTISH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PARTNERSHIP</w:t>
            </w:r>
          </w:p>
        </w:tc>
        <w:tc>
          <w:tcPr>
            <w:tcW w:w="2720" w:type="dxa"/>
            <w:vAlign w:val="bottom"/>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PREMIER FARNELL PENSION TRUSTEES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Premier Farnell Properties Inc.</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PREMIER FARNELL UK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PREMIER INDUSTRIAL HOLLAND B.V.</w:t>
            </w:r>
          </w:p>
        </w:tc>
        <w:tc>
          <w:tcPr>
            <w:tcW w:w="2720" w:type="dxa"/>
            <w:vAlign w:val="bottom"/>
          </w:tcPr>
          <w:p>
            <w:pPr>
              <w:ind w:left="580"/>
              <w:spacing w:after="0"/>
              <w:rPr>
                <w:sz w:val="20"/>
                <w:szCs w:val="20"/>
                <w:color w:val="auto"/>
              </w:rPr>
            </w:pPr>
            <w:r>
              <w:rPr>
                <w:rFonts w:ascii="Arial" w:cs="Arial" w:eastAsia="Arial" w:hAnsi="Arial"/>
                <w:sz w:val="18"/>
                <w:szCs w:val="18"/>
                <w:color w:val="auto"/>
              </w:rPr>
              <w:t>Netherlands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Priya Softweb Solutions Pvt. Ltd.</w:t>
            </w:r>
          </w:p>
        </w:tc>
        <w:tc>
          <w:tcPr>
            <w:tcW w:w="2720" w:type="dxa"/>
            <w:vAlign w:val="bottom"/>
          </w:tcPr>
          <w:p>
            <w:pPr>
              <w:ind w:left="580"/>
              <w:spacing w:after="0"/>
              <w:rPr>
                <w:sz w:val="20"/>
                <w:szCs w:val="20"/>
                <w:color w:val="auto"/>
              </w:rPr>
            </w:pPr>
            <w:r>
              <w:rPr>
                <w:rFonts w:ascii="Arial" w:cs="Arial" w:eastAsia="Arial" w:hAnsi="Arial"/>
                <w:sz w:val="18"/>
                <w:szCs w:val="18"/>
                <w:color w:val="auto"/>
              </w:rPr>
              <w:t>India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RTI Holdings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Hong Kong</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SEC International Holding Company II, L.L.C.</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Shanghai FR International Trading Co., Ltd.</w:t>
            </w:r>
          </w:p>
        </w:tc>
        <w:tc>
          <w:tcPr>
            <w:tcW w:w="272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SHENZHEN EMBEST TECHNOLOGY CO., LTD.</w:t>
            </w:r>
          </w:p>
        </w:tc>
        <w:tc>
          <w:tcPr>
            <w:tcW w:w="272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Société Civile Immobilière du 22 rue de Dames</w:t>
            </w:r>
          </w:p>
        </w:tc>
        <w:tc>
          <w:tcPr>
            <w:tcW w:w="2720" w:type="dxa"/>
            <w:vAlign w:val="bottom"/>
          </w:tcPr>
          <w:p>
            <w:pPr>
              <w:ind w:left="580"/>
              <w:spacing w:after="0"/>
              <w:rPr>
                <w:sz w:val="20"/>
                <w:szCs w:val="20"/>
                <w:color w:val="auto"/>
              </w:rPr>
            </w:pPr>
            <w:r>
              <w:rPr>
                <w:rFonts w:ascii="Arial" w:cs="Arial" w:eastAsia="Arial" w:hAnsi="Arial"/>
                <w:sz w:val="18"/>
                <w:szCs w:val="18"/>
                <w:color w:val="auto"/>
              </w:rPr>
              <w:t>France</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Softweb Solutions Inc.</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Source Electronics (HK)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Hong Kong</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Source Electronics Asia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Hong Kong</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Tekdata Interconnections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Telmil Electronics, Inc.</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Tenva Belgium Comm. VA</w:t>
            </w:r>
          </w:p>
        </w:tc>
        <w:tc>
          <w:tcPr>
            <w:tcW w:w="2720" w:type="dxa"/>
            <w:vAlign w:val="bottom"/>
          </w:tcPr>
          <w:p>
            <w:pPr>
              <w:ind w:left="580"/>
              <w:spacing w:after="0"/>
              <w:rPr>
                <w:sz w:val="20"/>
                <w:szCs w:val="20"/>
                <w:color w:val="auto"/>
              </w:rPr>
            </w:pPr>
            <w:r>
              <w:rPr>
                <w:rFonts w:ascii="Arial" w:cs="Arial" w:eastAsia="Arial" w:hAnsi="Arial"/>
                <w:sz w:val="18"/>
                <w:szCs w:val="18"/>
                <w:color w:val="auto"/>
              </w:rPr>
              <w:t>Belgium</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Tenva Financial Management BV</w:t>
            </w:r>
          </w:p>
        </w:tc>
        <w:tc>
          <w:tcPr>
            <w:tcW w:w="2720" w:type="dxa"/>
            <w:vAlign w:val="bottom"/>
          </w:tcPr>
          <w:p>
            <w:pPr>
              <w:ind w:left="580"/>
              <w:spacing w:after="0"/>
              <w:rPr>
                <w:sz w:val="20"/>
                <w:szCs w:val="20"/>
                <w:color w:val="auto"/>
              </w:rPr>
            </w:pPr>
            <w:r>
              <w:rPr>
                <w:rFonts w:ascii="Arial" w:cs="Arial" w:eastAsia="Arial" w:hAnsi="Arial"/>
                <w:sz w:val="18"/>
                <w:szCs w:val="18"/>
                <w:color w:val="auto"/>
              </w:rPr>
              <w:t>Belgium</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TENVA GmbH</w:t>
            </w:r>
          </w:p>
        </w:tc>
        <w:tc>
          <w:tcPr>
            <w:tcW w:w="272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TENVA INVESTMENTS BV</w:t>
            </w:r>
          </w:p>
        </w:tc>
        <w:tc>
          <w:tcPr>
            <w:tcW w:w="2720" w:type="dxa"/>
            <w:vAlign w:val="bottom"/>
          </w:tcPr>
          <w:p>
            <w:pPr>
              <w:ind w:left="580"/>
              <w:spacing w:after="0"/>
              <w:rPr>
                <w:sz w:val="20"/>
                <w:szCs w:val="20"/>
                <w:color w:val="auto"/>
              </w:rPr>
            </w:pPr>
            <w:r>
              <w:rPr>
                <w:rFonts w:ascii="Arial" w:cs="Arial" w:eastAsia="Arial" w:hAnsi="Arial"/>
                <w:sz w:val="18"/>
                <w:szCs w:val="18"/>
                <w:color w:val="auto"/>
              </w:rPr>
              <w:t>Belgium</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Tenva sp. z o.o.</w:t>
            </w:r>
          </w:p>
        </w:tc>
        <w:tc>
          <w:tcPr>
            <w:tcW w:w="2720" w:type="dxa"/>
            <w:vAlign w:val="bottom"/>
          </w:tcPr>
          <w:p>
            <w:pPr>
              <w:ind w:left="580"/>
              <w:spacing w:after="0"/>
              <w:rPr>
                <w:sz w:val="20"/>
                <w:szCs w:val="20"/>
                <w:color w:val="auto"/>
              </w:rPr>
            </w:pPr>
            <w:r>
              <w:rPr>
                <w:rFonts w:ascii="Arial" w:cs="Arial" w:eastAsia="Arial" w:hAnsi="Arial"/>
                <w:sz w:val="18"/>
                <w:szCs w:val="18"/>
                <w:color w:val="auto"/>
              </w:rPr>
              <w:t>Poland</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UAB "EBV Elektronik"</w:t>
            </w:r>
          </w:p>
        </w:tc>
        <w:tc>
          <w:tcPr>
            <w:tcW w:w="2720" w:type="dxa"/>
            <w:vAlign w:val="bottom"/>
          </w:tcPr>
          <w:p>
            <w:pPr>
              <w:ind w:left="580"/>
              <w:spacing w:after="0"/>
              <w:rPr>
                <w:sz w:val="20"/>
                <w:szCs w:val="20"/>
                <w:color w:val="auto"/>
              </w:rPr>
            </w:pPr>
            <w:r>
              <w:rPr>
                <w:rFonts w:ascii="Arial" w:cs="Arial" w:eastAsia="Arial" w:hAnsi="Arial"/>
                <w:sz w:val="18"/>
                <w:szCs w:val="18"/>
                <w:color w:val="auto"/>
              </w:rPr>
              <w:t>Lithuania</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Vanda Computer System Integration (Shanghai) Company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Venezuelan Partner B.V.</w:t>
            </w:r>
          </w:p>
        </w:tc>
        <w:tc>
          <w:tcPr>
            <w:tcW w:w="2720" w:type="dxa"/>
            <w:vAlign w:val="bottom"/>
          </w:tcPr>
          <w:p>
            <w:pPr>
              <w:ind w:left="580"/>
              <w:spacing w:after="0"/>
              <w:rPr>
                <w:sz w:val="20"/>
                <w:szCs w:val="20"/>
                <w:color w:val="auto"/>
              </w:rPr>
            </w:pPr>
            <w:r>
              <w:rPr>
                <w:rFonts w:ascii="Arial" w:cs="Arial" w:eastAsia="Arial" w:hAnsi="Arial"/>
                <w:sz w:val="18"/>
                <w:szCs w:val="18"/>
                <w:color w:val="auto"/>
              </w:rPr>
              <w:t>Netherlands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Witekio Corporation</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Witekio France SAS</w:t>
            </w:r>
          </w:p>
        </w:tc>
        <w:tc>
          <w:tcPr>
            <w:tcW w:w="2720" w:type="dxa"/>
            <w:vAlign w:val="bottom"/>
          </w:tcPr>
          <w:p>
            <w:pPr>
              <w:ind w:left="580"/>
              <w:spacing w:after="0"/>
              <w:rPr>
                <w:sz w:val="20"/>
                <w:szCs w:val="20"/>
                <w:color w:val="auto"/>
              </w:rPr>
            </w:pPr>
            <w:r>
              <w:rPr>
                <w:rFonts w:ascii="Arial" w:cs="Arial" w:eastAsia="Arial" w:hAnsi="Arial"/>
                <w:sz w:val="18"/>
                <w:szCs w:val="18"/>
                <w:color w:val="auto"/>
              </w:rPr>
              <w:t>France</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Witekio GmbH</w:t>
            </w:r>
          </w:p>
        </w:tc>
        <w:tc>
          <w:tcPr>
            <w:tcW w:w="272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Witekio Holding</w:t>
            </w:r>
          </w:p>
        </w:tc>
        <w:tc>
          <w:tcPr>
            <w:tcW w:w="2720" w:type="dxa"/>
            <w:vAlign w:val="bottom"/>
          </w:tcPr>
          <w:p>
            <w:pPr>
              <w:ind w:left="580"/>
              <w:spacing w:after="0"/>
              <w:rPr>
                <w:sz w:val="20"/>
                <w:szCs w:val="20"/>
                <w:color w:val="auto"/>
              </w:rPr>
            </w:pPr>
            <w:r>
              <w:rPr>
                <w:rFonts w:ascii="Arial" w:cs="Arial" w:eastAsia="Arial" w:hAnsi="Arial"/>
                <w:sz w:val="18"/>
                <w:szCs w:val="18"/>
                <w:color w:val="auto"/>
              </w:rPr>
              <w:t>France</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Witekio UK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YEL Electronics (China)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Hong Kong</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YEL Electronics (Shanghai)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YEL Electronics (Shenzhen) Ltd</w:t>
            </w:r>
          </w:p>
        </w:tc>
        <w:tc>
          <w:tcPr>
            <w:tcW w:w="272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YEL Electronics Hong Kong Limited</w:t>
            </w:r>
          </w:p>
        </w:tc>
        <w:tc>
          <w:tcPr>
            <w:tcW w:w="2720" w:type="dxa"/>
            <w:vAlign w:val="bottom"/>
          </w:tcPr>
          <w:p>
            <w:pPr>
              <w:ind w:left="580"/>
              <w:spacing w:after="0"/>
              <w:rPr>
                <w:sz w:val="20"/>
                <w:szCs w:val="20"/>
                <w:color w:val="auto"/>
              </w:rPr>
            </w:pPr>
            <w:r>
              <w:rPr>
                <w:rFonts w:ascii="Arial" w:cs="Arial" w:eastAsia="Arial" w:hAnsi="Arial"/>
                <w:sz w:val="18"/>
                <w:szCs w:val="18"/>
                <w:color w:val="auto"/>
              </w:rPr>
              <w:t>Hong Kong</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ZWEITE TENVA Property GmbH Im Technologiepark</w:t>
            </w:r>
          </w:p>
        </w:tc>
        <w:tc>
          <w:tcPr>
            <w:tcW w:w="272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803"/>
        </w:trPr>
        <w:tc>
          <w:tcPr>
            <w:tcW w:w="58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2"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(No. 333-45267, 333-112062, 333-140903, 333-171291, 333-177787, 333-192289, 333-214887, 333-220133 and 333-228875) on Form S-8 and registration statements (No. 333-208009 and 333-227100) on Form S-3 of our report dated August 13, 2021, with respect to the consolidated balance sheets as of July 3, 2021 and June 27, 2020, the related consolidated statements of operations, comprehensive income, shareholders’ equity, and cash flows for each of the years in the three-year period ended July 3, 2021, and the related notes and financial statement schedule II of Avnet, Inc, and the effectiveness of internal control over financial reporting.</w:t>
      </w:r>
    </w:p>
    <w:p>
      <w:pPr>
        <w:spacing w:after="0" w:line="19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leases as of June 30, 2019 due to the adoption of Financial Accounting Standards Board’s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revenue as of July 1, 2018 due to the adoption of Financial Accounting Standards Board’s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260" w:right="119" w:hanging="319"/>
        <w:spacing w:after="0" w:line="259"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60" w:right="79" w:hanging="319"/>
        <w:spacing w:after="0" w:line="259"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60" w:right="259" w:hanging="319"/>
        <w:spacing w:after="0" w:line="263"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260" w:right="99" w:hanging="319"/>
        <w:spacing w:after="0" w:line="259"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260" w:right="439" w:hanging="319"/>
        <w:spacing w:after="0" w:line="263"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260" w:right="219" w:hanging="319"/>
        <w:spacing w:after="0" w:line="277"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13, 2021</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811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Liguori, certify that:</w:t>
      </w:r>
    </w:p>
    <w:p>
      <w:pPr>
        <w:spacing w:after="0" w:line="225" w:lineRule="exact"/>
        <w:rPr>
          <w:sz w:val="20"/>
          <w:szCs w:val="20"/>
          <w:color w:val="auto"/>
        </w:rPr>
      </w:pPr>
    </w:p>
    <w:p>
      <w:pPr>
        <w:ind w:left="620" w:hanging="32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340" w:right="79" w:hanging="318"/>
        <w:spacing w:after="0" w:line="259"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40" w:right="179" w:hanging="318"/>
        <w:spacing w:after="0" w:line="259"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340" w:right="179" w:hanging="318"/>
        <w:spacing w:after="0" w:line="263"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40" w:right="139" w:hanging="318"/>
        <w:spacing w:after="0" w:line="259"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340" w:right="359" w:hanging="318"/>
        <w:spacing w:after="0" w:line="263"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139" w:hanging="318"/>
        <w:spacing w:after="0" w:line="277"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13, 2021</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3, 2021 (the “Report”), I, Philip R. Gallagher, Chief Executive Officer of Avnet, Inc. (the “Company”) hereby certify that:</w:t>
      </w:r>
    </w:p>
    <w:p>
      <w:pPr>
        <w:spacing w:after="0" w:line="170" w:lineRule="exact"/>
        <w:rPr>
          <w:sz w:val="20"/>
          <w:szCs w:val="20"/>
          <w:color w:val="auto"/>
        </w:rPr>
      </w:pPr>
    </w:p>
    <w:p>
      <w:pPr>
        <w:ind w:left="1020" w:right="379" w:hanging="322"/>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13, 2021</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28289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4" w:name="page95"/>
    <w:bookmarkEnd w:id="9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3, 2021 (the “Report”), I, Thomas Liguori, Chief Financial Officer of Avnet, Inc. (the “Company”) hereby certify that:</w:t>
      </w:r>
    </w:p>
    <w:p>
      <w:pPr>
        <w:spacing w:after="0" w:line="170" w:lineRule="exact"/>
        <w:rPr>
          <w:sz w:val="20"/>
          <w:szCs w:val="20"/>
          <w:color w:val="auto"/>
        </w:rPr>
      </w:pPr>
    </w:p>
    <w:p>
      <w:pPr>
        <w:ind w:left="1020" w:right="379" w:hanging="322"/>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13, 2021</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480"/>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
      <w:numFmt w:val="bullet"/>
      <w:start w:val="1"/>
    </w:lvl>
    <w:lvl w:ilvl="1">
      <w:lvlJc w:val="left"/>
      <w:lvlText w:val="%2"/>
      <w:numFmt w:val="decimal"/>
      <w:start w:val="104"/>
    </w:lvl>
  </w:abstractNum>
  <w:abstractNum w:abstractNumId="20">
    <w:nsid w:val="1E7FF521"/>
    <w:multiLevelType w:val="hybridMultilevel"/>
    <w:lvl w:ilvl="0">
      <w:lvlJc w:val="left"/>
      <w:lvlText w:val="**"/>
      <w:numFmt w:val="bullet"/>
      <w:start w:val="1"/>
    </w:lvl>
    <w:lvl w:ilvl="1">
      <w:lvlJc w:val="left"/>
      <w:lvlText w:val="%2"/>
      <w:numFmt w:val="decimal"/>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6CEAF087"/>
    <w:multiLevelType w:val="hybridMultilevel"/>
    <w:lvl w:ilvl="0">
      <w:lvlJc w:val="left"/>
      <w:lvlText w:val="%1"/>
      <w:numFmt w:val="lowerLetter"/>
      <w:start w:val="1"/>
    </w:lvl>
    <w:lvl w:ilvl="1">
      <w:lvlJc w:val="left"/>
      <w:lvlText w:val="(%2)"/>
      <w:numFmt w:val="lowerLetter"/>
      <w:start w:val="61"/>
    </w:lvl>
  </w:abstractNum>
  <w:abstractNum w:abstractNumId="24">
    <w:nsid w:val="22221A70"/>
    <w:multiLevelType w:val="hybridMultilevel"/>
    <w:lvl w:ilvl="0">
      <w:lvlJc w:val="left"/>
      <w:lvlText w:val="(%1)"/>
      <w:numFmt w:val="lowerLetter"/>
      <w:start w:val="3"/>
    </w:lvl>
    <w:lvl w:ilvl="1">
      <w:lvlJc w:val="left"/>
      <w:lvlText w:val="(%2)"/>
      <w:numFmt w:val="lowerLetter"/>
      <w:start w:val="9"/>
    </w:lvl>
  </w:abstractNum>
  <w:abstractNum w:abstractNumId="25">
    <w:nsid w:val="4516DDE9"/>
    <w:multiLevelType w:val="hybridMultilevel"/>
    <w:lvl w:ilvl="0">
      <w:lvlJc w:val="left"/>
      <w:lvlText w:val="(%1)"/>
      <w:numFmt w:val="lowerRoman"/>
      <w:start w:val="2"/>
    </w:lvl>
  </w:abstractNum>
  <w:abstractNum w:abstractNumId="26">
    <w:nsid w:val="3006C83E"/>
    <w:multiLevelType w:val="hybridMultilevel"/>
    <w:lvl w:ilvl="0">
      <w:lvlJc w:val="left"/>
      <w:lvlText w:val="%1"/>
      <w:numFmt w:val="decimal"/>
      <w:start w:val="1"/>
    </w:lvl>
    <w:lvl w:ilvl="1">
      <w:lvlJc w:val="left"/>
      <w:lvlText w:val="(%2)"/>
      <w:numFmt w:val="lowerLetter"/>
      <w:start w:val="24"/>
    </w:lvl>
  </w:abstractNum>
  <w:abstractNum w:abstractNumId="27">
    <w:nsid w:val="614FD4A1"/>
    <w:multiLevelType w:val="hybridMultilevel"/>
    <w:lvl w:ilvl="0">
      <w:lvlJc w:val="left"/>
      <w:lvlText w:val="(%1)"/>
      <w:numFmt w:val="decimal"/>
      <w:start w:val="30"/>
    </w:lvl>
    <w:lvl w:ilvl="1">
      <w:lvlJc w:val="left"/>
      <w:lvlText w:val="%2"/>
      <w:numFmt w:val="lowerLetter"/>
      <w:start w:val="1"/>
    </w:lvl>
  </w:abstractNum>
  <w:abstractNum w:abstractNumId="28">
    <w:nsid w:val="419AC24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9">
    <w:nsid w:val="5577F8E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0">
    <w:nsid w:val="440BADF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32">
    <w:nsid w:val="3804823E"/>
    <w:multiLevelType w:val="hybridMultilevel"/>
    <w:lvl w:ilvl="0">
      <w:lvlJc w:val="left"/>
      <w:lvlText w:val="§"/>
      <w:numFmt w:val="bullet"/>
      <w:start w:val="1"/>
    </w:lvl>
    <w:lvl w:ilvl="1">
      <w:lvlJc w:val="left"/>
      <w:lvlText w:val="%2"/>
      <w:numFmt w:val="decimal"/>
      <w:start w:val="1"/>
    </w:lvl>
    <w:lvl w:ilvl="2">
      <w:lvlJc w:val="left"/>
      <w:lvlText w:val="(%3)"/>
      <w:numFmt w:val="lowerLetter"/>
      <w:start w:val="5"/>
    </w:lvl>
    <w:lvl w:ilvl="3">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34">
    <w:nsid w:val="7724C67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
    <w:nsid w:val="5C482A97"/>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4" Type="http://schemas.openxmlformats.org/officeDocument/2006/relationships/image" Target="media/image85.png"/><Relationship Id="rId118"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92" Type="http://schemas.openxmlformats.org/officeDocument/2006/relationships/hyperlink" Target="http://www.sec.gov/Archives/edgar/data/8858/000095015301000138/p64582ex3-i.txt" TargetMode="External"/><Relationship Id="rId93" Type="http://schemas.openxmlformats.org/officeDocument/2006/relationships/hyperlink" Target="http://www.sec.gov/Archives/edgar/data/8858/000129993314000752/exhibit1.htm" TargetMode="External"/><Relationship Id="rId94" Type="http://schemas.openxmlformats.org/officeDocument/2006/relationships/hyperlink" Target="https://www.sec.gov/Archives/edgar/data/8858/000000885819000035/avt-20190629ex41617fba7.htm" TargetMode="External"/><Relationship Id="rId95" Type="http://schemas.openxmlformats.org/officeDocument/2006/relationships/hyperlink" Target="http://www.sec.gov/Archives/edgar/data/8858/000129993310002436/exhibit2.htm" TargetMode="External"/><Relationship Id="rId96" Type="http://schemas.openxmlformats.org/officeDocument/2006/relationships/hyperlink" Target="http://www.sec.gov/Archives/edgar/data/8858/000119312512478746/d443020dex41.htm" TargetMode="External"/><Relationship Id="rId97" Type="http://schemas.openxmlformats.org/officeDocument/2006/relationships/hyperlink" Target="http://www.sec.gov/Archives/edgar/data/8858/000119312516513440/d168900dex41.htm" TargetMode="External"/><Relationship Id="rId98" Type="http://schemas.openxmlformats.org/officeDocument/2006/relationships/hyperlink" Target="http://www.sec.gov/Archives/edgar/data/8858/000119312516782476/d305980dex41.htm" TargetMode="External"/><Relationship Id="rId99" Type="http://schemas.openxmlformats.org/officeDocument/2006/relationships/hyperlink" Target="https://www.sec.gov/Archives/edgar/data/8858/000119312521151797/d402267dex41.htm#402267_ex41exa" TargetMode="External"/><Relationship Id="rId100" Type="http://schemas.openxmlformats.org/officeDocument/2006/relationships/hyperlink" Target="https://www.sec.gov/Archives/edgar/data/0000008858/000000885821000011/avt-20210102ex1023253bd.htm" TargetMode="External"/><Relationship Id="rId101" Type="http://schemas.openxmlformats.org/officeDocument/2006/relationships/hyperlink" Target="https://www.sec.gov/Archives/edgar/data/8858/000119312517381685/d483695dex102.htm" TargetMode="External"/><Relationship Id="rId102" Type="http://schemas.openxmlformats.org/officeDocument/2006/relationships/hyperlink" Target="https://www.sec.gov/Archives/edgar/data/8858/000000885816000047/avt-20160906ex1012980e1.htm" TargetMode="External"/><Relationship Id="rId103" Type="http://schemas.openxmlformats.org/officeDocument/2006/relationships/hyperlink" Target="http://www.sec.gov/Archives/edgar/data/8858/000000885817000057/avt-20170701ex10230ec10.htm" TargetMode="External"/><Relationship Id="rId105" Type="http://schemas.openxmlformats.org/officeDocument/2006/relationships/hyperlink" Target="http://www.sec.gov/Archives/edgar/data/8858/000000885813000011/avt-20130629x10kxexh103.htm" TargetMode="External"/><Relationship Id="rId106" Type="http://schemas.openxmlformats.org/officeDocument/2006/relationships/hyperlink" Target="http://www.sec.gov/Archives/edgar/data/8858/000129993311000487/exhibit3.htm" TargetMode="External"/><Relationship Id="rId107" Type="http://schemas.openxmlformats.org/officeDocument/2006/relationships/hyperlink" Target="http://www.sec.gov/Archives/edgar/data/8858/000095015306001243/p72247exv10w1.htm" TargetMode="External"/><Relationship Id="rId108" Type="http://schemas.openxmlformats.org/officeDocument/2006/relationships/hyperlink" Target="http://www.sec.gov/Archives/edgar/data/8858/000000885817000072/avt-20170930ex10184795b.htm" TargetMode="External"/><Relationship Id="rId109" Type="http://schemas.openxmlformats.org/officeDocument/2006/relationships/hyperlink" Target="http://www.sec.gov/Archives/edgar/data/8858/000000885813000011/avt-20130629x10kxexh1013.htm" TargetMode="External"/><Relationship Id="rId110" Type="http://schemas.openxmlformats.org/officeDocument/2006/relationships/hyperlink" Target="http://www.sec.gov/Archives/edgar/data/8858/000000885813000011/avt-20130629x10kxexh1014.htm" TargetMode="External"/><Relationship Id="rId111" Type="http://schemas.openxmlformats.org/officeDocument/2006/relationships/hyperlink" Target="http://www.sec.gov/Archives/edgar/data/8858/000000885818000047/avt-20180630ex108f9323b.htm" TargetMode="External"/><Relationship Id="rId112" Type="http://schemas.openxmlformats.org/officeDocument/2006/relationships/hyperlink" Target="http://www.sec.gov/Archives/edgar/data/8858/000129993312001903/exhibit1.htm" TargetMode="External"/><Relationship Id="rId113" Type="http://schemas.openxmlformats.org/officeDocument/2006/relationships/hyperlink" Target="http://www.sec.gov/Archives/edgar/data/8858/000000885818000047/avt-20180630ex101061a25.htm" TargetMode="External"/><Relationship Id="rId114" Type="http://schemas.openxmlformats.org/officeDocument/2006/relationships/hyperlink" Target="http://www.sec.gov/Archives/edgar/data/8858/000000885817000057/avt-20170701ex10155286e.htm" TargetMode="External"/><Relationship Id="rId115" Type="http://schemas.openxmlformats.org/officeDocument/2006/relationships/hyperlink" Target="http://www.sec.gov/Archives/edgar/data/8858/000000885818000047/avt-20180630ex101299a27.htm" TargetMode="External"/><Relationship Id="rId116" Type="http://schemas.openxmlformats.org/officeDocument/2006/relationships/hyperlink" Target="http://www.sec.gov/Archives/edgar/data/8858/000000885818000047/avt-20180630ex1013e67de.htm" TargetMode="External"/><Relationship Id="rId117" Type="http://schemas.openxmlformats.org/officeDocument/2006/relationships/hyperlink" Target="http://www.sec.gov/Archives/edgar/data/8858/000000885820000019/avt-20200328ex1023349d3.htm" TargetMode="External"/><Relationship Id="rId119" Type="http://schemas.openxmlformats.org/officeDocument/2006/relationships/hyperlink" Target="https://www.sec.gov/Archives/edgar/data/8858/000000885821000011/avt-20210102ex10180040f.htm" TargetMode="External"/><Relationship Id="rId120" Type="http://schemas.openxmlformats.org/officeDocument/2006/relationships/hyperlink" Target="http://www.sec.gov/Archives/edgar/data/8858/000000885818000047/avt-20180630ex105ad19f1.htm" TargetMode="External"/><Relationship Id="rId121" Type="http://schemas.openxmlformats.org/officeDocument/2006/relationships/hyperlink" Target="http://www.sec.gov/Archives/edgar/data/8858/000000885818000050/avt-20180816ex102b7d7a9.htm" TargetMode="External"/><Relationship Id="rId122" Type="http://schemas.openxmlformats.org/officeDocument/2006/relationships/hyperlink" Target="https://www.sec.gov/Archives/edgar/data/8858/000110465920091427/tm2026286d1_10-2.htm" TargetMode="External"/><Relationship Id="rId123" Type="http://schemas.openxmlformats.org/officeDocument/2006/relationships/hyperlink" Target="http://www.sec.gov/Archives/edgar/data/8858/000000885818000050/avt-20180816ex1013240f4.htm" TargetMode="External"/><Relationship Id="rId124" Type="http://schemas.openxmlformats.org/officeDocument/2006/relationships/hyperlink" Target="http://www.sec.gov/Archives/edgar/data/8858/000000885820000019/avt-20200328ex101018879.htm" TargetMode="External"/><Relationship Id="rId125" Type="http://schemas.openxmlformats.org/officeDocument/2006/relationships/hyperlink" Target="https://www.sec.gov/Archives/edgar/data/8858/000110465920091427/tm2026286d1_10-1.htm" TargetMode="External"/><Relationship Id="rId126" Type="http://schemas.openxmlformats.org/officeDocument/2006/relationships/hyperlink" Target="http://www.sec.gov/Archives/edgar/data/8858/000155837018005510/avt-20180628ex1011e70b2.htm" TargetMode="External"/><Relationship Id="rId127" Type="http://schemas.openxmlformats.org/officeDocument/2006/relationships/hyperlink" Target="https://www.sec.gov/Archives/edgar/data/8858/000110465920091427/tm2026286d1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2021-08-13T05:15:12Z</dcterms:created>
  <dcterms:modified xsi:type="dcterms:W3CDTF">2021-08-13T05:15:12Z</dcterms:modified>
</cp:coreProperties>
</file>