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120"/>
        <w:ind w:left="0" w:right="0" w:hanging="0"/>
        <w:jc w:val="left"/>
        <w:rPr/>
      </w:pPr>
      <w:hyperlink w:anchor="Toc">
        <w:bookmarkStart w:id="0" w:name="avt-20231230x10q.htm"/>
        <w:bookmarkStart w:id="1" w:name="ksavt202312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8" w:space="1" w:color="000000"/>
        </w:pBdr>
        <w:bidi w:val="0"/>
        <w:spacing w:before="0" w:after="0"/>
        <w:ind w:left="0" w:right="0" w:hanging="0"/>
        <w:jc w:val="left"/>
        <w:rPr>
          <w:bdr w:val="single" w:sz="24" w:space="1" w:color="000000"/>
        </w:rPr>
      </w:pPr>
      <w:bookmarkStart w:id="2" w:name="Cover_Page"/>
      <w:bookmarkEnd w:id="2"/>
      <w:r>
        <w:rPr>
          <w:bdr w:val="single" w:sz="24" w:space="1" w:color="000000"/>
        </w:rPr>
        <w:t>​</w:t>
      </w:r>
    </w:p>
    <w:p>
      <w:pPr>
        <w:pStyle w:val="TextBody"/>
        <w:bidi w:val="0"/>
        <w:spacing w:before="60" w:after="0"/>
        <w:ind w:left="0" w:right="0" w:hanging="0"/>
        <w:jc w:val="center"/>
        <w:rPr>
          <w:rFonts w:ascii="Times New Roman;Times;serif" w:hAnsi="Times New Roman;Times;serif"/>
          <w:b/>
          <w:sz w:val="24"/>
        </w:rPr>
      </w:pPr>
      <w:bookmarkStart w:id="3" w:name="_230f858b_04ee_4218_bcd5_f7a9bd64a848"/>
      <w:bookmarkEnd w:id="3"/>
      <w:r>
        <w:rPr>
          <w:rFonts w:ascii="Times New Roman;Times;serif" w:hAnsi="Times New Roman;Times;serif"/>
          <w:b/>
          <w:sz w:val="24"/>
        </w:rPr>
        <w:t>UNITED STATES</w:t>
      </w:r>
    </w:p>
    <w:p>
      <w:pPr>
        <w:pStyle w:val="TextBody"/>
        <w:bidi w:val="0"/>
        <w:spacing w:before="60" w:after="0"/>
        <w:ind w:left="0" w:right="0" w:hanging="0"/>
        <w:jc w:val="center"/>
        <w:rPr>
          <w:rFonts w:ascii="Times New Roman;Times;serif" w:hAnsi="Times New Roman;Times;serif"/>
          <w:b/>
          <w:sz w:val="24"/>
        </w:rPr>
      </w:pPr>
      <w:r>
        <w:rPr>
          <w:rFonts w:ascii="Times New Roman;Times;serif" w:hAnsi="Times New Roman;Times;serif"/>
          <w:b/>
          <w:sz w:val="24"/>
        </w:rPr>
        <w:t>SECURITIES AND EXCHANGE COMMISSION</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Washington, D.C. 20549</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0"/>
        </w:rPr>
      </w:pPr>
      <w:r>
        <w:rPr>
          <w:rFonts w:ascii="Times New Roman;Times;serif" w:hAnsi="Times New Roman;Times;serif"/>
          <w:b/>
          <w:sz w:val="30"/>
        </w:rPr>
        <w:t>FORM 10-Q</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4" w:name="Tc_ZxUW7LcjJUCPXxrqf87k-g_7_0"/>
      <w:bookmarkStart w:id="5" w:name="Tc_7_3nUnmJZkOAP5clg5UIZQ_5_1"/>
      <w:bookmarkStart w:id="6" w:name="Tc_f73NQvP5AkGr-B_1l8a2wg_3_0"/>
      <w:bookmarkStart w:id="7" w:name="Tc_t9IaC-3li0Kj3UC4WGBN8w_1_1"/>
      <w:bookmarkStart w:id="8" w:name="_3067254c_5625_4f8e_b6f9_00457c7465a4"/>
      <w:bookmarkStart w:id="9" w:name="Tc_ZxUW7LcjJUCPXxrqf87k-g_7_0"/>
      <w:bookmarkStart w:id="10" w:name="Tc_7_3nUnmJZkOAP5clg5UIZQ_5_1"/>
      <w:bookmarkStart w:id="11" w:name="Tc_f73NQvP5AkGr-B_1l8a2wg_3_0"/>
      <w:bookmarkStart w:id="12" w:name="Tc_t9IaC-3li0Kj3UC4WGBN8w_1_1"/>
      <w:bookmarkStart w:id="13" w:name="_3067254c_5625_4f8e_b6f9_00457c7465a4"/>
      <w:bookmarkEnd w:id="9"/>
      <w:bookmarkEnd w:id="10"/>
      <w:bookmarkEnd w:id="11"/>
      <w:bookmarkEnd w:id="12"/>
      <w:bookmarkEnd w:id="13"/>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lineRule="atLeast" w:line="200" w:before="0" w:after="0"/>
              <w:ind w:left="0" w:right="0" w:hanging="0"/>
              <w:jc w:val="left"/>
              <w:rPr/>
            </w:pPr>
            <w:r>
              <w:rPr/>
              <w:t>​</w:t>
            </w:r>
          </w:p>
        </w:tc>
        <w:tc>
          <w:tcPr>
            <w:tcW w:w="9874" w:type="dxa"/>
            <w:tcBorders/>
            <w:vAlign w:val="center"/>
          </w:tcPr>
          <w:p>
            <w:pPr>
              <w:pStyle w:val="TableContents"/>
              <w:bidi w:val="0"/>
              <w:spacing w:lineRule="atLeast" w:line="200" w:before="0" w:after="0"/>
              <w:ind w:left="0" w:right="0" w:hanging="0"/>
              <w:jc w:val="left"/>
              <w:rPr/>
            </w:pPr>
            <w:r>
              <w:rPr/>
              <w:t>​</w:t>
            </w:r>
          </w:p>
        </w:tc>
      </w:tr>
      <w:tr>
        <w:trPr/>
        <w:tc>
          <w:tcPr>
            <w:tcW w:w="331" w:type="dxa"/>
            <w:tcBorders/>
            <w:vAlign w:val="center"/>
          </w:tcPr>
          <w:p>
            <w:pPr>
              <w:pStyle w:val="TableContents"/>
              <w:bidi w:val="0"/>
              <w:spacing w:lineRule="atLeast" w:line="200" w:before="0" w:after="0"/>
              <w:ind w:left="0" w:right="0" w:hanging="0"/>
              <w:jc w:val="left"/>
              <w:rPr/>
            </w:pPr>
            <w:r>
              <w:rPr/>
              <w:t>☒</w:t>
            </w:r>
          </w:p>
        </w:tc>
        <w:tc>
          <w:tcPr>
            <w:tcW w:w="9874" w:type="dxa"/>
            <w:tcBorders/>
            <w:vAlign w:val="center"/>
          </w:tcPr>
          <w:p>
            <w:pPr>
              <w:pStyle w:val="TableContents"/>
              <w:bidi w:val="0"/>
              <w:spacing w:lineRule="atLeast" w:line="200" w:before="0" w:after="0"/>
              <w:ind w:left="0" w:right="0" w:hanging="0"/>
              <w:jc w:val="left"/>
              <w:rPr>
                <w:rFonts w:ascii="Times New Roman;Times;serif" w:hAnsi="Times New Roman;Times;serif"/>
                <w:b/>
                <w:sz w:val="20"/>
              </w:rPr>
            </w:pPr>
            <w:r>
              <w:rPr>
                <w:rFonts w:ascii="Times New Roman;Times;serif" w:hAnsi="Times New Roman;Times;serif"/>
                <w:b/>
                <w:sz w:val="20"/>
              </w:rPr>
              <w:t>QUARTERLY REPORT PURSUANT TO SECTION 13 OR 15(d) OF THE SECURITIES EXCHANGE ACT OF 1934</w:t>
            </w:r>
          </w:p>
        </w:tc>
      </w:tr>
      <w:tr>
        <w:trPr/>
        <w:tc>
          <w:tcPr>
            <w:tcW w:w="331" w:type="dxa"/>
            <w:tcBorders/>
            <w:vAlign w:val="center"/>
          </w:tcPr>
          <w:p>
            <w:pPr>
              <w:pStyle w:val="TableContents"/>
              <w:bidi w:val="0"/>
              <w:spacing w:lineRule="atLeast" w:line="200" w:before="0" w:after="0"/>
              <w:ind w:left="0" w:right="0" w:hanging="0"/>
              <w:jc w:val="left"/>
              <w:rPr/>
            </w:pPr>
            <w:r>
              <w:rPr/>
              <w:t>​</w:t>
            </w:r>
          </w:p>
        </w:tc>
        <w:tc>
          <w:tcPr>
            <w:tcW w:w="9874" w:type="dxa"/>
            <w:tcBorders/>
            <w:vAlign w:val="center"/>
          </w:tcPr>
          <w:p>
            <w:pPr>
              <w:pStyle w:val="TableContents"/>
              <w:bidi w:val="0"/>
              <w:spacing w:lineRule="atLeast" w:line="200" w:before="0" w:after="0"/>
              <w:ind w:left="0" w:right="0" w:hanging="0"/>
              <w:jc w:val="left"/>
              <w:rPr/>
            </w:pPr>
            <w:r>
              <w:rPr/>
              <w:t>​</w:t>
            </w:r>
          </w:p>
        </w:tc>
      </w:tr>
      <w:tr>
        <w:trPr/>
        <w:tc>
          <w:tcPr>
            <w:tcW w:w="10205" w:type="dxa"/>
            <w:gridSpan w:val="2"/>
            <w:tcBorders/>
            <w:vAlign w:val="center"/>
          </w:tcPr>
          <w:p>
            <w:pPr>
              <w:pStyle w:val="TableContents"/>
              <w:bidi w:val="0"/>
              <w:spacing w:lineRule="atLeast" w:line="200" w:before="0" w:after="0"/>
              <w:ind w:left="0" w:right="0" w:hanging="0"/>
              <w:jc w:val="center"/>
              <w:rPr>
                <w:rFonts w:ascii="Times New Roman;Times;serif" w:hAnsi="Times New Roman;Times;serif"/>
                <w:b/>
                <w:sz w:val="20"/>
              </w:rPr>
            </w:pPr>
            <w:r>
              <w:rPr>
                <w:rFonts w:ascii="Times New Roman;Times;serif" w:hAnsi="Times New Roman;Times;serif"/>
                <w:b/>
                <w:sz w:val="20"/>
              </w:rPr>
              <w:t>For the quarterly period ended December 30, 2023</w:t>
            </w:r>
          </w:p>
        </w:tc>
      </w:tr>
      <w:tr>
        <w:trPr/>
        <w:tc>
          <w:tcPr>
            <w:tcW w:w="331" w:type="dxa"/>
            <w:tcBorders/>
            <w:vAlign w:val="center"/>
          </w:tcPr>
          <w:p>
            <w:pPr>
              <w:pStyle w:val="TableContents"/>
              <w:bidi w:val="0"/>
              <w:spacing w:lineRule="atLeast" w:line="200" w:before="0" w:after="0"/>
              <w:ind w:left="0" w:right="0" w:hanging="0"/>
              <w:jc w:val="left"/>
              <w:rPr/>
            </w:pPr>
            <w:r>
              <w:rPr/>
              <w:t>​</w:t>
            </w:r>
          </w:p>
        </w:tc>
        <w:tc>
          <w:tcPr>
            <w:tcW w:w="9874" w:type="dxa"/>
            <w:tcBorders/>
            <w:vAlign w:val="center"/>
          </w:tcPr>
          <w:p>
            <w:pPr>
              <w:pStyle w:val="TableContents"/>
              <w:bidi w:val="0"/>
              <w:spacing w:lineRule="atLeast" w:line="200" w:before="0" w:after="0"/>
              <w:ind w:left="0" w:right="0" w:hanging="0"/>
              <w:jc w:val="left"/>
              <w:rPr/>
            </w:pPr>
            <w:r>
              <w:rPr/>
              <w:t>​</w:t>
            </w:r>
          </w:p>
        </w:tc>
      </w:tr>
      <w:tr>
        <w:trPr/>
        <w:tc>
          <w:tcPr>
            <w:tcW w:w="331" w:type="dxa"/>
            <w:tcBorders/>
            <w:vAlign w:val="center"/>
          </w:tcPr>
          <w:p>
            <w:pPr>
              <w:pStyle w:val="TableContents"/>
              <w:bidi w:val="0"/>
              <w:spacing w:lineRule="atLeast" w:line="200" w:before="0" w:after="0"/>
              <w:ind w:left="0" w:right="0" w:hanging="0"/>
              <w:jc w:val="left"/>
              <w:rPr/>
            </w:pPr>
            <w:r>
              <w:rPr/>
              <w:t>☐</w:t>
            </w:r>
          </w:p>
        </w:tc>
        <w:tc>
          <w:tcPr>
            <w:tcW w:w="9874" w:type="dxa"/>
            <w:tcBorders/>
            <w:vAlign w:val="center"/>
          </w:tcPr>
          <w:p>
            <w:pPr>
              <w:pStyle w:val="TableContents"/>
              <w:bidi w:val="0"/>
              <w:spacing w:lineRule="atLeast" w:line="200" w:before="0" w:after="0"/>
              <w:ind w:left="0" w:right="0" w:hanging="0"/>
              <w:jc w:val="left"/>
              <w:rPr>
                <w:rFonts w:ascii="Times New Roman;Times;serif" w:hAnsi="Times New Roman;Times;serif"/>
                <w:b/>
                <w:sz w:val="20"/>
              </w:rPr>
            </w:pPr>
            <w:r>
              <w:rPr>
                <w:rFonts w:ascii="Times New Roman;Times;serif" w:hAnsi="Times New Roman;Times;serif"/>
                <w:b/>
                <w:sz w:val="20"/>
              </w:rPr>
              <w:t>TRANSITION REPORT PURSUANT TO SECTION 13 OR 15(d) OF THE SECURITIES EXCHANGE ACT OF 1934</w:t>
            </w:r>
          </w:p>
        </w:tc>
      </w:tr>
      <w:tr>
        <w:trPr/>
        <w:tc>
          <w:tcPr>
            <w:tcW w:w="331" w:type="dxa"/>
            <w:tcBorders/>
            <w:vAlign w:val="center"/>
          </w:tcPr>
          <w:p>
            <w:pPr>
              <w:pStyle w:val="TableContents"/>
              <w:bidi w:val="0"/>
              <w:spacing w:lineRule="atLeast" w:line="200" w:before="0" w:after="0"/>
              <w:ind w:left="0" w:right="0" w:hanging="0"/>
              <w:jc w:val="left"/>
              <w:rPr/>
            </w:pPr>
            <w:r>
              <w:rPr/>
              <w:t>​</w:t>
            </w:r>
          </w:p>
        </w:tc>
        <w:tc>
          <w:tcPr>
            <w:tcW w:w="9874" w:type="dxa"/>
            <w:tcBorders/>
            <w:vAlign w:val="center"/>
          </w:tcPr>
          <w:p>
            <w:pPr>
              <w:pStyle w:val="TableContents"/>
              <w:bidi w:val="0"/>
              <w:spacing w:lineRule="atLeast" w:line="200" w:before="0" w:after="0"/>
              <w:ind w:left="0" w:right="0" w:hanging="0"/>
              <w:jc w:val="left"/>
              <w:rPr/>
            </w:pPr>
            <w:r>
              <w:rPr/>
              <w:t>​</w:t>
            </w:r>
          </w:p>
        </w:tc>
      </w:tr>
      <w:tr>
        <w:trPr/>
        <w:tc>
          <w:tcPr>
            <w:tcW w:w="10205" w:type="dxa"/>
            <w:gridSpan w:val="2"/>
            <w:tcBorders/>
            <w:vAlign w:val="center"/>
          </w:tcPr>
          <w:p>
            <w:pPr>
              <w:pStyle w:val="TableContents"/>
              <w:bidi w:val="0"/>
              <w:spacing w:lineRule="atLeast" w:line="200" w:before="0" w:after="0"/>
              <w:ind w:left="0" w:right="0" w:hanging="0"/>
              <w:jc w:val="center"/>
              <w:rPr>
                <w:rFonts w:ascii="Times New Roman;Times;serif" w:hAnsi="Times New Roman;Times;serif"/>
                <w:b/>
                <w:sz w:val="20"/>
              </w:rPr>
            </w:pPr>
            <w:r>
              <w:rPr>
                <w:rFonts w:ascii="Times New Roman;Times;serif" w:hAnsi="Times New Roman;Times;serif"/>
                <w:b/>
                <w:sz w:val="20"/>
              </w:rPr>
              <w:t>For the transition period from _____ to _____</w:t>
            </w:r>
          </w:p>
        </w:tc>
      </w:tr>
    </w:tbl>
    <w:p>
      <w:pPr>
        <w:pStyle w:val="TextBody"/>
        <w:bidi w:val="0"/>
        <w:spacing w:before="120" w:after="0"/>
        <w:ind w:left="0" w:right="0" w:hanging="0"/>
        <w:jc w:val="center"/>
        <w:rPr>
          <w:rFonts w:ascii="Times New Roman;Times;serif" w:hAnsi="Times New Roman;Times;serif"/>
          <w:b/>
          <w:sz w:val="20"/>
        </w:rPr>
      </w:pPr>
      <w:r>
        <w:rPr>
          <w:rFonts w:ascii="Times New Roman;Times;serif" w:hAnsi="Times New Roman;Times;serif"/>
          <w:b/>
          <w:sz w:val="20"/>
        </w:rPr>
        <w:t>Commission File #1-4224</w:t>
      </w:r>
    </w:p>
    <w:p>
      <w:pPr>
        <w:pStyle w:val="TextBody"/>
        <w:bidi w:val="0"/>
        <w:spacing w:lineRule="atLeast" w:line="280" w:before="0" w:after="0"/>
        <w:ind w:left="0" w:right="0" w:hanging="0"/>
        <w:jc w:val="center"/>
        <w:rPr>
          <w:rFonts w:ascii="Times New Roman;Times;serif" w:hAnsi="Times New Roman;Times;serif"/>
          <w:b/>
          <w:sz w:val="44"/>
        </w:rPr>
      </w:pPr>
      <w:r>
        <w:rPr>
          <w:rFonts w:ascii="Times New Roman;Times;serif" w:hAnsi="Times New Roman;Times;serif"/>
          <w:b/>
          <w:sz w:val="32"/>
        </w:rPr>
        <w:t>AVNET</w:t>
      </w:r>
      <w:r>
        <w:rPr>
          <w:rFonts w:ascii="Times New Roman;Times;serif" w:hAnsi="Times New Roman;Times;serif"/>
          <w:b/>
          <w:sz w:val="40"/>
        </w:rPr>
        <w:t xml:space="preserve">, </w:t>
      </w:r>
      <w:r>
        <w:rPr>
          <w:rFonts w:ascii="Times New Roman;Times;serif" w:hAnsi="Times New Roman;Times;serif"/>
          <w:b/>
          <w:sz w:val="32"/>
        </w:rPr>
        <w:t>INC.</w:t>
      </w:r>
    </w:p>
    <w:p>
      <w:pPr>
        <w:pStyle w:val="TextBody"/>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Normal"/>
        <w:bidi w:val="0"/>
        <w:spacing w:before="0" w:after="0"/>
        <w:jc w:val="left"/>
        <w:rPr>
          <w:sz w:val="4"/>
          <w:szCs w:val="4"/>
        </w:rPr>
      </w:pPr>
      <w:r>
        <w:rPr>
          <w:sz w:val="4"/>
          <w:szCs w:val="4"/>
        </w:rPr>
      </w:r>
      <w:bookmarkStart w:id="14" w:name="Tc_iNXUohTJ8kmHQTEj7KpiJA_3_4"/>
      <w:bookmarkStart w:id="15" w:name="Tc_erpyLrUVkkOZ6hCbgUo71g_3_0"/>
      <w:bookmarkStart w:id="16" w:name="Tc_HhPVoqrqnUmGwL6nCklpLw_2_4"/>
      <w:bookmarkStart w:id="17" w:name="Tc_6wJedU0-h0Wk7_66jur9og_2_0"/>
      <w:bookmarkStart w:id="18" w:name="_7e373017_7fb5_4a64_b915_3abe568c11b9"/>
      <w:bookmarkStart w:id="19" w:name="Tc_iNXUohTJ8kmHQTEj7KpiJA_3_4"/>
      <w:bookmarkStart w:id="20" w:name="Tc_erpyLrUVkkOZ6hCbgUo71g_3_0"/>
      <w:bookmarkStart w:id="21" w:name="Tc_HhPVoqrqnUmGwL6nCklpLw_2_4"/>
      <w:bookmarkStart w:id="22" w:name="Tc_6wJedU0-h0Wk7_66jur9og_2_0"/>
      <w:bookmarkStart w:id="23" w:name="_7e373017_7fb5_4a64_b915_3abe568c11b9"/>
      <w:bookmarkEnd w:id="19"/>
      <w:bookmarkEnd w:id="20"/>
      <w:bookmarkEnd w:id="21"/>
      <w:bookmarkEnd w:id="22"/>
      <w:bookmarkEnd w:id="23"/>
    </w:p>
    <w:tbl>
      <w:tblPr>
        <w:tblW w:w="4843" w:type="dxa"/>
        <w:jc w:val="left"/>
        <w:tblInd w:w="0" w:type="dxa"/>
        <w:tblLayout w:type="fixed"/>
        <w:tblCellMar>
          <w:top w:w="0" w:type="dxa"/>
          <w:left w:w="0" w:type="dxa"/>
          <w:bottom w:w="0" w:type="dxa"/>
          <w:right w:w="0" w:type="dxa"/>
        </w:tblCellMar>
      </w:tblPr>
      <w:tblGrid>
        <w:gridCol w:w="2791"/>
        <w:gridCol w:w="146"/>
        <w:gridCol w:w="109"/>
        <w:gridCol w:w="146"/>
        <w:gridCol w:w="1651"/>
      </w:tblGrid>
      <w:tr>
        <w:trPr/>
        <w:tc>
          <w:tcPr>
            <w:tcW w:w="2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772285" cy="29210"/>
                      <wp:effectExtent l="0" t="0" r="0" b="0"/>
                      <wp:wrapNone/>
                      <wp:docPr id="1" name="Frame1"/>
                      <a:graphic xmlns:a="http://schemas.openxmlformats.org/drawingml/2006/main">
                        <a:graphicData uri="http://schemas.microsoft.com/office/word/2010/wordprocessingShape">
                          <wps:wsp>
                            <wps:cNvSpPr txBox="1"/>
                            <wps:spPr>
                              <a:xfrm>
                                <a:off x="0" y="0"/>
                                <a:ext cx="17722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92710" cy="29210"/>
                      <wp:effectExtent l="0" t="0" r="0" b="0"/>
                      <wp:wrapNone/>
                      <wp:docPr id="2" name="Frame2"/>
                      <a:graphic xmlns:a="http://schemas.openxmlformats.org/drawingml/2006/main">
                        <a:graphicData uri="http://schemas.microsoft.com/office/word/2010/wordprocessingShape">
                          <wps:wsp>
                            <wps:cNvSpPr txBox="1"/>
                            <wps:spPr>
                              <a:xfrm>
                                <a:off x="0" y="0"/>
                                <a:ext cx="92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9215" cy="29210"/>
                      <wp:effectExtent l="0" t="0" r="0" b="0"/>
                      <wp:wrapNone/>
                      <wp:docPr id="3" name="Frame3"/>
                      <a:graphic xmlns:a="http://schemas.openxmlformats.org/drawingml/2006/main">
                        <a:graphicData uri="http://schemas.microsoft.com/office/word/2010/wordprocessingShape">
                          <wps:wsp>
                            <wps:cNvSpPr txBox="1"/>
                            <wps:spPr>
                              <a:xfrm>
                                <a:off x="0" y="0"/>
                                <a:ext cx="6921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92710" cy="29210"/>
                      <wp:effectExtent l="0" t="0" r="0" b="0"/>
                      <wp:wrapNone/>
                      <wp:docPr id="4" name="Frame4"/>
                      <a:graphic xmlns:a="http://schemas.openxmlformats.org/drawingml/2006/main">
                        <a:graphicData uri="http://schemas.microsoft.com/office/word/2010/wordprocessingShape">
                          <wps:wsp>
                            <wps:cNvSpPr txBox="1"/>
                            <wps:spPr>
                              <a:xfrm>
                                <a:off x="0" y="0"/>
                                <a:ext cx="92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6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1048385" cy="29210"/>
                      <wp:effectExtent l="0" t="0" r="0" b="0"/>
                      <wp:wrapNone/>
                      <wp:docPr id="5" name="Frame5"/>
                      <a:graphic xmlns:a="http://schemas.openxmlformats.org/drawingml/2006/main">
                        <a:graphicData uri="http://schemas.microsoft.com/office/word/2010/wordprocessingShape">
                          <wps:wsp>
                            <wps:cNvSpPr txBox="1"/>
                            <wps:spPr>
                              <a:xfrm>
                                <a:off x="0" y="0"/>
                                <a:ext cx="10483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2.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2791" w:type="dxa"/>
            <w:tcBorders/>
            <w:vAlign w:val="center"/>
          </w:tcPr>
          <w:p>
            <w:pPr>
              <w:pStyle w:val="TableContents"/>
              <w:bidi w:val="0"/>
              <w:spacing w:lineRule="atLeast" w:line="200" w:before="0" w:after="0"/>
              <w:ind w:left="0" w:right="0" w:hanging="0"/>
              <w:jc w:val="center"/>
              <w:rPr>
                <w:rFonts w:ascii="Times New Roman;Times;serif" w:hAnsi="Times New Roman;Times;serif"/>
                <w:b/>
                <w:sz w:val="20"/>
              </w:rPr>
            </w:pPr>
            <w:r>
              <w:rPr>
                <w:rFonts w:ascii="Times New Roman;Times;serif" w:hAnsi="Times New Roman;Times;serif"/>
                <w:b/>
                <w:sz w:val="20"/>
              </w:rPr>
              <w:t>New York</w:t>
            </w:r>
          </w:p>
        </w:tc>
        <w:tc>
          <w:tcPr>
            <w:tcW w:w="146" w:type="dxa"/>
            <w:tcBorders/>
            <w:vAlign w:val="center"/>
          </w:tcPr>
          <w:p>
            <w:pPr>
              <w:pStyle w:val="TableContents"/>
              <w:bidi w:val="0"/>
              <w:spacing w:lineRule="atLeast" w:line="200" w:before="0" w:after="0"/>
              <w:ind w:left="0" w:right="0" w:hanging="0"/>
              <w:jc w:val="left"/>
              <w:rPr/>
            </w:pPr>
            <w:r>
              <w:rPr/>
              <w:t> </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lineRule="atLeast" w:line="200" w:before="0" w:after="0"/>
              <w:ind w:left="0" w:right="0" w:hanging="0"/>
              <w:jc w:val="left"/>
              <w:rPr/>
            </w:pPr>
            <w:r>
              <w:rPr/>
              <w:t> </w:t>
            </w:r>
          </w:p>
        </w:tc>
        <w:tc>
          <w:tcPr>
            <w:tcW w:w="1651" w:type="dxa"/>
            <w:tcBorders/>
            <w:vAlign w:val="center"/>
          </w:tcPr>
          <w:p>
            <w:pPr>
              <w:pStyle w:val="TableContents"/>
              <w:bidi w:val="0"/>
              <w:spacing w:lineRule="atLeast" w:line="200" w:before="0" w:after="0"/>
              <w:ind w:left="0" w:right="0" w:hanging="0"/>
              <w:jc w:val="center"/>
              <w:rPr>
                <w:rFonts w:ascii="Times New Roman;Times;serif" w:hAnsi="Times New Roman;Times;serif"/>
                <w:b/>
                <w:sz w:val="20"/>
              </w:rPr>
            </w:pPr>
            <w:r>
              <w:rPr>
                <w:rFonts w:ascii="Times New Roman;Times;serif" w:hAnsi="Times New Roman;Times;serif"/>
                <w:b/>
                <w:sz w:val="20"/>
              </w:rPr>
              <w:t>11-1890605</w:t>
            </w:r>
          </w:p>
        </w:tc>
      </w:tr>
      <w:tr>
        <w:trPr/>
        <w:tc>
          <w:tcPr>
            <w:tcW w:w="2791" w:type="dxa"/>
            <w:tcBorders/>
            <w:vAlign w:val="center"/>
          </w:tcPr>
          <w:p>
            <w:pPr>
              <w:pStyle w:val="TableContents"/>
              <w:bidi w:val="0"/>
              <w:spacing w:lineRule="atLeast" w:line="200"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w:t>
            </w:r>
          </w:p>
        </w:tc>
        <w:tc>
          <w:tcPr>
            <w:tcW w:w="146" w:type="dxa"/>
            <w:tcBorders/>
            <w:vAlign w:val="center"/>
          </w:tcPr>
          <w:p>
            <w:pPr>
              <w:pStyle w:val="TableContents"/>
              <w:bidi w:val="0"/>
              <w:spacing w:lineRule="atLeast" w:line="200" w:before="0" w:after="0"/>
              <w:ind w:left="0" w:right="0" w:hanging="0"/>
              <w:jc w:val="left"/>
              <w:rPr/>
            </w:pPr>
            <w:r>
              <w:rPr/>
              <w:t> </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lineRule="atLeast" w:line="200" w:before="0" w:after="0"/>
              <w:ind w:left="0" w:right="0" w:hanging="0"/>
              <w:jc w:val="left"/>
              <w:rPr/>
            </w:pPr>
            <w:r>
              <w:rPr/>
              <w:t> </w:t>
            </w:r>
          </w:p>
        </w:tc>
        <w:tc>
          <w:tcPr>
            <w:tcW w:w="1651" w:type="dxa"/>
            <w:tcBorders/>
            <w:vAlign w:val="center"/>
          </w:tcPr>
          <w:p>
            <w:pPr>
              <w:pStyle w:val="TableContents"/>
              <w:bidi w:val="0"/>
              <w:spacing w:lineRule="atLeast" w:line="200" w:before="0" w:after="0"/>
              <w:ind w:left="0" w:right="0" w:hanging="0"/>
              <w:jc w:val="center"/>
              <w:rPr>
                <w:rFonts w:ascii="Times New Roman;Times;serif" w:hAnsi="Times New Roman;Times;serif"/>
                <w:sz w:val="20"/>
              </w:rPr>
            </w:pPr>
            <w:r>
              <w:rPr>
                <w:rFonts w:ascii="Times New Roman;Times;serif" w:hAnsi="Times New Roman;Times;serif"/>
                <w:sz w:val="20"/>
              </w:rPr>
              <w:t>(IRS Employer</w:t>
            </w:r>
          </w:p>
        </w:tc>
      </w:tr>
      <w:tr>
        <w:trPr/>
        <w:tc>
          <w:tcPr>
            <w:tcW w:w="2791" w:type="dxa"/>
            <w:tcBorders/>
            <w:vAlign w:val="center"/>
          </w:tcPr>
          <w:p>
            <w:pPr>
              <w:pStyle w:val="TableContents"/>
              <w:bidi w:val="0"/>
              <w:spacing w:lineRule="atLeast" w:line="200" w:before="0" w:after="0"/>
              <w:ind w:left="0" w:right="0" w:hanging="0"/>
              <w:jc w:val="center"/>
              <w:rPr>
                <w:rFonts w:ascii="Times New Roman;Times;serif" w:hAnsi="Times New Roman;Times;serif"/>
                <w:sz w:val="20"/>
              </w:rPr>
            </w:pPr>
            <w:r>
              <w:rPr>
                <w:rFonts w:ascii="Times New Roman;Times;serif" w:hAnsi="Times New Roman;Times;serif"/>
                <w:sz w:val="20"/>
              </w:rPr>
              <w:t>of incorporation or organization)</w:t>
            </w:r>
          </w:p>
        </w:tc>
        <w:tc>
          <w:tcPr>
            <w:tcW w:w="146" w:type="dxa"/>
            <w:tcBorders/>
            <w:vAlign w:val="center"/>
          </w:tcPr>
          <w:p>
            <w:pPr>
              <w:pStyle w:val="TableContents"/>
              <w:bidi w:val="0"/>
              <w:spacing w:lineRule="atLeast" w:line="200" w:before="0" w:after="0"/>
              <w:ind w:left="0" w:right="0" w:hanging="0"/>
              <w:jc w:val="left"/>
              <w:rPr/>
            </w:pPr>
            <w:r>
              <w:rPr/>
              <w:t> </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lineRule="atLeast" w:line="200" w:before="0" w:after="0"/>
              <w:ind w:left="0" w:right="0" w:hanging="0"/>
              <w:jc w:val="left"/>
              <w:rPr/>
            </w:pPr>
            <w:r>
              <w:rPr/>
              <w:t> </w:t>
            </w:r>
          </w:p>
        </w:tc>
        <w:tc>
          <w:tcPr>
            <w:tcW w:w="1651" w:type="dxa"/>
            <w:tcBorders/>
            <w:vAlign w:val="center"/>
          </w:tcPr>
          <w:p>
            <w:pPr>
              <w:pStyle w:val="TableContents"/>
              <w:bidi w:val="0"/>
              <w:spacing w:lineRule="atLeast" w:line="200" w:before="0" w:after="0"/>
              <w:ind w:left="0" w:right="0" w:hanging="0"/>
              <w:jc w:val="center"/>
              <w:rPr>
                <w:rFonts w:ascii="Times New Roman;Times;serif" w:hAnsi="Times New Roman;Times;serif"/>
                <w:sz w:val="20"/>
              </w:rPr>
            </w:pPr>
            <w:r>
              <w:rPr>
                <w:rFonts w:ascii="Times New Roman;Times;serif" w:hAnsi="Times New Roman;Times;serif"/>
                <w:sz w:val="20"/>
              </w:rPr>
              <w:t>Identification No.)</w:t>
            </w:r>
          </w:p>
        </w:tc>
      </w:tr>
    </w:tbl>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24" w:name="Tc_apTvU3aiMEWSwHO9WbjUog_2_2"/>
      <w:bookmarkStart w:id="25" w:name="Tc_NrLKh8LJt0GO8iKkyImQ5g_2_0"/>
      <w:bookmarkStart w:id="26" w:name="Tc_ZgStWrZXRU2leuF13QNCfw_1_0"/>
      <w:bookmarkStart w:id="27" w:name="_4b8b8f8c_39dc_4ad4_a53b_fa9884bdaada"/>
      <w:bookmarkStart w:id="28" w:name="Tc_apTvU3aiMEWSwHO9WbjUog_2_2"/>
      <w:bookmarkStart w:id="29" w:name="Tc_NrLKh8LJt0GO8iKkyImQ5g_2_0"/>
      <w:bookmarkStart w:id="30" w:name="Tc_ZgStWrZXRU2leuF13QNCfw_1_0"/>
      <w:bookmarkStart w:id="31" w:name="_4b8b8f8c_39dc_4ad4_a53b_fa9884bdaada"/>
      <w:bookmarkEnd w:id="28"/>
      <w:bookmarkEnd w:id="29"/>
      <w:bookmarkEnd w:id="30"/>
      <w:bookmarkEnd w:id="31"/>
    </w:p>
    <w:tbl>
      <w:tblPr>
        <w:tblW w:w="4768" w:type="dxa"/>
        <w:jc w:val="left"/>
        <w:tblInd w:w="0" w:type="dxa"/>
        <w:tblLayout w:type="fixed"/>
        <w:tblCellMar>
          <w:top w:w="0" w:type="dxa"/>
          <w:left w:w="0" w:type="dxa"/>
          <w:bottom w:w="0" w:type="dxa"/>
          <w:right w:w="0" w:type="dxa"/>
        </w:tblCellMar>
      </w:tblPr>
      <w:tblGrid>
        <w:gridCol w:w="3586"/>
        <w:gridCol w:w="146"/>
        <w:gridCol w:w="1036"/>
      </w:tblGrid>
      <w:tr>
        <w:trPr/>
        <w:tc>
          <w:tcPr>
            <w:tcW w:w="358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036" w:type="dxa"/>
            <w:tcBorders/>
            <w:vAlign w:val="center"/>
          </w:tcPr>
          <w:p>
            <w:pPr>
              <w:pStyle w:val="TableContents"/>
              <w:bidi w:val="0"/>
              <w:spacing w:before="0" w:after="283"/>
              <w:ind w:left="0" w:right="0" w:hanging="0"/>
              <w:jc w:val="left"/>
              <w:rPr>
                <w:sz w:val="4"/>
                <w:szCs w:val="4"/>
              </w:rPr>
            </w:pPr>
            <w:r>
              <w:rPr>
                <w:sz w:val="4"/>
                <w:szCs w:val="4"/>
              </w:rPr>
            </w:r>
          </w:p>
        </w:tc>
      </w:tr>
      <w:tr>
        <w:trPr/>
        <w:tc>
          <w:tcPr>
            <w:tcW w:w="3586" w:type="dxa"/>
            <w:tcBorders/>
            <w:vAlign w:val="center"/>
          </w:tcPr>
          <w:p>
            <w:pPr>
              <w:pStyle w:val="TableContents"/>
              <w:bidi w:val="0"/>
              <w:spacing w:lineRule="atLeast" w:line="200" w:before="0" w:after="0"/>
              <w:ind w:left="0" w:right="0" w:hanging="0"/>
              <w:jc w:val="center"/>
              <w:rPr>
                <w:rFonts w:ascii="Times New Roman;Times;serif" w:hAnsi="Times New Roman;Times;serif"/>
                <w:b/>
                <w:sz w:val="20"/>
              </w:rPr>
            </w:pPr>
            <w:r>
              <w:rPr>
                <w:rFonts w:ascii="Times New Roman;Times;serif" w:hAnsi="Times New Roman;Times;serif"/>
                <w:b/>
                <w:sz w:val="20"/>
              </w:rPr>
              <w:t>2211 South 47th Street, Phoenix, Arizona</w:t>
            </w:r>
          </w:p>
        </w:tc>
        <w:tc>
          <w:tcPr>
            <w:tcW w:w="146" w:type="dxa"/>
            <w:tcBorders/>
            <w:vAlign w:val="center"/>
          </w:tcPr>
          <w:p>
            <w:pPr>
              <w:pStyle w:val="TableContents"/>
              <w:bidi w:val="0"/>
              <w:spacing w:lineRule="atLeast" w:line="200" w:before="0" w:after="0"/>
              <w:ind w:left="0" w:right="0" w:hanging="0"/>
              <w:jc w:val="left"/>
              <w:rPr/>
            </w:pPr>
            <w:r>
              <w:rPr/>
              <w:t> </w:t>
            </w:r>
          </w:p>
        </w:tc>
        <w:tc>
          <w:tcPr>
            <w:tcW w:w="1036" w:type="dxa"/>
            <w:tcBorders/>
            <w:vAlign w:val="center"/>
          </w:tcPr>
          <w:p>
            <w:pPr>
              <w:pStyle w:val="TableContents"/>
              <w:bidi w:val="0"/>
              <w:spacing w:lineRule="atLeast" w:line="200" w:before="0" w:after="0"/>
              <w:ind w:left="0" w:right="0" w:hanging="0"/>
              <w:jc w:val="center"/>
              <w:rPr>
                <w:rFonts w:ascii="Times New Roman;Times;serif" w:hAnsi="Times New Roman;Times;serif"/>
                <w:b/>
                <w:sz w:val="20"/>
              </w:rPr>
            </w:pPr>
            <w:r>
              <w:rPr>
                <w:rFonts w:ascii="Times New Roman;Times;serif" w:hAnsi="Times New Roman;Times;serif"/>
                <w:b/>
                <w:sz w:val="20"/>
              </w:rPr>
              <w:t>85034</w:t>
            </w:r>
          </w:p>
        </w:tc>
      </w:tr>
      <w:tr>
        <w:trPr/>
        <w:tc>
          <w:tcPr>
            <w:tcW w:w="3586" w:type="dxa"/>
            <w:tcBorders/>
            <w:vAlign w:val="center"/>
          </w:tcPr>
          <w:p>
            <w:pPr>
              <w:pStyle w:val="TableContents"/>
              <w:bidi w:val="0"/>
              <w:spacing w:lineRule="atLeast" w:line="200"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146" w:type="dxa"/>
            <w:tcBorders/>
            <w:vAlign w:val="center"/>
          </w:tcPr>
          <w:p>
            <w:pPr>
              <w:pStyle w:val="TableContents"/>
              <w:bidi w:val="0"/>
              <w:spacing w:lineRule="atLeast" w:line="200" w:before="0" w:after="0"/>
              <w:ind w:left="0" w:right="0" w:hanging="0"/>
              <w:jc w:val="left"/>
              <w:rPr/>
            </w:pPr>
            <w:r>
              <w:rPr/>
              <w:t> </w:t>
            </w:r>
          </w:p>
        </w:tc>
        <w:tc>
          <w:tcPr>
            <w:tcW w:w="1036" w:type="dxa"/>
            <w:tcBorders/>
            <w:vAlign w:val="center"/>
          </w:tcPr>
          <w:p>
            <w:pPr>
              <w:pStyle w:val="TableContents"/>
              <w:bidi w:val="0"/>
              <w:spacing w:lineRule="atLeast" w:line="200" w:before="0" w:after="0"/>
              <w:ind w:left="0" w:right="0" w:hanging="0"/>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120" w:after="0"/>
        <w:ind w:left="0" w:right="0" w:hanging="0"/>
        <w:jc w:val="center"/>
        <w:rPr>
          <w:rFonts w:ascii="Times New Roman;Times;serif" w:hAnsi="Times New Roman;Times;serif"/>
          <w:b/>
          <w:sz w:val="20"/>
        </w:rPr>
      </w:pPr>
      <w:r>
        <w:rPr>
          <w:rFonts w:ascii="Times New Roman;Times;serif" w:hAnsi="Times New Roman;Times;serif"/>
          <w:b/>
          <w:sz w:val="20"/>
        </w:rPr>
        <w:t>(480) 643-2000</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(Registrant’s telephone number, including area code.)</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(Former name, former address and former fiscal year, if changed since last report.)</w:t>
      </w:r>
    </w:p>
    <w:p>
      <w:pPr>
        <w:pStyle w:val="TextBody"/>
        <w:bidi w:val="0"/>
        <w:spacing w:before="120" w:after="0"/>
        <w:ind w:left="0" w:right="0" w:hanging="0"/>
        <w:jc w:val="center"/>
        <w:rPr>
          <w:rFonts w:ascii="Times New Roman;Times;serif" w:hAnsi="Times New Roman;Times;serif"/>
          <w:b/>
          <w:sz w:val="20"/>
        </w:rPr>
      </w:pPr>
      <w:r>
        <w:rPr>
          <w:rFonts w:ascii="Times New Roman;Times;serif" w:hAnsi="Times New Roman;Times;serif"/>
          <w:b/>
          <w:sz w:val="20"/>
        </w:rPr>
        <w:t>Securities registered pursuant to Section 12(b) of the Act:</w:t>
      </w:r>
    </w:p>
    <w:p>
      <w:pPr>
        <w:pStyle w:val="TextBody"/>
        <w:bidi w:val="0"/>
        <w:spacing w:lineRule="atLeast" w:line="200" w:before="0" w:after="0"/>
        <w:ind w:left="0" w:right="0" w:hanging="0"/>
        <w:jc w:val="center"/>
        <w:rPr/>
      </w:pPr>
      <w:r>
        <w:rPr/>
        <w:t>​</w:t>
      </w:r>
    </w:p>
    <w:p>
      <w:pPr>
        <w:pStyle w:val="Normal"/>
        <w:bidi w:val="0"/>
        <w:spacing w:before="0" w:after="0"/>
        <w:jc w:val="left"/>
        <w:rPr>
          <w:sz w:val="4"/>
          <w:szCs w:val="4"/>
        </w:rPr>
      </w:pPr>
      <w:r>
        <w:rPr>
          <w:sz w:val="4"/>
          <w:szCs w:val="4"/>
        </w:rPr>
      </w:r>
      <w:bookmarkStart w:id="32" w:name="Tc_9lE6jwpSJ0y0KwKxDK-w2g_1_4"/>
      <w:bookmarkStart w:id="33" w:name="Tc_gaxSEHXlMEGoHUV6DspgrA_1_2"/>
      <w:bookmarkStart w:id="34" w:name="Tc_fk6MIW1eU0OMB2xzsypS3g_1_0"/>
      <w:bookmarkStart w:id="35" w:name="_d108680e_4f63_49ed_b1fc_945232bee3da"/>
      <w:bookmarkStart w:id="36" w:name="Tc_9lE6jwpSJ0y0KwKxDK-w2g_1_4"/>
      <w:bookmarkStart w:id="37" w:name="Tc_gaxSEHXlMEGoHUV6DspgrA_1_2"/>
      <w:bookmarkStart w:id="38" w:name="Tc_fk6MIW1eU0OMB2xzsypS3g_1_0"/>
      <w:bookmarkStart w:id="39" w:name="_d108680e_4f63_49ed_b1fc_945232bee3da"/>
      <w:bookmarkEnd w:id="36"/>
      <w:bookmarkEnd w:id="37"/>
      <w:bookmarkEnd w:id="38"/>
      <w:bookmarkEnd w:id="39"/>
    </w:p>
    <w:tbl>
      <w:tblPr>
        <w:tblW w:w="9295" w:type="dxa"/>
        <w:jc w:val="left"/>
        <w:tblInd w:w="0" w:type="dxa"/>
        <w:tblLayout w:type="fixed"/>
        <w:tblCellMar>
          <w:top w:w="0" w:type="dxa"/>
          <w:left w:w="0" w:type="dxa"/>
          <w:bottom w:w="0" w:type="dxa"/>
          <w:right w:w="0" w:type="dxa"/>
        </w:tblCellMar>
      </w:tblPr>
      <w:tblGrid>
        <w:gridCol w:w="3466"/>
        <w:gridCol w:w="146"/>
        <w:gridCol w:w="1501"/>
        <w:gridCol w:w="146"/>
        <w:gridCol w:w="4036"/>
      </w:tblGrid>
      <w:tr>
        <w:trPr/>
        <w:tc>
          <w:tcPr>
            <w:tcW w:w="346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50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4036" w:type="dxa"/>
            <w:tcBorders/>
            <w:vAlign w:val="center"/>
          </w:tcPr>
          <w:p>
            <w:pPr>
              <w:pStyle w:val="TableContents"/>
              <w:bidi w:val="0"/>
              <w:spacing w:before="0" w:after="283"/>
              <w:ind w:left="0" w:right="0" w:hanging="0"/>
              <w:jc w:val="left"/>
              <w:rPr>
                <w:sz w:val="4"/>
                <w:szCs w:val="4"/>
              </w:rPr>
            </w:pPr>
            <w:r>
              <w:rPr>
                <w:sz w:val="4"/>
                <w:szCs w:val="4"/>
              </w:rPr>
            </w:r>
          </w:p>
        </w:tc>
      </w:tr>
      <w:tr>
        <w:trPr/>
        <w:tc>
          <w:tcPr>
            <w:tcW w:w="3466" w:type="dxa"/>
            <w:tcBorders>
              <w:bottom w:val="single" w:sz="2" w:space="0" w:color="000000"/>
            </w:tcBorders>
            <w:tcMar>
              <w:bottom w:w="28" w:type="dxa"/>
            </w:tcMar>
            <w:vAlign w:val="center"/>
          </w:tcPr>
          <w:p>
            <w:pPr>
              <w:pStyle w:val="TableContents"/>
              <w:bidi w:val="0"/>
              <w:spacing w:lineRule="atLeast" w:line="200" w:before="0" w:after="0"/>
              <w:ind w:left="0" w:right="0" w:hanging="0"/>
              <w:jc w:val="center"/>
              <w:rPr>
                <w:rFonts w:ascii="Times New Roman;Times;serif" w:hAnsi="Times New Roman;Times;serif"/>
                <w:b/>
                <w:sz w:val="20"/>
              </w:rPr>
            </w:pPr>
            <w:r>
              <w:rPr>
                <w:rFonts w:ascii="Times New Roman;Times;serif" w:hAnsi="Times New Roman;Times;serif"/>
                <w:b/>
                <w:sz w:val="20"/>
              </w:rPr>
              <w:t>Title of Each Class</w:t>
            </w:r>
          </w:p>
        </w:tc>
        <w:tc>
          <w:tcPr>
            <w:tcW w:w="146" w:type="dxa"/>
            <w:tcBorders>
              <w:bottom w:val="single" w:sz="2" w:space="0" w:color="000000"/>
            </w:tcBorders>
            <w:tcMar>
              <w:bottom w:w="28" w:type="dxa"/>
            </w:tcMar>
            <w:vAlign w:val="center"/>
          </w:tcPr>
          <w:p>
            <w:pPr>
              <w:pStyle w:val="TableContents"/>
              <w:bidi w:val="0"/>
              <w:spacing w:lineRule="atLeast" w:line="200" w:before="0" w:after="0"/>
              <w:ind w:left="0" w:right="0" w:hanging="0"/>
              <w:jc w:val="left"/>
              <w:rPr/>
            </w:pPr>
            <w:r>
              <w:rPr/>
              <w:t> </w:t>
            </w:r>
          </w:p>
        </w:tc>
        <w:tc>
          <w:tcPr>
            <w:tcW w:w="1501" w:type="dxa"/>
            <w:tcBorders>
              <w:bottom w:val="single" w:sz="2" w:space="0" w:color="000000"/>
            </w:tcBorders>
            <w:tcMar>
              <w:bottom w:w="28" w:type="dxa"/>
            </w:tcMar>
            <w:vAlign w:val="center"/>
          </w:tcPr>
          <w:p>
            <w:pPr>
              <w:pStyle w:val="TableContents"/>
              <w:bidi w:val="0"/>
              <w:spacing w:lineRule="atLeast" w:line="200" w:before="0" w:after="0"/>
              <w:ind w:left="0" w:right="0" w:hanging="0"/>
              <w:jc w:val="center"/>
              <w:rPr>
                <w:rFonts w:ascii="Times New Roman;Times;serif" w:hAnsi="Times New Roman;Times;serif"/>
                <w:b/>
                <w:sz w:val="20"/>
              </w:rPr>
            </w:pPr>
            <w:r>
              <w:rPr>
                <w:rFonts w:ascii="Times New Roman;Times;serif" w:hAnsi="Times New Roman;Times;serif"/>
                <w:b/>
                <w:sz w:val="20"/>
              </w:rPr>
              <w:t>Trading Symbol</w:t>
            </w:r>
          </w:p>
        </w:tc>
        <w:tc>
          <w:tcPr>
            <w:tcW w:w="146" w:type="dxa"/>
            <w:tcBorders>
              <w:bottom w:val="single" w:sz="2" w:space="0" w:color="000000"/>
            </w:tcBorders>
            <w:tcMar>
              <w:bottom w:w="28" w:type="dxa"/>
            </w:tcMar>
            <w:vAlign w:val="center"/>
          </w:tcPr>
          <w:p>
            <w:pPr>
              <w:pStyle w:val="TableContents"/>
              <w:bidi w:val="0"/>
              <w:spacing w:lineRule="atLeast" w:line="200" w:before="0" w:after="0"/>
              <w:ind w:left="0" w:right="0" w:hanging="0"/>
              <w:jc w:val="left"/>
              <w:rPr/>
            </w:pPr>
            <w:r>
              <w:rPr/>
              <w:t> </w:t>
            </w:r>
          </w:p>
        </w:tc>
        <w:tc>
          <w:tcPr>
            <w:tcW w:w="4036" w:type="dxa"/>
            <w:tcBorders>
              <w:bottom w:val="single" w:sz="2" w:space="0" w:color="000000"/>
            </w:tcBorders>
            <w:tcMar>
              <w:bottom w:w="28" w:type="dxa"/>
            </w:tcMar>
            <w:vAlign w:val="center"/>
          </w:tcPr>
          <w:p>
            <w:pPr>
              <w:pStyle w:val="TableContents"/>
              <w:bidi w:val="0"/>
              <w:spacing w:lineRule="atLeast" w:line="200" w:before="0" w:after="0"/>
              <w:ind w:left="0" w:right="0" w:hanging="0"/>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3466" w:type="dxa"/>
            <w:tcBorders/>
            <w:vAlign w:val="center"/>
          </w:tcPr>
          <w:p>
            <w:pPr>
              <w:pStyle w:val="TableContents"/>
              <w:bidi w:val="0"/>
              <w:spacing w:lineRule="atLeast" w:line="200" w:before="0" w:after="0"/>
              <w:ind w:left="0" w:right="0" w:hanging="0"/>
              <w:jc w:val="center"/>
              <w:rPr>
                <w:rFonts w:ascii="Times New Roman;Times;serif" w:hAnsi="Times New Roman;Times;serif"/>
                <w:sz w:val="20"/>
              </w:rPr>
            </w:pPr>
            <w:r>
              <w:rPr>
                <w:rFonts w:ascii="Times New Roman;Times;serif" w:hAnsi="Times New Roman;Times;serif"/>
                <w:sz w:val="20"/>
              </w:rPr>
              <w:t>Common stock, par value $1.00 per share</w:t>
            </w:r>
          </w:p>
        </w:tc>
        <w:tc>
          <w:tcPr>
            <w:tcW w:w="146" w:type="dxa"/>
            <w:tcBorders/>
            <w:vAlign w:val="center"/>
          </w:tcPr>
          <w:p>
            <w:pPr>
              <w:pStyle w:val="TableContents"/>
              <w:bidi w:val="0"/>
              <w:spacing w:lineRule="atLeast" w:line="200" w:before="0" w:after="0"/>
              <w:ind w:left="0" w:right="0" w:hanging="0"/>
              <w:jc w:val="left"/>
              <w:rPr/>
            </w:pPr>
            <w:r>
              <w:rPr/>
              <w:t> </w:t>
            </w:r>
          </w:p>
        </w:tc>
        <w:tc>
          <w:tcPr>
            <w:tcW w:w="1501" w:type="dxa"/>
            <w:tcBorders/>
            <w:vAlign w:val="center"/>
          </w:tcPr>
          <w:p>
            <w:pPr>
              <w:pStyle w:val="TableContents"/>
              <w:bidi w:val="0"/>
              <w:spacing w:lineRule="atLeast" w:line="200" w:before="0" w:after="0"/>
              <w:ind w:left="0" w:right="0" w:hanging="0"/>
              <w:jc w:val="center"/>
              <w:rPr>
                <w:rFonts w:ascii="Times New Roman;Times;serif" w:hAnsi="Times New Roman;Times;serif"/>
                <w:sz w:val="20"/>
              </w:rPr>
            </w:pPr>
            <w:r>
              <w:rPr>
                <w:rFonts w:ascii="Times New Roman;Times;serif" w:hAnsi="Times New Roman;Times;serif"/>
                <w:sz w:val="20"/>
              </w:rPr>
              <w:t>AVT</w:t>
            </w:r>
          </w:p>
        </w:tc>
        <w:tc>
          <w:tcPr>
            <w:tcW w:w="146" w:type="dxa"/>
            <w:tcBorders/>
            <w:vAlign w:val="center"/>
          </w:tcPr>
          <w:p>
            <w:pPr>
              <w:pStyle w:val="TableContents"/>
              <w:bidi w:val="0"/>
              <w:spacing w:lineRule="atLeast" w:line="200" w:before="0" w:after="0"/>
              <w:ind w:left="0" w:right="0" w:hanging="0"/>
              <w:jc w:val="left"/>
              <w:rPr/>
            </w:pPr>
            <w:r>
              <w:rPr/>
              <w:t> </w:t>
            </w:r>
          </w:p>
        </w:tc>
        <w:tc>
          <w:tcPr>
            <w:tcW w:w="4036" w:type="dxa"/>
            <w:tcBorders/>
            <w:vAlign w:val="center"/>
          </w:tcPr>
          <w:p>
            <w:pPr>
              <w:pStyle w:val="TableContents"/>
              <w:bidi w:val="0"/>
              <w:spacing w:lineRule="atLeast" w:line="200" w:before="0" w:after="0"/>
              <w:ind w:left="0" w:right="0" w:hanging="0"/>
              <w:jc w:val="center"/>
              <w:rPr>
                <w:rFonts w:ascii="Times New Roman;Times;serif" w:hAnsi="Times New Roman;Times;serif"/>
                <w:sz w:val="20"/>
              </w:rPr>
            </w:pPr>
            <w:r>
              <w:rPr>
                <w:rFonts w:ascii="Times New Roman;Times;serif" w:hAnsi="Times New Roman;Times;serif"/>
                <w:sz w:val="20"/>
              </w:rPr>
              <w:t>Nasdaq Global Select Market</w:t>
            </w:r>
          </w:p>
        </w:tc>
      </w:tr>
    </w:tbl>
    <w:p>
      <w:pPr>
        <w:pStyle w:val="TextBody"/>
        <w:bidi w:val="0"/>
        <w:spacing w:before="0" w:after="0"/>
        <w:ind w:left="0" w:right="0" w:hanging="0"/>
        <w:jc w:val="center"/>
        <w:rPr/>
      </w:pPr>
      <w:r>
        <w:rPr/>
        <w:t>​</w:t>
      </w:r>
    </w:p>
    <w:p>
      <w:pPr>
        <w:pStyle w:val="TextBody"/>
        <w:bidi w:val="0"/>
        <w:spacing w:before="0" w:after="120"/>
        <w:ind w:left="0" w:right="0" w:firstLine="475"/>
        <w:jc w:val="left"/>
        <w:rPr>
          <w:rFonts w:ascii="Times New Roman;Times;serif" w:hAnsi="Times New Roman;Times;serif"/>
          <w:sz w:val="20"/>
        </w:rPr>
      </w:pPr>
      <w:r>
        <w:rPr>
          <w:rFonts w:ascii="Times New Roman;Times;serif" w:hAnsi="Times New Roman;Times;serif"/>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60" w:after="60"/>
        <w:ind w:left="0" w:right="0" w:firstLine="480"/>
        <w:jc w:val="left"/>
        <w:rPr>
          <w:rFonts w:ascii="Times New Roman;Times;serif" w:hAnsi="Times New Roman;Times;serif"/>
          <w:sz w:val="20"/>
        </w:rPr>
      </w:pPr>
      <w:r>
        <w:rPr>
          <w:rFonts w:ascii="Times New Roman;Times;serif" w:hAnsi="Times New Roman;Times;serif"/>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p>
    <w:p>
      <w:pPr>
        <w:pStyle w:val="TextBody"/>
        <w:bidi w:val="0"/>
        <w:spacing w:before="60" w:after="60"/>
        <w:ind w:left="0" w:right="0" w:hanging="0"/>
        <w:jc w:val="both"/>
        <w:rPr>
          <w:rFonts w:ascii="Times New Roman;Times;serif" w:hAnsi="Times New Roman;Times;serif"/>
          <w:sz w:val="20"/>
        </w:rPr>
      </w:pPr>
      <w:r>
        <w:rPr>
          <w:rFonts w:ascii="Times New Roman;Times;serif" w:hAnsi="Times New Roman;Times;serif"/>
          <w:sz w:val="20"/>
        </w:rPr>
        <w:t>Yes ☑ No ☐</w:t>
      </w:r>
    </w:p>
    <w:p>
      <w:pPr>
        <w:pStyle w:val="TextBody"/>
        <w:bidi w:val="0"/>
        <w:spacing w:before="60" w:after="120"/>
        <w:ind w:left="0" w:right="0" w:firstLine="475"/>
        <w:jc w:val="left"/>
        <w:rPr>
          <w:rFonts w:ascii="Times New Roman;Times;serif" w:hAnsi="Times New Roman;Times;serif"/>
          <w:sz w:val="20"/>
        </w:rPr>
      </w:pPr>
      <w:r>
        <w:rPr>
          <w:rFonts w:ascii="Times New Roman;Times;serif" w:hAnsi="Times New Roman;Times;serif"/>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739" w:type="dxa"/>
        <w:jc w:val="left"/>
        <w:tblInd w:w="0" w:type="dxa"/>
        <w:tblLayout w:type="fixed"/>
        <w:tblCellMar>
          <w:top w:w="0" w:type="dxa"/>
          <w:left w:w="0" w:type="dxa"/>
          <w:bottom w:w="0" w:type="dxa"/>
          <w:right w:w="0" w:type="dxa"/>
        </w:tblCellMar>
      </w:tblPr>
      <w:tblGrid>
        <w:gridCol w:w="2626"/>
        <w:gridCol w:w="206"/>
        <w:gridCol w:w="2656"/>
        <w:gridCol w:w="251"/>
      </w:tblGrid>
      <w:tr>
        <w:trPr/>
        <w:tc>
          <w:tcPr>
            <w:tcW w:w="2626" w:type="dxa"/>
            <w:tcBorders/>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Large Accelerated Filer ☑</w:t>
            </w:r>
          </w:p>
        </w:tc>
        <w:tc>
          <w:tcPr>
            <w:tcW w:w="206" w:type="dxa"/>
            <w:tcBorders/>
            <w:vAlign w:val="center"/>
          </w:tcPr>
          <w:p>
            <w:pPr>
              <w:pStyle w:val="TableContents"/>
              <w:bidi w:val="0"/>
              <w:spacing w:lineRule="atLeast" w:line="200" w:before="0" w:after="0"/>
              <w:ind w:left="0" w:right="0" w:hanging="0"/>
              <w:jc w:val="left"/>
              <w:rPr/>
            </w:pPr>
            <w:r>
              <w:rPr/>
              <w:t>  </w:t>
            </w:r>
          </w:p>
        </w:tc>
        <w:tc>
          <w:tcPr>
            <w:tcW w:w="2656" w:type="dxa"/>
            <w:tcBorders/>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Accelerated Filer ☐</w:t>
            </w:r>
          </w:p>
        </w:tc>
        <w:tc>
          <w:tcPr>
            <w:tcW w:w="251" w:type="dxa"/>
            <w:tcBorders/>
            <w:vAlign w:val="center"/>
          </w:tcPr>
          <w:p>
            <w:pPr>
              <w:pStyle w:val="TableContents"/>
              <w:bidi w:val="0"/>
              <w:spacing w:lineRule="atLeast" w:line="200" w:before="0" w:after="0"/>
              <w:ind w:left="0" w:right="0" w:hanging="0"/>
              <w:jc w:val="left"/>
              <w:rPr/>
            </w:pPr>
            <w:r>
              <w:rPr/>
              <w:t>  </w:t>
            </w:r>
          </w:p>
        </w:tc>
      </w:tr>
      <w:tr>
        <w:trPr/>
        <w:tc>
          <w:tcPr>
            <w:tcW w:w="2626" w:type="dxa"/>
            <w:tcBorders/>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Non-accelerated Filer ☐</w:t>
            </w:r>
          </w:p>
        </w:tc>
        <w:tc>
          <w:tcPr>
            <w:tcW w:w="206" w:type="dxa"/>
            <w:tcBorders/>
            <w:vAlign w:val="center"/>
          </w:tcPr>
          <w:p>
            <w:pPr>
              <w:pStyle w:val="TableContents"/>
              <w:bidi w:val="0"/>
              <w:spacing w:lineRule="atLeast" w:line="200" w:before="0" w:after="0"/>
              <w:ind w:left="0" w:right="0" w:hanging="0"/>
              <w:jc w:val="left"/>
              <w:rPr/>
            </w:pPr>
            <w:r>
              <w:rPr/>
              <w:t>​</w:t>
            </w:r>
          </w:p>
        </w:tc>
        <w:tc>
          <w:tcPr>
            <w:tcW w:w="2656" w:type="dxa"/>
            <w:tcBorders/>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Smaller Reporting Company ☐</w:t>
            </w:r>
          </w:p>
        </w:tc>
        <w:tc>
          <w:tcPr>
            <w:tcW w:w="251" w:type="dxa"/>
            <w:tcBorders/>
            <w:vAlign w:val="center"/>
          </w:tcPr>
          <w:p>
            <w:pPr>
              <w:pStyle w:val="TableContents"/>
              <w:bidi w:val="0"/>
              <w:spacing w:lineRule="atLeast" w:line="200" w:before="0" w:after="0"/>
              <w:ind w:left="0" w:right="0" w:hanging="0"/>
              <w:jc w:val="left"/>
              <w:rPr/>
            </w:pPr>
            <w:r>
              <w:rPr/>
              <w:t>​</w:t>
            </w:r>
          </w:p>
        </w:tc>
      </w:tr>
      <w:tr>
        <w:trPr/>
        <w:tc>
          <w:tcPr>
            <w:tcW w:w="2626" w:type="dxa"/>
            <w:tcBorders/>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Emerging Growth Company ☐</w:t>
            </w:r>
          </w:p>
        </w:tc>
        <w:tc>
          <w:tcPr>
            <w:tcW w:w="206" w:type="dxa"/>
            <w:tcBorders/>
            <w:vAlign w:val="center"/>
          </w:tcPr>
          <w:p>
            <w:pPr>
              <w:pStyle w:val="TableContents"/>
              <w:bidi w:val="0"/>
              <w:spacing w:lineRule="atLeast" w:line="200" w:before="0" w:after="0"/>
              <w:ind w:left="0" w:right="0" w:hanging="0"/>
              <w:jc w:val="left"/>
              <w:rPr/>
            </w:pPr>
            <w:r>
              <w:rPr/>
              <w:t>​</w:t>
            </w:r>
          </w:p>
        </w:tc>
        <w:tc>
          <w:tcPr>
            <w:tcW w:w="2656" w:type="dxa"/>
            <w:tcBorders/>
            <w:vAlign w:val="center"/>
          </w:tcPr>
          <w:p>
            <w:pPr>
              <w:pStyle w:val="TableContents"/>
              <w:bidi w:val="0"/>
              <w:spacing w:lineRule="atLeast" w:line="200" w:before="0" w:after="0"/>
              <w:ind w:left="0" w:right="0" w:hanging="0"/>
              <w:jc w:val="left"/>
              <w:rPr/>
            </w:pPr>
            <w:r>
              <w:rPr/>
              <w:t>​</w:t>
            </w:r>
          </w:p>
        </w:tc>
        <w:tc>
          <w:tcPr>
            <w:tcW w:w="251" w:type="dxa"/>
            <w:tcBorders/>
            <w:vAlign w:val="center"/>
          </w:tcPr>
          <w:p>
            <w:pPr>
              <w:pStyle w:val="TableContents"/>
              <w:bidi w:val="0"/>
              <w:spacing w:lineRule="atLeast" w:line="200" w:before="0" w:after="0"/>
              <w:ind w:left="0" w:right="0" w:hanging="0"/>
              <w:jc w:val="left"/>
              <w:rPr/>
            </w:pPr>
            <w:r>
              <w:rPr/>
              <w:t>​</w:t>
            </w:r>
          </w:p>
        </w:tc>
      </w:tr>
    </w:tbl>
    <w:p>
      <w:pPr>
        <w:pStyle w:val="TextBody"/>
        <w:bidi w:val="0"/>
        <w:spacing w:before="60" w:after="60"/>
        <w:ind w:left="0" w:right="0" w:firstLine="475"/>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120" w:after="60"/>
        <w:ind w:left="0" w:right="0" w:firstLine="475"/>
        <w:jc w:val="left"/>
        <w:rPr>
          <w:rFonts w:ascii="Times New Roman;Times;serif" w:hAnsi="Times New Roman;Times;serif"/>
          <w:sz w:val="20"/>
        </w:rPr>
      </w:pPr>
      <w:r>
        <w:rPr>
          <w:rFonts w:ascii="Times New Roman;Times;serif" w:hAnsi="Times New Roman;Times;serif"/>
          <w:sz w:val="20"/>
        </w:rPr>
        <w:t>Indicate by check mark whether the registrant is a shell company (as defined in Rule 12b-2 of the Exchange Act). Yes ☐ No ☑</w:t>
      </w:r>
    </w:p>
    <w:p>
      <w:pPr>
        <w:pStyle w:val="TextBody"/>
        <w:bidi w:val="0"/>
        <w:spacing w:before="120" w:after="60"/>
        <w:ind w:left="0" w:right="0" w:firstLine="475"/>
        <w:jc w:val="left"/>
        <w:rPr>
          <w:rFonts w:ascii="Times New Roman;Times;serif" w:hAnsi="Times New Roman;Times;serif"/>
          <w:sz w:val="20"/>
        </w:rPr>
      </w:pPr>
      <w:r>
        <w:rPr>
          <w:rFonts w:ascii="Times New Roman;Times;serif" w:hAnsi="Times New Roman;Times;serif"/>
          <w:sz w:val="20"/>
        </w:rPr>
        <w:t>As of January 27, 2024, the total number of shares outstanding of the registrant’s Common Stock was 90,363,645 shares, net of treasury shares.</w:t>
      </w:r>
    </w:p>
    <w:p>
      <w:pPr>
        <w:pStyle w:val="TextBody"/>
        <w:pBdr>
          <w:bottom w:val="single" w:sz="8" w:space="1" w:color="000000"/>
        </w:pBdr>
        <w:bidi w:val="0"/>
        <w:spacing w:before="0" w:after="0"/>
        <w:ind w:left="0" w:right="0" w:hanging="0"/>
        <w:jc w:val="left"/>
        <w:rPr>
          <w:bdr w:val="single" w:sz="24" w:space="1" w:color="000000"/>
        </w:rPr>
      </w:pPr>
      <w:r>
        <w:rPr>
          <w:bdr w:val="single" w:sz="24" w:space="1" w:color="000000"/>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lineRule="auto" w:line="343"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200" w:after="0"/>
        <w:ind w:left="0" w:right="0" w:hanging="0"/>
        <w:jc w:val="center"/>
        <w:rPr>
          <w:rFonts w:ascii="Times New Roman;Times;serif" w:hAnsi="Times New Roman;Times;serif"/>
          <w:sz w:val="20"/>
        </w:rPr>
      </w:pPr>
      <w:bookmarkStart w:id="40" w:name="_04d4b543_b1f9_4c2c_bdbe_58f415c214e7"/>
      <w:bookmarkEnd w:id="40"/>
      <w:r>
        <w:rPr>
          <w:rFonts w:ascii="Times New Roman;Times;serif" w:hAnsi="Times New Roman;Times;serif"/>
          <w:sz w:val="20"/>
        </w:rPr>
        <w:t>AVNET, INC. AND SUBSIDIARIES</w:t>
      </w:r>
    </w:p>
    <w:p>
      <w:pPr>
        <w:pStyle w:val="TextBody"/>
        <w:bidi w:val="0"/>
        <w:spacing w:before="0" w:after="0"/>
        <w:ind w:left="0" w:right="0" w:hanging="0"/>
        <w:jc w:val="center"/>
        <w:rPr>
          <w:rFonts w:ascii="Times New Roman;Times;serif" w:hAnsi="Times New Roman;Times;serif"/>
          <w:sz w:val="20"/>
        </w:rPr>
      </w:pPr>
      <w:bookmarkStart w:id="41" w:name="Toc"/>
      <w:bookmarkEnd w:id="41"/>
      <w:r>
        <w:rPr>
          <w:rFonts w:ascii="Times New Roman;Times;serif" w:hAnsi="Times New Roman;Times;serif"/>
          <w:sz w:val="20"/>
        </w:rPr>
        <w:t>INDEX</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9334"/>
        <w:gridCol w:w="871"/>
      </w:tblGrid>
      <w:tr>
        <w:trPr/>
        <w:tc>
          <w:tcPr>
            <w:tcW w:w="9334" w:type="dxa"/>
            <w:tcBorders/>
            <w:vAlign w:val="center"/>
          </w:tcPr>
          <w:p>
            <w:pPr>
              <w:pStyle w:val="TableContents"/>
              <w:bidi w:val="0"/>
              <w:spacing w:before="0" w:after="0"/>
              <w:ind w:left="0" w:right="0" w:hanging="0"/>
              <w:jc w:val="left"/>
              <w:rPr/>
            </w:pPr>
            <w:r>
              <w:rPr/>
              <w:t>​</w:t>
            </w:r>
          </w:p>
        </w:tc>
        <w:tc>
          <w:tcPr>
            <w:tcW w:w="871"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Page No.</w:t>
            </w:r>
          </w:p>
        </w:tc>
      </w:tr>
      <w:tr>
        <w:trPr/>
        <w:tc>
          <w:tcPr>
            <w:tcW w:w="9334" w:type="dxa"/>
            <w:tcBorders/>
            <w:vAlign w:val="center"/>
          </w:tcPr>
          <w:p>
            <w:pPr>
              <w:pStyle w:val="TableContents"/>
              <w:pBdr/>
              <w:bidi w:val="0"/>
              <w:spacing w:before="0" w:after="0"/>
              <w:ind w:left="0" w:right="0" w:hanging="0"/>
              <w:jc w:val="center"/>
              <w:rPr/>
            </w:pPr>
            <w:hyperlink w:anchor="PART_I_FINANCIAL_INFORMATION">
              <w:r>
                <w:rPr>
                  <w:rStyle w:val="InternetLink"/>
                  <w:rFonts w:ascii="Times New Roman;Times;serif" w:hAnsi="Times New Roman;Times;serif"/>
                  <w:b w:val="false"/>
                  <w:i w:val="false"/>
                  <w:caps w:val="false"/>
                  <w:smallCaps w:val="false"/>
                  <w:sz w:val="20"/>
                </w:rPr>
                <w:t>PART I. FINANCIAL INFORMATION</w:t>
              </w:r>
            </w:hyperlink>
          </w:p>
        </w:tc>
        <w:tc>
          <w:tcPr>
            <w:tcW w:w="871" w:type="dxa"/>
            <w:tcBorders/>
            <w:vAlign w:val="center"/>
          </w:tcPr>
          <w:p>
            <w:pPr>
              <w:pStyle w:val="TableContents"/>
              <w:bidi w:val="0"/>
              <w:spacing w:before="0" w:after="0"/>
              <w:ind w:left="0" w:right="0" w:hanging="0"/>
              <w:jc w:val="right"/>
              <w:rPr/>
            </w:pPr>
            <w:r>
              <w:rPr/>
              <w:t>​</w:t>
            </w:r>
          </w:p>
        </w:tc>
      </w:tr>
      <w:tr>
        <w:trPr/>
        <w:tc>
          <w:tcPr>
            <w:tcW w:w="9334"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r>
      <w:tr>
        <w:trPr/>
        <w:tc>
          <w:tcPr>
            <w:tcW w:w="9334" w:type="dxa"/>
            <w:tcBorders/>
            <w:vAlign w:val="center"/>
          </w:tcPr>
          <w:p>
            <w:pPr>
              <w:pStyle w:val="TableContents"/>
              <w:pBdr/>
              <w:bidi w:val="0"/>
              <w:spacing w:before="0" w:after="0"/>
              <w:ind w:left="0" w:right="0" w:hanging="0"/>
              <w:jc w:val="left"/>
              <w:rPr/>
            </w:pPr>
            <w:hyperlink w:anchor="Item_1_Financial_Statements">
              <w:r>
                <w:rPr>
                  <w:rStyle w:val="InternetLink"/>
                  <w:rFonts w:ascii="Times New Roman;Times;serif" w:hAnsi="Times New Roman;Times;serif"/>
                  <w:b w:val="false"/>
                  <w:i w:val="false"/>
                  <w:caps w:val="false"/>
                  <w:smallCaps w:val="false"/>
                  <w:sz w:val="20"/>
                </w:rPr>
                <w:t>Item 1. Financial Statements (Unaudited)</w:t>
              </w:r>
            </w:hyperlink>
          </w:p>
        </w:tc>
        <w:tc>
          <w:tcPr>
            <w:tcW w:w="871" w:type="dxa"/>
            <w:tcBorders/>
            <w:vAlign w:val="center"/>
          </w:tcPr>
          <w:p>
            <w:pPr>
              <w:pStyle w:val="TableContents"/>
              <w:bidi w:val="0"/>
              <w:spacing w:before="0" w:after="0"/>
              <w:ind w:left="0" w:right="0" w:hanging="0"/>
              <w:jc w:val="right"/>
              <w:rPr/>
            </w:pPr>
            <w:r>
              <w:rPr/>
              <w:t>​</w:t>
            </w:r>
          </w:p>
        </w:tc>
      </w:tr>
      <w:tr>
        <w:trPr/>
        <w:tc>
          <w:tcPr>
            <w:tcW w:w="9334"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r>
      <w:tr>
        <w:trPr/>
        <w:tc>
          <w:tcPr>
            <w:tcW w:w="9334" w:type="dxa"/>
            <w:tcBorders/>
            <w:vAlign w:val="center"/>
          </w:tcPr>
          <w:p>
            <w:pPr>
              <w:pStyle w:val="TableContents"/>
              <w:pBdr/>
              <w:bidi w:val="0"/>
              <w:spacing w:before="0" w:after="0"/>
              <w:ind w:left="0" w:right="0" w:hanging="0"/>
              <w:jc w:val="left"/>
              <w:rPr/>
            </w:pPr>
            <w:hyperlink w:anchor="Consolidated_Balance_Sheets">
              <w:r>
                <w:rPr>
                  <w:rStyle w:val="InternetLink"/>
                  <w:rFonts w:ascii="Times New Roman;Times;serif" w:hAnsi="Times New Roman;Times;serif"/>
                  <w:b w:val="false"/>
                  <w:i w:val="false"/>
                  <w:caps w:val="false"/>
                  <w:smallCaps w:val="false"/>
                  <w:sz w:val="20"/>
                </w:rPr>
                <w:t>Consolidated Balance Sheets at December 30, 2023, and July 1, 2023</w:t>
              </w:r>
            </w:hyperlink>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9334" w:type="dxa"/>
            <w:tcBorders/>
            <w:vAlign w:val="center"/>
          </w:tcPr>
          <w:p>
            <w:pPr>
              <w:pStyle w:val="TableContents"/>
              <w:pBdr/>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r>
      <w:tr>
        <w:trPr/>
        <w:tc>
          <w:tcPr>
            <w:tcW w:w="9334" w:type="dxa"/>
            <w:tcBorders/>
            <w:vAlign w:val="center"/>
          </w:tcPr>
          <w:p>
            <w:pPr>
              <w:pStyle w:val="TableContents"/>
              <w:pBdr/>
              <w:bidi w:val="0"/>
              <w:spacing w:before="0" w:after="0"/>
              <w:ind w:left="0" w:right="0" w:hanging="0"/>
              <w:jc w:val="left"/>
              <w:rPr/>
            </w:pPr>
            <w:hyperlink w:anchor="Consolidated_Statements_of_Operations">
              <w:r>
                <w:rPr>
                  <w:rStyle w:val="InternetLink"/>
                  <w:rFonts w:ascii="Times New Roman;Times;serif" w:hAnsi="Times New Roman;Times;serif"/>
                  <w:b w:val="false"/>
                  <w:i w:val="false"/>
                  <w:caps w:val="false"/>
                  <w:smallCaps w:val="false"/>
                  <w:sz w:val="20"/>
                </w:rPr>
                <w:t>Consolidated Statements of Operations for the second quarters and six months ended December 30, 2023, and December 31, 2022</w:t>
              </w:r>
            </w:hyperlink>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9334" w:type="dxa"/>
            <w:tcBorders/>
            <w:vAlign w:val="center"/>
          </w:tcPr>
          <w:p>
            <w:pPr>
              <w:pStyle w:val="TableContents"/>
              <w:pBdr/>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r>
      <w:tr>
        <w:trPr/>
        <w:tc>
          <w:tcPr>
            <w:tcW w:w="9334" w:type="dxa"/>
            <w:tcBorders/>
            <w:vAlign w:val="center"/>
          </w:tcPr>
          <w:p>
            <w:pPr>
              <w:pStyle w:val="TableContents"/>
              <w:pBdr/>
              <w:bidi w:val="0"/>
              <w:spacing w:before="0" w:after="0"/>
              <w:ind w:left="0" w:right="0" w:hanging="0"/>
              <w:jc w:val="left"/>
              <w:rPr/>
            </w:pPr>
            <w:hyperlink w:anchor="Consolidated_Statement_of_Comprehensive_">
              <w:r>
                <w:rPr>
                  <w:rStyle w:val="InternetLink"/>
                  <w:rFonts w:ascii="Times New Roman;Times;serif" w:hAnsi="Times New Roman;Times;serif"/>
                  <w:b w:val="false"/>
                  <w:i w:val="false"/>
                  <w:caps w:val="false"/>
                  <w:smallCaps w:val="false"/>
                  <w:sz w:val="20"/>
                </w:rPr>
                <w:t>Consolidated Statements of Comprehensive Income for the second quarters and six months ended December 30, 2023, and December 31, 2022</w:t>
              </w:r>
            </w:hyperlink>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9334" w:type="dxa"/>
            <w:tcBorders/>
            <w:vAlign w:val="center"/>
          </w:tcPr>
          <w:p>
            <w:pPr>
              <w:pStyle w:val="TableContents"/>
              <w:pBdr/>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r>
      <w:tr>
        <w:trPr/>
        <w:tc>
          <w:tcPr>
            <w:tcW w:w="9334" w:type="dxa"/>
            <w:tcBorders/>
            <w:vAlign w:val="center"/>
          </w:tcPr>
          <w:p>
            <w:pPr>
              <w:pStyle w:val="TableContents"/>
              <w:pBdr/>
              <w:bidi w:val="0"/>
              <w:spacing w:before="0" w:after="0"/>
              <w:ind w:left="0" w:right="0" w:hanging="0"/>
              <w:jc w:val="left"/>
              <w:rPr/>
            </w:pPr>
            <w:hyperlink w:anchor="Consolidated_Statement_of_Shareholders_E">
              <w:r>
                <w:rPr>
                  <w:rStyle w:val="InternetLink"/>
                  <w:rFonts w:ascii="Times New Roman;Times;serif" w:hAnsi="Times New Roman;Times;serif"/>
                  <w:b w:val="false"/>
                  <w:i w:val="false"/>
                  <w:caps w:val="false"/>
                  <w:smallCaps w:val="false"/>
                  <w:sz w:val="20"/>
                </w:rPr>
                <w:t>Consolidated Statements of Shareholders’ Equity for the second quarters and six months ended December 30, 2023, and December 31, 2022</w:t>
              </w:r>
            </w:hyperlink>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9334" w:type="dxa"/>
            <w:tcBorders/>
            <w:vAlign w:val="center"/>
          </w:tcPr>
          <w:p>
            <w:pPr>
              <w:pStyle w:val="TableContents"/>
              <w:pBdr/>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r>
      <w:tr>
        <w:trPr/>
        <w:tc>
          <w:tcPr>
            <w:tcW w:w="9334" w:type="dxa"/>
            <w:tcBorders/>
            <w:vAlign w:val="center"/>
          </w:tcPr>
          <w:p>
            <w:pPr>
              <w:pStyle w:val="TableContents"/>
              <w:pBdr/>
              <w:bidi w:val="0"/>
              <w:spacing w:before="0" w:after="0"/>
              <w:ind w:left="0" w:right="0" w:hanging="0"/>
              <w:jc w:val="left"/>
              <w:rPr/>
            </w:pPr>
            <w:hyperlink w:anchor="Consolidated_Statements_of_Cash_Flows_">
              <w:r>
                <w:rPr>
                  <w:rStyle w:val="InternetLink"/>
                  <w:rFonts w:ascii="Times New Roman;Times;serif" w:hAnsi="Times New Roman;Times;serif"/>
                  <w:b w:val="false"/>
                  <w:i w:val="false"/>
                  <w:caps w:val="false"/>
                  <w:smallCaps w:val="false"/>
                  <w:sz w:val="20"/>
                </w:rPr>
                <w:t>Consolidated Statements of Cash Flows for the six months ended December 30, 2023, and December 31, 2022</w:t>
              </w:r>
            </w:hyperlink>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9334" w:type="dxa"/>
            <w:tcBorders/>
            <w:vAlign w:val="center"/>
          </w:tcPr>
          <w:p>
            <w:pPr>
              <w:pStyle w:val="TableContents"/>
              <w:pBdr/>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r>
      <w:tr>
        <w:trPr/>
        <w:tc>
          <w:tcPr>
            <w:tcW w:w="9334" w:type="dxa"/>
            <w:tcBorders/>
            <w:vAlign w:val="center"/>
          </w:tcPr>
          <w:p>
            <w:pPr>
              <w:pStyle w:val="TableContents"/>
              <w:pBdr/>
              <w:bidi w:val="0"/>
              <w:spacing w:before="0" w:after="0"/>
              <w:ind w:left="0" w:right="0" w:hanging="0"/>
              <w:jc w:val="left"/>
              <w:rPr/>
            </w:pPr>
            <w:hyperlink w:anchor="Notes_to_Consolidated_Financial_Statemen">
              <w:r>
                <w:rPr>
                  <w:rStyle w:val="InternetLink"/>
                  <w:rFonts w:ascii="Times New Roman;Times;serif" w:hAnsi="Times New Roman;Times;serif"/>
                  <w:b w:val="false"/>
                  <w:i w:val="false"/>
                  <w:caps w:val="false"/>
                  <w:smallCaps w:val="false"/>
                  <w:sz w:val="20"/>
                </w:rPr>
                <w:t>Notes to Consolidated Financial Statements</w:t>
              </w:r>
            </w:hyperlink>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9334"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r>
      <w:tr>
        <w:trPr/>
        <w:tc>
          <w:tcPr>
            <w:tcW w:w="9334" w:type="dxa"/>
            <w:tcBorders/>
            <w:vAlign w:val="center"/>
          </w:tcPr>
          <w:p>
            <w:pPr>
              <w:pStyle w:val="TableContents"/>
              <w:bidi w:val="0"/>
              <w:spacing w:before="0" w:after="0"/>
              <w:ind w:left="0" w:right="0" w:hanging="0"/>
              <w:jc w:val="left"/>
              <w:rPr/>
            </w:pPr>
            <w:hyperlink w:anchor="Item_2">
              <w:r>
                <w:rPr>
                  <w:rStyle w:val="InternetLink"/>
                  <w:rFonts w:ascii="Times New Roman;Times;serif" w:hAnsi="Times New Roman;Times;serif"/>
                  <w:b w:val="false"/>
                  <w:i w:val="false"/>
                  <w:caps w:val="false"/>
                  <w:smallCaps w:val="false"/>
                  <w:sz w:val="20"/>
                </w:rPr>
                <w:t>Item 2. Management’s Discussion and Analysis of Financial Condition and Results of Operations</w:t>
              </w:r>
            </w:hyperlink>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9334"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r>
      <w:tr>
        <w:trPr/>
        <w:tc>
          <w:tcPr>
            <w:tcW w:w="9334" w:type="dxa"/>
            <w:tcBorders/>
            <w:vAlign w:val="center"/>
          </w:tcPr>
          <w:p>
            <w:pPr>
              <w:pStyle w:val="TableContents"/>
              <w:bidi w:val="0"/>
              <w:spacing w:before="0" w:after="0"/>
              <w:ind w:left="0" w:right="0" w:hanging="0"/>
              <w:jc w:val="left"/>
              <w:rPr/>
            </w:pPr>
            <w:hyperlink w:anchor="Item_3_Quantitative_and_Qualitative_Disc">
              <w:r>
                <w:rPr>
                  <w:rStyle w:val="InternetLink"/>
                  <w:rFonts w:ascii="Times New Roman;Times;serif" w:hAnsi="Times New Roman;Times;serif"/>
                  <w:b w:val="false"/>
                  <w:i w:val="false"/>
                  <w:caps w:val="false"/>
                  <w:smallCaps w:val="false"/>
                  <w:sz w:val="20"/>
                </w:rPr>
                <w:t>Item 3. Quantitative and Qualitative Disclosures About Market Risk</w:t>
              </w:r>
            </w:hyperlink>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r>
      <w:tr>
        <w:trPr/>
        <w:tc>
          <w:tcPr>
            <w:tcW w:w="9334"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r>
      <w:tr>
        <w:trPr/>
        <w:tc>
          <w:tcPr>
            <w:tcW w:w="9334" w:type="dxa"/>
            <w:tcBorders/>
            <w:vAlign w:val="center"/>
          </w:tcPr>
          <w:p>
            <w:pPr>
              <w:pStyle w:val="TableContents"/>
              <w:bidi w:val="0"/>
              <w:spacing w:before="0" w:after="0"/>
              <w:ind w:left="0" w:right="0" w:hanging="0"/>
              <w:jc w:val="left"/>
              <w:rPr/>
            </w:pPr>
            <w:hyperlink w:anchor="Item_4_Controls_and_Procedures">
              <w:r>
                <w:rPr>
                  <w:rStyle w:val="InternetLink"/>
                  <w:rFonts w:ascii="Times New Roman;Times;serif" w:hAnsi="Times New Roman;Times;serif"/>
                  <w:b w:val="false"/>
                  <w:i w:val="false"/>
                  <w:caps w:val="false"/>
                  <w:smallCaps w:val="false"/>
                  <w:sz w:val="20"/>
                </w:rPr>
                <w:t>Item 4. Controls and Procedures</w:t>
              </w:r>
            </w:hyperlink>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r>
      <w:tr>
        <w:trPr/>
        <w:tc>
          <w:tcPr>
            <w:tcW w:w="9334"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r>
      <w:tr>
        <w:trPr/>
        <w:tc>
          <w:tcPr>
            <w:tcW w:w="9334" w:type="dxa"/>
            <w:tcBorders/>
            <w:vAlign w:val="center"/>
          </w:tcPr>
          <w:p>
            <w:pPr>
              <w:pStyle w:val="TableContents"/>
              <w:bidi w:val="0"/>
              <w:spacing w:before="0" w:after="0"/>
              <w:ind w:left="0" w:right="0" w:hanging="0"/>
              <w:jc w:val="center"/>
              <w:rPr/>
            </w:pPr>
            <w:hyperlink w:anchor="PART_II_OTHER_INFORMATION">
              <w:r>
                <w:rPr>
                  <w:rStyle w:val="InternetLink"/>
                  <w:rFonts w:ascii="Times New Roman;Times;serif" w:hAnsi="Times New Roman;Times;serif"/>
                  <w:b w:val="false"/>
                  <w:i w:val="false"/>
                  <w:caps w:val="false"/>
                  <w:smallCaps w:val="false"/>
                  <w:sz w:val="20"/>
                </w:rPr>
                <w:t>PART II. OTHER INFORMATION</w:t>
              </w:r>
            </w:hyperlink>
          </w:p>
        </w:tc>
        <w:tc>
          <w:tcPr>
            <w:tcW w:w="871" w:type="dxa"/>
            <w:tcBorders/>
            <w:vAlign w:val="center"/>
          </w:tcPr>
          <w:p>
            <w:pPr>
              <w:pStyle w:val="TableContents"/>
              <w:bidi w:val="0"/>
              <w:spacing w:before="0" w:after="0"/>
              <w:ind w:left="0" w:right="0" w:hanging="0"/>
              <w:jc w:val="right"/>
              <w:rPr/>
            </w:pPr>
            <w:r>
              <w:rPr/>
              <w:t>​</w:t>
            </w:r>
          </w:p>
        </w:tc>
      </w:tr>
      <w:tr>
        <w:trPr/>
        <w:tc>
          <w:tcPr>
            <w:tcW w:w="9334"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r>
      <w:tr>
        <w:trPr/>
        <w:tc>
          <w:tcPr>
            <w:tcW w:w="9334" w:type="dxa"/>
            <w:tcBorders/>
            <w:vAlign w:val="center"/>
          </w:tcPr>
          <w:p>
            <w:pPr>
              <w:pStyle w:val="TableContents"/>
              <w:bidi w:val="0"/>
              <w:spacing w:before="0" w:after="0"/>
              <w:ind w:left="0" w:right="0" w:hanging="0"/>
              <w:jc w:val="left"/>
              <w:rPr/>
            </w:pPr>
            <w:hyperlink w:anchor="Item_1_Legal_Proceedings">
              <w:r>
                <w:rPr>
                  <w:rStyle w:val="InternetLink"/>
                  <w:rFonts w:ascii="Times New Roman;Times;serif" w:hAnsi="Times New Roman;Times;serif"/>
                  <w:b w:val="false"/>
                  <w:i w:val="false"/>
                  <w:caps w:val="false"/>
                  <w:smallCaps w:val="false"/>
                  <w:sz w:val="20"/>
                </w:rPr>
                <w:t>Item 1. Legal Proceedings</w:t>
              </w:r>
            </w:hyperlink>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9334"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r>
      <w:tr>
        <w:trPr/>
        <w:tc>
          <w:tcPr>
            <w:tcW w:w="9334" w:type="dxa"/>
            <w:tcBorders/>
            <w:vAlign w:val="center"/>
          </w:tcPr>
          <w:p>
            <w:pPr>
              <w:pStyle w:val="TableContents"/>
              <w:bidi w:val="0"/>
              <w:spacing w:before="0" w:after="0"/>
              <w:ind w:left="0" w:right="0" w:hanging="0"/>
              <w:jc w:val="left"/>
              <w:rPr/>
            </w:pPr>
            <w:hyperlink w:anchor="Item_1A_Risk_Factors">
              <w:r>
                <w:rPr>
                  <w:rStyle w:val="InternetLink"/>
                  <w:rFonts w:ascii="Times New Roman;Times;serif" w:hAnsi="Times New Roman;Times;serif"/>
                  <w:b w:val="false"/>
                  <w:i w:val="false"/>
                  <w:caps w:val="false"/>
                  <w:smallCaps w:val="false"/>
                  <w:sz w:val="20"/>
                </w:rPr>
                <w:t>Item 1A. Risk Factors</w:t>
              </w:r>
            </w:hyperlink>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9334"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r>
      <w:tr>
        <w:trPr/>
        <w:tc>
          <w:tcPr>
            <w:tcW w:w="9334" w:type="dxa"/>
            <w:tcBorders/>
            <w:vAlign w:val="center"/>
          </w:tcPr>
          <w:p>
            <w:pPr>
              <w:pStyle w:val="TableContents"/>
              <w:bidi w:val="0"/>
              <w:spacing w:before="0" w:after="0"/>
              <w:ind w:left="0" w:right="0" w:hanging="0"/>
              <w:jc w:val="left"/>
              <w:rPr/>
            </w:pPr>
            <w:hyperlink w:anchor="Item_2_Unregistered_Sales_of_Equity_Secu">
              <w:r>
                <w:rPr>
                  <w:rStyle w:val="InternetLink"/>
                  <w:rFonts w:ascii="Times New Roman;Times;serif" w:hAnsi="Times New Roman;Times;serif"/>
                  <w:b w:val="false"/>
                  <w:i w:val="false"/>
                  <w:caps w:val="false"/>
                  <w:smallCaps w:val="false"/>
                  <w:sz w:val="20"/>
                </w:rPr>
                <w:t>Item 2. Unregistered Sales of Equity Securities and Use of Proceeds</w:t>
              </w:r>
            </w:hyperlink>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9334"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r>
      <w:tr>
        <w:trPr/>
        <w:tc>
          <w:tcPr>
            <w:tcW w:w="9334" w:type="dxa"/>
            <w:tcBorders/>
            <w:vAlign w:val="center"/>
          </w:tcPr>
          <w:p>
            <w:pPr>
              <w:pStyle w:val="TableContents"/>
              <w:bidi w:val="0"/>
              <w:spacing w:before="0" w:after="0"/>
              <w:ind w:left="0" w:right="0" w:hanging="0"/>
              <w:jc w:val="left"/>
              <w:rPr/>
            </w:pPr>
            <w:hyperlink w:anchor="Item_6_Exhibits">
              <w:r>
                <w:rPr>
                  <w:rStyle w:val="InternetLink"/>
                  <w:rFonts w:ascii="Times New Roman;Times;serif" w:hAnsi="Times New Roman;Times;serif"/>
                  <w:b w:val="false"/>
                  <w:i w:val="false"/>
                  <w:caps w:val="false"/>
                  <w:smallCaps w:val="false"/>
                  <w:sz w:val="20"/>
                </w:rPr>
                <w:t>Item 6. Exhibits</w:t>
              </w:r>
            </w:hyperlink>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9334"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r>
      <w:tr>
        <w:trPr/>
        <w:tc>
          <w:tcPr>
            <w:tcW w:w="9334" w:type="dxa"/>
            <w:tcBorders/>
            <w:vAlign w:val="center"/>
          </w:tcPr>
          <w:p>
            <w:pPr>
              <w:pStyle w:val="TableContents"/>
              <w:bidi w:val="0"/>
              <w:spacing w:before="0" w:after="0"/>
              <w:ind w:left="0" w:right="0" w:hanging="0"/>
              <w:jc w:val="left"/>
              <w:rPr/>
            </w:pPr>
            <w:hyperlink w:anchor="Signature_Page">
              <w:r>
                <w:rPr>
                  <w:rStyle w:val="InternetLink"/>
                  <w:rFonts w:ascii="Times New Roman;Times;serif" w:hAnsi="Times New Roman;Times;serif"/>
                  <w:b w:val="false"/>
                  <w:i w:val="false"/>
                  <w:caps w:val="false"/>
                  <w:smallCaps w:val="false"/>
                  <w:sz w:val="20"/>
                </w:rPr>
                <w:t>Signature Page</w:t>
              </w:r>
            </w:hyperlink>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lineRule="auto" w:line="343"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42" w:name="PART_I_FINANCIAL_INFORMATION"/>
      <w:bookmarkStart w:id="43" w:name="_34030b5c_0728_4352_9b3b_a417ed5f7a3c"/>
      <w:bookmarkEnd w:id="42"/>
      <w:bookmarkEnd w:id="43"/>
      <w:r>
        <w:rPr>
          <w:rFonts w:ascii="Times New Roman;Times;serif" w:hAnsi="Times New Roman;Times;serif"/>
          <w:b/>
          <w:sz w:val="20"/>
        </w:rPr>
        <w:t>PART I</w:t>
      </w:r>
    </w:p>
    <w:p>
      <w:pPr>
        <w:pStyle w:val="TextBody"/>
        <w:bidi w:val="0"/>
        <w:spacing w:before="60" w:after="0"/>
        <w:ind w:left="0" w:right="0" w:hanging="0"/>
        <w:jc w:val="center"/>
        <w:rPr>
          <w:rFonts w:ascii="Times New Roman;Times;serif" w:hAnsi="Times New Roman;Times;serif"/>
          <w:b/>
          <w:sz w:val="20"/>
        </w:rPr>
      </w:pPr>
      <w:r>
        <w:rPr>
          <w:rFonts w:ascii="Times New Roman;Times;serif" w:hAnsi="Times New Roman;Times;serif"/>
          <w:b/>
          <w:sz w:val="20"/>
        </w:rPr>
        <w:t>FINANCIAL INFORMATION</w:t>
      </w:r>
    </w:p>
    <w:p>
      <w:pPr>
        <w:pStyle w:val="Normal"/>
        <w:bidi w:val="0"/>
        <w:spacing w:before="0" w:after="0"/>
        <w:jc w:val="left"/>
        <w:rPr>
          <w:sz w:val="4"/>
          <w:szCs w:val="4"/>
        </w:rPr>
      </w:pPr>
      <w:r>
        <w:rPr>
          <w:sz w:val="4"/>
          <w:szCs w:val="4"/>
        </w:rPr>
      </w:r>
      <w:bookmarkStart w:id="44" w:name="Item_1_Financial_Statements"/>
      <w:bookmarkStart w:id="45" w:name="Item_1_Financial_Statements"/>
      <w:bookmarkEnd w:id="45"/>
    </w:p>
    <w:tbl>
      <w:tblPr>
        <w:tblW w:w="2627" w:type="dxa"/>
        <w:jc w:val="left"/>
        <w:tblInd w:w="0" w:type="dxa"/>
        <w:tblLayout w:type="fixed"/>
        <w:tblCellMar>
          <w:top w:w="0" w:type="dxa"/>
          <w:left w:w="0" w:type="dxa"/>
          <w:bottom w:w="0" w:type="dxa"/>
          <w:right w:w="0" w:type="dxa"/>
        </w:tblCellMar>
      </w:tblPr>
      <w:tblGrid>
        <w:gridCol w:w="706"/>
        <w:gridCol w:w="1921"/>
      </w:tblGrid>
      <w:tr>
        <w:trPr/>
        <w:tc>
          <w:tcPr>
            <w:tcW w:w="706"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Item 1.</w:t>
            </w:r>
          </w:p>
        </w:tc>
        <w:tc>
          <w:tcPr>
            <w:tcW w:w="1921" w:type="dxa"/>
            <w:tcBorders/>
            <w:vAlign w:val="center"/>
          </w:tcPr>
          <w:p>
            <w:pPr>
              <w:pStyle w:val="TableContents"/>
              <w:bidi w:val="0"/>
              <w:spacing w:before="0" w:after="0"/>
              <w:jc w:val="left"/>
              <w:rPr>
                <w:rFonts w:ascii="Times New Roman;Times;serif" w:hAnsi="Times New Roman;Times;serif"/>
                <w:b/>
                <w:i/>
                <w:sz w:val="20"/>
              </w:rPr>
            </w:pPr>
            <w:r>
              <w:rPr>
                <w:rFonts w:ascii="Times New Roman;Times;serif" w:hAnsi="Times New Roman;Times;serif"/>
                <w:b/>
                <w:i/>
                <w:sz w:val="20"/>
              </w:rPr>
              <w:t>Financial Statements</w:t>
            </w:r>
          </w:p>
        </w:tc>
      </w:tr>
    </w:tbl>
    <w:p>
      <w:pPr>
        <w:pStyle w:val="TextBody"/>
        <w:bidi w:val="0"/>
        <w:spacing w:before="0" w:after="0"/>
        <w:ind w:left="0" w:right="0" w:hanging="0"/>
        <w:jc w:val="center"/>
        <w:rPr>
          <w:rFonts w:ascii="Times New Roman;Times;serif" w:hAnsi="Times New Roman;Times;serif"/>
          <w:b/>
          <w:sz w:val="20"/>
        </w:rPr>
      </w:pPr>
      <w:bookmarkStart w:id="46" w:name="Consolidated_Balance_Sheets"/>
      <w:bookmarkEnd w:id="46"/>
      <w:r>
        <w:rPr>
          <w:rFonts w:ascii="Times New Roman;Times;serif" w:hAnsi="Times New Roman;Times;serif"/>
          <w:b/>
          <w:sz w:val="20"/>
        </w:rPr>
        <w:t>AVNET,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BALANCE SHEETS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47" w:name="Tc_MOfI644oOUqfBcv4-NhJBQ_35_5"/>
      <w:bookmarkStart w:id="48" w:name="Tc_q3jMEQCRkkiOlaNqT1zoeA_35_2"/>
      <w:bookmarkStart w:id="49" w:name="Tc_LpoUzpghoE-61vvjOGOGOQ_35_0"/>
      <w:bookmarkStart w:id="50" w:name="Tc_0GYV2m3aF0K7dkiO-nlQWQ_34_0"/>
      <w:bookmarkStart w:id="51" w:name="Tc_MfyXqAEB10Cq2zRHzyYIbg_33_0"/>
      <w:bookmarkStart w:id="52" w:name="Tc_ekxTRUcMI0W8zmluESXaHw_32_0"/>
      <w:bookmarkStart w:id="53" w:name="Tc_tMwOMXNsRUeV8-rP0qxA2A_31_0"/>
      <w:bookmarkStart w:id="54" w:name="Tc_GX7PtqdhH0ieltwSYrOkTg_30_0"/>
      <w:bookmarkStart w:id="55" w:name="Tc_WWPDypdp7EevnEFuGqUAhQ_29_0"/>
      <w:bookmarkStart w:id="56" w:name="Tc_QOb73uOiAEKTu-KUJNGl6A_28_0"/>
      <w:bookmarkStart w:id="57" w:name="Tc_OdnfjO6L3kOKLc9qj5QfEw_27_0"/>
      <w:bookmarkStart w:id="58" w:name="Tc_jKeGnpSeukiWgoQggr7fxQ_26_0"/>
      <w:bookmarkStart w:id="59" w:name="Tc_HbOV9Mf6b0ye9yhCVHzfUA_25_0"/>
      <w:bookmarkStart w:id="60" w:name="Tc_-AsC0anUfE2BW3bSQJR2Ew_24_0"/>
      <w:bookmarkStart w:id="61" w:name="Tc_QgeXZZgc3keBm9HDkcgWdw_23_0"/>
      <w:bookmarkStart w:id="62" w:name="Tc_Fkeq-srFA0S5KqqhNn_ilQ_22_0"/>
      <w:bookmarkStart w:id="63" w:name="Tc_iUUgYZrlZUean14KuozjdQ_21_0"/>
      <w:bookmarkStart w:id="64" w:name="Tc_-Fpr3qSrj0-7-hb1eAfUCg_20_0"/>
      <w:bookmarkStart w:id="65" w:name="Tc_gUg-cCcifE6zVvwYcvEnTQ_19_5"/>
      <w:bookmarkStart w:id="66" w:name="Tc_kmdhjIRIxU2VeufAjn7USg_19_2"/>
      <w:bookmarkStart w:id="67" w:name="Tc_x5rxcbJrKE-hEF33mSttLw_19_0"/>
      <w:bookmarkStart w:id="68" w:name="Tc_-JWCZ9GXvEWzl-yiPQSANQ_18_0"/>
      <w:bookmarkStart w:id="69" w:name="Tc_k71QBcmWT0aGQ548kIIGzg_17_0"/>
      <w:bookmarkStart w:id="70" w:name="Tc_U3Qgf0YkIU6_Vz9yoMidbQ_16_5"/>
      <w:bookmarkStart w:id="71" w:name="Tc_eJ4tMpdW2E6xMcNIt4Fsbw_16_2"/>
      <w:bookmarkStart w:id="72" w:name="Tc_o9ErOWKgDk-H8q9QOaZZvA_16_0"/>
      <w:bookmarkStart w:id="73" w:name="Tc_RzkHLqYwbUuBXaUt5fKO2A_15_0"/>
      <w:bookmarkStart w:id="74" w:name="Tc_8ZqkpZ2AhEKPXnzzBU4UxQ_14_0"/>
      <w:bookmarkStart w:id="75" w:name="Tc_LPPXGeRh90y0wPvJbIz3kQ_13_0"/>
      <w:bookmarkStart w:id="76" w:name="Tc_Q6dgTW8l9kSd-lc5jkGjcw_12_0"/>
      <w:bookmarkStart w:id="77" w:name="Tc_WbBi32T-ukCOxBC_05lFOQ_11_0"/>
      <w:bookmarkStart w:id="78" w:name="Tc_9nGUehj400aD481VvF8Pfw_10_0"/>
      <w:bookmarkStart w:id="79" w:name="Tc_LgxWfgFHGEiGb9usxoSkqQ_9_0"/>
      <w:bookmarkStart w:id="80" w:name="Tc_FIP1O7kMtkWe2EbrUj6nCA_8_0"/>
      <w:bookmarkStart w:id="81" w:name="Tc_FIrnWMF6g0m9fV0pT82z9g_7_5"/>
      <w:bookmarkStart w:id="82" w:name="Tc_-S6eTZEyAUKhUvTKr-Hyaw_7_2"/>
      <w:bookmarkStart w:id="83" w:name="Tc_yqTsWO2GikGC8dhCemy29g_7_0"/>
      <w:bookmarkStart w:id="84" w:name="Tc_sF5aeqApxUuSw4UZVelnKA_6_0"/>
      <w:bookmarkStart w:id="85" w:name="Tc_1MT8gW4E7UatrCyVlBvNZg_5_0"/>
      <w:bookmarkStart w:id="86" w:name="Tc_sts2unFWIEW3UsibI7mTNA_4_2"/>
      <w:bookmarkStart w:id="87" w:name="Tc_M5K4eWTJ3ku6-9AV9ppzMw_3_2"/>
      <w:bookmarkStart w:id="88" w:name="Tc_0SPQvJSKH0Oh6gsRTNkpoA_2_5"/>
      <w:bookmarkStart w:id="89" w:name="Tc_PXXo3WeLB0qBf3ky0HHUSg_2_2"/>
      <w:bookmarkStart w:id="90" w:name="Tc_66nw-XYP-UWHQQhfO-_PeQ_1_5"/>
      <w:bookmarkStart w:id="91" w:name="Tc_UlpeAk3GA06pIcQ_TRcJsg_1_2"/>
      <w:bookmarkStart w:id="92" w:name="_e9827a2c_b761_45f1_94d3_6909cb28f8e2"/>
      <w:bookmarkStart w:id="93" w:name="Tc_MOfI644oOUqfBcv4-NhJBQ_35_5"/>
      <w:bookmarkStart w:id="94" w:name="Tc_q3jMEQCRkkiOlaNqT1zoeA_35_2"/>
      <w:bookmarkStart w:id="95" w:name="Tc_LpoUzpghoE-61vvjOGOGOQ_35_0"/>
      <w:bookmarkStart w:id="96" w:name="Tc_0GYV2m3aF0K7dkiO-nlQWQ_34_0"/>
      <w:bookmarkStart w:id="97" w:name="Tc_MfyXqAEB10Cq2zRHzyYIbg_33_0"/>
      <w:bookmarkStart w:id="98" w:name="Tc_ekxTRUcMI0W8zmluESXaHw_32_0"/>
      <w:bookmarkStart w:id="99" w:name="Tc_tMwOMXNsRUeV8-rP0qxA2A_31_0"/>
      <w:bookmarkStart w:id="100" w:name="Tc_GX7PtqdhH0ieltwSYrOkTg_30_0"/>
      <w:bookmarkStart w:id="101" w:name="Tc_WWPDypdp7EevnEFuGqUAhQ_29_0"/>
      <w:bookmarkStart w:id="102" w:name="Tc_QOb73uOiAEKTu-KUJNGl6A_28_0"/>
      <w:bookmarkStart w:id="103" w:name="Tc_OdnfjO6L3kOKLc9qj5QfEw_27_0"/>
      <w:bookmarkStart w:id="104" w:name="Tc_jKeGnpSeukiWgoQggr7fxQ_26_0"/>
      <w:bookmarkStart w:id="105" w:name="Tc_HbOV9Mf6b0ye9yhCVHzfUA_25_0"/>
      <w:bookmarkStart w:id="106" w:name="Tc_-AsC0anUfE2BW3bSQJR2Ew_24_0"/>
      <w:bookmarkStart w:id="107" w:name="Tc_QgeXZZgc3keBm9HDkcgWdw_23_0"/>
      <w:bookmarkStart w:id="108" w:name="Tc_Fkeq-srFA0S5KqqhNn_ilQ_22_0"/>
      <w:bookmarkStart w:id="109" w:name="Tc_iUUgYZrlZUean14KuozjdQ_21_0"/>
      <w:bookmarkStart w:id="110" w:name="Tc_-Fpr3qSrj0-7-hb1eAfUCg_20_0"/>
      <w:bookmarkStart w:id="111" w:name="Tc_gUg-cCcifE6zVvwYcvEnTQ_19_5"/>
      <w:bookmarkStart w:id="112" w:name="Tc_kmdhjIRIxU2VeufAjn7USg_19_2"/>
      <w:bookmarkStart w:id="113" w:name="Tc_x5rxcbJrKE-hEF33mSttLw_19_0"/>
      <w:bookmarkStart w:id="114" w:name="Tc_-JWCZ9GXvEWzl-yiPQSANQ_18_0"/>
      <w:bookmarkStart w:id="115" w:name="Tc_k71QBcmWT0aGQ548kIIGzg_17_0"/>
      <w:bookmarkStart w:id="116" w:name="Tc_U3Qgf0YkIU6_Vz9yoMidbQ_16_5"/>
      <w:bookmarkStart w:id="117" w:name="Tc_eJ4tMpdW2E6xMcNIt4Fsbw_16_2"/>
      <w:bookmarkStart w:id="118" w:name="Tc_o9ErOWKgDk-H8q9QOaZZvA_16_0"/>
      <w:bookmarkStart w:id="119" w:name="Tc_RzkHLqYwbUuBXaUt5fKO2A_15_0"/>
      <w:bookmarkStart w:id="120" w:name="Tc_8ZqkpZ2AhEKPXnzzBU4UxQ_14_0"/>
      <w:bookmarkStart w:id="121" w:name="Tc_LPPXGeRh90y0wPvJbIz3kQ_13_0"/>
      <w:bookmarkStart w:id="122" w:name="Tc_Q6dgTW8l9kSd-lc5jkGjcw_12_0"/>
      <w:bookmarkStart w:id="123" w:name="Tc_WbBi32T-ukCOxBC_05lFOQ_11_0"/>
      <w:bookmarkStart w:id="124" w:name="Tc_9nGUehj400aD481VvF8Pfw_10_0"/>
      <w:bookmarkStart w:id="125" w:name="Tc_LgxWfgFHGEiGb9usxoSkqQ_9_0"/>
      <w:bookmarkStart w:id="126" w:name="Tc_FIP1O7kMtkWe2EbrUj6nCA_8_0"/>
      <w:bookmarkStart w:id="127" w:name="Tc_FIrnWMF6g0m9fV0pT82z9g_7_5"/>
      <w:bookmarkStart w:id="128" w:name="Tc_-S6eTZEyAUKhUvTKr-Hyaw_7_2"/>
      <w:bookmarkStart w:id="129" w:name="Tc_yqTsWO2GikGC8dhCemy29g_7_0"/>
      <w:bookmarkStart w:id="130" w:name="Tc_sF5aeqApxUuSw4UZVelnKA_6_0"/>
      <w:bookmarkStart w:id="131" w:name="Tc_1MT8gW4E7UatrCyVlBvNZg_5_0"/>
      <w:bookmarkStart w:id="132" w:name="Tc_sts2unFWIEW3UsibI7mTNA_4_2"/>
      <w:bookmarkStart w:id="133" w:name="Tc_M5K4eWTJ3ku6-9AV9ppzMw_3_2"/>
      <w:bookmarkStart w:id="134" w:name="Tc_0SPQvJSKH0Oh6gsRTNkpoA_2_5"/>
      <w:bookmarkStart w:id="135" w:name="Tc_PXXo3WeLB0qBf3ky0HHUSg_2_2"/>
      <w:bookmarkStart w:id="136" w:name="Tc_66nw-XYP-UWHQQhfO-_PeQ_1_5"/>
      <w:bookmarkStart w:id="137" w:name="Tc_UlpeAk3GA06pIcQ_TRcJsg_1_2"/>
      <w:bookmarkStart w:id="138" w:name="_e9827a2c_b761_45f1_94d3_6909cb28f8e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p>
    <w:tbl>
      <w:tblPr>
        <w:tblW w:w="10205" w:type="dxa"/>
        <w:jc w:val="left"/>
        <w:tblInd w:w="0" w:type="dxa"/>
        <w:tblLayout w:type="fixed"/>
        <w:tblCellMar>
          <w:top w:w="0" w:type="dxa"/>
          <w:left w:w="0" w:type="dxa"/>
          <w:bottom w:w="0" w:type="dxa"/>
          <w:right w:w="0" w:type="dxa"/>
        </w:tblCellMar>
      </w:tblPr>
      <w:tblGrid>
        <w:gridCol w:w="6859"/>
        <w:gridCol w:w="326"/>
        <w:gridCol w:w="212"/>
        <w:gridCol w:w="1042"/>
        <w:gridCol w:w="326"/>
        <w:gridCol w:w="211"/>
        <w:gridCol w:w="1036"/>
        <w:gridCol w:w="193"/>
      </w:tblGrid>
      <w:tr>
        <w:trPr/>
        <w:tc>
          <w:tcPr>
            <w:tcW w:w="68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4355465" cy="175260"/>
                      <wp:effectExtent l="0" t="0" r="0" b="0"/>
                      <wp:wrapNone/>
                      <wp:docPr id="6" name="Frame6"/>
                      <a:graphic xmlns:a="http://schemas.openxmlformats.org/drawingml/2006/main">
                        <a:graphicData uri="http://schemas.microsoft.com/office/word/2010/wordprocessingShape">
                          <wps:wsp>
                            <wps:cNvSpPr txBox="1"/>
                            <wps:spPr>
                              <a:xfrm>
                                <a:off x="0" y="0"/>
                                <a:ext cx="43554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207010" cy="175260"/>
                      <wp:effectExtent l="0" t="0" r="0" b="0"/>
                      <wp:wrapNone/>
                      <wp:docPr id="7" name="Frame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134620" cy="175260"/>
                      <wp:effectExtent l="0" t="0" r="0" b="0"/>
                      <wp:wrapNone/>
                      <wp:docPr id="8" name="Frame8"/>
                      <a:graphic xmlns:a="http://schemas.openxmlformats.org/drawingml/2006/main">
                        <a:graphicData uri="http://schemas.microsoft.com/office/word/2010/wordprocessingShape">
                          <wps:wsp>
                            <wps:cNvSpPr txBox="1"/>
                            <wps:spPr>
                              <a:xfrm>
                                <a:off x="0" y="0"/>
                                <a:ext cx="134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61670" cy="175260"/>
                      <wp:effectExtent l="0" t="0" r="0" b="0"/>
                      <wp:wrapNone/>
                      <wp:docPr id="9" name="Frame9"/>
                      <a:graphic xmlns:a="http://schemas.openxmlformats.org/drawingml/2006/main">
                        <a:graphicData uri="http://schemas.microsoft.com/office/word/2010/wordprocessingShape">
                          <wps:wsp>
                            <wps:cNvSpPr txBox="1"/>
                            <wps:spPr>
                              <a:xfrm>
                                <a:off x="0" y="0"/>
                                <a:ext cx="661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07010" cy="175260"/>
                      <wp:effectExtent l="0" t="0" r="0" b="0"/>
                      <wp:wrapNone/>
                      <wp:docPr id="10" name="Frame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33985" cy="175260"/>
                      <wp:effectExtent l="0" t="0" r="0" b="0"/>
                      <wp:wrapNone/>
                      <wp:docPr id="11" name="Frame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57860" cy="175260"/>
                      <wp:effectExtent l="0" t="0" r="0" b="0"/>
                      <wp:wrapNone/>
                      <wp:docPr id="12" name="Frame12"/>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22555" cy="175260"/>
                      <wp:effectExtent l="0" t="0" r="0" b="0"/>
                      <wp:wrapNone/>
                      <wp:docPr id="13" name="Frame13"/>
                      <a:graphic xmlns:a="http://schemas.openxmlformats.org/drawingml/2006/main">
                        <a:graphicData uri="http://schemas.microsoft.com/office/word/2010/wordprocessingShape">
                          <wps:wsp>
                            <wps:cNvSpPr txBox="1"/>
                            <wps:spPr>
                              <a:xfrm>
                                <a:off x="0" y="0"/>
                                <a:ext cx="122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85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254"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30,</w:t>
            </w:r>
          </w:p>
        </w:tc>
        <w:tc>
          <w:tcPr>
            <w:tcW w:w="326" w:type="dxa"/>
            <w:tcBorders/>
            <w:vAlign w:val="center"/>
          </w:tcPr>
          <w:p>
            <w:pPr>
              <w:pStyle w:val="TableContents"/>
              <w:bidi w:val="0"/>
              <w:spacing w:before="0" w:after="0"/>
              <w:ind w:left="0" w:right="0" w:hanging="0"/>
              <w:jc w:val="center"/>
              <w:rPr/>
            </w:pPr>
            <w:r>
              <w:rPr/>
              <w:t>    </w:t>
            </w:r>
          </w:p>
        </w:tc>
        <w:tc>
          <w:tcPr>
            <w:tcW w:w="1247"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July 1,</w:t>
            </w:r>
          </w:p>
        </w:tc>
        <w:tc>
          <w:tcPr>
            <w:tcW w:w="193" w:type="dxa"/>
            <w:tcBorders/>
            <w:vAlign w:val="center"/>
          </w:tcPr>
          <w:p>
            <w:pPr>
              <w:pStyle w:val="TableContents"/>
              <w:bidi w:val="0"/>
              <w:spacing w:before="0" w:after="0"/>
              <w:ind w:left="0" w:right="0" w:hanging="0"/>
              <w:jc w:val="center"/>
              <w:rPr/>
            </w:pPr>
            <w:r>
              <w:rPr/>
              <w:t> </w:t>
            </w:r>
          </w:p>
        </w:tc>
      </w:tr>
      <w:tr>
        <w:trPr/>
        <w:tc>
          <w:tcPr>
            <w:tcW w:w="685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254"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6" w:type="dxa"/>
            <w:tcBorders/>
            <w:vAlign w:val="center"/>
          </w:tcPr>
          <w:p>
            <w:pPr>
              <w:pStyle w:val="TableContents"/>
              <w:bidi w:val="0"/>
              <w:spacing w:before="0" w:after="0"/>
              <w:ind w:left="0" w:right="0" w:hanging="0"/>
              <w:jc w:val="center"/>
              <w:rPr/>
            </w:pPr>
            <w:r>
              <w:rPr/>
              <w:t>​</w:t>
            </w:r>
          </w:p>
        </w:tc>
        <w:tc>
          <w:tcPr>
            <w:tcW w:w="1247"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193" w:type="dxa"/>
            <w:tcBorders/>
            <w:vAlign w:val="center"/>
          </w:tcPr>
          <w:p>
            <w:pPr>
              <w:pStyle w:val="TableContents"/>
              <w:bidi w:val="0"/>
              <w:spacing w:before="0" w:after="0"/>
              <w:ind w:left="0" w:right="0" w:hanging="0"/>
              <w:jc w:val="center"/>
              <w:rPr/>
            </w:pPr>
            <w:r>
              <w:rPr/>
              <w:t> </w:t>
            </w:r>
          </w:p>
        </w:tc>
      </w:tr>
      <w:tr>
        <w:trPr/>
        <w:tc>
          <w:tcPr>
            <w:tcW w:w="10205" w:type="dxa"/>
            <w:gridSpan w:val="8"/>
            <w:tcBorders/>
            <w:vAlign w:val="center"/>
          </w:tcPr>
          <w:p>
            <w:pPr>
              <w:pStyle w:val="TableContents"/>
              <w:bidi w:val="0"/>
              <w:spacing w:before="0" w:after="283"/>
              <w:ind w:left="0" w:right="0" w:hanging="0"/>
              <w:jc w:val="left"/>
              <w:rPr>
                <w:sz w:val="4"/>
                <w:szCs w:val="4"/>
              </w:rPr>
            </w:pPr>
            <w:r>
              <w:rPr>
                <w:sz w:val="4"/>
                <w:szCs w:val="4"/>
              </w:rPr>
            </w:r>
          </w:p>
        </w:tc>
      </w:tr>
      <w:tr>
        <w:trPr/>
        <w:tc>
          <w:tcPr>
            <w:tcW w:w="685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827"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(Thousands, except share</w:t>
            </w:r>
          </w:p>
        </w:tc>
        <w:tc>
          <w:tcPr>
            <w:tcW w:w="193" w:type="dxa"/>
            <w:tcBorders/>
            <w:vAlign w:val="center"/>
          </w:tcPr>
          <w:p>
            <w:pPr>
              <w:pStyle w:val="TableContents"/>
              <w:bidi w:val="0"/>
              <w:spacing w:before="0" w:after="0"/>
              <w:ind w:left="0" w:right="0" w:hanging="0"/>
              <w:jc w:val="center"/>
              <w:rPr/>
            </w:pPr>
            <w:r>
              <w:rPr/>
              <w:t> </w:t>
            </w:r>
          </w:p>
        </w:tc>
      </w:tr>
      <w:tr>
        <w:trPr/>
        <w:tc>
          <w:tcPr>
            <w:tcW w:w="685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827"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amounts)</w:t>
            </w:r>
          </w:p>
        </w:tc>
        <w:tc>
          <w:tcPr>
            <w:tcW w:w="193" w:type="dxa"/>
            <w:tcBorders/>
            <w:vAlign w:val="center"/>
          </w:tcPr>
          <w:p>
            <w:pPr>
              <w:pStyle w:val="TableContents"/>
              <w:bidi w:val="0"/>
              <w:spacing w:before="0" w:after="0"/>
              <w:ind w:left="0" w:right="0" w:hanging="0"/>
              <w:jc w:val="center"/>
              <w:rPr/>
            </w:pPr>
            <w:r>
              <w:rPr/>
              <w:t> </w:t>
            </w:r>
          </w:p>
        </w:tc>
      </w:tr>
      <w:tr>
        <w:trPr/>
        <w:tc>
          <w:tcPr>
            <w:tcW w:w="6859" w:type="dxa"/>
            <w:tcBorders/>
            <w:shd w:fill="CCEE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ASSETS</w:t>
            </w:r>
          </w:p>
        </w:tc>
        <w:tc>
          <w:tcPr>
            <w:tcW w:w="326" w:type="dxa"/>
            <w:tcBorders/>
            <w:shd w:fill="CCEEFF" w:val="clear"/>
            <w:vAlign w:val="center"/>
          </w:tcPr>
          <w:p>
            <w:pPr>
              <w:pStyle w:val="TableContents"/>
              <w:bidi w:val="0"/>
              <w:spacing w:before="0" w:after="0"/>
              <w:ind w:left="0" w:right="0" w:hanging="0"/>
              <w:jc w:val="center"/>
              <w:rPr/>
            </w:pPr>
            <w:r>
              <w:rPr/>
              <w:t>​</w:t>
            </w:r>
          </w:p>
        </w:tc>
        <w:tc>
          <w:tcPr>
            <w:tcW w:w="212" w:type="dxa"/>
            <w:tcBorders/>
            <w:shd w:fill="CCEEFF" w:val="clear"/>
            <w:vAlign w:val="center"/>
          </w:tcPr>
          <w:p>
            <w:pPr>
              <w:pStyle w:val="TableContents"/>
              <w:bidi w:val="0"/>
              <w:spacing w:before="0" w:after="0"/>
              <w:ind w:left="0" w:right="0" w:hanging="0"/>
              <w:jc w:val="right"/>
              <w:rPr/>
            </w:pPr>
            <w:r>
              <w:rPr/>
              <w:t>​</w:t>
            </w:r>
          </w:p>
        </w:tc>
        <w:tc>
          <w:tcPr>
            <w:tcW w:w="104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68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32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right"/>
              <w:rPr/>
            </w:pPr>
            <w:r>
              <w:rPr/>
              <w:t>​</w:t>
            </w:r>
          </w:p>
        </w:tc>
        <w:tc>
          <w:tcPr>
            <w:tcW w:w="104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1036" w:type="dxa"/>
            <w:tcBorders/>
            <w:vAlign w:val="center"/>
          </w:tcPr>
          <w:p>
            <w:pPr>
              <w:pStyle w:val="TableContents"/>
              <w:bidi w:val="0"/>
              <w:spacing w:before="0" w:after="0"/>
              <w:ind w:left="0" w:right="0" w:hanging="0"/>
              <w:jc w:val="right"/>
              <w:rPr/>
            </w:pPr>
            <w:r>
              <w:rPr/>
              <w:t>​</w:t>
            </w:r>
          </w:p>
        </w:tc>
        <w:tc>
          <w:tcPr>
            <w:tcW w:w="193" w:type="dxa"/>
            <w:tcBorders/>
            <w:vAlign w:val="center"/>
          </w:tcPr>
          <w:p>
            <w:pPr>
              <w:pStyle w:val="TableContents"/>
              <w:bidi w:val="0"/>
              <w:spacing w:before="0" w:after="0"/>
              <w:ind w:left="0" w:right="0" w:hanging="0"/>
              <w:jc w:val="left"/>
              <w:rPr/>
            </w:pPr>
            <w:r>
              <w:rPr/>
              <w:t>​</w:t>
            </w:r>
          </w:p>
        </w:tc>
      </w:tr>
      <w:tr>
        <w:trPr/>
        <w:tc>
          <w:tcPr>
            <w:tcW w:w="68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272,850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288,230</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68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Receivables</w:t>
            </w:r>
          </w:p>
        </w:tc>
        <w:tc>
          <w:tcPr>
            <w:tcW w:w="32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right"/>
              <w:rPr/>
            </w:pPr>
            <w:r>
              <w:rPr/>
              <w:t> </w:t>
            </w:r>
          </w:p>
        </w:tc>
        <w:tc>
          <w:tcPr>
            <w:tcW w:w="10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4,508,742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4,763,788</w:t>
            </w:r>
          </w:p>
        </w:tc>
        <w:tc>
          <w:tcPr>
            <w:tcW w:w="193" w:type="dxa"/>
            <w:tcBorders/>
            <w:vAlign w:val="center"/>
          </w:tcPr>
          <w:p>
            <w:pPr>
              <w:pStyle w:val="TableContents"/>
              <w:bidi w:val="0"/>
              <w:spacing w:before="0" w:after="0"/>
              <w:ind w:left="0" w:right="0" w:hanging="0"/>
              <w:jc w:val="left"/>
              <w:rPr/>
            </w:pPr>
            <w:r>
              <w:rPr/>
              <w:t>​</w:t>
            </w:r>
          </w:p>
        </w:tc>
      </w:tr>
      <w:tr>
        <w:trPr/>
        <w:tc>
          <w:tcPr>
            <w:tcW w:w="68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Inventories</w:t>
            </w:r>
          </w:p>
        </w:tc>
        <w:tc>
          <w:tcPr>
            <w:tcW w:w="32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right"/>
              <w:rPr/>
            </w:pPr>
            <w:r>
              <w:rPr/>
              <w:t> </w:t>
            </w:r>
          </w:p>
        </w:tc>
        <w:tc>
          <w:tcPr>
            <w:tcW w:w="10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6,115,999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5,465,031</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68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and other current assets</w:t>
            </w:r>
          </w:p>
        </w:tc>
        <w:tc>
          <w:tcPr>
            <w:tcW w:w="326" w:type="dxa"/>
            <w:tcBorders/>
            <w:vAlign w:val="center"/>
          </w:tcPr>
          <w:p>
            <w:pPr>
              <w:pStyle w:val="TableContents"/>
              <w:bidi w:val="0"/>
              <w:spacing w:before="0" w:after="0"/>
              <w:ind w:left="0" w:right="0" w:hanging="0"/>
              <w:jc w:val="left"/>
              <w:rPr/>
            </w:pPr>
            <w:r>
              <w:rPr/>
              <w:t>​</w:t>
            </w:r>
          </w:p>
        </w:tc>
        <w:tc>
          <w:tcPr>
            <w:tcW w:w="212"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c>
          <w:tcPr>
            <w:tcW w:w="1042"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241,371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c>
          <w:tcPr>
            <w:tcW w:w="1036"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233,804</w:t>
            </w:r>
          </w:p>
        </w:tc>
        <w:tc>
          <w:tcPr>
            <w:tcW w:w="193" w:type="dxa"/>
            <w:tcBorders/>
            <w:vAlign w:val="center"/>
          </w:tcPr>
          <w:p>
            <w:pPr>
              <w:pStyle w:val="TableContents"/>
              <w:bidi w:val="0"/>
              <w:spacing w:before="0" w:after="0"/>
              <w:ind w:left="0" w:right="0" w:hanging="0"/>
              <w:jc w:val="left"/>
              <w:rPr/>
            </w:pPr>
            <w:r>
              <w:rPr/>
              <w:t>​</w:t>
            </w:r>
          </w:p>
        </w:tc>
      </w:tr>
      <w:tr>
        <w:trPr/>
        <w:tc>
          <w:tcPr>
            <w:tcW w:w="68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right"/>
              <w:rPr/>
            </w:pPr>
            <w:r>
              <w:rPr/>
              <w:t> </w:t>
            </w:r>
          </w:p>
        </w:tc>
        <w:tc>
          <w:tcPr>
            <w:tcW w:w="10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11,138,962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10,750,853</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68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plant and equipment, net</w:t>
            </w:r>
          </w:p>
        </w:tc>
        <w:tc>
          <w:tcPr>
            <w:tcW w:w="32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right"/>
              <w:rPr/>
            </w:pPr>
            <w:r>
              <w:rPr/>
              <w:t> </w:t>
            </w:r>
          </w:p>
        </w:tc>
        <w:tc>
          <w:tcPr>
            <w:tcW w:w="10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563,758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441,557</w:t>
            </w:r>
          </w:p>
        </w:tc>
        <w:tc>
          <w:tcPr>
            <w:tcW w:w="193" w:type="dxa"/>
            <w:tcBorders/>
            <w:vAlign w:val="center"/>
          </w:tcPr>
          <w:p>
            <w:pPr>
              <w:pStyle w:val="TableContents"/>
              <w:bidi w:val="0"/>
              <w:spacing w:before="0" w:after="0"/>
              <w:ind w:left="0" w:right="0" w:hanging="0"/>
              <w:jc w:val="left"/>
              <w:rPr/>
            </w:pPr>
            <w:r>
              <w:rPr/>
              <w:t>​</w:t>
            </w:r>
          </w:p>
        </w:tc>
      </w:tr>
      <w:tr>
        <w:trPr/>
        <w:tc>
          <w:tcPr>
            <w:tcW w:w="68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w:t>
            </w:r>
          </w:p>
        </w:tc>
        <w:tc>
          <w:tcPr>
            <w:tcW w:w="32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right"/>
              <w:rPr/>
            </w:pPr>
            <w:r>
              <w:rPr/>
              <w:t> </w:t>
            </w:r>
          </w:p>
        </w:tc>
        <w:tc>
          <w:tcPr>
            <w:tcW w:w="10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787,007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780,629</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68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assets</w:t>
            </w:r>
          </w:p>
        </w:tc>
        <w:tc>
          <w:tcPr>
            <w:tcW w:w="32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right"/>
              <w:rPr/>
            </w:pPr>
            <w:r>
              <w:rPr/>
              <w:t>​</w:t>
            </w:r>
          </w:p>
        </w:tc>
        <w:tc>
          <w:tcPr>
            <w:tcW w:w="10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227,145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221,698</w:t>
            </w:r>
          </w:p>
        </w:tc>
        <w:tc>
          <w:tcPr>
            <w:tcW w:w="193" w:type="dxa"/>
            <w:tcBorders/>
            <w:vAlign w:val="center"/>
          </w:tcPr>
          <w:p>
            <w:pPr>
              <w:pStyle w:val="TableContents"/>
              <w:bidi w:val="0"/>
              <w:spacing w:before="0" w:after="0"/>
              <w:ind w:left="0" w:right="0" w:hanging="0"/>
              <w:jc w:val="left"/>
              <w:rPr/>
            </w:pPr>
            <w:r>
              <w:rPr/>
              <w:t>​</w:t>
            </w:r>
          </w:p>
        </w:tc>
      </w:tr>
      <w:tr>
        <w:trPr/>
        <w:tc>
          <w:tcPr>
            <w:tcW w:w="68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2"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1042"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280,302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1036"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282,422</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68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26" w:type="dxa"/>
            <w:tcBorders/>
            <w:vAlign w:val="center"/>
          </w:tcPr>
          <w:p>
            <w:pPr>
              <w:pStyle w:val="TableContents"/>
              <w:bidi w:val="0"/>
              <w:spacing w:before="0" w:after="0"/>
              <w:ind w:left="0" w:right="0" w:hanging="0"/>
              <w:jc w:val="left"/>
              <w:rPr/>
            </w:pPr>
            <w:r>
              <w:rPr/>
              <w:t>​</w:t>
            </w:r>
          </w:p>
        </w:tc>
        <w:tc>
          <w:tcPr>
            <w:tcW w:w="21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12,997,174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12,477,159</w:t>
            </w:r>
          </w:p>
        </w:tc>
        <w:tc>
          <w:tcPr>
            <w:tcW w:w="193" w:type="dxa"/>
            <w:tcBorders/>
            <w:vAlign w:val="center"/>
          </w:tcPr>
          <w:p>
            <w:pPr>
              <w:pStyle w:val="TableContents"/>
              <w:bidi w:val="0"/>
              <w:spacing w:before="0" w:after="0"/>
              <w:ind w:left="0" w:right="0" w:hanging="0"/>
              <w:jc w:val="left"/>
              <w:rPr/>
            </w:pPr>
            <w:r>
              <w:rPr/>
              <w:t>​</w:t>
            </w:r>
          </w:p>
        </w:tc>
      </w:tr>
      <w:tr>
        <w:trPr/>
        <w:tc>
          <w:tcPr>
            <w:tcW w:w="6859" w:type="dxa"/>
            <w:tcBorders/>
            <w:shd w:fill="CCEE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LIABILITIES AND SHAREHOLDERS’ EQUITY</w:t>
            </w:r>
          </w:p>
        </w:tc>
        <w:tc>
          <w:tcPr>
            <w:tcW w:w="326" w:type="dxa"/>
            <w:tcBorders/>
            <w:shd w:fill="CCEEFF" w:val="clear"/>
            <w:vAlign w:val="center"/>
          </w:tcPr>
          <w:p>
            <w:pPr>
              <w:pStyle w:val="TableContents"/>
              <w:bidi w:val="0"/>
              <w:spacing w:before="0" w:after="0"/>
              <w:ind w:left="0" w:right="0" w:hanging="0"/>
              <w:jc w:val="center"/>
              <w:rPr/>
            </w:pPr>
            <w:r>
              <w:rPr/>
              <w:t>​</w:t>
            </w:r>
          </w:p>
        </w:tc>
        <w:tc>
          <w:tcPr>
            <w:tcW w:w="212" w:type="dxa"/>
            <w:tcBorders/>
            <w:shd w:fill="CCEEFF" w:val="clear"/>
            <w:vAlign w:val="center"/>
          </w:tcPr>
          <w:p>
            <w:pPr>
              <w:pStyle w:val="TableContents"/>
              <w:bidi w:val="0"/>
              <w:spacing w:before="0" w:after="0"/>
              <w:ind w:left="0" w:right="0" w:hanging="0"/>
              <w:jc w:val="right"/>
              <w:rPr/>
            </w:pPr>
            <w:r>
              <w:rPr/>
              <w:t>​</w:t>
            </w:r>
          </w:p>
        </w:tc>
        <w:tc>
          <w:tcPr>
            <w:tcW w:w="104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68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32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right"/>
              <w:rPr/>
            </w:pPr>
            <w:r>
              <w:rPr/>
              <w:t>​</w:t>
            </w:r>
          </w:p>
        </w:tc>
        <w:tc>
          <w:tcPr>
            <w:tcW w:w="104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1036" w:type="dxa"/>
            <w:tcBorders/>
            <w:vAlign w:val="center"/>
          </w:tcPr>
          <w:p>
            <w:pPr>
              <w:pStyle w:val="TableContents"/>
              <w:bidi w:val="0"/>
              <w:spacing w:before="0" w:after="0"/>
              <w:ind w:left="0" w:right="0" w:hanging="0"/>
              <w:jc w:val="right"/>
              <w:rPr/>
            </w:pPr>
            <w:r>
              <w:rPr/>
              <w:t>​</w:t>
            </w:r>
          </w:p>
        </w:tc>
        <w:tc>
          <w:tcPr>
            <w:tcW w:w="193" w:type="dxa"/>
            <w:tcBorders/>
            <w:vAlign w:val="center"/>
          </w:tcPr>
          <w:p>
            <w:pPr>
              <w:pStyle w:val="TableContents"/>
              <w:bidi w:val="0"/>
              <w:spacing w:before="0" w:after="0"/>
              <w:ind w:left="0" w:right="0" w:hanging="0"/>
              <w:jc w:val="left"/>
              <w:rPr/>
            </w:pPr>
            <w:r>
              <w:rPr/>
              <w:t>​</w:t>
            </w:r>
          </w:p>
        </w:tc>
      </w:tr>
      <w:tr>
        <w:trPr/>
        <w:tc>
          <w:tcPr>
            <w:tcW w:w="68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debt</w:t>
            </w:r>
          </w:p>
        </w:tc>
        <w:tc>
          <w:tcPr>
            <w:tcW w:w="32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696,329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70,636</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68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2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right"/>
              <w:rPr/>
            </w:pPr>
            <w:r>
              <w:rPr/>
              <w:t> </w:t>
            </w:r>
          </w:p>
        </w:tc>
        <w:tc>
          <w:tcPr>
            <w:tcW w:w="10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3,308,060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3,373,820</w:t>
            </w:r>
          </w:p>
        </w:tc>
        <w:tc>
          <w:tcPr>
            <w:tcW w:w="193" w:type="dxa"/>
            <w:tcBorders/>
            <w:vAlign w:val="center"/>
          </w:tcPr>
          <w:p>
            <w:pPr>
              <w:pStyle w:val="TableContents"/>
              <w:bidi w:val="0"/>
              <w:spacing w:before="0" w:after="0"/>
              <w:ind w:left="0" w:right="0" w:hanging="0"/>
              <w:jc w:val="left"/>
              <w:rPr/>
            </w:pPr>
            <w:r>
              <w:rPr/>
              <w:t>​</w:t>
            </w:r>
          </w:p>
        </w:tc>
      </w:tr>
      <w:tr>
        <w:trPr/>
        <w:tc>
          <w:tcPr>
            <w:tcW w:w="68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expenses and other</w:t>
            </w:r>
          </w:p>
        </w:tc>
        <w:tc>
          <w:tcPr>
            <w:tcW w:w="32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right"/>
              <w:rPr/>
            </w:pPr>
            <w:r>
              <w:rPr/>
              <w:t>​</w:t>
            </w:r>
          </w:p>
        </w:tc>
        <w:tc>
          <w:tcPr>
            <w:tcW w:w="10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705,745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753,130</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68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operating lease liabilities</w:t>
            </w:r>
          </w:p>
        </w:tc>
        <w:tc>
          <w:tcPr>
            <w:tcW w:w="326" w:type="dxa"/>
            <w:tcBorders/>
            <w:vAlign w:val="center"/>
          </w:tcPr>
          <w:p>
            <w:pPr>
              <w:pStyle w:val="TableContents"/>
              <w:bidi w:val="0"/>
              <w:spacing w:before="0" w:after="0"/>
              <w:ind w:left="0" w:right="0" w:hanging="0"/>
              <w:jc w:val="left"/>
              <w:rPr/>
            </w:pPr>
            <w:r>
              <w:rPr/>
              <w:t>​</w:t>
            </w:r>
          </w:p>
        </w:tc>
        <w:tc>
          <w:tcPr>
            <w:tcW w:w="212"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c>
          <w:tcPr>
            <w:tcW w:w="1042"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55,424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c>
          <w:tcPr>
            <w:tcW w:w="1036"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51,792</w:t>
            </w:r>
          </w:p>
        </w:tc>
        <w:tc>
          <w:tcPr>
            <w:tcW w:w="193" w:type="dxa"/>
            <w:tcBorders/>
            <w:vAlign w:val="center"/>
          </w:tcPr>
          <w:p>
            <w:pPr>
              <w:pStyle w:val="TableContents"/>
              <w:bidi w:val="0"/>
              <w:spacing w:before="0" w:after="0"/>
              <w:ind w:left="0" w:right="0" w:hanging="0"/>
              <w:jc w:val="left"/>
              <w:rPr/>
            </w:pPr>
            <w:r>
              <w:rPr/>
              <w:t>​</w:t>
            </w:r>
          </w:p>
        </w:tc>
      </w:tr>
      <w:tr>
        <w:trPr/>
        <w:tc>
          <w:tcPr>
            <w:tcW w:w="68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right"/>
              <w:rPr/>
            </w:pPr>
            <w:r>
              <w:rPr/>
              <w:t> </w:t>
            </w:r>
          </w:p>
        </w:tc>
        <w:tc>
          <w:tcPr>
            <w:tcW w:w="10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4,765,558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4,249,378</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68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debt</w:t>
            </w:r>
          </w:p>
        </w:tc>
        <w:tc>
          <w:tcPr>
            <w:tcW w:w="32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right"/>
              <w:rPr/>
            </w:pPr>
            <w:r>
              <w:rPr/>
              <w:t> </w:t>
            </w:r>
          </w:p>
        </w:tc>
        <w:tc>
          <w:tcPr>
            <w:tcW w:w="10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2,753,521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2,988,029</w:t>
            </w:r>
          </w:p>
        </w:tc>
        <w:tc>
          <w:tcPr>
            <w:tcW w:w="193" w:type="dxa"/>
            <w:tcBorders/>
            <w:vAlign w:val="center"/>
          </w:tcPr>
          <w:p>
            <w:pPr>
              <w:pStyle w:val="TableContents"/>
              <w:bidi w:val="0"/>
              <w:spacing w:before="0" w:after="0"/>
              <w:ind w:left="0" w:right="0" w:hanging="0"/>
              <w:jc w:val="left"/>
              <w:rPr/>
            </w:pPr>
            <w:r>
              <w:rPr/>
              <w:t>​</w:t>
            </w:r>
          </w:p>
        </w:tc>
      </w:tr>
      <w:tr>
        <w:trPr/>
        <w:tc>
          <w:tcPr>
            <w:tcW w:w="68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operating lease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right"/>
              <w:rPr/>
            </w:pPr>
            <w:r>
              <w:rPr/>
              <w:t>​</w:t>
            </w:r>
          </w:p>
        </w:tc>
        <w:tc>
          <w:tcPr>
            <w:tcW w:w="10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191,521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190,621</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68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liabilities</w:t>
            </w:r>
          </w:p>
        </w:tc>
        <w:tc>
          <w:tcPr>
            <w:tcW w:w="326" w:type="dxa"/>
            <w:tcBorders/>
            <w:vAlign w:val="center"/>
          </w:tcPr>
          <w:p>
            <w:pPr>
              <w:pStyle w:val="TableContents"/>
              <w:bidi w:val="0"/>
              <w:spacing w:before="0" w:after="0"/>
              <w:ind w:left="0" w:right="0" w:hanging="0"/>
              <w:jc w:val="left"/>
              <w:rPr/>
            </w:pPr>
            <w:r>
              <w:rPr/>
              <w:t>​</w:t>
            </w:r>
          </w:p>
        </w:tc>
        <w:tc>
          <w:tcPr>
            <w:tcW w:w="212"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c>
          <w:tcPr>
            <w:tcW w:w="1042"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276,191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c>
          <w:tcPr>
            <w:tcW w:w="1036"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297,462</w:t>
            </w:r>
          </w:p>
        </w:tc>
        <w:tc>
          <w:tcPr>
            <w:tcW w:w="193" w:type="dxa"/>
            <w:tcBorders/>
            <w:vAlign w:val="center"/>
          </w:tcPr>
          <w:p>
            <w:pPr>
              <w:pStyle w:val="TableContents"/>
              <w:bidi w:val="0"/>
              <w:spacing w:before="0" w:after="0"/>
              <w:ind w:left="0" w:right="0" w:hanging="0"/>
              <w:jc w:val="left"/>
              <w:rPr/>
            </w:pPr>
            <w:r>
              <w:rPr/>
              <w:t>​</w:t>
            </w:r>
          </w:p>
        </w:tc>
      </w:tr>
      <w:tr>
        <w:trPr/>
        <w:tc>
          <w:tcPr>
            <w:tcW w:w="68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2"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1042"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7,986,791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1036"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7,725,490</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68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Commitments and contingencies (Note 7)</w:t>
            </w:r>
          </w:p>
        </w:tc>
        <w:tc>
          <w:tcPr>
            <w:tcW w:w="32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right"/>
              <w:rPr/>
            </w:pPr>
            <w:r>
              <w:rPr/>
              <w:t>​</w:t>
            </w:r>
          </w:p>
        </w:tc>
        <w:tc>
          <w:tcPr>
            <w:tcW w:w="104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1036" w:type="dxa"/>
            <w:tcBorders/>
            <w:vAlign w:val="center"/>
          </w:tcPr>
          <w:p>
            <w:pPr>
              <w:pStyle w:val="TableContents"/>
              <w:bidi w:val="0"/>
              <w:spacing w:before="0" w:after="0"/>
              <w:ind w:left="0" w:right="0" w:hanging="0"/>
              <w:jc w:val="right"/>
              <w:rPr/>
            </w:pPr>
            <w:r>
              <w:rPr/>
              <w:t>​</w:t>
            </w:r>
          </w:p>
        </w:tc>
        <w:tc>
          <w:tcPr>
            <w:tcW w:w="193" w:type="dxa"/>
            <w:tcBorders/>
            <w:vAlign w:val="center"/>
          </w:tcPr>
          <w:p>
            <w:pPr>
              <w:pStyle w:val="TableContents"/>
              <w:bidi w:val="0"/>
              <w:spacing w:before="0" w:after="0"/>
              <w:ind w:left="0" w:right="0" w:hanging="0"/>
              <w:jc w:val="left"/>
              <w:rPr/>
            </w:pPr>
            <w:r>
              <w:rPr/>
              <w:t>​</w:t>
            </w:r>
          </w:p>
        </w:tc>
      </w:tr>
      <w:tr>
        <w:trPr/>
        <w:tc>
          <w:tcPr>
            <w:tcW w:w="68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right"/>
              <w:rPr/>
            </w:pPr>
            <w:r>
              <w:rPr/>
              <w:t>​</w:t>
            </w:r>
          </w:p>
        </w:tc>
        <w:tc>
          <w:tcPr>
            <w:tcW w:w="104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685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$1.00 par; authorized 300,000,000 shares; issued 89,760,434 shares and 91,504,053 shares, respectively</w:t>
            </w:r>
          </w:p>
        </w:tc>
        <w:tc>
          <w:tcPr>
            <w:tcW w:w="32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right"/>
              <w:rPr/>
            </w:pPr>
            <w:r>
              <w:rPr/>
              <w:t> </w:t>
            </w:r>
          </w:p>
        </w:tc>
        <w:tc>
          <w:tcPr>
            <w:tcW w:w="10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89,760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91,504</w:t>
            </w:r>
          </w:p>
        </w:tc>
        <w:tc>
          <w:tcPr>
            <w:tcW w:w="193" w:type="dxa"/>
            <w:tcBorders/>
            <w:vAlign w:val="center"/>
          </w:tcPr>
          <w:p>
            <w:pPr>
              <w:pStyle w:val="TableContents"/>
              <w:bidi w:val="0"/>
              <w:spacing w:before="0" w:after="0"/>
              <w:ind w:left="0" w:right="0" w:hanging="0"/>
              <w:jc w:val="left"/>
              <w:rPr/>
            </w:pPr>
            <w:r>
              <w:rPr/>
              <w:t>​</w:t>
            </w:r>
          </w:p>
        </w:tc>
      </w:tr>
      <w:tr>
        <w:trPr/>
        <w:tc>
          <w:tcPr>
            <w:tcW w:w="68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32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right"/>
              <w:rPr/>
            </w:pPr>
            <w:r>
              <w:rPr/>
              <w:t> </w:t>
            </w:r>
          </w:p>
        </w:tc>
        <w:tc>
          <w:tcPr>
            <w:tcW w:w="10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1,713,881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1,691,334</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68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Retained earnings</w:t>
            </w:r>
          </w:p>
        </w:tc>
        <w:tc>
          <w:tcPr>
            <w:tcW w:w="32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right"/>
              <w:rPr/>
            </w:pPr>
            <w:r>
              <w:rPr/>
              <w:t> </w:t>
            </w:r>
          </w:p>
        </w:tc>
        <w:tc>
          <w:tcPr>
            <w:tcW w:w="10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3,564,195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3,378,212</w:t>
            </w:r>
          </w:p>
        </w:tc>
        <w:tc>
          <w:tcPr>
            <w:tcW w:w="193" w:type="dxa"/>
            <w:tcBorders/>
            <w:vAlign w:val="center"/>
          </w:tcPr>
          <w:p>
            <w:pPr>
              <w:pStyle w:val="TableContents"/>
              <w:bidi w:val="0"/>
              <w:spacing w:before="0" w:after="0"/>
              <w:ind w:left="0" w:right="0" w:hanging="0"/>
              <w:jc w:val="left"/>
              <w:rPr/>
            </w:pPr>
            <w:r>
              <w:rPr/>
              <w:t>​</w:t>
            </w:r>
          </w:p>
        </w:tc>
      </w:tr>
      <w:tr>
        <w:trPr/>
        <w:tc>
          <w:tcPr>
            <w:tcW w:w="68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loss</w:t>
            </w:r>
          </w:p>
        </w:tc>
        <w:tc>
          <w:tcPr>
            <w:tcW w:w="326" w:type="dxa"/>
            <w:tcBorders/>
            <w:shd w:fill="CCEEFF" w:val="clear"/>
            <w:vAlign w:val="center"/>
          </w:tcPr>
          <w:p>
            <w:pPr>
              <w:pStyle w:val="TableContents"/>
              <w:bidi w:val="0"/>
              <w:spacing w:before="0" w:after="0"/>
              <w:ind w:left="0" w:right="0" w:hanging="0"/>
              <w:jc w:val="left"/>
              <w:rPr/>
            </w:pPr>
            <w:r>
              <w:rPr/>
              <w:t>​</w:t>
            </w:r>
          </w:p>
        </w:tc>
        <w:tc>
          <w:tcPr>
            <w:tcW w:w="212"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1042"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(357,453)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1036"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(409,381)</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68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shareholders’ equity</w:t>
            </w:r>
          </w:p>
        </w:tc>
        <w:tc>
          <w:tcPr>
            <w:tcW w:w="326" w:type="dxa"/>
            <w:tcBorders/>
            <w:vAlign w:val="center"/>
          </w:tcPr>
          <w:p>
            <w:pPr>
              <w:pStyle w:val="TableContents"/>
              <w:bidi w:val="0"/>
              <w:spacing w:before="0" w:after="0"/>
              <w:ind w:left="0" w:right="0" w:hanging="0"/>
              <w:jc w:val="left"/>
              <w:rPr/>
            </w:pPr>
            <w:r>
              <w:rPr/>
              <w:t>​</w:t>
            </w:r>
          </w:p>
        </w:tc>
        <w:tc>
          <w:tcPr>
            <w:tcW w:w="212"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c>
          <w:tcPr>
            <w:tcW w:w="1042"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5,010,383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c>
          <w:tcPr>
            <w:tcW w:w="1036"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4,751,669</w:t>
            </w:r>
          </w:p>
        </w:tc>
        <w:tc>
          <w:tcPr>
            <w:tcW w:w="193" w:type="dxa"/>
            <w:tcBorders/>
            <w:vAlign w:val="center"/>
          </w:tcPr>
          <w:p>
            <w:pPr>
              <w:pStyle w:val="TableContents"/>
              <w:bidi w:val="0"/>
              <w:spacing w:before="0" w:after="0"/>
              <w:ind w:left="0" w:right="0" w:hanging="0"/>
              <w:jc w:val="left"/>
              <w:rPr/>
            </w:pPr>
            <w:r>
              <w:rPr/>
              <w:t>​</w:t>
            </w:r>
          </w:p>
        </w:tc>
      </w:tr>
      <w:tr>
        <w:trPr/>
        <w:tc>
          <w:tcPr>
            <w:tcW w:w="68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 and shareholders’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21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12,997,174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12,477,159</w:t>
            </w:r>
          </w:p>
        </w:tc>
        <w:tc>
          <w:tcPr>
            <w:tcW w:w="193"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notes to consolidated financial statements.</w:t>
      </w:r>
    </w:p>
    <w:p>
      <w:pPr>
        <w:pStyle w:val="TextBody"/>
        <w:bidi w:val="0"/>
        <w:spacing w:before="0" w:after="0"/>
        <w:ind w:left="0" w:right="0" w:hanging="0"/>
        <w:jc w:val="center"/>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lineRule="auto" w:line="343"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39" w:name="Consolidated_Statements_of_Operations"/>
      <w:bookmarkStart w:id="140" w:name="_43f2bcfd_34e8_42cb_b398_9e275ba9ed3c"/>
      <w:bookmarkEnd w:id="139"/>
      <w:bookmarkEnd w:id="140"/>
      <w:r>
        <w:rPr>
          <w:rFonts w:ascii="Times New Roman;Times;serif" w:hAnsi="Times New Roman;Times;serif"/>
          <w:b/>
          <w:sz w:val="20"/>
        </w:rPr>
        <w:t>AVNET,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STATEMENTS OF OPERATIONS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41" w:name="Tc_Kgn1J5pzjke_Qrjy0dMf6A_25_11"/>
      <w:bookmarkStart w:id="142" w:name="Tc_11hKN9qN9UK5PmJvpeBAVg_25_8"/>
      <w:bookmarkStart w:id="143" w:name="Tc_YTWAcEpP7EKCZ-zJB7E3yA_25_5"/>
      <w:bookmarkStart w:id="144" w:name="Tc_XMUx4bRHjkyzASSrqcxL7A_25_2"/>
      <w:bookmarkStart w:id="145" w:name="Tc_OKqaU_iUTE2JlV7CLa3lKA_25_0"/>
      <w:bookmarkStart w:id="146" w:name="Tc_bHBntIHXCE65L3y7PtVcNg_24_0"/>
      <w:bookmarkStart w:id="147" w:name="Tc_Bppt9dj8vk24uF-MLS9yLA_23_0"/>
      <w:bookmarkStart w:id="148" w:name="Tc_pNOug7t7mUGEO9dqH8NLkw_22_0"/>
      <w:bookmarkStart w:id="149" w:name="Tc_gVcJ9zVPd0WxenxetOaSZQ_20_11"/>
      <w:bookmarkStart w:id="150" w:name="Tc_5JciBs11EUO27_sw3cKOUA_20_8"/>
      <w:bookmarkStart w:id="151" w:name="Tc_wEPwN6APvkynK5mg8NcgvA_20_5"/>
      <w:bookmarkStart w:id="152" w:name="Tc_l0inojo58UWD-iq2ug7Kog_20_2"/>
      <w:bookmarkStart w:id="153" w:name="Tc_kb0cKO3_zkCEbiIxOqCFPA_20_0"/>
      <w:bookmarkStart w:id="154" w:name="Tc_K67ncY_UiUGz6JIek2wdzw_19_11"/>
      <w:bookmarkStart w:id="155" w:name="Tc_5YZCce79gkafydaNwdAmVg_19_8"/>
      <w:bookmarkStart w:id="156" w:name="Tc_zWYAu-jED0CvZJQHXgMN2g_19_5"/>
      <w:bookmarkStart w:id="157" w:name="Tc_MwMBp2IlCEeiNNYLkvk-0A_19_2"/>
      <w:bookmarkStart w:id="158" w:name="Tc_eNDsJVstmkK7eM-xct6eWA_19_0"/>
      <w:bookmarkStart w:id="159" w:name="Tc_OHAZf8EhyUGoHW9McBjsjQ_18_0"/>
      <w:bookmarkStart w:id="160" w:name="Tc_NnCYpt1_vk2Fh79i-9LPfg_16_11"/>
      <w:bookmarkStart w:id="161" w:name="Tc_yPSnmGz9Mk-zL5gTJBMGug_16_8"/>
      <w:bookmarkStart w:id="162" w:name="Tc_iXtYz1SNJE-QXj24qYVJ8g_16_5"/>
      <w:bookmarkStart w:id="163" w:name="Tc_xWp214DB6keEJ-_tPnOPuw_16_2"/>
      <w:bookmarkStart w:id="164" w:name="Tc_2l3bgKqkT0ybWAWN6ihwKA_16_0"/>
      <w:bookmarkStart w:id="165" w:name="Tc_xqKLdhw2E066tJunWKTkeQ_15_0"/>
      <w:bookmarkStart w:id="166" w:name="Tc_357RcUjitk--D9P6NdEp5g_14_0"/>
      <w:bookmarkStart w:id="167" w:name="Tc_PbmqlferuUW4ALa91aDL3Q_13_3"/>
      <w:bookmarkStart w:id="168" w:name="Tc_lwLLtT7POkqPmvhGLjUCfA_13_0"/>
      <w:bookmarkStart w:id="169" w:name="Tc_Vb4cx6Q790ewrPohb9sXWA_12_0"/>
      <w:bookmarkStart w:id="170" w:name="Tc_6pBFPe4xL0imtvgNn5Ikzg_11_0"/>
      <w:bookmarkStart w:id="171" w:name="Tc_Bjfi1dJ0x0uPYpW456VXaQ_10_0"/>
      <w:bookmarkStart w:id="172" w:name="Tc_VVqWkMJY2EGHvtrBJhc6jg_9_12"/>
      <w:bookmarkStart w:id="173" w:name="Tc_ngoBLdGZn0yNYpBSA4x1zw_9_6"/>
      <w:bookmarkStart w:id="174" w:name="Tc_yMzAeb72QkeSS-mH_KXIkA_9_0"/>
      <w:bookmarkStart w:id="175" w:name="Tc_WXRUsQsX0EisOESKLIciAw_8_0"/>
      <w:bookmarkStart w:id="176" w:name="Tc_p5KdE_meJEWlMiO5VnLgjQ_7_0"/>
      <w:bookmarkStart w:id="177" w:name="Tc_FNBOYohJLEOQ666mjqRDyQ_5_11"/>
      <w:bookmarkStart w:id="178" w:name="Tc_4W9d4Hs49EmJMQxlw0KViA_5_8"/>
      <w:bookmarkStart w:id="179" w:name="Tc_WZlQSsOBOEeSFYA5ROCx3Q_5_5"/>
      <w:bookmarkStart w:id="180" w:name="Tc_YvduTYzp90O_-SXL_vU_xw_5_2"/>
      <w:bookmarkStart w:id="181" w:name="Tc_G1UjTDAvo0Wuqg-MOvRp-w_4_2"/>
      <w:bookmarkStart w:id="182" w:name="Tc_9ima1SATikuGMB2kwAMezw_3_11"/>
      <w:bookmarkStart w:id="183" w:name="Tc_8iTc-aed4UGDpPJd45o99w_3_8"/>
      <w:bookmarkStart w:id="184" w:name="Tc_cHqqa8xQJkau_YoDVQ2AJA_3_5"/>
      <w:bookmarkStart w:id="185" w:name="Tc_wIkLWD4sekqdlJRvj1Ly-A_3_2"/>
      <w:bookmarkStart w:id="186" w:name="Tc_ZdVmhfsnMU6QZAP9iO_sHw_2_11"/>
      <w:bookmarkStart w:id="187" w:name="Tc_93B4zglwf023qGMUwiOfIw_2_8"/>
      <w:bookmarkStart w:id="188" w:name="Tc_KETRbf3YNk2iyzHQVqzRrQ_2_5"/>
      <w:bookmarkStart w:id="189" w:name="Tc_4t8NJJ7b_EyiUMc7O0Dj2g_2_2"/>
      <w:bookmarkStart w:id="190" w:name="Tc_WXlVxcvEGkmroeRmarME5A_1_8"/>
      <w:bookmarkStart w:id="191" w:name="Tc_8nplrWJtu0uFL-7HpgsYcQ_1_2"/>
      <w:bookmarkStart w:id="192" w:name="_bd213b61_9e67_4cc3_b848_10041952f92a"/>
      <w:bookmarkStart w:id="193" w:name="Tc_Kgn1J5pzjke_Qrjy0dMf6A_25_11"/>
      <w:bookmarkStart w:id="194" w:name="Tc_11hKN9qN9UK5PmJvpeBAVg_25_8"/>
      <w:bookmarkStart w:id="195" w:name="Tc_YTWAcEpP7EKCZ-zJB7E3yA_25_5"/>
      <w:bookmarkStart w:id="196" w:name="Tc_XMUx4bRHjkyzASSrqcxL7A_25_2"/>
      <w:bookmarkStart w:id="197" w:name="Tc_OKqaU_iUTE2JlV7CLa3lKA_25_0"/>
      <w:bookmarkStart w:id="198" w:name="Tc_bHBntIHXCE65L3y7PtVcNg_24_0"/>
      <w:bookmarkStart w:id="199" w:name="Tc_Bppt9dj8vk24uF-MLS9yLA_23_0"/>
      <w:bookmarkStart w:id="200" w:name="Tc_pNOug7t7mUGEO9dqH8NLkw_22_0"/>
      <w:bookmarkStart w:id="201" w:name="Tc_gVcJ9zVPd0WxenxetOaSZQ_20_11"/>
      <w:bookmarkStart w:id="202" w:name="Tc_5JciBs11EUO27_sw3cKOUA_20_8"/>
      <w:bookmarkStart w:id="203" w:name="Tc_wEPwN6APvkynK5mg8NcgvA_20_5"/>
      <w:bookmarkStart w:id="204" w:name="Tc_l0inojo58UWD-iq2ug7Kog_20_2"/>
      <w:bookmarkStart w:id="205" w:name="Tc_kb0cKO3_zkCEbiIxOqCFPA_20_0"/>
      <w:bookmarkStart w:id="206" w:name="Tc_K67ncY_UiUGz6JIek2wdzw_19_11"/>
      <w:bookmarkStart w:id="207" w:name="Tc_5YZCce79gkafydaNwdAmVg_19_8"/>
      <w:bookmarkStart w:id="208" w:name="Tc_zWYAu-jED0CvZJQHXgMN2g_19_5"/>
      <w:bookmarkStart w:id="209" w:name="Tc_MwMBp2IlCEeiNNYLkvk-0A_19_2"/>
      <w:bookmarkStart w:id="210" w:name="Tc_eNDsJVstmkK7eM-xct6eWA_19_0"/>
      <w:bookmarkStart w:id="211" w:name="Tc_OHAZf8EhyUGoHW9McBjsjQ_18_0"/>
      <w:bookmarkStart w:id="212" w:name="Tc_NnCYpt1_vk2Fh79i-9LPfg_16_11"/>
      <w:bookmarkStart w:id="213" w:name="Tc_yPSnmGz9Mk-zL5gTJBMGug_16_8"/>
      <w:bookmarkStart w:id="214" w:name="Tc_iXtYz1SNJE-QXj24qYVJ8g_16_5"/>
      <w:bookmarkStart w:id="215" w:name="Tc_xWp214DB6keEJ-_tPnOPuw_16_2"/>
      <w:bookmarkStart w:id="216" w:name="Tc_2l3bgKqkT0ybWAWN6ihwKA_16_0"/>
      <w:bookmarkStart w:id="217" w:name="Tc_xqKLdhw2E066tJunWKTkeQ_15_0"/>
      <w:bookmarkStart w:id="218" w:name="Tc_357RcUjitk--D9P6NdEp5g_14_0"/>
      <w:bookmarkStart w:id="219" w:name="Tc_PbmqlferuUW4ALa91aDL3Q_13_3"/>
      <w:bookmarkStart w:id="220" w:name="Tc_lwLLtT7POkqPmvhGLjUCfA_13_0"/>
      <w:bookmarkStart w:id="221" w:name="Tc_Vb4cx6Q790ewrPohb9sXWA_12_0"/>
      <w:bookmarkStart w:id="222" w:name="Tc_6pBFPe4xL0imtvgNn5Ikzg_11_0"/>
      <w:bookmarkStart w:id="223" w:name="Tc_Bjfi1dJ0x0uPYpW456VXaQ_10_0"/>
      <w:bookmarkStart w:id="224" w:name="Tc_VVqWkMJY2EGHvtrBJhc6jg_9_12"/>
      <w:bookmarkStart w:id="225" w:name="Tc_ngoBLdGZn0yNYpBSA4x1zw_9_6"/>
      <w:bookmarkStart w:id="226" w:name="Tc_yMzAeb72QkeSS-mH_KXIkA_9_0"/>
      <w:bookmarkStart w:id="227" w:name="Tc_WXRUsQsX0EisOESKLIciAw_8_0"/>
      <w:bookmarkStart w:id="228" w:name="Tc_p5KdE_meJEWlMiO5VnLgjQ_7_0"/>
      <w:bookmarkStart w:id="229" w:name="Tc_FNBOYohJLEOQ666mjqRDyQ_5_11"/>
      <w:bookmarkStart w:id="230" w:name="Tc_4W9d4Hs49EmJMQxlw0KViA_5_8"/>
      <w:bookmarkStart w:id="231" w:name="Tc_WZlQSsOBOEeSFYA5ROCx3Q_5_5"/>
      <w:bookmarkStart w:id="232" w:name="Tc_YvduTYzp90O_-SXL_vU_xw_5_2"/>
      <w:bookmarkStart w:id="233" w:name="Tc_G1UjTDAvo0Wuqg-MOvRp-w_4_2"/>
      <w:bookmarkStart w:id="234" w:name="Tc_9ima1SATikuGMB2kwAMezw_3_11"/>
      <w:bookmarkStart w:id="235" w:name="Tc_8iTc-aed4UGDpPJd45o99w_3_8"/>
      <w:bookmarkStart w:id="236" w:name="Tc_cHqqa8xQJkau_YoDVQ2AJA_3_5"/>
      <w:bookmarkStart w:id="237" w:name="Tc_wIkLWD4sekqdlJRvj1Ly-A_3_2"/>
      <w:bookmarkStart w:id="238" w:name="Tc_ZdVmhfsnMU6QZAP9iO_sHw_2_11"/>
      <w:bookmarkStart w:id="239" w:name="Tc_93B4zglwf023qGMUwiOfIw_2_8"/>
      <w:bookmarkStart w:id="240" w:name="Tc_KETRbf3YNk2iyzHQVqzRrQ_2_5"/>
      <w:bookmarkStart w:id="241" w:name="Tc_4t8NJJ7b_EyiUMc7O0Dj2g_2_2"/>
      <w:bookmarkStart w:id="242" w:name="Tc_WXlVxcvEGkmroeRmarME5A_1_8"/>
      <w:bookmarkStart w:id="243" w:name="Tc_8nplrWJtu0uFL-7HpgsYcQ_1_2"/>
      <w:bookmarkStart w:id="244" w:name="_bd213b61_9e67_4cc3_b848_10041952f92a"/>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p>
    <w:tbl>
      <w:tblPr>
        <w:tblW w:w="10200" w:type="dxa"/>
        <w:jc w:val="left"/>
        <w:tblInd w:w="0" w:type="dxa"/>
        <w:tblLayout w:type="fixed"/>
        <w:tblCellMar>
          <w:top w:w="0" w:type="dxa"/>
          <w:left w:w="0" w:type="dxa"/>
          <w:bottom w:w="0" w:type="dxa"/>
          <w:right w:w="0" w:type="dxa"/>
        </w:tblCellMar>
      </w:tblPr>
      <w:tblGrid>
        <w:gridCol w:w="3811"/>
        <w:gridCol w:w="326"/>
        <w:gridCol w:w="232"/>
        <w:gridCol w:w="1028"/>
        <w:gridCol w:w="326"/>
        <w:gridCol w:w="232"/>
        <w:gridCol w:w="1028"/>
        <w:gridCol w:w="326"/>
        <w:gridCol w:w="213"/>
        <w:gridCol w:w="1047"/>
        <w:gridCol w:w="326"/>
        <w:gridCol w:w="213"/>
        <w:gridCol w:w="1092"/>
      </w:tblGrid>
      <w:tr>
        <w:trPr/>
        <w:tc>
          <w:tcPr>
            <w:tcW w:w="3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2419985" cy="175260"/>
                      <wp:effectExtent l="0" t="0" r="0" b="0"/>
                      <wp:wrapNone/>
                      <wp:docPr id="14" name="Frame14"/>
                      <a:graphic xmlns:a="http://schemas.openxmlformats.org/drawingml/2006/main">
                        <a:graphicData uri="http://schemas.microsoft.com/office/word/2010/wordprocessingShape">
                          <wps:wsp>
                            <wps:cNvSpPr txBox="1"/>
                            <wps:spPr>
                              <a:xfrm>
                                <a:off x="0" y="0"/>
                                <a:ext cx="2419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07010" cy="175260"/>
                      <wp:effectExtent l="0" t="0" r="0" b="0"/>
                      <wp:wrapNone/>
                      <wp:docPr id="15" name="Frame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47320" cy="175260"/>
                      <wp:effectExtent l="0" t="0" r="0" b="0"/>
                      <wp:wrapNone/>
                      <wp:docPr id="16" name="Frame16"/>
                      <a:graphic xmlns:a="http://schemas.openxmlformats.org/drawingml/2006/main">
                        <a:graphicData uri="http://schemas.microsoft.com/office/word/2010/wordprocessingShape">
                          <wps:wsp>
                            <wps:cNvSpPr txBox="1"/>
                            <wps:spPr>
                              <a:xfrm>
                                <a:off x="0" y="0"/>
                                <a:ext cx="147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52780" cy="175260"/>
                      <wp:effectExtent l="0" t="0" r="0" b="0"/>
                      <wp:wrapNone/>
                      <wp:docPr id="17" name="Frame17"/>
                      <a:graphic xmlns:a="http://schemas.openxmlformats.org/drawingml/2006/main">
                        <a:graphicData uri="http://schemas.microsoft.com/office/word/2010/wordprocessingShape">
                          <wps:wsp>
                            <wps:cNvSpPr txBox="1"/>
                            <wps:spPr>
                              <a:xfrm>
                                <a:off x="0" y="0"/>
                                <a:ext cx="652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07010" cy="175260"/>
                      <wp:effectExtent l="0" t="0" r="0" b="0"/>
                      <wp:wrapNone/>
                      <wp:docPr id="18" name="Frame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47320" cy="175260"/>
                      <wp:effectExtent l="0" t="0" r="0" b="0"/>
                      <wp:wrapNone/>
                      <wp:docPr id="19" name="Frame19"/>
                      <a:graphic xmlns:a="http://schemas.openxmlformats.org/drawingml/2006/main">
                        <a:graphicData uri="http://schemas.microsoft.com/office/word/2010/wordprocessingShape">
                          <wps:wsp>
                            <wps:cNvSpPr txBox="1"/>
                            <wps:spPr>
                              <a:xfrm>
                                <a:off x="0" y="0"/>
                                <a:ext cx="147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52780" cy="175260"/>
                      <wp:effectExtent l="0" t="0" r="0" b="0"/>
                      <wp:wrapNone/>
                      <wp:docPr id="20" name="Frame20"/>
                      <a:graphic xmlns:a="http://schemas.openxmlformats.org/drawingml/2006/main">
                        <a:graphicData uri="http://schemas.microsoft.com/office/word/2010/wordprocessingShape">
                          <wps:wsp>
                            <wps:cNvSpPr txBox="1"/>
                            <wps:spPr>
                              <a:xfrm>
                                <a:off x="0" y="0"/>
                                <a:ext cx="652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07010" cy="175260"/>
                      <wp:effectExtent l="0" t="0" r="0" b="0"/>
                      <wp:wrapNone/>
                      <wp:docPr id="21" name="Frame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135255" cy="175260"/>
                      <wp:effectExtent l="0" t="0" r="0" b="0"/>
                      <wp:wrapNone/>
                      <wp:docPr id="22" name="Frame22"/>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64845" cy="175260"/>
                      <wp:effectExtent l="0" t="0" r="0" b="0"/>
                      <wp:wrapNone/>
                      <wp:docPr id="23" name="Frame23"/>
                      <a:graphic xmlns:a="http://schemas.openxmlformats.org/drawingml/2006/main">
                        <a:graphicData uri="http://schemas.microsoft.com/office/word/2010/wordprocessingShape">
                          <wps:wsp>
                            <wps:cNvSpPr txBox="1"/>
                            <wps:spPr>
                              <a:xfrm>
                                <a:off x="0" y="0"/>
                                <a:ext cx="664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07010" cy="175260"/>
                      <wp:effectExtent l="0" t="0" r="0" b="0"/>
                      <wp:wrapNone/>
                      <wp:docPr id="24" name="Frame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35255" cy="175260"/>
                      <wp:effectExtent l="0" t="0" r="0" b="0"/>
                      <wp:wrapNone/>
                      <wp:docPr id="25" name="Frame25"/>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93420" cy="175260"/>
                      <wp:effectExtent l="0" t="0" r="0" b="0"/>
                      <wp:wrapNone/>
                      <wp:docPr id="26" name="Frame26"/>
                      <a:graphic xmlns:a="http://schemas.openxmlformats.org/drawingml/2006/main">
                        <a:graphicData uri="http://schemas.microsoft.com/office/word/2010/wordprocessingShape">
                          <wps:wsp>
                            <wps:cNvSpPr txBox="1"/>
                            <wps:spPr>
                              <a:xfrm>
                                <a:off x="0" y="0"/>
                                <a:ext cx="6934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846"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Second Quarters Ended</w:t>
            </w:r>
          </w:p>
        </w:tc>
        <w:tc>
          <w:tcPr>
            <w:tcW w:w="326" w:type="dxa"/>
            <w:tcBorders/>
            <w:vAlign w:val="center"/>
          </w:tcPr>
          <w:p>
            <w:pPr>
              <w:pStyle w:val="TableContents"/>
              <w:bidi w:val="0"/>
              <w:spacing w:before="0" w:after="0"/>
              <w:ind w:left="0" w:right="0" w:hanging="0"/>
              <w:jc w:val="center"/>
              <w:rPr/>
            </w:pPr>
            <w:r>
              <w:rPr/>
              <w:t>​</w:t>
            </w:r>
          </w:p>
        </w:tc>
        <w:tc>
          <w:tcPr>
            <w:tcW w:w="2891"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Six Months Ended</w:t>
            </w:r>
          </w:p>
        </w:tc>
      </w:tr>
      <w:tr>
        <w:trPr/>
        <w:tc>
          <w:tcPr>
            <w:tcW w:w="3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260"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30,</w:t>
            </w:r>
          </w:p>
        </w:tc>
        <w:tc>
          <w:tcPr>
            <w:tcW w:w="326" w:type="dxa"/>
            <w:tcBorders/>
            <w:vAlign w:val="center"/>
          </w:tcPr>
          <w:p>
            <w:pPr>
              <w:pStyle w:val="TableContents"/>
              <w:bidi w:val="0"/>
              <w:spacing w:before="0" w:after="0"/>
              <w:ind w:left="0" w:right="0" w:hanging="0"/>
              <w:jc w:val="center"/>
              <w:rPr/>
            </w:pPr>
            <w:r>
              <w:rPr/>
              <w:t>    </w:t>
            </w:r>
          </w:p>
        </w:tc>
        <w:tc>
          <w:tcPr>
            <w:tcW w:w="1260"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w:t>
            </w:r>
          </w:p>
        </w:tc>
        <w:tc>
          <w:tcPr>
            <w:tcW w:w="326" w:type="dxa"/>
            <w:tcBorders/>
            <w:vAlign w:val="center"/>
          </w:tcPr>
          <w:p>
            <w:pPr>
              <w:pStyle w:val="TableContents"/>
              <w:bidi w:val="0"/>
              <w:spacing w:before="0" w:after="0"/>
              <w:ind w:left="0" w:right="0" w:hanging="0"/>
              <w:jc w:val="center"/>
              <w:rPr/>
            </w:pPr>
            <w:r>
              <w:rPr/>
              <w:t>    </w:t>
            </w:r>
          </w:p>
        </w:tc>
        <w:tc>
          <w:tcPr>
            <w:tcW w:w="1260"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30,</w:t>
            </w:r>
          </w:p>
        </w:tc>
        <w:tc>
          <w:tcPr>
            <w:tcW w:w="326" w:type="dxa"/>
            <w:tcBorders/>
            <w:vAlign w:val="center"/>
          </w:tcPr>
          <w:p>
            <w:pPr>
              <w:pStyle w:val="TableContents"/>
              <w:bidi w:val="0"/>
              <w:spacing w:before="0" w:after="0"/>
              <w:ind w:left="0" w:right="0" w:hanging="0"/>
              <w:jc w:val="center"/>
              <w:rPr/>
            </w:pPr>
            <w:r>
              <w:rPr/>
              <w:t>    </w:t>
            </w:r>
          </w:p>
        </w:tc>
        <w:tc>
          <w:tcPr>
            <w:tcW w:w="130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w:t>
            </w:r>
          </w:p>
        </w:tc>
      </w:tr>
      <w:tr>
        <w:trPr/>
        <w:tc>
          <w:tcPr>
            <w:tcW w:w="3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26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6" w:type="dxa"/>
            <w:tcBorders/>
            <w:vAlign w:val="center"/>
          </w:tcPr>
          <w:p>
            <w:pPr>
              <w:pStyle w:val="TableContents"/>
              <w:bidi w:val="0"/>
              <w:spacing w:before="0" w:after="0"/>
              <w:ind w:left="0" w:right="0" w:hanging="0"/>
              <w:jc w:val="center"/>
              <w:rPr/>
            </w:pPr>
            <w:r>
              <w:rPr/>
              <w:t>​</w:t>
            </w:r>
          </w:p>
        </w:tc>
        <w:tc>
          <w:tcPr>
            <w:tcW w:w="126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326" w:type="dxa"/>
            <w:tcBorders/>
            <w:vAlign w:val="center"/>
          </w:tcPr>
          <w:p>
            <w:pPr>
              <w:pStyle w:val="TableContents"/>
              <w:bidi w:val="0"/>
              <w:spacing w:before="0" w:after="0"/>
              <w:ind w:left="0" w:right="0" w:hanging="0"/>
              <w:jc w:val="center"/>
              <w:rPr/>
            </w:pPr>
            <w:r>
              <w:rPr/>
              <w:t>​</w:t>
            </w:r>
          </w:p>
        </w:tc>
        <w:tc>
          <w:tcPr>
            <w:tcW w:w="126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6" w:type="dxa"/>
            <w:tcBorders/>
            <w:vAlign w:val="center"/>
          </w:tcPr>
          <w:p>
            <w:pPr>
              <w:pStyle w:val="TableContents"/>
              <w:bidi w:val="0"/>
              <w:spacing w:before="0" w:after="0"/>
              <w:ind w:left="0" w:right="0" w:hanging="0"/>
              <w:jc w:val="center"/>
              <w:rPr/>
            </w:pPr>
            <w:r>
              <w:rPr/>
              <w:t>​</w:t>
            </w:r>
          </w:p>
        </w:tc>
        <w:tc>
          <w:tcPr>
            <w:tcW w:w="1305"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r>
      <w:tr>
        <w:trPr/>
        <w:tc>
          <w:tcPr>
            <w:tcW w:w="10200"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3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6063" w:type="dxa"/>
            <w:gridSpan w:val="11"/>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(Thousands, except per share amounts)</w:t>
            </w:r>
          </w:p>
        </w:tc>
      </w:tr>
      <w:tr>
        <w:trPr/>
        <w:tc>
          <w:tcPr>
            <w:tcW w:w="3811"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w:t>
            </w:r>
          </w:p>
        </w:tc>
        <w:tc>
          <w:tcPr>
            <w:tcW w:w="32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6,204,914</w:t>
            </w:r>
          </w:p>
        </w:tc>
        <w:tc>
          <w:tcPr>
            <w:tcW w:w="32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6,717,521</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12,540,562</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13,467,654</w:t>
            </w:r>
          </w:p>
        </w:tc>
      </w:tr>
      <w:tr>
        <w:trPr/>
        <w:tc>
          <w:tcPr>
            <w:tcW w:w="381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sales</w:t>
            </w:r>
          </w:p>
        </w:tc>
        <w:tc>
          <w:tcPr>
            <w:tcW w:w="326" w:type="dxa"/>
            <w:tcBorders/>
            <w:vAlign w:val="center"/>
          </w:tcPr>
          <w:p>
            <w:pPr>
              <w:pStyle w:val="TableContents"/>
              <w:bidi w:val="0"/>
              <w:spacing w:before="0" w:after="0"/>
              <w:ind w:left="0" w:right="0" w:hanging="0"/>
              <w:jc w:val="left"/>
              <w:rPr/>
            </w:pPr>
            <w:r>
              <w:rPr/>
              <w:t>​</w:t>
            </w:r>
          </w:p>
        </w:tc>
        <w:tc>
          <w:tcPr>
            <w:tcW w:w="232"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c>
          <w:tcPr>
            <w:tcW w:w="1028"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5,498,730</w:t>
            </w:r>
          </w:p>
        </w:tc>
        <w:tc>
          <w:tcPr>
            <w:tcW w:w="326" w:type="dxa"/>
            <w:tcBorders/>
            <w:vAlign w:val="center"/>
          </w:tcPr>
          <w:p>
            <w:pPr>
              <w:pStyle w:val="TableContents"/>
              <w:bidi w:val="0"/>
              <w:spacing w:before="0" w:after="0"/>
              <w:ind w:left="0" w:right="0" w:hanging="0"/>
              <w:jc w:val="left"/>
              <w:rPr/>
            </w:pPr>
            <w:r>
              <w:rPr/>
              <w:t>​</w:t>
            </w:r>
          </w:p>
        </w:tc>
        <w:tc>
          <w:tcPr>
            <w:tcW w:w="232"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c>
          <w:tcPr>
            <w:tcW w:w="1028"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5,933,421</w:t>
            </w:r>
          </w:p>
        </w:tc>
        <w:tc>
          <w:tcPr>
            <w:tcW w:w="326" w:type="dxa"/>
            <w:tcBorders/>
            <w:vAlign w:val="center"/>
          </w:tcPr>
          <w:p>
            <w:pPr>
              <w:pStyle w:val="TableContents"/>
              <w:bidi w:val="0"/>
              <w:spacing w:before="0" w:after="0"/>
              <w:ind w:left="0" w:right="0" w:hanging="0"/>
              <w:jc w:val="left"/>
              <w:rPr/>
            </w:pPr>
            <w:r>
              <w:rPr/>
              <w:t>​</w:t>
            </w:r>
          </w:p>
        </w:tc>
        <w:tc>
          <w:tcPr>
            <w:tcW w:w="213"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c>
          <w:tcPr>
            <w:tcW w:w="1047"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11,086,273</w:t>
            </w:r>
          </w:p>
        </w:tc>
        <w:tc>
          <w:tcPr>
            <w:tcW w:w="326" w:type="dxa"/>
            <w:tcBorders/>
            <w:vAlign w:val="center"/>
          </w:tcPr>
          <w:p>
            <w:pPr>
              <w:pStyle w:val="TableContents"/>
              <w:bidi w:val="0"/>
              <w:spacing w:before="0" w:after="0"/>
              <w:ind w:left="0" w:right="0" w:hanging="0"/>
              <w:jc w:val="left"/>
              <w:rPr/>
            </w:pPr>
            <w:r>
              <w:rPr/>
              <w:t>​</w:t>
            </w:r>
          </w:p>
        </w:tc>
        <w:tc>
          <w:tcPr>
            <w:tcW w:w="213"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c>
          <w:tcPr>
            <w:tcW w:w="1092"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11,915,381</w:t>
            </w:r>
          </w:p>
        </w:tc>
      </w:tr>
      <w:tr>
        <w:trPr/>
        <w:tc>
          <w:tcPr>
            <w:tcW w:w="38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2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right"/>
              <w:rPr/>
            </w:pPr>
            <w:r>
              <w:rPr/>
              <w:t> </w:t>
            </w:r>
          </w:p>
        </w:tc>
        <w:tc>
          <w:tcPr>
            <w:tcW w:w="10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706,184</w:t>
            </w:r>
          </w:p>
        </w:tc>
        <w:tc>
          <w:tcPr>
            <w:tcW w:w="32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right"/>
              <w:rPr/>
            </w:pPr>
            <w:r>
              <w:rPr/>
              <w:t> </w:t>
            </w:r>
          </w:p>
        </w:tc>
        <w:tc>
          <w:tcPr>
            <w:tcW w:w="10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784,100</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right"/>
              <w:rPr/>
            </w:pPr>
            <w:r>
              <w:rPr/>
              <w:t> </w:t>
            </w:r>
          </w:p>
        </w:tc>
        <w:tc>
          <w:tcPr>
            <w:tcW w:w="10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1,454,289</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right"/>
              <w:rPr/>
            </w:pPr>
            <w:r>
              <w:rPr/>
              <w:t> </w:t>
            </w:r>
          </w:p>
        </w:tc>
        <w:tc>
          <w:tcPr>
            <w:tcW w:w="10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1,552,273</w:t>
            </w:r>
          </w:p>
        </w:tc>
      </w:tr>
      <w:tr>
        <w:trPr/>
        <w:tc>
          <w:tcPr>
            <w:tcW w:w="38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w:t>
            </w:r>
          </w:p>
        </w:tc>
        <w:tc>
          <w:tcPr>
            <w:tcW w:w="32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right"/>
              <w:rPr/>
            </w:pPr>
            <w:r>
              <w:rPr/>
              <w:t> </w:t>
            </w:r>
          </w:p>
        </w:tc>
        <w:tc>
          <w:tcPr>
            <w:tcW w:w="10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464,692</w:t>
            </w:r>
          </w:p>
        </w:tc>
        <w:tc>
          <w:tcPr>
            <w:tcW w:w="32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right"/>
              <w:rPr/>
            </w:pPr>
            <w:r>
              <w:rPr/>
              <w:t> </w:t>
            </w:r>
          </w:p>
        </w:tc>
        <w:tc>
          <w:tcPr>
            <w:tcW w:w="10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485,127</w:t>
            </w:r>
          </w:p>
        </w:tc>
        <w:tc>
          <w:tcPr>
            <w:tcW w:w="32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right"/>
              <w:rPr/>
            </w:pPr>
            <w:r>
              <w:rPr/>
              <w:t> </w:t>
            </w:r>
          </w:p>
        </w:tc>
        <w:tc>
          <w:tcPr>
            <w:tcW w:w="10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951,977</w:t>
            </w:r>
          </w:p>
        </w:tc>
        <w:tc>
          <w:tcPr>
            <w:tcW w:w="32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right"/>
              <w:rPr/>
            </w:pPr>
            <w:r>
              <w:rPr/>
              <w:t> </w:t>
            </w:r>
          </w:p>
        </w:tc>
        <w:tc>
          <w:tcPr>
            <w:tcW w:w="10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962,764</w:t>
            </w:r>
          </w:p>
        </w:tc>
      </w:tr>
      <w:tr>
        <w:trPr/>
        <w:tc>
          <w:tcPr>
            <w:tcW w:w="38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Restructuring, integration and other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32"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1028"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5,235</w:t>
            </w:r>
          </w:p>
        </w:tc>
        <w:tc>
          <w:tcPr>
            <w:tcW w:w="326" w:type="dxa"/>
            <w:tcBorders/>
            <w:shd w:fill="CCEEFF" w:val="clear"/>
            <w:vAlign w:val="center"/>
          </w:tcPr>
          <w:p>
            <w:pPr>
              <w:pStyle w:val="TableContents"/>
              <w:bidi w:val="0"/>
              <w:spacing w:before="0" w:after="0"/>
              <w:ind w:left="0" w:right="0" w:hanging="0"/>
              <w:jc w:val="left"/>
              <w:rPr/>
            </w:pPr>
            <w:r>
              <w:rPr/>
              <w:t>​</w:t>
            </w:r>
          </w:p>
        </w:tc>
        <w:tc>
          <w:tcPr>
            <w:tcW w:w="232"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1028"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1047"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12,286</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1092"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8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2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right"/>
              <w:rPr/>
            </w:pPr>
            <w:r>
              <w:rPr/>
              <w:t> </w:t>
            </w:r>
          </w:p>
        </w:tc>
        <w:tc>
          <w:tcPr>
            <w:tcW w:w="10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236,257</w:t>
            </w:r>
          </w:p>
        </w:tc>
        <w:tc>
          <w:tcPr>
            <w:tcW w:w="32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right"/>
              <w:rPr/>
            </w:pPr>
            <w:r>
              <w:rPr/>
              <w:t> </w:t>
            </w:r>
          </w:p>
        </w:tc>
        <w:tc>
          <w:tcPr>
            <w:tcW w:w="10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298,973</w:t>
            </w:r>
          </w:p>
        </w:tc>
        <w:tc>
          <w:tcPr>
            <w:tcW w:w="32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right"/>
              <w:rPr/>
            </w:pPr>
            <w:r>
              <w:rPr/>
              <w:t> </w:t>
            </w:r>
          </w:p>
        </w:tc>
        <w:tc>
          <w:tcPr>
            <w:tcW w:w="10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490,026</w:t>
            </w:r>
          </w:p>
        </w:tc>
        <w:tc>
          <w:tcPr>
            <w:tcW w:w="32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right"/>
              <w:rPr/>
            </w:pPr>
            <w:r>
              <w:rPr/>
              <w:t> </w:t>
            </w:r>
          </w:p>
        </w:tc>
        <w:tc>
          <w:tcPr>
            <w:tcW w:w="10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589,509</w:t>
            </w:r>
          </w:p>
        </w:tc>
      </w:tr>
      <w:tr>
        <w:trPr/>
        <w:tc>
          <w:tcPr>
            <w:tcW w:w="38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 income, net</w:t>
            </w:r>
          </w:p>
        </w:tc>
        <w:tc>
          <w:tcPr>
            <w:tcW w:w="32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right"/>
              <w:rPr/>
            </w:pPr>
            <w:r>
              <w:rPr/>
              <w:t> </w:t>
            </w:r>
          </w:p>
        </w:tc>
        <w:tc>
          <w:tcPr>
            <w:tcW w:w="10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(8,397)</w:t>
            </w:r>
          </w:p>
        </w:tc>
        <w:tc>
          <w:tcPr>
            <w:tcW w:w="32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right"/>
              <w:rPr/>
            </w:pPr>
            <w:r>
              <w:rPr/>
              <w:t> </w:t>
            </w:r>
          </w:p>
        </w:tc>
        <w:tc>
          <w:tcPr>
            <w:tcW w:w="10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1,476</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right"/>
              <w:rPr/>
            </w:pPr>
            <w:r>
              <w:rPr/>
              <w:t> </w:t>
            </w:r>
          </w:p>
        </w:tc>
        <w:tc>
          <w:tcPr>
            <w:tcW w:w="10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(2,437)</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right"/>
              <w:rPr/>
            </w:pPr>
            <w:r>
              <w:rPr/>
              <w:t> </w:t>
            </w:r>
          </w:p>
        </w:tc>
        <w:tc>
          <w:tcPr>
            <w:tcW w:w="10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1,800</w:t>
            </w:r>
          </w:p>
        </w:tc>
      </w:tr>
      <w:tr>
        <w:trPr/>
        <w:tc>
          <w:tcPr>
            <w:tcW w:w="38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and other financing expenses, net</w:t>
            </w:r>
          </w:p>
        </w:tc>
        <w:tc>
          <w:tcPr>
            <w:tcW w:w="32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right"/>
              <w:rPr/>
            </w:pPr>
            <w:r>
              <w:rPr/>
              <w:t> </w:t>
            </w:r>
          </w:p>
        </w:tc>
        <w:tc>
          <w:tcPr>
            <w:tcW w:w="10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(74,302)</w:t>
            </w:r>
          </w:p>
        </w:tc>
        <w:tc>
          <w:tcPr>
            <w:tcW w:w="32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right"/>
              <w:rPr/>
            </w:pPr>
            <w:r>
              <w:rPr/>
              <w:t> </w:t>
            </w:r>
          </w:p>
        </w:tc>
        <w:tc>
          <w:tcPr>
            <w:tcW w:w="10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(59,020)</w:t>
            </w:r>
          </w:p>
        </w:tc>
        <w:tc>
          <w:tcPr>
            <w:tcW w:w="32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right"/>
              <w:rPr/>
            </w:pPr>
            <w:r>
              <w:rPr/>
              <w:t> </w:t>
            </w:r>
          </w:p>
        </w:tc>
        <w:tc>
          <w:tcPr>
            <w:tcW w:w="10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(145,098)</w:t>
            </w:r>
          </w:p>
        </w:tc>
        <w:tc>
          <w:tcPr>
            <w:tcW w:w="32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right"/>
              <w:rPr/>
            </w:pPr>
            <w:r>
              <w:rPr/>
              <w:t> </w:t>
            </w:r>
          </w:p>
        </w:tc>
        <w:tc>
          <w:tcPr>
            <w:tcW w:w="10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(104,118)</w:t>
            </w:r>
          </w:p>
        </w:tc>
      </w:tr>
      <w:tr>
        <w:trPr/>
        <w:tc>
          <w:tcPr>
            <w:tcW w:w="38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on legal settlements and other</w:t>
            </w:r>
          </w:p>
        </w:tc>
        <w:tc>
          <w:tcPr>
            <w:tcW w:w="326" w:type="dxa"/>
            <w:tcBorders/>
            <w:shd w:fill="CCEEFF" w:val="clear"/>
            <w:vAlign w:val="center"/>
          </w:tcPr>
          <w:p>
            <w:pPr>
              <w:pStyle w:val="TableContents"/>
              <w:bidi w:val="0"/>
              <w:spacing w:before="0" w:after="0"/>
              <w:ind w:left="0" w:right="0" w:hanging="0"/>
              <w:jc w:val="left"/>
              <w:rPr/>
            </w:pPr>
            <w:r>
              <w:rPr/>
              <w:t>​</w:t>
            </w:r>
          </w:p>
        </w:tc>
        <w:tc>
          <w:tcPr>
            <w:tcW w:w="232"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28"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2"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28"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61,705</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47"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86,499</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2"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61,705</w:t>
            </w:r>
          </w:p>
        </w:tc>
      </w:tr>
      <w:tr>
        <w:trPr/>
        <w:tc>
          <w:tcPr>
            <w:tcW w:w="38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before taxes</w:t>
            </w:r>
          </w:p>
        </w:tc>
        <w:tc>
          <w:tcPr>
            <w:tcW w:w="32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right"/>
              <w:rPr/>
            </w:pPr>
            <w:r>
              <w:rPr/>
              <w:t> </w:t>
            </w:r>
          </w:p>
        </w:tc>
        <w:tc>
          <w:tcPr>
            <w:tcW w:w="10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153,558</w:t>
            </w:r>
          </w:p>
        </w:tc>
        <w:tc>
          <w:tcPr>
            <w:tcW w:w="32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right"/>
              <w:rPr/>
            </w:pPr>
            <w:r>
              <w:rPr/>
              <w:t> </w:t>
            </w:r>
          </w:p>
        </w:tc>
        <w:tc>
          <w:tcPr>
            <w:tcW w:w="10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303,134</w:t>
            </w:r>
          </w:p>
        </w:tc>
        <w:tc>
          <w:tcPr>
            <w:tcW w:w="32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right"/>
              <w:rPr/>
            </w:pPr>
            <w:r>
              <w:rPr/>
              <w:t> </w:t>
            </w:r>
          </w:p>
        </w:tc>
        <w:tc>
          <w:tcPr>
            <w:tcW w:w="10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428,990</w:t>
            </w:r>
          </w:p>
        </w:tc>
        <w:tc>
          <w:tcPr>
            <w:tcW w:w="32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right"/>
              <w:rPr/>
            </w:pPr>
            <w:r>
              <w:rPr/>
              <w:t> </w:t>
            </w:r>
          </w:p>
        </w:tc>
        <w:tc>
          <w:tcPr>
            <w:tcW w:w="10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548,896</w:t>
            </w:r>
          </w:p>
        </w:tc>
      </w:tr>
      <w:tr>
        <w:trPr/>
        <w:tc>
          <w:tcPr>
            <w:tcW w:w="38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32"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1028"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35,627</w:t>
            </w:r>
          </w:p>
        </w:tc>
        <w:tc>
          <w:tcPr>
            <w:tcW w:w="326" w:type="dxa"/>
            <w:tcBorders/>
            <w:shd w:fill="CCEEFF" w:val="clear"/>
            <w:vAlign w:val="center"/>
          </w:tcPr>
          <w:p>
            <w:pPr>
              <w:pStyle w:val="TableContents"/>
              <w:bidi w:val="0"/>
              <w:spacing w:before="0" w:after="0"/>
              <w:ind w:left="0" w:right="0" w:hanging="0"/>
              <w:jc w:val="left"/>
              <w:rPr/>
            </w:pPr>
            <w:r>
              <w:rPr/>
              <w:t>​</w:t>
            </w:r>
          </w:p>
        </w:tc>
        <w:tc>
          <w:tcPr>
            <w:tcW w:w="232"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1028"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59,248</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1047"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101,791</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1092"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120,749</w:t>
            </w:r>
          </w:p>
        </w:tc>
      </w:tr>
      <w:tr>
        <w:trPr/>
        <w:tc>
          <w:tcPr>
            <w:tcW w:w="38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vAlign w:val="center"/>
          </w:tcPr>
          <w:p>
            <w:pPr>
              <w:pStyle w:val="TableContents"/>
              <w:bidi w:val="0"/>
              <w:spacing w:before="0" w:after="0"/>
              <w:ind w:left="0" w:right="0" w:hanging="0"/>
              <w:jc w:val="left"/>
              <w:rPr/>
            </w:pPr>
            <w:r>
              <w:rPr/>
              <w:t>​</w:t>
            </w:r>
          </w:p>
        </w:tc>
        <w:tc>
          <w:tcPr>
            <w:tcW w:w="23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117,931</w:t>
            </w:r>
          </w:p>
        </w:tc>
        <w:tc>
          <w:tcPr>
            <w:tcW w:w="326" w:type="dxa"/>
            <w:tcBorders/>
            <w:vAlign w:val="center"/>
          </w:tcPr>
          <w:p>
            <w:pPr>
              <w:pStyle w:val="TableContents"/>
              <w:bidi w:val="0"/>
              <w:spacing w:before="0" w:after="0"/>
              <w:ind w:left="0" w:right="0" w:hanging="0"/>
              <w:jc w:val="left"/>
              <w:rPr/>
            </w:pPr>
            <w:r>
              <w:rPr/>
              <w:t>​</w:t>
            </w:r>
          </w:p>
        </w:tc>
        <w:tc>
          <w:tcPr>
            <w:tcW w:w="23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243,886</w:t>
            </w:r>
          </w:p>
        </w:tc>
        <w:tc>
          <w:tcPr>
            <w:tcW w:w="326" w:type="dxa"/>
            <w:tcBorders/>
            <w:vAlign w:val="center"/>
          </w:tcPr>
          <w:p>
            <w:pPr>
              <w:pStyle w:val="TableContents"/>
              <w:bidi w:val="0"/>
              <w:spacing w:before="0" w:after="0"/>
              <w:ind w:left="0" w:right="0" w:hanging="0"/>
              <w:jc w:val="left"/>
              <w:rPr/>
            </w:pPr>
            <w:r>
              <w:rPr/>
              <w:t>​</w:t>
            </w:r>
          </w:p>
        </w:tc>
        <w:tc>
          <w:tcPr>
            <w:tcW w:w="21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327,199</w:t>
            </w:r>
          </w:p>
        </w:tc>
        <w:tc>
          <w:tcPr>
            <w:tcW w:w="326" w:type="dxa"/>
            <w:tcBorders/>
            <w:vAlign w:val="center"/>
          </w:tcPr>
          <w:p>
            <w:pPr>
              <w:pStyle w:val="TableContents"/>
              <w:bidi w:val="0"/>
              <w:spacing w:before="0" w:after="0"/>
              <w:ind w:left="0" w:right="0" w:hanging="0"/>
              <w:jc w:val="left"/>
              <w:rPr/>
            </w:pPr>
            <w:r>
              <w:rPr/>
              <w:t>​</w:t>
            </w:r>
          </w:p>
        </w:tc>
        <w:tc>
          <w:tcPr>
            <w:tcW w:w="21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428,147</w:t>
            </w:r>
          </w:p>
        </w:tc>
      </w:tr>
      <w:tr>
        <w:trPr/>
        <w:tc>
          <w:tcPr>
            <w:tcW w:w="381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102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102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104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1092" w:type="dxa"/>
            <w:tcBorders/>
            <w:shd w:fill="CCEEFF" w:val="clear"/>
            <w:vAlign w:val="center"/>
          </w:tcPr>
          <w:p>
            <w:pPr>
              <w:pStyle w:val="TableContents"/>
              <w:bidi w:val="0"/>
              <w:spacing w:before="0" w:after="0"/>
              <w:ind w:left="0" w:right="0" w:hanging="0"/>
              <w:jc w:val="right"/>
              <w:rPr/>
            </w:pPr>
            <w:r>
              <w:rPr/>
              <w:t>​</w:t>
            </w:r>
          </w:p>
        </w:tc>
      </w:tr>
      <w:tr>
        <w:trPr/>
        <w:tc>
          <w:tcPr>
            <w:tcW w:w="38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Earnings per share:</w:t>
            </w:r>
          </w:p>
        </w:tc>
        <w:tc>
          <w:tcPr>
            <w:tcW w:w="32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right"/>
              <w:rPr/>
            </w:pPr>
            <w:r>
              <w:rPr/>
              <w:t>​</w:t>
            </w:r>
          </w:p>
        </w:tc>
        <w:tc>
          <w:tcPr>
            <w:tcW w:w="102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right"/>
              <w:rPr/>
            </w:pPr>
            <w:r>
              <w:rPr/>
              <w:t>​</w:t>
            </w:r>
          </w:p>
        </w:tc>
        <w:tc>
          <w:tcPr>
            <w:tcW w:w="102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right"/>
              <w:rPr/>
            </w:pPr>
            <w:r>
              <w:rPr/>
              <w:t>​</w:t>
            </w:r>
          </w:p>
        </w:tc>
        <w:tc>
          <w:tcPr>
            <w:tcW w:w="104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right"/>
              <w:rPr/>
            </w:pPr>
            <w:r>
              <w:rPr/>
              <w:t>​</w:t>
            </w:r>
          </w:p>
        </w:tc>
        <w:tc>
          <w:tcPr>
            <w:tcW w:w="1092" w:type="dxa"/>
            <w:tcBorders/>
            <w:vAlign w:val="center"/>
          </w:tcPr>
          <w:p>
            <w:pPr>
              <w:pStyle w:val="TableContents"/>
              <w:bidi w:val="0"/>
              <w:spacing w:before="0" w:after="0"/>
              <w:ind w:left="0" w:right="0" w:hanging="0"/>
              <w:jc w:val="right"/>
              <w:rPr/>
            </w:pPr>
            <w:r>
              <w:rPr/>
              <w:t>​</w:t>
            </w:r>
          </w:p>
        </w:tc>
      </w:tr>
      <w:tr>
        <w:trPr/>
        <w:tc>
          <w:tcPr>
            <w:tcW w:w="38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26" w:type="dxa"/>
            <w:tcBorders/>
            <w:shd w:fill="CCEEFF" w:val="clear"/>
            <w:vAlign w:val="center"/>
          </w:tcPr>
          <w:p>
            <w:pPr>
              <w:pStyle w:val="TableContents"/>
              <w:bidi w:val="0"/>
              <w:spacing w:before="0" w:after="0"/>
              <w:ind w:left="0" w:right="0" w:hanging="0"/>
              <w:jc w:val="left"/>
              <w:rPr/>
            </w:pPr>
            <w:r>
              <w:rPr/>
              <w:t>​</w:t>
            </w:r>
          </w:p>
        </w:tc>
        <w:tc>
          <w:tcPr>
            <w:tcW w:w="23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w:t>
            </w:r>
          </w:p>
        </w:tc>
        <w:tc>
          <w:tcPr>
            <w:tcW w:w="326" w:type="dxa"/>
            <w:tcBorders/>
            <w:shd w:fill="CCEEFF" w:val="clear"/>
            <w:vAlign w:val="center"/>
          </w:tcPr>
          <w:p>
            <w:pPr>
              <w:pStyle w:val="TableContents"/>
              <w:bidi w:val="0"/>
              <w:spacing w:before="0" w:after="0"/>
              <w:ind w:left="0" w:right="0" w:hanging="0"/>
              <w:jc w:val="left"/>
              <w:rPr/>
            </w:pPr>
            <w:r>
              <w:rPr/>
              <w:t>​</w:t>
            </w:r>
          </w:p>
        </w:tc>
        <w:tc>
          <w:tcPr>
            <w:tcW w:w="23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3.60</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4.62</w:t>
            </w:r>
          </w:p>
        </w:tc>
      </w:tr>
      <w:tr>
        <w:trPr/>
        <w:tc>
          <w:tcPr>
            <w:tcW w:w="38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26" w:type="dxa"/>
            <w:tcBorders/>
            <w:vAlign w:val="center"/>
          </w:tcPr>
          <w:p>
            <w:pPr>
              <w:pStyle w:val="TableContents"/>
              <w:bidi w:val="0"/>
              <w:spacing w:before="0" w:after="0"/>
              <w:ind w:left="0" w:right="0" w:hanging="0"/>
              <w:jc w:val="left"/>
              <w:rPr/>
            </w:pPr>
            <w:r>
              <w:rPr/>
              <w:t>​</w:t>
            </w:r>
          </w:p>
        </w:tc>
        <w:tc>
          <w:tcPr>
            <w:tcW w:w="23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w:t>
            </w:r>
          </w:p>
        </w:tc>
        <w:tc>
          <w:tcPr>
            <w:tcW w:w="326" w:type="dxa"/>
            <w:tcBorders/>
            <w:vAlign w:val="center"/>
          </w:tcPr>
          <w:p>
            <w:pPr>
              <w:pStyle w:val="TableContents"/>
              <w:bidi w:val="0"/>
              <w:spacing w:before="0" w:after="0"/>
              <w:ind w:left="0" w:right="0" w:hanging="0"/>
              <w:jc w:val="left"/>
              <w:rPr/>
            </w:pPr>
            <w:r>
              <w:rPr/>
              <w:t>​</w:t>
            </w:r>
          </w:p>
        </w:tc>
        <w:tc>
          <w:tcPr>
            <w:tcW w:w="23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w:t>
            </w:r>
          </w:p>
        </w:tc>
        <w:tc>
          <w:tcPr>
            <w:tcW w:w="326" w:type="dxa"/>
            <w:tcBorders/>
            <w:vAlign w:val="center"/>
          </w:tcPr>
          <w:p>
            <w:pPr>
              <w:pStyle w:val="TableContents"/>
              <w:bidi w:val="0"/>
              <w:spacing w:before="0" w:after="0"/>
              <w:ind w:left="0" w:right="0" w:hanging="0"/>
              <w:jc w:val="left"/>
              <w:rPr/>
            </w:pPr>
            <w:r>
              <w:rPr/>
              <w:t>​</w:t>
            </w:r>
          </w:p>
        </w:tc>
        <w:tc>
          <w:tcPr>
            <w:tcW w:w="21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3.54</w:t>
            </w:r>
          </w:p>
        </w:tc>
        <w:tc>
          <w:tcPr>
            <w:tcW w:w="326" w:type="dxa"/>
            <w:tcBorders/>
            <w:vAlign w:val="center"/>
          </w:tcPr>
          <w:p>
            <w:pPr>
              <w:pStyle w:val="TableContents"/>
              <w:bidi w:val="0"/>
              <w:spacing w:before="0" w:after="0"/>
              <w:ind w:left="0" w:right="0" w:hanging="0"/>
              <w:jc w:val="left"/>
              <w:rPr/>
            </w:pPr>
            <w:r>
              <w:rPr/>
              <w:t>​</w:t>
            </w:r>
          </w:p>
        </w:tc>
        <w:tc>
          <w:tcPr>
            <w:tcW w:w="21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4.55</w:t>
            </w:r>
          </w:p>
        </w:tc>
      </w:tr>
      <w:tr>
        <w:trPr/>
        <w:tc>
          <w:tcPr>
            <w:tcW w:w="381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102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102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104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1092" w:type="dxa"/>
            <w:tcBorders/>
            <w:shd w:fill="CCEEFF" w:val="clear"/>
            <w:vAlign w:val="center"/>
          </w:tcPr>
          <w:p>
            <w:pPr>
              <w:pStyle w:val="TableContents"/>
              <w:bidi w:val="0"/>
              <w:spacing w:before="0" w:after="0"/>
              <w:ind w:left="0" w:right="0" w:hanging="0"/>
              <w:jc w:val="right"/>
              <w:rPr/>
            </w:pPr>
            <w:r>
              <w:rPr/>
              <w:t>​</w:t>
            </w:r>
          </w:p>
        </w:tc>
      </w:tr>
      <w:tr>
        <w:trPr/>
        <w:tc>
          <w:tcPr>
            <w:tcW w:w="38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used to compute earnings per share:</w:t>
            </w:r>
          </w:p>
        </w:tc>
        <w:tc>
          <w:tcPr>
            <w:tcW w:w="32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right"/>
              <w:rPr/>
            </w:pPr>
            <w:r>
              <w:rPr/>
              <w:t>​</w:t>
            </w:r>
          </w:p>
        </w:tc>
        <w:tc>
          <w:tcPr>
            <w:tcW w:w="102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right"/>
              <w:rPr/>
            </w:pPr>
            <w:r>
              <w:rPr/>
              <w:t>​</w:t>
            </w:r>
          </w:p>
        </w:tc>
        <w:tc>
          <w:tcPr>
            <w:tcW w:w="102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right"/>
              <w:rPr/>
            </w:pPr>
            <w:r>
              <w:rPr/>
              <w:t>​</w:t>
            </w:r>
          </w:p>
        </w:tc>
        <w:tc>
          <w:tcPr>
            <w:tcW w:w="104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right"/>
              <w:rPr/>
            </w:pPr>
            <w:r>
              <w:rPr/>
              <w:t>​</w:t>
            </w:r>
          </w:p>
        </w:tc>
        <w:tc>
          <w:tcPr>
            <w:tcW w:w="1092" w:type="dxa"/>
            <w:tcBorders/>
            <w:vAlign w:val="center"/>
          </w:tcPr>
          <w:p>
            <w:pPr>
              <w:pStyle w:val="TableContents"/>
              <w:bidi w:val="0"/>
              <w:spacing w:before="0" w:after="0"/>
              <w:ind w:left="0" w:right="0" w:hanging="0"/>
              <w:jc w:val="right"/>
              <w:rPr/>
            </w:pPr>
            <w:r>
              <w:rPr/>
              <w:t>​</w:t>
            </w:r>
          </w:p>
        </w:tc>
      </w:tr>
      <w:tr>
        <w:trPr/>
        <w:tc>
          <w:tcPr>
            <w:tcW w:w="38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26" w:type="dxa"/>
            <w:tcBorders/>
            <w:shd w:fill="CCEEFF" w:val="clear"/>
            <w:vAlign w:val="center"/>
          </w:tcPr>
          <w:p>
            <w:pPr>
              <w:pStyle w:val="TableContents"/>
              <w:bidi w:val="0"/>
              <w:spacing w:before="0" w:after="0"/>
              <w:ind w:left="0" w:right="0" w:hanging="0"/>
              <w:jc w:val="left"/>
              <w:rPr/>
            </w:pPr>
            <w:r>
              <w:rPr/>
              <w:t>​</w:t>
            </w:r>
          </w:p>
        </w:tc>
        <w:tc>
          <w:tcPr>
            <w:tcW w:w="23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102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90,253</w:t>
            </w:r>
          </w:p>
        </w:tc>
        <w:tc>
          <w:tcPr>
            <w:tcW w:w="326" w:type="dxa"/>
            <w:tcBorders/>
            <w:shd w:fill="CCEEFF" w:val="clear"/>
            <w:vAlign w:val="center"/>
          </w:tcPr>
          <w:p>
            <w:pPr>
              <w:pStyle w:val="TableContents"/>
              <w:bidi w:val="0"/>
              <w:spacing w:before="0" w:after="0"/>
              <w:ind w:left="0" w:right="0" w:hanging="0"/>
              <w:jc w:val="left"/>
              <w:rPr/>
            </w:pPr>
            <w:r>
              <w:rPr/>
              <w:t>​</w:t>
            </w:r>
          </w:p>
        </w:tc>
        <w:tc>
          <w:tcPr>
            <w:tcW w:w="23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102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91,192</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104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90,874</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109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92,621</w:t>
            </w:r>
          </w:p>
        </w:tc>
      </w:tr>
      <w:tr>
        <w:trPr/>
        <w:tc>
          <w:tcPr>
            <w:tcW w:w="38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26" w:type="dxa"/>
            <w:tcBorders/>
            <w:vAlign w:val="center"/>
          </w:tcPr>
          <w:p>
            <w:pPr>
              <w:pStyle w:val="TableContents"/>
              <w:bidi w:val="0"/>
              <w:spacing w:before="0" w:after="0"/>
              <w:ind w:left="0" w:right="0" w:hanging="0"/>
              <w:jc w:val="left"/>
              <w:rPr/>
            </w:pPr>
            <w:r>
              <w:rPr/>
              <w:t>​</w:t>
            </w:r>
          </w:p>
        </w:tc>
        <w:tc>
          <w:tcPr>
            <w:tcW w:w="232" w:type="dxa"/>
            <w:tcBorders>
              <w:bottom w:val="double" w:sz="6" w:space="0" w:color="000000"/>
            </w:tcBorders>
            <w:tcMar>
              <w:bottom w:w="28" w:type="dxa"/>
            </w:tcMar>
            <w:vAlign w:val="center"/>
          </w:tcPr>
          <w:p>
            <w:pPr>
              <w:pStyle w:val="TableContents"/>
              <w:bidi w:val="0"/>
              <w:spacing w:before="0" w:after="0"/>
              <w:ind w:left="0" w:right="0" w:hanging="0"/>
              <w:jc w:val="right"/>
              <w:rPr/>
            </w:pPr>
            <w:r>
              <w:rPr/>
              <w:t> </w:t>
            </w:r>
          </w:p>
        </w:tc>
        <w:tc>
          <w:tcPr>
            <w:tcW w:w="102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91,792</w:t>
            </w:r>
          </w:p>
        </w:tc>
        <w:tc>
          <w:tcPr>
            <w:tcW w:w="326" w:type="dxa"/>
            <w:tcBorders/>
            <w:vAlign w:val="center"/>
          </w:tcPr>
          <w:p>
            <w:pPr>
              <w:pStyle w:val="TableContents"/>
              <w:bidi w:val="0"/>
              <w:spacing w:before="0" w:after="0"/>
              <w:ind w:left="0" w:right="0" w:hanging="0"/>
              <w:jc w:val="left"/>
              <w:rPr/>
            </w:pPr>
            <w:r>
              <w:rPr/>
              <w:t>​</w:t>
            </w:r>
          </w:p>
        </w:tc>
        <w:tc>
          <w:tcPr>
            <w:tcW w:w="232" w:type="dxa"/>
            <w:tcBorders>
              <w:bottom w:val="double" w:sz="6" w:space="0" w:color="000000"/>
            </w:tcBorders>
            <w:tcMar>
              <w:bottom w:w="28" w:type="dxa"/>
            </w:tcMar>
            <w:vAlign w:val="center"/>
          </w:tcPr>
          <w:p>
            <w:pPr>
              <w:pStyle w:val="TableContents"/>
              <w:bidi w:val="0"/>
              <w:spacing w:before="0" w:after="0"/>
              <w:ind w:left="0" w:right="0" w:hanging="0"/>
              <w:jc w:val="right"/>
              <w:rPr/>
            </w:pPr>
            <w:r>
              <w:rPr/>
              <w:t> </w:t>
            </w:r>
          </w:p>
        </w:tc>
        <w:tc>
          <w:tcPr>
            <w:tcW w:w="102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92,755</w:t>
            </w:r>
          </w:p>
        </w:tc>
        <w:tc>
          <w:tcPr>
            <w:tcW w:w="326" w:type="dxa"/>
            <w:tcBorders/>
            <w:vAlign w:val="center"/>
          </w:tcPr>
          <w:p>
            <w:pPr>
              <w:pStyle w:val="TableContents"/>
              <w:bidi w:val="0"/>
              <w:spacing w:before="0" w:after="0"/>
              <w:ind w:left="0" w:right="0" w:hanging="0"/>
              <w:jc w:val="left"/>
              <w:rPr/>
            </w:pPr>
            <w:r>
              <w:rPr/>
              <w:t>​</w:t>
            </w:r>
          </w:p>
        </w:tc>
        <w:tc>
          <w:tcPr>
            <w:tcW w:w="213" w:type="dxa"/>
            <w:tcBorders>
              <w:bottom w:val="double" w:sz="6" w:space="0" w:color="000000"/>
            </w:tcBorders>
            <w:tcMar>
              <w:bottom w:w="28" w:type="dxa"/>
            </w:tcMar>
            <w:vAlign w:val="center"/>
          </w:tcPr>
          <w:p>
            <w:pPr>
              <w:pStyle w:val="TableContents"/>
              <w:bidi w:val="0"/>
              <w:spacing w:before="0" w:after="0"/>
              <w:ind w:left="0" w:right="0" w:hanging="0"/>
              <w:jc w:val="right"/>
              <w:rPr/>
            </w:pPr>
            <w:r>
              <w:rPr/>
              <w:t> </w:t>
            </w:r>
          </w:p>
        </w:tc>
        <w:tc>
          <w:tcPr>
            <w:tcW w:w="104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92,485</w:t>
            </w:r>
          </w:p>
        </w:tc>
        <w:tc>
          <w:tcPr>
            <w:tcW w:w="326" w:type="dxa"/>
            <w:tcBorders/>
            <w:vAlign w:val="center"/>
          </w:tcPr>
          <w:p>
            <w:pPr>
              <w:pStyle w:val="TableContents"/>
              <w:bidi w:val="0"/>
              <w:spacing w:before="0" w:after="0"/>
              <w:ind w:left="0" w:right="0" w:hanging="0"/>
              <w:jc w:val="left"/>
              <w:rPr/>
            </w:pPr>
            <w:r>
              <w:rPr/>
              <w:t>​</w:t>
            </w:r>
          </w:p>
        </w:tc>
        <w:tc>
          <w:tcPr>
            <w:tcW w:w="213" w:type="dxa"/>
            <w:tcBorders>
              <w:bottom w:val="double" w:sz="6" w:space="0" w:color="000000"/>
            </w:tcBorders>
            <w:tcMar>
              <w:bottom w:w="28" w:type="dxa"/>
            </w:tcMar>
            <w:vAlign w:val="center"/>
          </w:tcPr>
          <w:p>
            <w:pPr>
              <w:pStyle w:val="TableContents"/>
              <w:bidi w:val="0"/>
              <w:spacing w:before="0" w:after="0"/>
              <w:ind w:left="0" w:right="0" w:hanging="0"/>
              <w:jc w:val="right"/>
              <w:rPr/>
            </w:pPr>
            <w:r>
              <w:rPr/>
              <w:t> </w:t>
            </w:r>
          </w:p>
        </w:tc>
        <w:tc>
          <w:tcPr>
            <w:tcW w:w="109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94,195</w:t>
            </w:r>
          </w:p>
        </w:tc>
      </w:tr>
      <w:tr>
        <w:trPr/>
        <w:tc>
          <w:tcPr>
            <w:tcW w:w="38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dividends paid per common share</w:t>
            </w:r>
          </w:p>
        </w:tc>
        <w:tc>
          <w:tcPr>
            <w:tcW w:w="326" w:type="dxa"/>
            <w:tcBorders/>
            <w:shd w:fill="CCEEFF" w:val="clear"/>
            <w:vAlign w:val="center"/>
          </w:tcPr>
          <w:p>
            <w:pPr>
              <w:pStyle w:val="TableContents"/>
              <w:bidi w:val="0"/>
              <w:spacing w:before="0" w:after="0"/>
              <w:ind w:left="0" w:right="0" w:hanging="0"/>
              <w:jc w:val="left"/>
              <w:rPr/>
            </w:pPr>
            <w:r>
              <w:rPr/>
              <w:t>​</w:t>
            </w:r>
          </w:p>
        </w:tc>
        <w:tc>
          <w:tcPr>
            <w:tcW w:w="23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0.31</w:t>
            </w:r>
          </w:p>
        </w:tc>
        <w:tc>
          <w:tcPr>
            <w:tcW w:w="326" w:type="dxa"/>
            <w:tcBorders/>
            <w:shd w:fill="CCEEFF" w:val="clear"/>
            <w:vAlign w:val="center"/>
          </w:tcPr>
          <w:p>
            <w:pPr>
              <w:pStyle w:val="TableContents"/>
              <w:bidi w:val="0"/>
              <w:spacing w:before="0" w:after="0"/>
              <w:ind w:left="0" w:right="0" w:hanging="0"/>
              <w:jc w:val="left"/>
              <w:rPr/>
            </w:pPr>
            <w:r>
              <w:rPr/>
              <w:t>​</w:t>
            </w:r>
          </w:p>
        </w:tc>
        <w:tc>
          <w:tcPr>
            <w:tcW w:w="23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0.29</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0.62</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2"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0.58</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notes to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lineRule="auto" w:line="343"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45" w:name="Consolidated_Statement_of_Comprehensive_"/>
      <w:bookmarkStart w:id="246" w:name="_41657ea6_90fa_40df_94d0_082c7a346be3"/>
      <w:bookmarkEnd w:id="245"/>
      <w:bookmarkEnd w:id="246"/>
      <w:r>
        <w:rPr>
          <w:rFonts w:ascii="Times New Roman;Times;serif" w:hAnsi="Times New Roman;Times;serif"/>
          <w:b/>
          <w:sz w:val="20"/>
        </w:rPr>
        <w:t>AVNET,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STATEMENTS OF COMPREHENSIVE INCOME</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47" w:name="Tc_8P76_A6QW0KaBo6B8LS4Dg_11_11"/>
      <w:bookmarkStart w:id="248" w:name="Tc_ULpNyQBoIUS3GZeVrGKV7Q_11_8"/>
      <w:bookmarkStart w:id="249" w:name="Tc_2Dr9NfYAuESu9Ira8ycahA_11_5"/>
      <w:bookmarkStart w:id="250" w:name="Tc_tj0ginC4ckexIKYOhKJGYg_11_2"/>
      <w:bookmarkStart w:id="251" w:name="Tc_ea-oSRy4r0itrO0YHCG5Xg_11_0"/>
      <w:bookmarkStart w:id="252" w:name="Tc_KUJc7GF0EE6P3NODQXBjuA_10_0"/>
      <w:bookmarkStart w:id="253" w:name="Tc_yt2JIOWK4E6l_aByIaz9fw_9_0"/>
      <w:bookmarkStart w:id="254" w:name="Tc_ai17F1OZZUyh41W1OB2Ctw_8_12"/>
      <w:bookmarkStart w:id="255" w:name="Tc_yQt-pymn6kS1Z3UUZwuu3Q_8_6"/>
      <w:bookmarkStart w:id="256" w:name="Tc_1-EsrtRRgE6tLv9SESkAiQ_8_0"/>
      <w:bookmarkStart w:id="257" w:name="Tc_poYGXlREvkmjYNEKWhFXcQ_7_0"/>
      <w:bookmarkStart w:id="258" w:name="Tc_DKLeI8JfrUeCiN_yvACe8g_6_0"/>
      <w:bookmarkStart w:id="259" w:name="Tc_HCT8EPw0u0aNednSfObA5A_5_11"/>
      <w:bookmarkStart w:id="260" w:name="Tc_AeoHoPIrq0Wy3xpthgAzFg_5_8"/>
      <w:bookmarkStart w:id="261" w:name="Tc_R3_o2HXXUUW5EBL-bmqmVw_5_5"/>
      <w:bookmarkStart w:id="262" w:name="Tc_TuIEZsGamk-yfO32iRknlQ_5_2"/>
      <w:bookmarkStart w:id="263" w:name="Tc_GZTtRWxLVEmF0nLX41Dx5g_5_0"/>
      <w:bookmarkStart w:id="264" w:name="Tc_kG3MHWfZK0GiclGhgYMk-A_4_2"/>
      <w:bookmarkStart w:id="265" w:name="Tc_2OHX6T4Lhk-nK_WmON7mFw_3_11"/>
      <w:bookmarkStart w:id="266" w:name="Tc_hEyXAtXjdECzEpWphS6P6w_3_8"/>
      <w:bookmarkStart w:id="267" w:name="Tc_AC4lXMbzQU-cIYtBWOmSfQ_3_5"/>
      <w:bookmarkStart w:id="268" w:name="Tc_3SuxV9ACqki52pBX_lKtKw_3_2"/>
      <w:bookmarkStart w:id="269" w:name="Tc_7iuse7oXnkCdy2r4MbHDNw_2_11"/>
      <w:bookmarkStart w:id="270" w:name="Tc_n-SmBFEPFU20Aff58IExpQ_2_8"/>
      <w:bookmarkStart w:id="271" w:name="Tc_MN38Pb6ROUKmRmMA4QxbWA_2_5"/>
      <w:bookmarkStart w:id="272" w:name="Tc_91wRdidsN0-LjwSPN9x2nQ_2_2"/>
      <w:bookmarkStart w:id="273" w:name="Tc_bP-avVk0-0aa-YvugnUOqA_1_8"/>
      <w:bookmarkStart w:id="274" w:name="Tc_PABfrZJZiE22uj5J15StSA_1_2"/>
      <w:bookmarkStart w:id="275" w:name="_c20cb341_e6e3_4d22_b14d_f2809317817d"/>
      <w:bookmarkStart w:id="276" w:name="Tc_8P76_A6QW0KaBo6B8LS4Dg_11_11"/>
      <w:bookmarkStart w:id="277" w:name="Tc_ULpNyQBoIUS3GZeVrGKV7Q_11_8"/>
      <w:bookmarkStart w:id="278" w:name="Tc_2Dr9NfYAuESu9Ira8ycahA_11_5"/>
      <w:bookmarkStart w:id="279" w:name="Tc_tj0ginC4ckexIKYOhKJGYg_11_2"/>
      <w:bookmarkStart w:id="280" w:name="Tc_ea-oSRy4r0itrO0YHCG5Xg_11_0"/>
      <w:bookmarkStart w:id="281" w:name="Tc_KUJc7GF0EE6P3NODQXBjuA_10_0"/>
      <w:bookmarkStart w:id="282" w:name="Tc_yt2JIOWK4E6l_aByIaz9fw_9_0"/>
      <w:bookmarkStart w:id="283" w:name="Tc_ai17F1OZZUyh41W1OB2Ctw_8_12"/>
      <w:bookmarkStart w:id="284" w:name="Tc_yQt-pymn6kS1Z3UUZwuu3Q_8_6"/>
      <w:bookmarkStart w:id="285" w:name="Tc_1-EsrtRRgE6tLv9SESkAiQ_8_0"/>
      <w:bookmarkStart w:id="286" w:name="Tc_poYGXlREvkmjYNEKWhFXcQ_7_0"/>
      <w:bookmarkStart w:id="287" w:name="Tc_DKLeI8JfrUeCiN_yvACe8g_6_0"/>
      <w:bookmarkStart w:id="288" w:name="Tc_HCT8EPw0u0aNednSfObA5A_5_11"/>
      <w:bookmarkStart w:id="289" w:name="Tc_AeoHoPIrq0Wy3xpthgAzFg_5_8"/>
      <w:bookmarkStart w:id="290" w:name="Tc_R3_o2HXXUUW5EBL-bmqmVw_5_5"/>
      <w:bookmarkStart w:id="291" w:name="Tc_TuIEZsGamk-yfO32iRknlQ_5_2"/>
      <w:bookmarkStart w:id="292" w:name="Tc_GZTtRWxLVEmF0nLX41Dx5g_5_0"/>
      <w:bookmarkStart w:id="293" w:name="Tc_kG3MHWfZK0GiclGhgYMk-A_4_2"/>
      <w:bookmarkStart w:id="294" w:name="Tc_2OHX6T4Lhk-nK_WmON7mFw_3_11"/>
      <w:bookmarkStart w:id="295" w:name="Tc_hEyXAtXjdECzEpWphS6P6w_3_8"/>
      <w:bookmarkStart w:id="296" w:name="Tc_AC4lXMbzQU-cIYtBWOmSfQ_3_5"/>
      <w:bookmarkStart w:id="297" w:name="Tc_3SuxV9ACqki52pBX_lKtKw_3_2"/>
      <w:bookmarkStart w:id="298" w:name="Tc_7iuse7oXnkCdy2r4MbHDNw_2_11"/>
      <w:bookmarkStart w:id="299" w:name="Tc_n-SmBFEPFU20Aff58IExpQ_2_8"/>
      <w:bookmarkStart w:id="300" w:name="Tc_MN38Pb6ROUKmRmMA4QxbWA_2_5"/>
      <w:bookmarkStart w:id="301" w:name="Tc_91wRdidsN0-LjwSPN9x2nQ_2_2"/>
      <w:bookmarkStart w:id="302" w:name="Tc_bP-avVk0-0aa-YvugnUOqA_1_8"/>
      <w:bookmarkStart w:id="303" w:name="Tc_PABfrZJZiE22uj5J15StSA_1_2"/>
      <w:bookmarkStart w:id="304" w:name="_c20cb341_e6e3_4d22_b14d_f2809317817d"/>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p>
    <w:tbl>
      <w:tblPr>
        <w:tblW w:w="10205" w:type="dxa"/>
        <w:jc w:val="left"/>
        <w:tblInd w:w="0" w:type="dxa"/>
        <w:tblLayout w:type="fixed"/>
        <w:tblCellMar>
          <w:top w:w="0" w:type="dxa"/>
          <w:left w:w="0" w:type="dxa"/>
          <w:bottom w:w="0" w:type="dxa"/>
          <w:right w:w="0" w:type="dxa"/>
        </w:tblCellMar>
      </w:tblPr>
      <w:tblGrid>
        <w:gridCol w:w="3764"/>
        <w:gridCol w:w="326"/>
        <w:gridCol w:w="266"/>
        <w:gridCol w:w="991"/>
        <w:gridCol w:w="326"/>
        <w:gridCol w:w="266"/>
        <w:gridCol w:w="991"/>
        <w:gridCol w:w="386"/>
        <w:gridCol w:w="266"/>
        <w:gridCol w:w="991"/>
        <w:gridCol w:w="326"/>
        <w:gridCol w:w="249"/>
        <w:gridCol w:w="1057"/>
      </w:tblGrid>
      <w:tr>
        <w:trPr/>
        <w:tc>
          <w:tcPr>
            <w:tcW w:w="37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390140" cy="175260"/>
                      <wp:effectExtent l="0" t="0" r="0" b="0"/>
                      <wp:wrapNone/>
                      <wp:docPr id="27" name="Frame27"/>
                      <a:graphic xmlns:a="http://schemas.openxmlformats.org/drawingml/2006/main">
                        <a:graphicData uri="http://schemas.microsoft.com/office/word/2010/wordprocessingShape">
                          <wps:wsp>
                            <wps:cNvSpPr txBox="1"/>
                            <wps:spPr>
                              <a:xfrm>
                                <a:off x="0" y="0"/>
                                <a:ext cx="23901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07010" cy="175260"/>
                      <wp:effectExtent l="0" t="0" r="0" b="0"/>
                      <wp:wrapNone/>
                      <wp:docPr id="28" name="Frame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68910" cy="175260"/>
                      <wp:effectExtent l="0" t="0" r="0" b="0"/>
                      <wp:wrapNone/>
                      <wp:docPr id="29" name="Frame29"/>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29285" cy="175260"/>
                      <wp:effectExtent l="0" t="0" r="0" b="0"/>
                      <wp:wrapNone/>
                      <wp:docPr id="30" name="Frame30"/>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07010" cy="175260"/>
                      <wp:effectExtent l="0" t="0" r="0" b="0"/>
                      <wp:wrapNone/>
                      <wp:docPr id="31" name="Frame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68910" cy="175260"/>
                      <wp:effectExtent l="0" t="0" r="0" b="0"/>
                      <wp:wrapNone/>
                      <wp:docPr id="32" name="Frame32"/>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29285" cy="175260"/>
                      <wp:effectExtent l="0" t="0" r="0" b="0"/>
                      <wp:wrapNone/>
                      <wp:docPr id="33" name="Frame33"/>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45110" cy="175260"/>
                      <wp:effectExtent l="0" t="0" r="0" b="0"/>
                      <wp:wrapNone/>
                      <wp:docPr id="34" name="Frame34"/>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68910" cy="175260"/>
                      <wp:effectExtent l="0" t="0" r="0" b="0"/>
                      <wp:wrapNone/>
                      <wp:docPr id="35" name="Frame35"/>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29285" cy="175260"/>
                      <wp:effectExtent l="0" t="0" r="0" b="0"/>
                      <wp:wrapNone/>
                      <wp:docPr id="36" name="Frame36"/>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07010" cy="175260"/>
                      <wp:effectExtent l="0" t="0" r="0" b="0"/>
                      <wp:wrapNone/>
                      <wp:docPr id="37" name="Frame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58115" cy="175260"/>
                      <wp:effectExtent l="0" t="0" r="0" b="0"/>
                      <wp:wrapNone/>
                      <wp:docPr id="38" name="Frame38"/>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71195" cy="175260"/>
                      <wp:effectExtent l="0" t="0" r="0" b="0"/>
                      <wp:wrapNone/>
                      <wp:docPr id="39" name="Frame39"/>
                      <a:graphic xmlns:a="http://schemas.openxmlformats.org/drawingml/2006/main">
                        <a:graphicData uri="http://schemas.microsoft.com/office/word/2010/wordprocessingShape">
                          <wps:wsp>
                            <wps:cNvSpPr txBox="1"/>
                            <wps:spPr>
                              <a:xfrm>
                                <a:off x="0" y="0"/>
                                <a:ext cx="6711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6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840"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Second Quarters Ended</w:t>
            </w:r>
          </w:p>
        </w:tc>
        <w:tc>
          <w:tcPr>
            <w:tcW w:w="386" w:type="dxa"/>
            <w:tcBorders/>
            <w:vAlign w:val="center"/>
          </w:tcPr>
          <w:p>
            <w:pPr>
              <w:pStyle w:val="TableContents"/>
              <w:bidi w:val="0"/>
              <w:spacing w:before="0" w:after="0"/>
              <w:ind w:left="0" w:right="0" w:hanging="0"/>
              <w:jc w:val="left"/>
              <w:rPr/>
            </w:pPr>
            <w:r>
              <w:rPr/>
              <w:t>​</w:t>
            </w:r>
          </w:p>
        </w:tc>
        <w:tc>
          <w:tcPr>
            <w:tcW w:w="2889"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Six Months Ended</w:t>
            </w:r>
          </w:p>
        </w:tc>
      </w:tr>
      <w:tr>
        <w:trPr/>
        <w:tc>
          <w:tcPr>
            <w:tcW w:w="376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257"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30,</w:t>
            </w:r>
          </w:p>
        </w:tc>
        <w:tc>
          <w:tcPr>
            <w:tcW w:w="326" w:type="dxa"/>
            <w:tcBorders/>
            <w:vAlign w:val="center"/>
          </w:tcPr>
          <w:p>
            <w:pPr>
              <w:pStyle w:val="TableContents"/>
              <w:bidi w:val="0"/>
              <w:spacing w:before="0" w:after="0"/>
              <w:ind w:left="0" w:right="0" w:hanging="0"/>
              <w:jc w:val="center"/>
              <w:rPr/>
            </w:pPr>
            <w:r>
              <w:rPr/>
              <w:t>    </w:t>
            </w:r>
          </w:p>
        </w:tc>
        <w:tc>
          <w:tcPr>
            <w:tcW w:w="1257"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w:t>
            </w:r>
          </w:p>
        </w:tc>
        <w:tc>
          <w:tcPr>
            <w:tcW w:w="386" w:type="dxa"/>
            <w:tcBorders/>
            <w:vAlign w:val="center"/>
          </w:tcPr>
          <w:p>
            <w:pPr>
              <w:pStyle w:val="TableContents"/>
              <w:bidi w:val="0"/>
              <w:spacing w:before="0" w:after="0"/>
              <w:ind w:left="0" w:right="0" w:hanging="0"/>
              <w:jc w:val="left"/>
              <w:rPr/>
            </w:pPr>
            <w:r>
              <w:rPr/>
              <w:t>     </w:t>
            </w:r>
          </w:p>
        </w:tc>
        <w:tc>
          <w:tcPr>
            <w:tcW w:w="1257"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30,</w:t>
            </w:r>
          </w:p>
        </w:tc>
        <w:tc>
          <w:tcPr>
            <w:tcW w:w="326" w:type="dxa"/>
            <w:tcBorders/>
            <w:vAlign w:val="center"/>
          </w:tcPr>
          <w:p>
            <w:pPr>
              <w:pStyle w:val="TableContents"/>
              <w:bidi w:val="0"/>
              <w:spacing w:before="0" w:after="0"/>
              <w:ind w:left="0" w:right="0" w:hanging="0"/>
              <w:jc w:val="center"/>
              <w:rPr/>
            </w:pPr>
            <w:r>
              <w:rPr/>
              <w:t>    </w:t>
            </w:r>
          </w:p>
        </w:tc>
        <w:tc>
          <w:tcPr>
            <w:tcW w:w="130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w:t>
            </w:r>
          </w:p>
        </w:tc>
      </w:tr>
      <w:tr>
        <w:trPr/>
        <w:tc>
          <w:tcPr>
            <w:tcW w:w="376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57"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6" w:type="dxa"/>
            <w:tcBorders/>
            <w:vAlign w:val="center"/>
          </w:tcPr>
          <w:p>
            <w:pPr>
              <w:pStyle w:val="TableContents"/>
              <w:bidi w:val="0"/>
              <w:spacing w:before="0" w:after="0"/>
              <w:ind w:left="0" w:right="0" w:hanging="0"/>
              <w:jc w:val="center"/>
              <w:rPr/>
            </w:pPr>
            <w:r>
              <w:rPr/>
              <w:t>​</w:t>
            </w:r>
          </w:p>
        </w:tc>
        <w:tc>
          <w:tcPr>
            <w:tcW w:w="1257"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386" w:type="dxa"/>
            <w:tcBorders/>
            <w:vAlign w:val="center"/>
          </w:tcPr>
          <w:p>
            <w:pPr>
              <w:pStyle w:val="TableContents"/>
              <w:bidi w:val="0"/>
              <w:spacing w:before="0" w:after="0"/>
              <w:ind w:left="0" w:right="0" w:hanging="0"/>
              <w:jc w:val="left"/>
              <w:rPr/>
            </w:pPr>
            <w:r>
              <w:rPr/>
              <w:t>​</w:t>
            </w:r>
          </w:p>
        </w:tc>
        <w:tc>
          <w:tcPr>
            <w:tcW w:w="1257"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6" w:type="dxa"/>
            <w:tcBorders/>
            <w:vAlign w:val="center"/>
          </w:tcPr>
          <w:p>
            <w:pPr>
              <w:pStyle w:val="TableContents"/>
              <w:bidi w:val="0"/>
              <w:spacing w:before="0" w:after="0"/>
              <w:ind w:left="0" w:right="0" w:hanging="0"/>
              <w:jc w:val="center"/>
              <w:rPr/>
            </w:pPr>
            <w:r>
              <w:rPr/>
              <w:t>​</w:t>
            </w:r>
          </w:p>
        </w:tc>
        <w:tc>
          <w:tcPr>
            <w:tcW w:w="1306"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r>
      <w:tr>
        <w:trPr/>
        <w:tc>
          <w:tcPr>
            <w:tcW w:w="102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376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115" w:type="dxa"/>
            <w:gridSpan w:val="11"/>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(Thousands)</w:t>
            </w:r>
          </w:p>
        </w:tc>
      </w:tr>
      <w:tr>
        <w:trPr/>
        <w:tc>
          <w:tcPr>
            <w:tcW w:w="376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shd w:fill="CCEEFF" w:val="clear"/>
            <w:vAlign w:val="center"/>
          </w:tcPr>
          <w:p>
            <w:pPr>
              <w:pStyle w:val="TableContents"/>
              <w:bidi w:val="0"/>
              <w:spacing w:before="0" w:after="0"/>
              <w:ind w:left="0" w:right="0" w:hanging="0"/>
              <w:jc w:val="left"/>
              <w:rPr/>
            </w:pPr>
            <w:r>
              <w:rPr/>
              <w:t>​</w:t>
            </w:r>
          </w:p>
        </w:tc>
        <w:tc>
          <w:tcPr>
            <w:tcW w:w="2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117,931</w:t>
            </w:r>
          </w:p>
        </w:tc>
        <w:tc>
          <w:tcPr>
            <w:tcW w:w="326" w:type="dxa"/>
            <w:tcBorders/>
            <w:shd w:fill="CCEEFF" w:val="clear"/>
            <w:vAlign w:val="center"/>
          </w:tcPr>
          <w:p>
            <w:pPr>
              <w:pStyle w:val="TableContents"/>
              <w:bidi w:val="0"/>
              <w:spacing w:before="0" w:after="0"/>
              <w:ind w:left="0" w:right="0" w:hanging="0"/>
              <w:jc w:val="left"/>
              <w:rPr/>
            </w:pPr>
            <w:r>
              <w:rPr/>
              <w:t>​</w:t>
            </w:r>
          </w:p>
        </w:tc>
        <w:tc>
          <w:tcPr>
            <w:tcW w:w="2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243,886</w:t>
            </w:r>
          </w:p>
        </w:tc>
        <w:tc>
          <w:tcPr>
            <w:tcW w:w="386" w:type="dxa"/>
            <w:tcBorders/>
            <w:shd w:fill="CCEEFF" w:val="clear"/>
            <w:vAlign w:val="center"/>
          </w:tcPr>
          <w:p>
            <w:pPr>
              <w:pStyle w:val="TableContents"/>
              <w:bidi w:val="0"/>
              <w:spacing w:before="0" w:after="0"/>
              <w:ind w:left="0" w:right="0" w:hanging="0"/>
              <w:jc w:val="left"/>
              <w:rPr/>
            </w:pPr>
            <w:r>
              <w:rPr/>
              <w:t>​</w:t>
            </w:r>
          </w:p>
        </w:tc>
        <w:tc>
          <w:tcPr>
            <w:tcW w:w="2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327,199</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428,147</w:t>
            </w:r>
          </w:p>
        </w:tc>
      </w:tr>
      <w:tr>
        <w:trPr/>
        <w:tc>
          <w:tcPr>
            <w:tcW w:w="37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 net of tax:</w:t>
            </w:r>
          </w:p>
        </w:tc>
        <w:tc>
          <w:tcPr>
            <w:tcW w:w="32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right"/>
              <w:rPr/>
            </w:pPr>
            <w:r>
              <w:rPr/>
              <w:t>​</w:t>
            </w:r>
          </w:p>
        </w:tc>
        <w:tc>
          <w:tcPr>
            <w:tcW w:w="9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right"/>
              <w:rPr/>
            </w:pPr>
            <w:r>
              <w:rPr/>
              <w:t>​</w:t>
            </w:r>
          </w:p>
        </w:tc>
        <w:tc>
          <w:tcPr>
            <w:tcW w:w="991" w:type="dxa"/>
            <w:tcBorders/>
            <w:vAlign w:val="center"/>
          </w:tcPr>
          <w:p>
            <w:pPr>
              <w:pStyle w:val="TableContents"/>
              <w:bidi w:val="0"/>
              <w:spacing w:before="0" w:after="0"/>
              <w:ind w:left="0" w:right="0" w:hanging="0"/>
              <w:jc w:val="right"/>
              <w:rPr/>
            </w:pPr>
            <w:r>
              <w:rPr/>
              <w:t>​</w:t>
            </w:r>
          </w:p>
        </w:tc>
        <w:tc>
          <w:tcPr>
            <w:tcW w:w="38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right"/>
              <w:rPr/>
            </w:pPr>
            <w:r>
              <w:rPr/>
              <w:t>​</w:t>
            </w:r>
          </w:p>
        </w:tc>
        <w:tc>
          <w:tcPr>
            <w:tcW w:w="9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right"/>
              <w:rPr/>
            </w:pPr>
            <w:r>
              <w:rPr/>
              <w:t>​</w:t>
            </w:r>
          </w:p>
        </w:tc>
        <w:tc>
          <w:tcPr>
            <w:tcW w:w="1057" w:type="dxa"/>
            <w:tcBorders/>
            <w:vAlign w:val="center"/>
          </w:tcPr>
          <w:p>
            <w:pPr>
              <w:pStyle w:val="TableContents"/>
              <w:bidi w:val="0"/>
              <w:spacing w:before="0" w:after="0"/>
              <w:ind w:left="0" w:right="0" w:hanging="0"/>
              <w:jc w:val="right"/>
              <w:rPr/>
            </w:pPr>
            <w:r>
              <w:rPr/>
              <w:t>​</w:t>
            </w:r>
          </w:p>
        </w:tc>
      </w:tr>
      <w:tr>
        <w:trPr/>
        <w:tc>
          <w:tcPr>
            <w:tcW w:w="376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 and other</w:t>
            </w:r>
          </w:p>
        </w:tc>
        <w:tc>
          <w:tcPr>
            <w:tcW w:w="326" w:type="dxa"/>
            <w:tcBorders/>
            <w:shd w:fill="CCEEFF" w:val="clear"/>
            <w:vAlign w:val="center"/>
          </w:tcPr>
          <w:p>
            <w:pPr>
              <w:pStyle w:val="TableContents"/>
              <w:bidi w:val="0"/>
              <w:spacing w:before="0" w:after="0"/>
              <w:ind w:left="0" w:right="0" w:hanging="0"/>
              <w:jc w:val="lef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169,163</w:t>
            </w:r>
          </w:p>
        </w:tc>
        <w:tc>
          <w:tcPr>
            <w:tcW w:w="326" w:type="dxa"/>
            <w:tcBorders/>
            <w:shd w:fill="CCEEFF" w:val="clear"/>
            <w:vAlign w:val="center"/>
          </w:tcPr>
          <w:p>
            <w:pPr>
              <w:pStyle w:val="TableContents"/>
              <w:bidi w:val="0"/>
              <w:spacing w:before="0" w:after="0"/>
              <w:ind w:left="0" w:right="0" w:hanging="0"/>
              <w:jc w:val="lef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243,252</w:t>
            </w:r>
          </w:p>
        </w:tc>
        <w:tc>
          <w:tcPr>
            <w:tcW w:w="386" w:type="dxa"/>
            <w:tcBorders/>
            <w:shd w:fill="CCEEFF" w:val="clear"/>
            <w:vAlign w:val="center"/>
          </w:tcPr>
          <w:p>
            <w:pPr>
              <w:pStyle w:val="TableContents"/>
              <w:bidi w:val="0"/>
              <w:spacing w:before="0" w:after="0"/>
              <w:ind w:left="0" w:right="0" w:hanging="0"/>
              <w:jc w:val="left"/>
              <w:rPr/>
            </w:pPr>
            <w:r>
              <w:rPr/>
              <w:t>​</w:t>
            </w:r>
          </w:p>
        </w:tc>
        <w:tc>
          <w:tcPr>
            <w:tcW w:w="266" w:type="dxa"/>
            <w:tcBorders/>
            <w:shd w:fill="CCEEFF" w:val="clear"/>
            <w:vAlign w:val="center"/>
          </w:tcPr>
          <w:p>
            <w:pPr>
              <w:pStyle w:val="TableContents"/>
              <w:bidi w:val="0"/>
              <w:spacing w:before="0" w:after="0"/>
              <w:ind w:left="0" w:right="0" w:hanging="0"/>
              <w:jc w:val="righ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62,127</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right"/>
              <w:rPr/>
            </w:pPr>
            <w:r>
              <w:rPr/>
              <w:t> </w:t>
            </w:r>
          </w:p>
        </w:tc>
        <w:tc>
          <w:tcPr>
            <w:tcW w:w="10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41,589</w:t>
            </w:r>
          </w:p>
        </w:tc>
      </w:tr>
      <w:tr>
        <w:trPr/>
        <w:tc>
          <w:tcPr>
            <w:tcW w:w="37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Cross-currency swap</w:t>
            </w:r>
          </w:p>
        </w:tc>
        <w:tc>
          <w:tcPr>
            <w:tcW w:w="32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righ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(24,199)</w:t>
            </w:r>
          </w:p>
        </w:tc>
        <w:tc>
          <w:tcPr>
            <w:tcW w:w="32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right"/>
              <w:rPr/>
            </w:pPr>
            <w:r>
              <w:rPr/>
              <w:t>​</w:t>
            </w:r>
          </w:p>
        </w:tc>
        <w:tc>
          <w:tcPr>
            <w:tcW w:w="991" w:type="dxa"/>
            <w:tcBorders/>
            <w:vAlign w:val="center"/>
          </w:tcPr>
          <w:p>
            <w:pPr>
              <w:pStyle w:val="TableContents"/>
              <w:bidi w:val="0"/>
              <w:spacing w:before="0" w:after="0"/>
              <w:ind w:left="0" w:right="0" w:hanging="0"/>
              <w:jc w:val="right"/>
              <w:rPr/>
            </w:pPr>
            <w:r>
              <w:rPr/>
              <w:t>—</w:t>
            </w:r>
          </w:p>
        </w:tc>
        <w:tc>
          <w:tcPr>
            <w:tcW w:w="38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righ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(12,391)</w:t>
            </w:r>
          </w:p>
        </w:tc>
        <w:tc>
          <w:tcPr>
            <w:tcW w:w="3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right"/>
              <w:rPr/>
            </w:pPr>
            <w:r>
              <w:rPr/>
              <w:t>​</w:t>
            </w:r>
          </w:p>
        </w:tc>
        <w:tc>
          <w:tcPr>
            <w:tcW w:w="1057" w:type="dxa"/>
            <w:tcBorders/>
            <w:vAlign w:val="center"/>
          </w:tcPr>
          <w:p>
            <w:pPr>
              <w:pStyle w:val="TableContents"/>
              <w:bidi w:val="0"/>
              <w:spacing w:before="0" w:after="0"/>
              <w:ind w:left="0" w:right="0" w:hanging="0"/>
              <w:jc w:val="right"/>
              <w:rPr/>
            </w:pPr>
            <w:r>
              <w:rPr/>
              <w:t>—</w:t>
            </w:r>
          </w:p>
        </w:tc>
      </w:tr>
      <w:tr>
        <w:trPr/>
        <w:tc>
          <w:tcPr>
            <w:tcW w:w="376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Pension adjustments</w:t>
            </w:r>
          </w:p>
        </w:tc>
        <w:tc>
          <w:tcPr>
            <w:tcW w:w="326" w:type="dxa"/>
            <w:tcBorders/>
            <w:shd w:fill="CCEEFF" w:val="clear"/>
            <w:vAlign w:val="center"/>
          </w:tcPr>
          <w:p>
            <w:pPr>
              <w:pStyle w:val="TableContents"/>
              <w:bidi w:val="0"/>
              <w:spacing w:before="0" w:after="0"/>
              <w:ind w:left="0" w:right="0" w:hanging="0"/>
              <w:jc w:val="left"/>
              <w:rPr/>
            </w:pPr>
            <w:r>
              <w:rPr/>
              <w:t>​</w:t>
            </w:r>
          </w:p>
        </w:tc>
        <w:tc>
          <w:tcPr>
            <w:tcW w:w="266"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91"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725</w:t>
            </w:r>
          </w:p>
        </w:tc>
        <w:tc>
          <w:tcPr>
            <w:tcW w:w="326" w:type="dxa"/>
            <w:tcBorders/>
            <w:shd w:fill="CCEEFF" w:val="clear"/>
            <w:vAlign w:val="center"/>
          </w:tcPr>
          <w:p>
            <w:pPr>
              <w:pStyle w:val="TableContents"/>
              <w:bidi w:val="0"/>
              <w:spacing w:before="0" w:after="0"/>
              <w:ind w:left="0" w:right="0" w:hanging="0"/>
              <w:jc w:val="left"/>
              <w:rPr/>
            </w:pPr>
            <w:r>
              <w:rPr/>
              <w:t>​</w:t>
            </w:r>
          </w:p>
        </w:tc>
        <w:tc>
          <w:tcPr>
            <w:tcW w:w="266"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91"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w:t>
            </w:r>
          </w:p>
        </w:tc>
        <w:tc>
          <w:tcPr>
            <w:tcW w:w="386" w:type="dxa"/>
            <w:tcBorders/>
            <w:shd w:fill="CCEEFF" w:val="clear"/>
            <w:vAlign w:val="center"/>
          </w:tcPr>
          <w:p>
            <w:pPr>
              <w:pStyle w:val="TableContents"/>
              <w:bidi w:val="0"/>
              <w:spacing w:before="0" w:after="0"/>
              <w:ind w:left="0" w:right="0" w:hanging="0"/>
              <w:jc w:val="left"/>
              <w:rPr/>
            </w:pPr>
            <w:r>
              <w:rPr/>
              <w:t>​</w:t>
            </w:r>
          </w:p>
        </w:tc>
        <w:tc>
          <w:tcPr>
            <w:tcW w:w="266"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991"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2,192</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1057"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10,199</w:t>
            </w:r>
          </w:p>
        </w:tc>
      </w:tr>
      <w:tr>
        <w:trPr/>
        <w:tc>
          <w:tcPr>
            <w:tcW w:w="37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comprehensive income, net of tax</w:t>
            </w:r>
          </w:p>
        </w:tc>
        <w:tc>
          <w:tcPr>
            <w:tcW w:w="326" w:type="dxa"/>
            <w:tcBorders/>
            <w:vAlign w:val="center"/>
          </w:tcPr>
          <w:p>
            <w:pPr>
              <w:pStyle w:val="TableContents"/>
              <w:bidi w:val="0"/>
              <w:spacing w:before="0" w:after="0"/>
              <w:ind w:left="0" w:right="0" w:hanging="0"/>
              <w:jc w:val="left"/>
              <w:rPr/>
            </w:pPr>
            <w:r>
              <w:rPr/>
              <w:t>​</w:t>
            </w:r>
          </w:p>
        </w:tc>
        <w:tc>
          <w:tcPr>
            <w:tcW w:w="266" w:type="dxa"/>
            <w:tcBorders>
              <w:bottom w:val="single" w:sz="12" w:space="0" w:color="000000"/>
            </w:tcBorders>
            <w:tcMar>
              <w:bottom w:w="28" w:type="dxa"/>
            </w:tcMar>
            <w:vAlign w:val="center"/>
          </w:tcPr>
          <w:p>
            <w:pPr>
              <w:pStyle w:val="TableContents"/>
              <w:bidi w:val="0"/>
              <w:spacing w:before="0" w:after="0"/>
              <w:ind w:left="0" w:right="0" w:hanging="0"/>
              <w:jc w:val="left"/>
              <w:rPr/>
            </w:pPr>
            <w:r>
              <w:rPr/>
              <w:t>​</w:t>
            </w:r>
          </w:p>
        </w:tc>
        <w:tc>
          <w:tcPr>
            <w:tcW w:w="991"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145,689</w:t>
            </w:r>
          </w:p>
        </w:tc>
        <w:tc>
          <w:tcPr>
            <w:tcW w:w="326" w:type="dxa"/>
            <w:tcBorders/>
            <w:vAlign w:val="center"/>
          </w:tcPr>
          <w:p>
            <w:pPr>
              <w:pStyle w:val="TableContents"/>
              <w:bidi w:val="0"/>
              <w:spacing w:before="0" w:after="0"/>
              <w:ind w:left="0" w:right="0" w:hanging="0"/>
              <w:jc w:val="left"/>
              <w:rPr/>
            </w:pPr>
            <w:r>
              <w:rPr/>
              <w:t>​</w:t>
            </w:r>
          </w:p>
        </w:tc>
        <w:tc>
          <w:tcPr>
            <w:tcW w:w="266" w:type="dxa"/>
            <w:tcBorders>
              <w:bottom w:val="single" w:sz="12" w:space="0" w:color="000000"/>
            </w:tcBorders>
            <w:tcMar>
              <w:bottom w:w="28" w:type="dxa"/>
            </w:tcMar>
            <w:vAlign w:val="center"/>
          </w:tcPr>
          <w:p>
            <w:pPr>
              <w:pStyle w:val="TableContents"/>
              <w:bidi w:val="0"/>
              <w:spacing w:before="0" w:after="0"/>
              <w:ind w:left="0" w:right="0" w:hanging="0"/>
              <w:jc w:val="left"/>
              <w:rPr/>
            </w:pPr>
            <w:r>
              <w:rPr/>
              <w:t>​</w:t>
            </w:r>
          </w:p>
        </w:tc>
        <w:tc>
          <w:tcPr>
            <w:tcW w:w="991"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243,585</w:t>
            </w:r>
          </w:p>
        </w:tc>
        <w:tc>
          <w:tcPr>
            <w:tcW w:w="386" w:type="dxa"/>
            <w:tcBorders/>
            <w:vAlign w:val="center"/>
          </w:tcPr>
          <w:p>
            <w:pPr>
              <w:pStyle w:val="TableContents"/>
              <w:bidi w:val="0"/>
              <w:spacing w:before="0" w:after="0"/>
              <w:ind w:left="0" w:right="0" w:hanging="0"/>
              <w:jc w:val="left"/>
              <w:rPr/>
            </w:pPr>
            <w:r>
              <w:rPr/>
              <w:t>​</w:t>
            </w:r>
          </w:p>
        </w:tc>
        <w:tc>
          <w:tcPr>
            <w:tcW w:w="266" w:type="dxa"/>
            <w:tcBorders>
              <w:bottom w:val="single" w:sz="12" w:space="0" w:color="000000"/>
            </w:tcBorders>
            <w:tcMar>
              <w:bottom w:w="28" w:type="dxa"/>
            </w:tcMar>
            <w:vAlign w:val="center"/>
          </w:tcPr>
          <w:p>
            <w:pPr>
              <w:pStyle w:val="TableContents"/>
              <w:bidi w:val="0"/>
              <w:spacing w:before="0" w:after="0"/>
              <w:ind w:left="0" w:right="0" w:hanging="0"/>
              <w:jc w:val="right"/>
              <w:rPr/>
            </w:pPr>
            <w:r>
              <w:rPr/>
              <w:t>​</w:t>
            </w:r>
          </w:p>
        </w:tc>
        <w:tc>
          <w:tcPr>
            <w:tcW w:w="991"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51,928</w:t>
            </w:r>
          </w:p>
        </w:tc>
        <w:tc>
          <w:tcPr>
            <w:tcW w:w="326" w:type="dxa"/>
            <w:tcBorders/>
            <w:vAlign w:val="center"/>
          </w:tcPr>
          <w:p>
            <w:pPr>
              <w:pStyle w:val="TableContents"/>
              <w:bidi w:val="0"/>
              <w:spacing w:before="0" w:after="0"/>
              <w:ind w:left="0" w:right="0" w:hanging="0"/>
              <w:jc w:val="left"/>
              <w:rPr/>
            </w:pPr>
            <w:r>
              <w:rPr/>
              <w:t>​</w:t>
            </w:r>
          </w:p>
        </w:tc>
        <w:tc>
          <w:tcPr>
            <w:tcW w:w="249" w:type="dxa"/>
            <w:tcBorders>
              <w:bottom w:val="single" w:sz="12" w:space="0" w:color="000000"/>
            </w:tcBorders>
            <w:tcMar>
              <w:bottom w:w="28" w:type="dxa"/>
            </w:tcMar>
            <w:vAlign w:val="center"/>
          </w:tcPr>
          <w:p>
            <w:pPr>
              <w:pStyle w:val="TableContents"/>
              <w:bidi w:val="0"/>
              <w:spacing w:before="0" w:after="0"/>
              <w:ind w:left="0" w:right="0" w:hanging="0"/>
              <w:jc w:val="right"/>
              <w:rPr/>
            </w:pPr>
            <w:r>
              <w:rPr/>
              <w:t>​</w:t>
            </w:r>
          </w:p>
        </w:tc>
        <w:tc>
          <w:tcPr>
            <w:tcW w:w="1057"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51,788</w:t>
            </w:r>
          </w:p>
        </w:tc>
      </w:tr>
      <w:tr>
        <w:trPr/>
        <w:tc>
          <w:tcPr>
            <w:tcW w:w="376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comprehensive income, net of tax</w:t>
            </w:r>
          </w:p>
        </w:tc>
        <w:tc>
          <w:tcPr>
            <w:tcW w:w="326" w:type="dxa"/>
            <w:tcBorders/>
            <w:shd w:fill="CCEEFF" w:val="clear"/>
            <w:vAlign w:val="center"/>
          </w:tcPr>
          <w:p>
            <w:pPr>
              <w:pStyle w:val="TableContents"/>
              <w:bidi w:val="0"/>
              <w:spacing w:before="0" w:after="0"/>
              <w:ind w:left="0" w:right="0" w:hanging="0"/>
              <w:jc w:val="left"/>
              <w:rPr/>
            </w:pPr>
            <w:r>
              <w:rPr/>
              <w:t>​</w:t>
            </w:r>
          </w:p>
        </w:tc>
        <w:tc>
          <w:tcPr>
            <w:tcW w:w="26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263,620</w:t>
            </w:r>
          </w:p>
        </w:tc>
        <w:tc>
          <w:tcPr>
            <w:tcW w:w="326" w:type="dxa"/>
            <w:tcBorders/>
            <w:shd w:fill="CCEEFF" w:val="clear"/>
            <w:vAlign w:val="center"/>
          </w:tcPr>
          <w:p>
            <w:pPr>
              <w:pStyle w:val="TableContents"/>
              <w:bidi w:val="0"/>
              <w:spacing w:before="0" w:after="0"/>
              <w:ind w:left="0" w:right="0" w:hanging="0"/>
              <w:jc w:val="left"/>
              <w:rPr/>
            </w:pPr>
            <w:r>
              <w:rPr/>
              <w:t>​</w:t>
            </w:r>
          </w:p>
        </w:tc>
        <w:tc>
          <w:tcPr>
            <w:tcW w:w="26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487,471</w:t>
            </w:r>
          </w:p>
        </w:tc>
        <w:tc>
          <w:tcPr>
            <w:tcW w:w="386" w:type="dxa"/>
            <w:tcBorders/>
            <w:shd w:fill="CCEEFF" w:val="clear"/>
            <w:vAlign w:val="center"/>
          </w:tcPr>
          <w:p>
            <w:pPr>
              <w:pStyle w:val="TableContents"/>
              <w:bidi w:val="0"/>
              <w:spacing w:before="0" w:after="0"/>
              <w:ind w:left="0" w:right="0" w:hanging="0"/>
              <w:jc w:val="left"/>
              <w:rPr/>
            </w:pPr>
            <w:r>
              <w:rPr/>
              <w:t>​</w:t>
            </w:r>
          </w:p>
        </w:tc>
        <w:tc>
          <w:tcPr>
            <w:tcW w:w="26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379,127</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7"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479,935</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notes to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lineRule="auto" w:line="343"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305" w:name="Consolidated_Statement_of_Shareholders_E"/>
      <w:bookmarkStart w:id="306" w:name="_79fc0607_15bf_4db8_93d7_5f56d2776578"/>
      <w:bookmarkEnd w:id="305"/>
      <w:bookmarkEnd w:id="306"/>
      <w:r>
        <w:rPr>
          <w:rFonts w:ascii="Times New Roman;Times;serif" w:hAnsi="Times New Roman;Times;serif"/>
          <w:b/>
          <w:sz w:val="20"/>
        </w:rPr>
        <w:t>AVNET,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STATEMENTS OF SHAREHOLDERS’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307" w:name="Tc_H5sWqP5ieUOKNTvL3OiqUQ_18_17"/>
      <w:bookmarkStart w:id="308" w:name="Tc_HTQl0lB010aIN4A4x8EN4Q_18_14"/>
      <w:bookmarkStart w:id="309" w:name="Tc_Wt8otuK_u0iKqcJC_wgDBw_18_11"/>
      <w:bookmarkStart w:id="310" w:name="Tc_ox6oDsJJeE-0bBb8JyWf0A_18_8"/>
      <w:bookmarkStart w:id="311" w:name="Tc_mlBsX9jeEkCJMC4ZWiubXw_18_5"/>
      <w:bookmarkStart w:id="312" w:name="Tc_JJ7BtnKUukquaBrHEA72XA_18_0"/>
      <w:bookmarkStart w:id="313" w:name="Tc_0md3uKohVUe0ecG4FnzhjA_17_15"/>
      <w:bookmarkStart w:id="314" w:name="Tc_L2-kyS6Ysk-Pk6K8qN7teA_17_12"/>
      <w:bookmarkStart w:id="315" w:name="Tc_2ajCeP2KU0G0rZQh_vqFWg_17_0"/>
      <w:bookmarkStart w:id="316" w:name="Tc_I6OmSGdNrUqZVBcT85sqig_16_15"/>
      <w:bookmarkStart w:id="317" w:name="Tc_vo977TOzF0KIBVVX_o_jUw_16_9"/>
      <w:bookmarkStart w:id="318" w:name="Tc_IivNcDMOMkmxP3YNwNP7ag_16_0"/>
      <w:bookmarkStart w:id="319" w:name="Tc_SoGmezyJR062SHC_80jHNQ_15_15"/>
      <w:bookmarkStart w:id="320" w:name="Tc_CCknHPoDwk2pSO7G_IcQ7Q_15_9"/>
      <w:bookmarkStart w:id="321" w:name="Tc_7Zb9eIpEeUuVLOLu0pdp6Q_15_6"/>
      <w:bookmarkStart w:id="322" w:name="Tc_zeKbjnosu0mkU34fh4tEWQ_15_3"/>
      <w:bookmarkStart w:id="323" w:name="Tc_Ve4twwqyK0KSrVnupTRURQ_15_0"/>
      <w:bookmarkStart w:id="324" w:name="Tc_qoibPuqzH0inqtnTp2P8dg_14_12"/>
      <w:bookmarkStart w:id="325" w:name="Tc_NlmR_tknW0eUTqIc93CZIg_14_9"/>
      <w:bookmarkStart w:id="326" w:name="Tc_nfL1VEAn50O_XZaLDgGT0w_14_6"/>
      <w:bookmarkStart w:id="327" w:name="Tc_QmQPXCKahUiGabM4bj72gg_14_3"/>
      <w:bookmarkStart w:id="328" w:name="Tc_OThQMxJPlEuZ97bAw9r1yA_14_0"/>
      <w:bookmarkStart w:id="329" w:name="Tc_euxJOFI3WE2jGRAbry9U6A_13_15"/>
      <w:bookmarkStart w:id="330" w:name="Tc_vO_okf_pPk2oGzbSVd2xyQ_13_9"/>
      <w:bookmarkStart w:id="331" w:name="Tc_Ps_i-7eG6k-KwDwq1COczw_13_6"/>
      <w:bookmarkStart w:id="332" w:name="Tc_2Sp0JWxFFke5tIjAmykn_Q_13_3"/>
      <w:bookmarkStart w:id="333" w:name="Tc_Gmnjgsup9kCIvWnWpnEhPA_13_0"/>
      <w:bookmarkStart w:id="334" w:name="Tc_jlu9wR1mZUKpB8csnuj33A_12_0"/>
      <w:bookmarkStart w:id="335" w:name="Tc_gF_zt7AyCUGME3qNRGINUQ_11_15"/>
      <w:bookmarkStart w:id="336" w:name="Tc_ty9lnTmSY0yCEob7Y_Gapg_11_12"/>
      <w:bookmarkStart w:id="337" w:name="Tc__gtuB5XEnEWSObST51-TgQ_11_0"/>
      <w:bookmarkStart w:id="338" w:name="Tc_Ces2uEaA4EKdjT2hUtvuDw_10_15"/>
      <w:bookmarkStart w:id="339" w:name="Tc_Qr1spHkOB0iegYuO_1-Ruw_10_9"/>
      <w:bookmarkStart w:id="340" w:name="Tc_uDNZwoFfOUengmphuglKrA_10_0"/>
      <w:bookmarkStart w:id="341" w:name="Tc_JV15lHi020mMalsgK0ur6Q_9_15"/>
      <w:bookmarkStart w:id="342" w:name="Tc_6HDZ5xomGE-J29qLjn5ADA_9_9"/>
      <w:bookmarkStart w:id="343" w:name="Tc_bs8I3IUi50KJodePKsyDeQ_9_6"/>
      <w:bookmarkStart w:id="344" w:name="Tc_UiHjqKRW80uJsKHV2Gy88w_9_3"/>
      <w:bookmarkStart w:id="345" w:name="Tc_Aadjb2tTokm-wpZNPtgxyg_9_0"/>
      <w:bookmarkStart w:id="346" w:name="Tc_0tPjclgoy0OZ3cWVSCDh8w_8_12"/>
      <w:bookmarkStart w:id="347" w:name="Tc_4U1AFtsbFkaeio01bnNAVw_8_9"/>
      <w:bookmarkStart w:id="348" w:name="Tc_8Y8JSxmjRE2S7YoJhrzpIg_8_6"/>
      <w:bookmarkStart w:id="349" w:name="Tc_WX4trsu0OkO6J2Rk1i2a0w_8_3"/>
      <w:bookmarkStart w:id="350" w:name="Tc_Ve2KGtzW90qR7uHC3QjIng_8_0"/>
      <w:bookmarkStart w:id="351" w:name="Tc_Q5-RzNQqvkydBaaBd4UQfQ_7_15"/>
      <w:bookmarkStart w:id="352" w:name="Tc_SiiSnJjH70GD9ogR-CHxbg_7_9"/>
      <w:bookmarkStart w:id="353" w:name="Tc_lp7q6FSNnESzBOtKq7ezVg_7_6"/>
      <w:bookmarkStart w:id="354" w:name="Tc_CZomw6VV7kyxDUofQlj-RQ_7_3"/>
      <w:bookmarkStart w:id="355" w:name="Tc_Y_uLxuwJd0i6J9GP590qYA_7_0"/>
      <w:bookmarkStart w:id="356" w:name="Tc_TCwZWQudpkGDzV1Tbv2WMQ_6_17"/>
      <w:bookmarkStart w:id="357" w:name="Tc_JiKJ8ng2xE68rqQOJwUUCQ_6_14"/>
      <w:bookmarkStart w:id="358" w:name="Tc_r9hqSssd7Uuw64tz7bS_bQ_6_11"/>
      <w:bookmarkStart w:id="359" w:name="Tc_xNqGV_wMQE6I5NRIBtTQrQ_6_8"/>
      <w:bookmarkStart w:id="360" w:name="Tc_vbmsWUbvlU-q84Gj9wAKEQ_6_5"/>
      <w:bookmarkStart w:id="361" w:name="Tc_l7kxwck7REigJCTwdSolYg_6_0"/>
      <w:bookmarkStart w:id="362" w:name="Tc_UeKUh49nskeSmVs74m2jVw_5_2"/>
      <w:bookmarkStart w:id="363" w:name="Tc_a66hLH82CEy_fhtjYNcOLQ_4_17"/>
      <w:bookmarkStart w:id="364" w:name="Tc_yFiQIC9oRk6jV4H-4W5WbA_4_14"/>
      <w:bookmarkStart w:id="365" w:name="Tc_UYkaKeD9GU2DKH9k8QwNFA_4_11"/>
      <w:bookmarkStart w:id="366" w:name="Tc_Lpvk4QaohEGsGkUxNX6gjw_4_8"/>
      <w:bookmarkStart w:id="367" w:name="Tc_n26N0Pz3cEmGz1t8Cl31Jg_4_5"/>
      <w:bookmarkStart w:id="368" w:name="Tc_LrrWMzcWMEq9H4c_dgia1A_4_2"/>
      <w:bookmarkStart w:id="369" w:name="Tc_8OBLHuP_pU6T_awpIqntZQ_3_17"/>
      <w:bookmarkStart w:id="370" w:name="Tc_oleQmiPhM0SP0rVYTWeEZQ_3_14"/>
      <w:bookmarkStart w:id="371" w:name="Tc_4N9Nc1pp5EyOol-_tj_LVw_3_11"/>
      <w:bookmarkStart w:id="372" w:name="Tc_4RISaQADIk2rVpjWw96ugw_3_8"/>
      <w:bookmarkStart w:id="373" w:name="Tc_LPqm693wr0KID2nqUIz8Rg_3_5"/>
      <w:bookmarkStart w:id="374" w:name="Tc_EC-2mvS7_UWGJrO8wHE3Hg_3_2"/>
      <w:bookmarkStart w:id="375" w:name="Tc_9QdVceaFUUKjUheE3Nsg5g_2_17"/>
      <w:bookmarkStart w:id="376" w:name="Tc_X7aJeC3Ya0K-WH4CEW92Ng_2_14"/>
      <w:bookmarkStart w:id="377" w:name="Tc_nTJVztGXS0SKSC6JzyvDsw_2_8"/>
      <w:bookmarkStart w:id="378" w:name="Tc_OTvZ252ojUGYm8eZDpGgjA_2_5"/>
      <w:bookmarkStart w:id="379" w:name="Tc_FYcnW_skrki1WhWzhCAccQ_2_2"/>
      <w:bookmarkStart w:id="380" w:name="Tc_zVVKgz2IikaxRKA76IVhXw_1_14"/>
      <w:bookmarkStart w:id="381" w:name="_7ca13586_f7fb_449b_8a87_4389293d179e"/>
      <w:bookmarkStart w:id="382" w:name="Tc_H5sWqP5ieUOKNTvL3OiqUQ_18_17"/>
      <w:bookmarkStart w:id="383" w:name="Tc_HTQl0lB010aIN4A4x8EN4Q_18_14"/>
      <w:bookmarkStart w:id="384" w:name="Tc_Wt8otuK_u0iKqcJC_wgDBw_18_11"/>
      <w:bookmarkStart w:id="385" w:name="Tc_ox6oDsJJeE-0bBb8JyWf0A_18_8"/>
      <w:bookmarkStart w:id="386" w:name="Tc_mlBsX9jeEkCJMC4ZWiubXw_18_5"/>
      <w:bookmarkStart w:id="387" w:name="Tc_JJ7BtnKUukquaBrHEA72XA_18_0"/>
      <w:bookmarkStart w:id="388" w:name="Tc_0md3uKohVUe0ecG4FnzhjA_17_15"/>
      <w:bookmarkStart w:id="389" w:name="Tc_L2-kyS6Ysk-Pk6K8qN7teA_17_12"/>
      <w:bookmarkStart w:id="390" w:name="Tc_2ajCeP2KU0G0rZQh_vqFWg_17_0"/>
      <w:bookmarkStart w:id="391" w:name="Tc_I6OmSGdNrUqZVBcT85sqig_16_15"/>
      <w:bookmarkStart w:id="392" w:name="Tc_vo977TOzF0KIBVVX_o_jUw_16_9"/>
      <w:bookmarkStart w:id="393" w:name="Tc_IivNcDMOMkmxP3YNwNP7ag_16_0"/>
      <w:bookmarkStart w:id="394" w:name="Tc_SoGmezyJR062SHC_80jHNQ_15_15"/>
      <w:bookmarkStart w:id="395" w:name="Tc_CCknHPoDwk2pSO7G_IcQ7Q_15_9"/>
      <w:bookmarkStart w:id="396" w:name="Tc_7Zb9eIpEeUuVLOLu0pdp6Q_15_6"/>
      <w:bookmarkStart w:id="397" w:name="Tc_zeKbjnosu0mkU34fh4tEWQ_15_3"/>
      <w:bookmarkStart w:id="398" w:name="Tc_Ve4twwqyK0KSrVnupTRURQ_15_0"/>
      <w:bookmarkStart w:id="399" w:name="Tc_qoibPuqzH0inqtnTp2P8dg_14_12"/>
      <w:bookmarkStart w:id="400" w:name="Tc_NlmR_tknW0eUTqIc93CZIg_14_9"/>
      <w:bookmarkStart w:id="401" w:name="Tc_nfL1VEAn50O_XZaLDgGT0w_14_6"/>
      <w:bookmarkStart w:id="402" w:name="Tc_QmQPXCKahUiGabM4bj72gg_14_3"/>
      <w:bookmarkStart w:id="403" w:name="Tc_OThQMxJPlEuZ97bAw9r1yA_14_0"/>
      <w:bookmarkStart w:id="404" w:name="Tc_euxJOFI3WE2jGRAbry9U6A_13_15"/>
      <w:bookmarkStart w:id="405" w:name="Tc_vO_okf_pPk2oGzbSVd2xyQ_13_9"/>
      <w:bookmarkStart w:id="406" w:name="Tc_Ps_i-7eG6k-KwDwq1COczw_13_6"/>
      <w:bookmarkStart w:id="407" w:name="Tc_2Sp0JWxFFke5tIjAmykn_Q_13_3"/>
      <w:bookmarkStart w:id="408" w:name="Tc_Gmnjgsup9kCIvWnWpnEhPA_13_0"/>
      <w:bookmarkStart w:id="409" w:name="Tc_jlu9wR1mZUKpB8csnuj33A_12_0"/>
      <w:bookmarkStart w:id="410" w:name="Tc_gF_zt7AyCUGME3qNRGINUQ_11_15"/>
      <w:bookmarkStart w:id="411" w:name="Tc_ty9lnTmSY0yCEob7Y_Gapg_11_12"/>
      <w:bookmarkStart w:id="412" w:name="Tc__gtuB5XEnEWSObST51-TgQ_11_0"/>
      <w:bookmarkStart w:id="413" w:name="Tc_Ces2uEaA4EKdjT2hUtvuDw_10_15"/>
      <w:bookmarkStart w:id="414" w:name="Tc_Qr1spHkOB0iegYuO_1-Ruw_10_9"/>
      <w:bookmarkStart w:id="415" w:name="Tc_uDNZwoFfOUengmphuglKrA_10_0"/>
      <w:bookmarkStart w:id="416" w:name="Tc_JV15lHi020mMalsgK0ur6Q_9_15"/>
      <w:bookmarkStart w:id="417" w:name="Tc_6HDZ5xomGE-J29qLjn5ADA_9_9"/>
      <w:bookmarkStart w:id="418" w:name="Tc_bs8I3IUi50KJodePKsyDeQ_9_6"/>
      <w:bookmarkStart w:id="419" w:name="Tc_UiHjqKRW80uJsKHV2Gy88w_9_3"/>
      <w:bookmarkStart w:id="420" w:name="Tc_Aadjb2tTokm-wpZNPtgxyg_9_0"/>
      <w:bookmarkStart w:id="421" w:name="Tc_0tPjclgoy0OZ3cWVSCDh8w_8_12"/>
      <w:bookmarkStart w:id="422" w:name="Tc_4U1AFtsbFkaeio01bnNAVw_8_9"/>
      <w:bookmarkStart w:id="423" w:name="Tc_8Y8JSxmjRE2S7YoJhrzpIg_8_6"/>
      <w:bookmarkStart w:id="424" w:name="Tc_WX4trsu0OkO6J2Rk1i2a0w_8_3"/>
      <w:bookmarkStart w:id="425" w:name="Tc_Ve2KGtzW90qR7uHC3QjIng_8_0"/>
      <w:bookmarkStart w:id="426" w:name="Tc_Q5-RzNQqvkydBaaBd4UQfQ_7_15"/>
      <w:bookmarkStart w:id="427" w:name="Tc_SiiSnJjH70GD9ogR-CHxbg_7_9"/>
      <w:bookmarkStart w:id="428" w:name="Tc_lp7q6FSNnESzBOtKq7ezVg_7_6"/>
      <w:bookmarkStart w:id="429" w:name="Tc_CZomw6VV7kyxDUofQlj-RQ_7_3"/>
      <w:bookmarkStart w:id="430" w:name="Tc_Y_uLxuwJd0i6J9GP590qYA_7_0"/>
      <w:bookmarkStart w:id="431" w:name="Tc_TCwZWQudpkGDzV1Tbv2WMQ_6_17"/>
      <w:bookmarkStart w:id="432" w:name="Tc_JiKJ8ng2xE68rqQOJwUUCQ_6_14"/>
      <w:bookmarkStart w:id="433" w:name="Tc_r9hqSssd7Uuw64tz7bS_bQ_6_11"/>
      <w:bookmarkStart w:id="434" w:name="Tc_xNqGV_wMQE6I5NRIBtTQrQ_6_8"/>
      <w:bookmarkStart w:id="435" w:name="Tc_vbmsWUbvlU-q84Gj9wAKEQ_6_5"/>
      <w:bookmarkStart w:id="436" w:name="Tc_l7kxwck7REigJCTwdSolYg_6_0"/>
      <w:bookmarkStart w:id="437" w:name="Tc_UeKUh49nskeSmVs74m2jVw_5_2"/>
      <w:bookmarkStart w:id="438" w:name="Tc_a66hLH82CEy_fhtjYNcOLQ_4_17"/>
      <w:bookmarkStart w:id="439" w:name="Tc_yFiQIC9oRk6jV4H-4W5WbA_4_14"/>
      <w:bookmarkStart w:id="440" w:name="Tc_UYkaKeD9GU2DKH9k8QwNFA_4_11"/>
      <w:bookmarkStart w:id="441" w:name="Tc_Lpvk4QaohEGsGkUxNX6gjw_4_8"/>
      <w:bookmarkStart w:id="442" w:name="Tc_n26N0Pz3cEmGz1t8Cl31Jg_4_5"/>
      <w:bookmarkStart w:id="443" w:name="Tc_LrrWMzcWMEq9H4c_dgia1A_4_2"/>
      <w:bookmarkStart w:id="444" w:name="Tc_8OBLHuP_pU6T_awpIqntZQ_3_17"/>
      <w:bookmarkStart w:id="445" w:name="Tc_oleQmiPhM0SP0rVYTWeEZQ_3_14"/>
      <w:bookmarkStart w:id="446" w:name="Tc_4N9Nc1pp5EyOol-_tj_LVw_3_11"/>
      <w:bookmarkStart w:id="447" w:name="Tc_4RISaQADIk2rVpjWw96ugw_3_8"/>
      <w:bookmarkStart w:id="448" w:name="Tc_LPqm693wr0KID2nqUIz8Rg_3_5"/>
      <w:bookmarkStart w:id="449" w:name="Tc_EC-2mvS7_UWGJrO8wHE3Hg_3_2"/>
      <w:bookmarkStart w:id="450" w:name="Tc_9QdVceaFUUKjUheE3Nsg5g_2_17"/>
      <w:bookmarkStart w:id="451" w:name="Tc_X7aJeC3Ya0K-WH4CEW92Ng_2_14"/>
      <w:bookmarkStart w:id="452" w:name="Tc_nTJVztGXS0SKSC6JzyvDsw_2_8"/>
      <w:bookmarkStart w:id="453" w:name="Tc_OTvZ252ojUGYm8eZDpGgjA_2_5"/>
      <w:bookmarkStart w:id="454" w:name="Tc_FYcnW_skrki1WhWzhCAccQ_2_2"/>
      <w:bookmarkStart w:id="455" w:name="Tc_zVVKgz2IikaxRKA76IVhXw_1_14"/>
      <w:bookmarkStart w:id="456" w:name="_7ca13586_f7fb_449b_8a87_4389293d179e"/>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p>
    <w:tbl>
      <w:tblPr>
        <w:tblW w:w="10205" w:type="dxa"/>
        <w:jc w:val="left"/>
        <w:tblInd w:w="0" w:type="dxa"/>
        <w:tblLayout w:type="fixed"/>
        <w:tblCellMar>
          <w:top w:w="0" w:type="dxa"/>
          <w:left w:w="0" w:type="dxa"/>
          <w:bottom w:w="0" w:type="dxa"/>
          <w:right w:w="0" w:type="dxa"/>
        </w:tblCellMar>
      </w:tblPr>
      <w:tblGrid>
        <w:gridCol w:w="1482"/>
        <w:gridCol w:w="326"/>
        <w:gridCol w:w="157"/>
        <w:gridCol w:w="729"/>
        <w:gridCol w:w="326"/>
        <w:gridCol w:w="211"/>
        <w:gridCol w:w="677"/>
        <w:gridCol w:w="326"/>
        <w:gridCol w:w="211"/>
        <w:gridCol w:w="931"/>
        <w:gridCol w:w="326"/>
        <w:gridCol w:w="211"/>
        <w:gridCol w:w="931"/>
        <w:gridCol w:w="326"/>
        <w:gridCol w:w="284"/>
        <w:gridCol w:w="1142"/>
        <w:gridCol w:w="326"/>
        <w:gridCol w:w="216"/>
        <w:gridCol w:w="1067"/>
      </w:tblGrid>
      <w:tr>
        <w:trPr/>
        <w:tc>
          <w:tcPr>
            <w:tcW w:w="14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941070" cy="175260"/>
                      <wp:effectExtent l="0" t="0" r="0" b="0"/>
                      <wp:wrapNone/>
                      <wp:docPr id="40" name="Frame40"/>
                      <a:graphic xmlns:a="http://schemas.openxmlformats.org/drawingml/2006/main">
                        <a:graphicData uri="http://schemas.microsoft.com/office/word/2010/wordprocessingShape">
                          <wps:wsp>
                            <wps:cNvSpPr txBox="1"/>
                            <wps:spPr>
                              <a:xfrm>
                                <a:off x="0" y="0"/>
                                <a:ext cx="9410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07010" cy="175260"/>
                      <wp:effectExtent l="0" t="0" r="0" b="0"/>
                      <wp:wrapNone/>
                      <wp:docPr id="41" name="Frame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99695" cy="175260"/>
                      <wp:effectExtent l="0" t="0" r="0" b="0"/>
                      <wp:wrapNone/>
                      <wp:docPr id="42" name="Frame42"/>
                      <a:graphic xmlns:a="http://schemas.openxmlformats.org/drawingml/2006/main">
                        <a:graphicData uri="http://schemas.microsoft.com/office/word/2010/wordprocessingShape">
                          <wps:wsp>
                            <wps:cNvSpPr txBox="1"/>
                            <wps:spPr>
                              <a:xfrm>
                                <a:off x="0" y="0"/>
                                <a:ext cx="99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462915" cy="175260"/>
                      <wp:effectExtent l="0" t="0" r="0" b="0"/>
                      <wp:wrapNone/>
                      <wp:docPr id="43" name="Frame43"/>
                      <a:graphic xmlns:a="http://schemas.openxmlformats.org/drawingml/2006/main">
                        <a:graphicData uri="http://schemas.microsoft.com/office/word/2010/wordprocessingShape">
                          <wps:wsp>
                            <wps:cNvSpPr txBox="1"/>
                            <wps:spPr>
                              <a:xfrm>
                                <a:off x="0" y="0"/>
                                <a:ext cx="462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07010" cy="175260"/>
                      <wp:effectExtent l="0" t="0" r="0" b="0"/>
                      <wp:wrapNone/>
                      <wp:docPr id="44" name="Frame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33985" cy="175260"/>
                      <wp:effectExtent l="0" t="0" r="0" b="0"/>
                      <wp:wrapNone/>
                      <wp:docPr id="45" name="Frame4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429895" cy="175260"/>
                      <wp:effectExtent l="0" t="0" r="0" b="0"/>
                      <wp:wrapNone/>
                      <wp:docPr id="46" name="Frame46"/>
                      <a:graphic xmlns:a="http://schemas.openxmlformats.org/drawingml/2006/main">
                        <a:graphicData uri="http://schemas.microsoft.com/office/word/2010/wordprocessingShape">
                          <wps:wsp>
                            <wps:cNvSpPr txBox="1"/>
                            <wps:spPr>
                              <a:xfrm>
                                <a:off x="0" y="0"/>
                                <a:ext cx="429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07010" cy="175260"/>
                      <wp:effectExtent l="0" t="0" r="0" b="0"/>
                      <wp:wrapNone/>
                      <wp:docPr id="47" name="Frame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33985" cy="175260"/>
                      <wp:effectExtent l="0" t="0" r="0" b="0"/>
                      <wp:wrapNone/>
                      <wp:docPr id="48" name="Frame4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591185" cy="175260"/>
                      <wp:effectExtent l="0" t="0" r="0" b="0"/>
                      <wp:wrapNone/>
                      <wp:docPr id="49" name="Frame4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07010" cy="175260"/>
                      <wp:effectExtent l="0" t="0" r="0" b="0"/>
                      <wp:wrapNone/>
                      <wp:docPr id="50" name="Frame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133985" cy="175260"/>
                      <wp:effectExtent l="0" t="0" r="0" b="0"/>
                      <wp:wrapNone/>
                      <wp:docPr id="51" name="Frame5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591185" cy="175260"/>
                      <wp:effectExtent l="0" t="0" r="0" b="0"/>
                      <wp:wrapNone/>
                      <wp:docPr id="52" name="Frame52"/>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07010" cy="175260"/>
                      <wp:effectExtent l="0" t="0" r="0" b="0"/>
                      <wp:wrapNone/>
                      <wp:docPr id="53" name="Frame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180340" cy="175260"/>
                      <wp:effectExtent l="0" t="0" r="0" b="0"/>
                      <wp:wrapNone/>
                      <wp:docPr id="54" name="Frame54"/>
                      <a:graphic xmlns:a="http://schemas.openxmlformats.org/drawingml/2006/main">
                        <a:graphicData uri="http://schemas.microsoft.com/office/word/2010/wordprocessingShape">
                          <wps:wsp>
                            <wps:cNvSpPr txBox="1"/>
                            <wps:spPr>
                              <a:xfrm>
                                <a:off x="0" y="0"/>
                                <a:ext cx="180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725170" cy="175260"/>
                      <wp:effectExtent l="0" t="0" r="0" b="0"/>
                      <wp:wrapNone/>
                      <wp:docPr id="55" name="Frame55"/>
                      <a:graphic xmlns:a="http://schemas.openxmlformats.org/drawingml/2006/main">
                        <a:graphicData uri="http://schemas.microsoft.com/office/word/2010/wordprocessingShape">
                          <wps:wsp>
                            <wps:cNvSpPr txBox="1"/>
                            <wps:spPr>
                              <a:xfrm>
                                <a:off x="0" y="0"/>
                                <a:ext cx="7251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07010" cy="175260"/>
                      <wp:effectExtent l="0" t="0" r="0" b="0"/>
                      <wp:wrapNone/>
                      <wp:docPr id="56" name="Frame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137160" cy="175260"/>
                      <wp:effectExtent l="0" t="0" r="0" b="0"/>
                      <wp:wrapNone/>
                      <wp:docPr id="57" name="Frame57"/>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77545" cy="175260"/>
                      <wp:effectExtent l="0" t="0" r="0" b="0"/>
                      <wp:wrapNone/>
                      <wp:docPr id="58" name="Frame58"/>
                      <a:graphic xmlns:a="http://schemas.openxmlformats.org/drawingml/2006/main">
                        <a:graphicData uri="http://schemas.microsoft.com/office/word/2010/wordprocessingShape">
                          <wps:wsp>
                            <wps:cNvSpPr txBox="1"/>
                            <wps:spPr>
                              <a:xfrm>
                                <a:off x="0" y="0"/>
                                <a:ext cx="677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8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57" w:type="dxa"/>
            <w:tcBorders/>
            <w:vAlign w:val="center"/>
          </w:tcPr>
          <w:p>
            <w:pPr>
              <w:pStyle w:val="TableContents"/>
              <w:bidi w:val="0"/>
              <w:spacing w:before="0" w:after="0"/>
              <w:ind w:left="0" w:right="0" w:hanging="0"/>
              <w:jc w:val="center"/>
              <w:rPr/>
            </w:pPr>
            <w:r>
              <w:rPr/>
              <w:t>​</w:t>
            </w:r>
          </w:p>
        </w:tc>
        <w:tc>
          <w:tcPr>
            <w:tcW w:w="72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w:t>
            </w:r>
          </w:p>
        </w:tc>
        <w:tc>
          <w:tcPr>
            <w:tcW w:w="677"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426" w:type="dxa"/>
            <w:gridSpan w:val="2"/>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Accumulated</w:t>
            </w:r>
          </w:p>
        </w:tc>
        <w:tc>
          <w:tcPr>
            <w:tcW w:w="326" w:type="dxa"/>
            <w:tcBorders/>
            <w:vAlign w:val="center"/>
          </w:tcPr>
          <w:p>
            <w:pPr>
              <w:pStyle w:val="TableContents"/>
              <w:bidi w:val="0"/>
              <w:spacing w:before="0" w:after="0"/>
              <w:ind w:left="0" w:right="0" w:hanging="0"/>
              <w:jc w:val="center"/>
              <w:rPr/>
            </w:pPr>
            <w:r>
              <w:rPr/>
              <w:t>    </w:t>
            </w:r>
          </w:p>
        </w:tc>
        <w:tc>
          <w:tcPr>
            <w:tcW w:w="216" w:type="dxa"/>
            <w:tcBorders/>
            <w:vAlign w:val="center"/>
          </w:tcPr>
          <w:p>
            <w:pPr>
              <w:pStyle w:val="TableContents"/>
              <w:bidi w:val="0"/>
              <w:spacing w:before="0" w:after="0"/>
              <w:ind w:left="0" w:right="0" w:hanging="0"/>
              <w:jc w:val="center"/>
              <w:rPr/>
            </w:pPr>
            <w:r>
              <w:rPr/>
              <w:t>​</w:t>
            </w:r>
          </w:p>
        </w:tc>
        <w:tc>
          <w:tcPr>
            <w:tcW w:w="1067" w:type="dxa"/>
            <w:tcBorders/>
            <w:vAlign w:val="center"/>
          </w:tcPr>
          <w:p>
            <w:pPr>
              <w:pStyle w:val="TableContents"/>
              <w:bidi w:val="0"/>
              <w:spacing w:before="0" w:after="0"/>
              <w:ind w:left="0" w:right="0" w:hanging="0"/>
              <w:jc w:val="center"/>
              <w:rPr/>
            </w:pPr>
            <w:r>
              <w:rPr/>
              <w:t>​</w:t>
            </w:r>
          </w:p>
        </w:tc>
      </w:tr>
      <w:tr>
        <w:trPr/>
        <w:tc>
          <w:tcPr>
            <w:tcW w:w="148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Common</w:t>
            </w:r>
          </w:p>
        </w:tc>
        <w:tc>
          <w:tcPr>
            <w:tcW w:w="326" w:type="dxa"/>
            <w:tcBorders/>
            <w:vAlign w:val="center"/>
          </w:tcPr>
          <w:p>
            <w:pPr>
              <w:pStyle w:val="TableContents"/>
              <w:bidi w:val="0"/>
              <w:spacing w:before="0" w:after="0"/>
              <w:ind w:left="0" w:right="0" w:hanging="0"/>
              <w:jc w:val="center"/>
              <w:rPr/>
            </w:pPr>
            <w:r>
              <w:rPr/>
              <w:t>​</w:t>
            </w:r>
          </w:p>
        </w:tc>
        <w:tc>
          <w:tcPr>
            <w:tcW w:w="888" w:type="dxa"/>
            <w:gridSpan w:val="2"/>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Common</w:t>
            </w:r>
          </w:p>
        </w:tc>
        <w:tc>
          <w:tcPr>
            <w:tcW w:w="326" w:type="dxa"/>
            <w:tcBorders/>
            <w:vAlign w:val="center"/>
          </w:tcPr>
          <w:p>
            <w:pPr>
              <w:pStyle w:val="TableContents"/>
              <w:bidi w:val="0"/>
              <w:spacing w:before="0" w:after="0"/>
              <w:ind w:left="0" w:right="0" w:hanging="0"/>
              <w:jc w:val="center"/>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Additional</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426" w:type="dxa"/>
            <w:gridSpan w:val="2"/>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Other</w:t>
            </w:r>
          </w:p>
        </w:tc>
        <w:tc>
          <w:tcPr>
            <w:tcW w:w="326" w:type="dxa"/>
            <w:tcBorders/>
            <w:vAlign w:val="center"/>
          </w:tcPr>
          <w:p>
            <w:pPr>
              <w:pStyle w:val="TableContents"/>
              <w:bidi w:val="0"/>
              <w:spacing w:before="0" w:after="0"/>
              <w:ind w:left="0" w:right="0" w:hanging="0"/>
              <w:jc w:val="center"/>
              <w:rPr/>
            </w:pPr>
            <w:r>
              <w:rPr/>
              <w:t>​</w:t>
            </w:r>
          </w:p>
        </w:tc>
        <w:tc>
          <w:tcPr>
            <w:tcW w:w="1283" w:type="dxa"/>
            <w:gridSpan w:val="2"/>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Total</w:t>
            </w:r>
          </w:p>
        </w:tc>
      </w:tr>
      <w:tr>
        <w:trPr/>
        <w:tc>
          <w:tcPr>
            <w:tcW w:w="148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Stock-</w:t>
            </w:r>
          </w:p>
        </w:tc>
        <w:tc>
          <w:tcPr>
            <w:tcW w:w="326" w:type="dxa"/>
            <w:tcBorders/>
            <w:vAlign w:val="center"/>
          </w:tcPr>
          <w:p>
            <w:pPr>
              <w:pStyle w:val="TableContents"/>
              <w:bidi w:val="0"/>
              <w:spacing w:before="0" w:after="0"/>
              <w:ind w:left="0" w:right="0" w:hanging="0"/>
              <w:jc w:val="center"/>
              <w:rPr/>
            </w:pPr>
            <w:r>
              <w:rPr/>
              <w:t>​</w:t>
            </w:r>
          </w:p>
        </w:tc>
        <w:tc>
          <w:tcPr>
            <w:tcW w:w="888" w:type="dxa"/>
            <w:gridSpan w:val="2"/>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Stock-</w:t>
            </w:r>
          </w:p>
        </w:tc>
        <w:tc>
          <w:tcPr>
            <w:tcW w:w="326" w:type="dxa"/>
            <w:tcBorders/>
            <w:vAlign w:val="center"/>
          </w:tcPr>
          <w:p>
            <w:pPr>
              <w:pStyle w:val="TableContents"/>
              <w:bidi w:val="0"/>
              <w:spacing w:before="0" w:after="0"/>
              <w:ind w:left="0" w:right="0" w:hanging="0"/>
              <w:jc w:val="center"/>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Paid-In</w:t>
            </w:r>
          </w:p>
        </w:tc>
        <w:tc>
          <w:tcPr>
            <w:tcW w:w="326" w:type="dxa"/>
            <w:tcBorders/>
            <w:vAlign w:val="center"/>
          </w:tcPr>
          <w:p>
            <w:pPr>
              <w:pStyle w:val="TableContents"/>
              <w:bidi w:val="0"/>
              <w:spacing w:before="0" w:after="0"/>
              <w:ind w:left="0" w:right="0" w:hanging="0"/>
              <w:jc w:val="center"/>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Retained</w:t>
            </w:r>
          </w:p>
        </w:tc>
        <w:tc>
          <w:tcPr>
            <w:tcW w:w="326" w:type="dxa"/>
            <w:tcBorders/>
            <w:vAlign w:val="center"/>
          </w:tcPr>
          <w:p>
            <w:pPr>
              <w:pStyle w:val="TableContents"/>
              <w:bidi w:val="0"/>
              <w:spacing w:before="0" w:after="0"/>
              <w:ind w:left="0" w:right="0" w:hanging="0"/>
              <w:jc w:val="center"/>
              <w:rPr/>
            </w:pPr>
            <w:r>
              <w:rPr/>
              <w:t>​</w:t>
            </w:r>
          </w:p>
        </w:tc>
        <w:tc>
          <w:tcPr>
            <w:tcW w:w="1426" w:type="dxa"/>
            <w:gridSpan w:val="2"/>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Comprehensive</w:t>
            </w:r>
          </w:p>
        </w:tc>
        <w:tc>
          <w:tcPr>
            <w:tcW w:w="326" w:type="dxa"/>
            <w:tcBorders/>
            <w:vAlign w:val="center"/>
          </w:tcPr>
          <w:p>
            <w:pPr>
              <w:pStyle w:val="TableContents"/>
              <w:bidi w:val="0"/>
              <w:spacing w:before="0" w:after="0"/>
              <w:ind w:left="0" w:right="0" w:hanging="0"/>
              <w:jc w:val="center"/>
              <w:rPr/>
            </w:pPr>
            <w:r>
              <w:rPr/>
              <w:t>​</w:t>
            </w:r>
          </w:p>
        </w:tc>
        <w:tc>
          <w:tcPr>
            <w:tcW w:w="1283" w:type="dxa"/>
            <w:gridSpan w:val="2"/>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Shareholders’</w:t>
            </w:r>
          </w:p>
        </w:tc>
      </w:tr>
      <w:tr>
        <w:trPr/>
        <w:tc>
          <w:tcPr>
            <w:tcW w:w="148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886"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Shares</w:t>
            </w:r>
          </w:p>
        </w:tc>
        <w:tc>
          <w:tcPr>
            <w:tcW w:w="326" w:type="dxa"/>
            <w:tcBorders/>
            <w:vAlign w:val="center"/>
          </w:tcPr>
          <w:p>
            <w:pPr>
              <w:pStyle w:val="TableContents"/>
              <w:bidi w:val="0"/>
              <w:spacing w:before="0" w:after="0"/>
              <w:ind w:left="0" w:right="0" w:hanging="0"/>
              <w:jc w:val="center"/>
              <w:rPr/>
            </w:pPr>
            <w:r>
              <w:rPr/>
              <w:t>​</w:t>
            </w:r>
          </w:p>
        </w:tc>
        <w:tc>
          <w:tcPr>
            <w:tcW w:w="888"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Amount</w:t>
            </w:r>
          </w:p>
        </w:tc>
        <w:tc>
          <w:tcPr>
            <w:tcW w:w="326" w:type="dxa"/>
            <w:tcBorders/>
            <w:vAlign w:val="center"/>
          </w:tcPr>
          <w:p>
            <w:pPr>
              <w:pStyle w:val="TableContents"/>
              <w:bidi w:val="0"/>
              <w:spacing w:before="0" w:after="0"/>
              <w:ind w:left="0" w:right="0" w:hanging="0"/>
              <w:jc w:val="center"/>
              <w:rPr/>
            </w:pPr>
            <w:r>
              <w:rPr/>
              <w:t>​</w:t>
            </w:r>
          </w:p>
        </w:tc>
        <w:tc>
          <w:tcPr>
            <w:tcW w:w="114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Capital</w:t>
            </w:r>
          </w:p>
        </w:tc>
        <w:tc>
          <w:tcPr>
            <w:tcW w:w="326" w:type="dxa"/>
            <w:tcBorders/>
            <w:vAlign w:val="center"/>
          </w:tcPr>
          <w:p>
            <w:pPr>
              <w:pStyle w:val="TableContents"/>
              <w:bidi w:val="0"/>
              <w:spacing w:before="0" w:after="0"/>
              <w:ind w:left="0" w:right="0" w:hanging="0"/>
              <w:jc w:val="center"/>
              <w:rPr/>
            </w:pPr>
            <w:r>
              <w:rPr/>
              <w:t>​</w:t>
            </w:r>
          </w:p>
        </w:tc>
        <w:tc>
          <w:tcPr>
            <w:tcW w:w="114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Earnings</w:t>
            </w:r>
          </w:p>
        </w:tc>
        <w:tc>
          <w:tcPr>
            <w:tcW w:w="326" w:type="dxa"/>
            <w:tcBorders/>
            <w:vAlign w:val="center"/>
          </w:tcPr>
          <w:p>
            <w:pPr>
              <w:pStyle w:val="TableContents"/>
              <w:bidi w:val="0"/>
              <w:spacing w:before="0" w:after="0"/>
              <w:ind w:left="0" w:right="0" w:hanging="0"/>
              <w:jc w:val="center"/>
              <w:rPr/>
            </w:pPr>
            <w:r>
              <w:rPr/>
              <w:t>​</w:t>
            </w:r>
          </w:p>
        </w:tc>
        <w:tc>
          <w:tcPr>
            <w:tcW w:w="1426"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(Loss) Income</w:t>
            </w:r>
          </w:p>
        </w:tc>
        <w:tc>
          <w:tcPr>
            <w:tcW w:w="326" w:type="dxa"/>
            <w:tcBorders/>
            <w:vAlign w:val="center"/>
          </w:tcPr>
          <w:p>
            <w:pPr>
              <w:pStyle w:val="TableContents"/>
              <w:bidi w:val="0"/>
              <w:spacing w:before="0" w:after="0"/>
              <w:ind w:left="0" w:right="0" w:hanging="0"/>
              <w:jc w:val="center"/>
              <w:rPr/>
            </w:pPr>
            <w:r>
              <w:rPr/>
              <w:t>​</w:t>
            </w:r>
          </w:p>
        </w:tc>
        <w:tc>
          <w:tcPr>
            <w:tcW w:w="1283"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Equity</w:t>
            </w:r>
          </w:p>
        </w:tc>
      </w:tr>
      <w:tr>
        <w:trPr/>
        <w:tc>
          <w:tcPr>
            <w:tcW w:w="10205" w:type="dxa"/>
            <w:gridSpan w:val="19"/>
            <w:tcBorders/>
            <w:vAlign w:val="center"/>
          </w:tcPr>
          <w:p>
            <w:pPr>
              <w:pStyle w:val="TableContents"/>
              <w:bidi w:val="0"/>
              <w:spacing w:before="0" w:after="283"/>
              <w:ind w:left="0" w:right="0" w:hanging="0"/>
              <w:jc w:val="left"/>
              <w:rPr>
                <w:sz w:val="4"/>
                <w:szCs w:val="4"/>
              </w:rPr>
            </w:pPr>
            <w:r>
              <w:rPr>
                <w:sz w:val="4"/>
                <w:szCs w:val="4"/>
              </w:rPr>
            </w:r>
          </w:p>
        </w:tc>
      </w:tr>
      <w:tr>
        <w:trPr/>
        <w:tc>
          <w:tcPr>
            <w:tcW w:w="148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8397" w:type="dxa"/>
            <w:gridSpan w:val="17"/>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(Thousands)</w:t>
            </w:r>
          </w:p>
        </w:tc>
      </w:tr>
      <w:tr>
        <w:trPr/>
        <w:tc>
          <w:tcPr>
            <w:tcW w:w="1482" w:type="dxa"/>
            <w:tcBorders/>
            <w:shd w:fill="CCEEFF" w:val="cle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Balance, July 1, 2023</w:t>
            </w:r>
          </w:p>
        </w:tc>
        <w:tc>
          <w:tcPr>
            <w:tcW w:w="326" w:type="dxa"/>
            <w:tcBorders/>
            <w:shd w:fill="CCEEFF" w:val="clear"/>
            <w:vAlign w:val="center"/>
          </w:tcPr>
          <w:p>
            <w:pPr>
              <w:pStyle w:val="TableContents"/>
              <w:bidi w:val="0"/>
              <w:spacing w:before="0" w:after="0"/>
              <w:ind w:left="0" w:right="0" w:hanging="0"/>
              <w:jc w:val="left"/>
              <w:rPr/>
            </w:pPr>
            <w:r>
              <w:rPr/>
              <w:t>​</w:t>
            </w:r>
          </w:p>
        </w:tc>
        <w:tc>
          <w:tcPr>
            <w:tcW w:w="157" w:type="dxa"/>
            <w:tcBorders/>
            <w:shd w:fill="CCEEFF" w:val="clear"/>
            <w:vAlign w:val="center"/>
          </w:tcPr>
          <w:p>
            <w:pPr>
              <w:pStyle w:val="TableContents"/>
              <w:bidi w:val="0"/>
              <w:spacing w:before="0" w:after="0"/>
              <w:ind w:left="0" w:right="0" w:hanging="0"/>
              <w:jc w:val="right"/>
              <w:rPr/>
            </w:pPr>
            <w:r>
              <w:rPr/>
              <w:t> </w:t>
            </w:r>
          </w:p>
        </w:tc>
        <w:tc>
          <w:tcPr>
            <w:tcW w:w="729"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91,504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w:t>
            </w:r>
          </w:p>
        </w:tc>
        <w:tc>
          <w:tcPr>
            <w:tcW w:w="677"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91,504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1,691,334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3,378,212</w:t>
            </w:r>
          </w:p>
        </w:tc>
        <w:tc>
          <w:tcPr>
            <w:tcW w:w="32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w:t>
            </w:r>
          </w:p>
        </w:tc>
        <w:tc>
          <w:tcPr>
            <w:tcW w:w="1142"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(409,381)</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w:t>
            </w:r>
          </w:p>
        </w:tc>
        <w:tc>
          <w:tcPr>
            <w:tcW w:w="1067"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4,751,669</w:t>
            </w:r>
          </w:p>
        </w:tc>
      </w:tr>
      <w:tr>
        <w:trPr/>
        <w:tc>
          <w:tcPr>
            <w:tcW w:w="1482"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Net income</w:t>
            </w:r>
          </w:p>
        </w:tc>
        <w:tc>
          <w:tcPr>
            <w:tcW w:w="326" w:type="dxa"/>
            <w:tcBorders/>
            <w:vAlign w:val="center"/>
          </w:tcPr>
          <w:p>
            <w:pPr>
              <w:pStyle w:val="TableContents"/>
              <w:bidi w:val="0"/>
              <w:spacing w:before="0" w:after="0"/>
              <w:ind w:left="0" w:right="0" w:hanging="0"/>
              <w:jc w:val="left"/>
              <w:rPr/>
            </w:pPr>
            <w:r>
              <w:rPr/>
              <w:t>​</w:t>
            </w:r>
          </w:p>
        </w:tc>
        <w:tc>
          <w:tcPr>
            <w:tcW w:w="157" w:type="dxa"/>
            <w:tcBorders/>
            <w:vAlign w:val="center"/>
          </w:tcPr>
          <w:p>
            <w:pPr>
              <w:pStyle w:val="TableContents"/>
              <w:bidi w:val="0"/>
              <w:spacing w:before="0" w:after="0"/>
              <w:ind w:left="0" w:right="0" w:hanging="0"/>
              <w:jc w:val="right"/>
              <w:rPr/>
            </w:pPr>
            <w:r>
              <w:rPr/>
              <w:t> </w:t>
            </w:r>
          </w:p>
        </w:tc>
        <w:tc>
          <w:tcPr>
            <w:tcW w:w="72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67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209,268</w:t>
            </w:r>
          </w:p>
        </w:tc>
        <w:tc>
          <w:tcPr>
            <w:tcW w:w="326" w:type="dxa"/>
            <w:tcBorders/>
            <w:vAlign w:val="center"/>
          </w:tcPr>
          <w:p>
            <w:pPr>
              <w:pStyle w:val="TableContents"/>
              <w:bidi w:val="0"/>
              <w:spacing w:before="0" w:after="0"/>
              <w:ind w:left="0" w:right="0" w:hanging="0"/>
              <w:jc w:val="left"/>
              <w:rPr/>
            </w:pPr>
            <w:r>
              <w:rPr/>
              <w:t>​</w:t>
            </w:r>
          </w:p>
        </w:tc>
        <w:tc>
          <w:tcPr>
            <w:tcW w:w="284" w:type="dxa"/>
            <w:tcBorders/>
            <w:vAlign w:val="center"/>
          </w:tcPr>
          <w:p>
            <w:pPr>
              <w:pStyle w:val="TableContents"/>
              <w:bidi w:val="0"/>
              <w:spacing w:before="0" w:after="0"/>
              <w:ind w:left="0" w:right="0" w:hanging="0"/>
              <w:jc w:val="right"/>
              <w:rPr/>
            </w:pPr>
            <w:r>
              <w:rPr/>
              <w:t> </w:t>
            </w:r>
          </w:p>
        </w:tc>
        <w:tc>
          <w:tcPr>
            <w:tcW w:w="114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right"/>
              <w:rPr/>
            </w:pPr>
            <w:r>
              <w:rPr/>
              <w:t> </w:t>
            </w:r>
          </w:p>
        </w:tc>
        <w:tc>
          <w:tcPr>
            <w:tcW w:w="1067"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209,268</w:t>
            </w:r>
          </w:p>
        </w:tc>
      </w:tr>
      <w:tr>
        <w:trPr/>
        <w:tc>
          <w:tcPr>
            <w:tcW w:w="1482"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Other comprehensive loss</w:t>
            </w:r>
          </w:p>
        </w:tc>
        <w:tc>
          <w:tcPr>
            <w:tcW w:w="326" w:type="dxa"/>
            <w:tcBorders/>
            <w:shd w:fill="CCEEFF" w:val="clear"/>
            <w:vAlign w:val="center"/>
          </w:tcPr>
          <w:p>
            <w:pPr>
              <w:pStyle w:val="TableContents"/>
              <w:bidi w:val="0"/>
              <w:spacing w:before="0" w:after="0"/>
              <w:ind w:left="0" w:right="0" w:hanging="0"/>
              <w:jc w:val="left"/>
              <w:rPr/>
            </w:pPr>
            <w:r>
              <w:rPr/>
              <w:t>​</w:t>
            </w:r>
          </w:p>
        </w:tc>
        <w:tc>
          <w:tcPr>
            <w:tcW w:w="157" w:type="dxa"/>
            <w:tcBorders/>
            <w:shd w:fill="CCEEFF" w:val="clear"/>
            <w:vAlign w:val="center"/>
          </w:tcPr>
          <w:p>
            <w:pPr>
              <w:pStyle w:val="TableContents"/>
              <w:bidi w:val="0"/>
              <w:spacing w:before="0" w:after="0"/>
              <w:ind w:left="0" w:right="0" w:hanging="0"/>
              <w:jc w:val="right"/>
              <w:rPr/>
            </w:pPr>
            <w:r>
              <w:rPr/>
              <w:t> </w:t>
            </w:r>
          </w:p>
        </w:tc>
        <w:tc>
          <w:tcPr>
            <w:tcW w:w="72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67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right"/>
              <w:rPr/>
            </w:pPr>
            <w:r>
              <w:rPr/>
              <w:t> </w:t>
            </w:r>
          </w:p>
        </w:tc>
        <w:tc>
          <w:tcPr>
            <w:tcW w:w="1142"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(93,761)</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right"/>
              <w:rPr/>
            </w:pPr>
            <w:r>
              <w:rPr/>
              <w:t> </w:t>
            </w:r>
          </w:p>
        </w:tc>
        <w:tc>
          <w:tcPr>
            <w:tcW w:w="1067"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(93,761)</w:t>
            </w:r>
          </w:p>
        </w:tc>
      </w:tr>
      <w:tr>
        <w:trPr/>
        <w:tc>
          <w:tcPr>
            <w:tcW w:w="1482"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Cash dividends</w:t>
            </w:r>
          </w:p>
        </w:tc>
        <w:tc>
          <w:tcPr>
            <w:tcW w:w="326" w:type="dxa"/>
            <w:tcBorders/>
            <w:vAlign w:val="center"/>
          </w:tcPr>
          <w:p>
            <w:pPr>
              <w:pStyle w:val="TableContents"/>
              <w:bidi w:val="0"/>
              <w:spacing w:before="0" w:after="0"/>
              <w:ind w:left="0" w:right="0" w:hanging="0"/>
              <w:jc w:val="left"/>
              <w:rPr/>
            </w:pPr>
            <w:r>
              <w:rPr/>
              <w:t>​</w:t>
            </w:r>
          </w:p>
        </w:tc>
        <w:tc>
          <w:tcPr>
            <w:tcW w:w="157" w:type="dxa"/>
            <w:tcBorders/>
            <w:vAlign w:val="center"/>
          </w:tcPr>
          <w:p>
            <w:pPr>
              <w:pStyle w:val="TableContents"/>
              <w:bidi w:val="0"/>
              <w:spacing w:before="0" w:after="0"/>
              <w:ind w:left="0" w:right="0" w:hanging="0"/>
              <w:jc w:val="right"/>
              <w:rPr/>
            </w:pPr>
            <w:r>
              <w:rPr/>
              <w:t> </w:t>
            </w:r>
          </w:p>
        </w:tc>
        <w:tc>
          <w:tcPr>
            <w:tcW w:w="72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67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(28,320)</w:t>
            </w:r>
          </w:p>
        </w:tc>
        <w:tc>
          <w:tcPr>
            <w:tcW w:w="326" w:type="dxa"/>
            <w:tcBorders/>
            <w:vAlign w:val="center"/>
          </w:tcPr>
          <w:p>
            <w:pPr>
              <w:pStyle w:val="TableContents"/>
              <w:bidi w:val="0"/>
              <w:spacing w:before="0" w:after="0"/>
              <w:ind w:left="0" w:right="0" w:hanging="0"/>
              <w:jc w:val="left"/>
              <w:rPr/>
            </w:pPr>
            <w:r>
              <w:rPr/>
              <w:t>​</w:t>
            </w:r>
          </w:p>
        </w:tc>
        <w:tc>
          <w:tcPr>
            <w:tcW w:w="284" w:type="dxa"/>
            <w:tcBorders/>
            <w:vAlign w:val="center"/>
          </w:tcPr>
          <w:p>
            <w:pPr>
              <w:pStyle w:val="TableContents"/>
              <w:bidi w:val="0"/>
              <w:spacing w:before="0" w:after="0"/>
              <w:ind w:left="0" w:right="0" w:hanging="0"/>
              <w:jc w:val="right"/>
              <w:rPr/>
            </w:pPr>
            <w:r>
              <w:rPr/>
              <w:t> </w:t>
            </w:r>
          </w:p>
        </w:tc>
        <w:tc>
          <w:tcPr>
            <w:tcW w:w="114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right"/>
              <w:rPr/>
            </w:pPr>
            <w:r>
              <w:rPr/>
              <w:t> </w:t>
            </w:r>
          </w:p>
        </w:tc>
        <w:tc>
          <w:tcPr>
            <w:tcW w:w="1067"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(28,320)</w:t>
            </w:r>
          </w:p>
        </w:tc>
      </w:tr>
      <w:tr>
        <w:trPr/>
        <w:tc>
          <w:tcPr>
            <w:tcW w:w="1482"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Repurchases of common stock</w:t>
            </w:r>
          </w:p>
        </w:tc>
        <w:tc>
          <w:tcPr>
            <w:tcW w:w="326" w:type="dxa"/>
            <w:tcBorders/>
            <w:shd w:fill="CCEEFF" w:val="clear"/>
            <w:vAlign w:val="center"/>
          </w:tcPr>
          <w:p>
            <w:pPr>
              <w:pStyle w:val="TableContents"/>
              <w:bidi w:val="0"/>
              <w:spacing w:before="0" w:after="0"/>
              <w:ind w:left="0" w:right="0" w:hanging="0"/>
              <w:jc w:val="left"/>
              <w:rPr/>
            </w:pPr>
            <w:r>
              <w:rPr/>
              <w:t>​</w:t>
            </w:r>
          </w:p>
        </w:tc>
        <w:tc>
          <w:tcPr>
            <w:tcW w:w="157" w:type="dxa"/>
            <w:tcBorders/>
            <w:shd w:fill="CCEEFF" w:val="clear"/>
            <w:vAlign w:val="center"/>
          </w:tcPr>
          <w:p>
            <w:pPr>
              <w:pStyle w:val="TableContents"/>
              <w:bidi w:val="0"/>
              <w:spacing w:before="0" w:after="0"/>
              <w:ind w:left="0" w:right="0" w:hanging="0"/>
              <w:jc w:val="right"/>
              <w:rPr/>
            </w:pPr>
            <w:r>
              <w:rPr/>
              <w:t> </w:t>
            </w:r>
          </w:p>
        </w:tc>
        <w:tc>
          <w:tcPr>
            <w:tcW w:w="729"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(559)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677"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(559)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(26,484)</w:t>
            </w:r>
          </w:p>
        </w:tc>
        <w:tc>
          <w:tcPr>
            <w:tcW w:w="32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right"/>
              <w:rPr/>
            </w:pPr>
            <w:r>
              <w:rPr/>
              <w:t>​</w:t>
            </w:r>
          </w:p>
        </w:tc>
        <w:tc>
          <w:tcPr>
            <w:tcW w:w="114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right"/>
              <w:rPr/>
            </w:pPr>
            <w:r>
              <w:rPr/>
              <w:t> </w:t>
            </w:r>
          </w:p>
        </w:tc>
        <w:tc>
          <w:tcPr>
            <w:tcW w:w="1067"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(27,043)</w:t>
            </w:r>
          </w:p>
        </w:tc>
      </w:tr>
      <w:tr>
        <w:trPr/>
        <w:tc>
          <w:tcPr>
            <w:tcW w:w="1482"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Stock-based compensation</w:t>
            </w:r>
          </w:p>
        </w:tc>
        <w:tc>
          <w:tcPr>
            <w:tcW w:w="326" w:type="dxa"/>
            <w:tcBorders/>
            <w:vAlign w:val="center"/>
          </w:tcPr>
          <w:p>
            <w:pPr>
              <w:pStyle w:val="TableContents"/>
              <w:bidi w:val="0"/>
              <w:spacing w:before="0" w:after="0"/>
              <w:ind w:left="0" w:right="0" w:hanging="0"/>
              <w:jc w:val="left"/>
              <w:rPr/>
            </w:pPr>
            <w:r>
              <w:rPr/>
              <w:t>​</w:t>
            </w:r>
          </w:p>
        </w:tc>
        <w:tc>
          <w:tcPr>
            <w:tcW w:w="157"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c>
          <w:tcPr>
            <w:tcW w:w="729"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right"/>
              <w:rPr/>
            </w:pPr>
            <w:r>
              <w:rPr/>
              <w:t>​</w:t>
            </w:r>
          </w:p>
        </w:tc>
        <w:tc>
          <w:tcPr>
            <w:tcW w:w="677"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right"/>
              <w:rPr/>
            </w:pPr>
            <w:r>
              <w:rPr/>
              <w:t>​</w:t>
            </w:r>
          </w:p>
        </w:tc>
        <w:tc>
          <w:tcPr>
            <w:tcW w:w="931"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10,731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right"/>
              <w:rPr/>
            </w:pPr>
            <w:r>
              <w:rPr/>
              <w:t>​</w:t>
            </w:r>
          </w:p>
        </w:tc>
        <w:tc>
          <w:tcPr>
            <w:tcW w:w="931" w:type="dxa"/>
            <w:tcBorders>
              <w:bottom w:val="single" w:sz="1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84" w:type="dxa"/>
            <w:tcBorders>
              <w:bottom w:val="single" w:sz="12" w:space="0" w:color="000000"/>
            </w:tcBorders>
            <w:tcMar>
              <w:bottom w:w="28" w:type="dxa"/>
            </w:tcMar>
            <w:vAlign w:val="center"/>
          </w:tcPr>
          <w:p>
            <w:pPr>
              <w:pStyle w:val="TableContents"/>
              <w:bidi w:val="0"/>
              <w:spacing w:before="0" w:after="0"/>
              <w:ind w:left="0" w:right="0" w:hanging="0"/>
              <w:jc w:val="right"/>
              <w:rPr/>
            </w:pPr>
            <w:r>
              <w:rPr/>
              <w:t>​</w:t>
            </w:r>
          </w:p>
        </w:tc>
        <w:tc>
          <w:tcPr>
            <w:tcW w:w="1142" w:type="dxa"/>
            <w:tcBorders>
              <w:bottom w:val="single" w:sz="1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6" w:type="dxa"/>
            <w:tcBorders>
              <w:bottom w:val="single" w:sz="12" w:space="0" w:color="000000"/>
            </w:tcBorders>
            <w:tcMar>
              <w:bottom w:w="28" w:type="dxa"/>
            </w:tcMar>
            <w:vAlign w:val="center"/>
          </w:tcPr>
          <w:p>
            <w:pPr>
              <w:pStyle w:val="TableContents"/>
              <w:bidi w:val="0"/>
              <w:spacing w:before="0" w:after="0"/>
              <w:ind w:left="0" w:right="0" w:hanging="0"/>
              <w:jc w:val="right"/>
              <w:rPr/>
            </w:pPr>
            <w:r>
              <w:rPr/>
              <w:t>​</w:t>
            </w:r>
          </w:p>
        </w:tc>
        <w:tc>
          <w:tcPr>
            <w:tcW w:w="1067"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10,770</w:t>
            </w:r>
          </w:p>
        </w:tc>
      </w:tr>
      <w:tr>
        <w:trPr/>
        <w:tc>
          <w:tcPr>
            <w:tcW w:w="1482" w:type="dxa"/>
            <w:tcBorders/>
            <w:shd w:fill="CCEEFF" w:val="cle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Balance, September 30, 2023</w:t>
            </w:r>
          </w:p>
        </w:tc>
        <w:tc>
          <w:tcPr>
            <w:tcW w:w="326" w:type="dxa"/>
            <w:tcBorders/>
            <w:shd w:fill="CCEEFF" w:val="clear"/>
            <w:vAlign w:val="center"/>
          </w:tcPr>
          <w:p>
            <w:pPr>
              <w:pStyle w:val="TableContents"/>
              <w:bidi w:val="0"/>
              <w:spacing w:before="0" w:after="0"/>
              <w:ind w:left="0" w:right="0" w:hanging="0"/>
              <w:jc w:val="left"/>
              <w:rPr/>
            </w:pPr>
            <w:r>
              <w:rPr/>
              <w:t>​</w:t>
            </w:r>
          </w:p>
        </w:tc>
        <w:tc>
          <w:tcPr>
            <w:tcW w:w="157" w:type="dxa"/>
            <w:tcBorders/>
            <w:shd w:fill="CCEEFF" w:val="clear"/>
            <w:vAlign w:val="center"/>
          </w:tcPr>
          <w:p>
            <w:pPr>
              <w:pStyle w:val="TableContents"/>
              <w:bidi w:val="0"/>
              <w:spacing w:before="0" w:after="0"/>
              <w:ind w:left="0" w:right="0" w:hanging="0"/>
              <w:jc w:val="left"/>
              <w:rPr/>
            </w:pPr>
            <w:r>
              <w:rPr/>
              <w:t> </w:t>
            </w:r>
          </w:p>
        </w:tc>
        <w:tc>
          <w:tcPr>
            <w:tcW w:w="729"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90,984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77"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90,984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1,702,065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3,532,676</w:t>
            </w:r>
          </w:p>
        </w:tc>
        <w:tc>
          <w:tcPr>
            <w:tcW w:w="32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right"/>
              <w:rPr/>
            </w:pPr>
            <w:r>
              <w:rPr/>
              <w:t>​</w:t>
            </w:r>
          </w:p>
        </w:tc>
        <w:tc>
          <w:tcPr>
            <w:tcW w:w="1142"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(503,142)</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right"/>
              <w:rPr/>
            </w:pPr>
            <w:r>
              <w:rPr/>
              <w:t>​</w:t>
            </w:r>
          </w:p>
        </w:tc>
        <w:tc>
          <w:tcPr>
            <w:tcW w:w="1067"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4,822,583</w:t>
            </w:r>
          </w:p>
        </w:tc>
      </w:tr>
      <w:tr>
        <w:trPr/>
        <w:tc>
          <w:tcPr>
            <w:tcW w:w="1482"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Net income</w:t>
            </w:r>
          </w:p>
        </w:tc>
        <w:tc>
          <w:tcPr>
            <w:tcW w:w="326" w:type="dxa"/>
            <w:tcBorders/>
            <w:vAlign w:val="center"/>
          </w:tcPr>
          <w:p>
            <w:pPr>
              <w:pStyle w:val="TableContents"/>
              <w:bidi w:val="0"/>
              <w:spacing w:before="0" w:after="0"/>
              <w:ind w:left="0" w:right="0" w:hanging="0"/>
              <w:jc w:val="left"/>
              <w:rPr/>
            </w:pPr>
            <w:r>
              <w:rPr/>
              <w:t>​</w:t>
            </w:r>
          </w:p>
        </w:tc>
        <w:tc>
          <w:tcPr>
            <w:tcW w:w="157" w:type="dxa"/>
            <w:tcBorders/>
            <w:vAlign w:val="center"/>
          </w:tcPr>
          <w:p>
            <w:pPr>
              <w:pStyle w:val="TableContents"/>
              <w:bidi w:val="0"/>
              <w:spacing w:before="0" w:after="0"/>
              <w:ind w:left="0" w:right="0" w:hanging="0"/>
              <w:jc w:val="right"/>
              <w:rPr/>
            </w:pPr>
            <w:r>
              <w:rPr/>
              <w:t> </w:t>
            </w:r>
          </w:p>
        </w:tc>
        <w:tc>
          <w:tcPr>
            <w:tcW w:w="72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67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117,931</w:t>
            </w:r>
          </w:p>
        </w:tc>
        <w:tc>
          <w:tcPr>
            <w:tcW w:w="326" w:type="dxa"/>
            <w:tcBorders/>
            <w:vAlign w:val="center"/>
          </w:tcPr>
          <w:p>
            <w:pPr>
              <w:pStyle w:val="TableContents"/>
              <w:bidi w:val="0"/>
              <w:spacing w:before="0" w:after="0"/>
              <w:ind w:left="0" w:right="0" w:hanging="0"/>
              <w:jc w:val="left"/>
              <w:rPr/>
            </w:pPr>
            <w:r>
              <w:rPr/>
              <w:t>​</w:t>
            </w:r>
          </w:p>
        </w:tc>
        <w:tc>
          <w:tcPr>
            <w:tcW w:w="284" w:type="dxa"/>
            <w:tcBorders/>
            <w:vAlign w:val="center"/>
          </w:tcPr>
          <w:p>
            <w:pPr>
              <w:pStyle w:val="TableContents"/>
              <w:bidi w:val="0"/>
              <w:spacing w:before="0" w:after="0"/>
              <w:ind w:left="0" w:right="0" w:hanging="0"/>
              <w:jc w:val="right"/>
              <w:rPr/>
            </w:pPr>
            <w:r>
              <w:rPr/>
              <w:t> </w:t>
            </w:r>
          </w:p>
        </w:tc>
        <w:tc>
          <w:tcPr>
            <w:tcW w:w="114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right"/>
              <w:rPr/>
            </w:pPr>
            <w:r>
              <w:rPr/>
              <w:t> </w:t>
            </w:r>
          </w:p>
        </w:tc>
        <w:tc>
          <w:tcPr>
            <w:tcW w:w="1067"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117,931</w:t>
            </w:r>
          </w:p>
        </w:tc>
      </w:tr>
      <w:tr>
        <w:trPr/>
        <w:tc>
          <w:tcPr>
            <w:tcW w:w="1482"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Other comprehensive income</w:t>
            </w:r>
          </w:p>
        </w:tc>
        <w:tc>
          <w:tcPr>
            <w:tcW w:w="326" w:type="dxa"/>
            <w:tcBorders/>
            <w:shd w:fill="CCEEFF" w:val="clear"/>
            <w:vAlign w:val="center"/>
          </w:tcPr>
          <w:p>
            <w:pPr>
              <w:pStyle w:val="TableContents"/>
              <w:bidi w:val="0"/>
              <w:spacing w:before="0" w:after="0"/>
              <w:ind w:left="0" w:right="0" w:hanging="0"/>
              <w:jc w:val="left"/>
              <w:rPr/>
            </w:pPr>
            <w:r>
              <w:rPr/>
              <w:t>​</w:t>
            </w:r>
          </w:p>
        </w:tc>
        <w:tc>
          <w:tcPr>
            <w:tcW w:w="157" w:type="dxa"/>
            <w:tcBorders/>
            <w:shd w:fill="CCEEFF" w:val="clear"/>
            <w:vAlign w:val="center"/>
          </w:tcPr>
          <w:p>
            <w:pPr>
              <w:pStyle w:val="TableContents"/>
              <w:bidi w:val="0"/>
              <w:spacing w:before="0" w:after="0"/>
              <w:ind w:left="0" w:right="0" w:hanging="0"/>
              <w:jc w:val="right"/>
              <w:rPr/>
            </w:pPr>
            <w:r>
              <w:rPr/>
              <w:t> </w:t>
            </w:r>
          </w:p>
        </w:tc>
        <w:tc>
          <w:tcPr>
            <w:tcW w:w="72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67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right"/>
              <w:rPr/>
            </w:pPr>
            <w:r>
              <w:rPr/>
              <w:t> </w:t>
            </w:r>
          </w:p>
        </w:tc>
        <w:tc>
          <w:tcPr>
            <w:tcW w:w="1142"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145,689</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right"/>
              <w:rPr/>
            </w:pPr>
            <w:r>
              <w:rPr/>
              <w:t> </w:t>
            </w:r>
          </w:p>
        </w:tc>
        <w:tc>
          <w:tcPr>
            <w:tcW w:w="1067"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145,689</w:t>
            </w:r>
          </w:p>
        </w:tc>
      </w:tr>
      <w:tr>
        <w:trPr/>
        <w:tc>
          <w:tcPr>
            <w:tcW w:w="1482"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Cash dividends</w:t>
            </w:r>
          </w:p>
        </w:tc>
        <w:tc>
          <w:tcPr>
            <w:tcW w:w="326" w:type="dxa"/>
            <w:tcBorders/>
            <w:vAlign w:val="center"/>
          </w:tcPr>
          <w:p>
            <w:pPr>
              <w:pStyle w:val="TableContents"/>
              <w:bidi w:val="0"/>
              <w:spacing w:before="0" w:after="0"/>
              <w:ind w:left="0" w:right="0" w:hanging="0"/>
              <w:jc w:val="left"/>
              <w:rPr/>
            </w:pPr>
            <w:r>
              <w:rPr/>
              <w:t>​</w:t>
            </w:r>
          </w:p>
        </w:tc>
        <w:tc>
          <w:tcPr>
            <w:tcW w:w="157" w:type="dxa"/>
            <w:tcBorders/>
            <w:vAlign w:val="center"/>
          </w:tcPr>
          <w:p>
            <w:pPr>
              <w:pStyle w:val="TableContents"/>
              <w:bidi w:val="0"/>
              <w:spacing w:before="0" w:after="0"/>
              <w:ind w:left="0" w:right="0" w:hanging="0"/>
              <w:jc w:val="right"/>
              <w:rPr/>
            </w:pPr>
            <w:r>
              <w:rPr/>
              <w:t> </w:t>
            </w:r>
          </w:p>
        </w:tc>
        <w:tc>
          <w:tcPr>
            <w:tcW w:w="72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67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(27,817)</w:t>
            </w:r>
          </w:p>
        </w:tc>
        <w:tc>
          <w:tcPr>
            <w:tcW w:w="326" w:type="dxa"/>
            <w:tcBorders/>
            <w:vAlign w:val="center"/>
          </w:tcPr>
          <w:p>
            <w:pPr>
              <w:pStyle w:val="TableContents"/>
              <w:bidi w:val="0"/>
              <w:spacing w:before="0" w:after="0"/>
              <w:ind w:left="0" w:right="0" w:hanging="0"/>
              <w:jc w:val="left"/>
              <w:rPr/>
            </w:pPr>
            <w:r>
              <w:rPr/>
              <w:t>​</w:t>
            </w:r>
          </w:p>
        </w:tc>
        <w:tc>
          <w:tcPr>
            <w:tcW w:w="284" w:type="dxa"/>
            <w:tcBorders/>
            <w:vAlign w:val="center"/>
          </w:tcPr>
          <w:p>
            <w:pPr>
              <w:pStyle w:val="TableContents"/>
              <w:bidi w:val="0"/>
              <w:spacing w:before="0" w:after="0"/>
              <w:ind w:left="0" w:right="0" w:hanging="0"/>
              <w:jc w:val="right"/>
              <w:rPr/>
            </w:pPr>
            <w:r>
              <w:rPr/>
              <w:t> </w:t>
            </w:r>
          </w:p>
        </w:tc>
        <w:tc>
          <w:tcPr>
            <w:tcW w:w="114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right"/>
              <w:rPr/>
            </w:pPr>
            <w:r>
              <w:rPr/>
              <w:t> </w:t>
            </w:r>
          </w:p>
        </w:tc>
        <w:tc>
          <w:tcPr>
            <w:tcW w:w="1067"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(27,817)</w:t>
            </w:r>
          </w:p>
        </w:tc>
      </w:tr>
      <w:tr>
        <w:trPr/>
        <w:tc>
          <w:tcPr>
            <w:tcW w:w="1482"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Repurchases of common stock</w:t>
            </w:r>
          </w:p>
        </w:tc>
        <w:tc>
          <w:tcPr>
            <w:tcW w:w="326" w:type="dxa"/>
            <w:tcBorders/>
            <w:shd w:fill="CCEEFF" w:val="clear"/>
            <w:vAlign w:val="center"/>
          </w:tcPr>
          <w:p>
            <w:pPr>
              <w:pStyle w:val="TableContents"/>
              <w:bidi w:val="0"/>
              <w:spacing w:before="0" w:after="0"/>
              <w:ind w:left="0" w:right="0" w:hanging="0"/>
              <w:jc w:val="left"/>
              <w:rPr/>
            </w:pPr>
            <w:r>
              <w:rPr/>
              <w:t>​</w:t>
            </w:r>
          </w:p>
        </w:tc>
        <w:tc>
          <w:tcPr>
            <w:tcW w:w="157" w:type="dxa"/>
            <w:tcBorders/>
            <w:shd w:fill="CCEEFF" w:val="clear"/>
            <w:vAlign w:val="center"/>
          </w:tcPr>
          <w:p>
            <w:pPr>
              <w:pStyle w:val="TableContents"/>
              <w:bidi w:val="0"/>
              <w:spacing w:before="0" w:after="0"/>
              <w:ind w:left="0" w:right="0" w:hanging="0"/>
              <w:jc w:val="right"/>
              <w:rPr/>
            </w:pPr>
            <w:r>
              <w:rPr/>
              <w:t> </w:t>
            </w:r>
          </w:p>
        </w:tc>
        <w:tc>
          <w:tcPr>
            <w:tcW w:w="729"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(1,255)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677"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(1,255)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(58,595)</w:t>
            </w:r>
          </w:p>
        </w:tc>
        <w:tc>
          <w:tcPr>
            <w:tcW w:w="32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right"/>
              <w:rPr/>
            </w:pPr>
            <w:r>
              <w:rPr/>
              <w:t>​</w:t>
            </w:r>
          </w:p>
        </w:tc>
        <w:tc>
          <w:tcPr>
            <w:tcW w:w="114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right"/>
              <w:rPr/>
            </w:pPr>
            <w:r>
              <w:rPr/>
              <w:t> </w:t>
            </w:r>
          </w:p>
        </w:tc>
        <w:tc>
          <w:tcPr>
            <w:tcW w:w="1067"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(59,850)</w:t>
            </w:r>
          </w:p>
        </w:tc>
      </w:tr>
      <w:tr>
        <w:trPr/>
        <w:tc>
          <w:tcPr>
            <w:tcW w:w="1482"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Stock-based compensation</w:t>
            </w:r>
          </w:p>
        </w:tc>
        <w:tc>
          <w:tcPr>
            <w:tcW w:w="326" w:type="dxa"/>
            <w:tcBorders/>
            <w:vAlign w:val="center"/>
          </w:tcPr>
          <w:p>
            <w:pPr>
              <w:pStyle w:val="TableContents"/>
              <w:bidi w:val="0"/>
              <w:spacing w:before="0" w:after="0"/>
              <w:ind w:left="0" w:right="0" w:hanging="0"/>
              <w:jc w:val="left"/>
              <w:rPr/>
            </w:pPr>
            <w:r>
              <w:rPr/>
              <w:t>​</w:t>
            </w:r>
          </w:p>
        </w:tc>
        <w:tc>
          <w:tcPr>
            <w:tcW w:w="157"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c>
          <w:tcPr>
            <w:tcW w:w="729"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c>
          <w:tcPr>
            <w:tcW w:w="677"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c>
          <w:tcPr>
            <w:tcW w:w="931"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11,816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c>
          <w:tcPr>
            <w:tcW w:w="931" w:type="dxa"/>
            <w:tcBorders>
              <w:bottom w:val="single" w:sz="1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84"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c>
          <w:tcPr>
            <w:tcW w:w="1142" w:type="dxa"/>
            <w:tcBorders>
              <w:bottom w:val="single" w:sz="1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6"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c>
          <w:tcPr>
            <w:tcW w:w="1067"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11,847</w:t>
            </w:r>
          </w:p>
        </w:tc>
      </w:tr>
      <w:tr>
        <w:trPr/>
        <w:tc>
          <w:tcPr>
            <w:tcW w:w="1482" w:type="dxa"/>
            <w:tcBorders/>
            <w:shd w:fill="CCEEFF" w:val="cle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Balance, December 30, 2023</w:t>
            </w:r>
          </w:p>
        </w:tc>
        <w:tc>
          <w:tcPr>
            <w:tcW w:w="326" w:type="dxa"/>
            <w:tcBorders/>
            <w:shd w:fill="CCEEFF" w:val="clear"/>
            <w:vAlign w:val="center"/>
          </w:tcPr>
          <w:p>
            <w:pPr>
              <w:pStyle w:val="TableContents"/>
              <w:bidi w:val="0"/>
              <w:spacing w:before="0" w:after="0"/>
              <w:ind w:left="0" w:right="0" w:hanging="0"/>
              <w:jc w:val="left"/>
              <w:rPr/>
            </w:pPr>
            <w:r>
              <w:rPr/>
              <w:t>​</w:t>
            </w:r>
          </w:p>
        </w:tc>
        <w:tc>
          <w:tcPr>
            <w:tcW w:w="15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89,760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w:t>
            </w:r>
          </w:p>
        </w:tc>
        <w:tc>
          <w:tcPr>
            <w:tcW w:w="67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89,760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1,713,881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3,564,195</w:t>
            </w:r>
          </w:p>
        </w:tc>
        <w:tc>
          <w:tcPr>
            <w:tcW w:w="32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w:t>
            </w:r>
          </w:p>
        </w:tc>
        <w:tc>
          <w:tcPr>
            <w:tcW w:w="114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(357,453)</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w:t>
            </w:r>
          </w:p>
        </w:tc>
        <w:tc>
          <w:tcPr>
            <w:tcW w:w="1067"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9"/>
              </w:rPr>
            </w:pPr>
            <w:r>
              <w:rPr>
                <w:rFonts w:ascii="Times New Roman;Times;serif" w:hAnsi="Times New Roman;Times;serif"/>
                <w:sz w:val="19"/>
              </w:rPr>
              <w:t>5,010,383</w:t>
            </w:r>
          </w:p>
        </w:tc>
      </w:tr>
    </w:tbl>
    <w:p>
      <w:pPr>
        <w:pStyle w:val="TextBody"/>
        <w:bidi w:val="0"/>
        <w:spacing w:before="0" w:after="0"/>
        <w:ind w:left="0" w:right="0" w:hanging="0"/>
        <w:jc w:val="left"/>
        <w:rPr/>
      </w:pPr>
      <w:r>
        <w:rPr/>
        <w:t>​</w:t>
      </w:r>
    </w:p>
    <w:p>
      <w:pPr>
        <w:pStyle w:val="TextBody"/>
        <w:bidi w:val="0"/>
        <w:spacing w:lineRule="atLeast" w:line="142"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457" w:name="Tc_uNkEGn-vs02_yW63VykbQw_18_17"/>
      <w:bookmarkStart w:id="458" w:name="Tc_kr-gqIchpE-c3nF5iL1epw_18_14"/>
      <w:bookmarkStart w:id="459" w:name="Tc_FDc1Mr3T902Xpn-y2JeRMQ_18_11"/>
      <w:bookmarkStart w:id="460" w:name="Tc_XGDk2Y0deUaIOnRPn6dJow_18_8"/>
      <w:bookmarkStart w:id="461" w:name="Tc_4seYhXpG0U6ErQ7nCjBV5Q_18_5"/>
      <w:bookmarkStart w:id="462" w:name="Tc_LgR0u33dk0-5kQZDJykmgQ_18_0"/>
      <w:bookmarkStart w:id="463" w:name="Tc_DhgQlFizwUiijo_G6bhPCA_17_15"/>
      <w:bookmarkStart w:id="464" w:name="Tc_GGpPXs3ZUkaZhjAdsM9zKg_17_12"/>
      <w:bookmarkStart w:id="465" w:name="Tc_K4jnDMdh_UGe8cBYEfJjPw_17_0"/>
      <w:bookmarkStart w:id="466" w:name="Tc_0FhaxCD1c0y-57w62ML37A_16_15"/>
      <w:bookmarkStart w:id="467" w:name="Tc_3CvzRCV7akyM2Y47-H_oiw_16_9"/>
      <w:bookmarkStart w:id="468" w:name="Tc_C8_nh4h9_0eD22GxcZ8O5w_16_0"/>
      <w:bookmarkStart w:id="469" w:name="Tc_QxsiTfEBZUCbT1dXa1HXxg_15_15"/>
      <w:bookmarkStart w:id="470" w:name="Tc_yMWFI7cEKUe4FeYumLBY7Q_15_9"/>
      <w:bookmarkStart w:id="471" w:name="Tc_PNwIddfVjk6FfpJ568LUow_15_6"/>
      <w:bookmarkStart w:id="472" w:name="Tc_oMMH3PYQxUC8ERNe79B_zA_15_3"/>
      <w:bookmarkStart w:id="473" w:name="Tc_iuFXyH7vC02IKPrDi1iZLQ_15_0"/>
      <w:bookmarkStart w:id="474" w:name="Tc_1gHXeQmCQUWn7n53Jqmc3Q_14_12"/>
      <w:bookmarkStart w:id="475" w:name="Tc_8GUWwl0HwkGINKt840q58g_14_9"/>
      <w:bookmarkStart w:id="476" w:name="Tc_skCNJFasRUa4JbqeDikgYQ_14_6"/>
      <w:bookmarkStart w:id="477" w:name="Tc_rn2gYR4QJUamrIEYXsSOcw_14_3"/>
      <w:bookmarkStart w:id="478" w:name="Tc_jmXH12FB9UeXQww7gv2A8A_14_0"/>
      <w:bookmarkStart w:id="479" w:name="Tc_BcVIyTTR_k2BFjyT4PlnhA_13_15"/>
      <w:bookmarkStart w:id="480" w:name="Tc_X14pt7PWk0-TzsdgUS14HQ_13_9"/>
      <w:bookmarkStart w:id="481" w:name="Tc_p2gYhLeLHEa0GMJiO9wkgQ_13_6"/>
      <w:bookmarkStart w:id="482" w:name="Tc_NVWHgBWngEixIM5059buYQ_13_3"/>
      <w:bookmarkStart w:id="483" w:name="Tc_LkLF6FkbOUi33s-5lNof7g_13_0"/>
      <w:bookmarkStart w:id="484" w:name="Tc_0SNx7NBUqU-kyieBw3qKJQ_12_0"/>
      <w:bookmarkStart w:id="485" w:name="Tc_Z9MNMv0dlkiY4l7q830frw_11_15"/>
      <w:bookmarkStart w:id="486" w:name="Tc__JOWuUTMbki4N8p6TcgIJw_11_12"/>
      <w:bookmarkStart w:id="487" w:name="Tc_Dd9W1ijr-EygaGe7c2IPfw_11_0"/>
      <w:bookmarkStart w:id="488" w:name="Tc_TIvrGZkX5EqX7wDAtgkw6Q_10_15"/>
      <w:bookmarkStart w:id="489" w:name="Tc_PBynj9AzIEGWOPFUqhHH1g_10_9"/>
      <w:bookmarkStart w:id="490" w:name="Tc_fMm6Jo0qgU-eN1bVMXZNog_10_0"/>
      <w:bookmarkStart w:id="491" w:name="Tc_YYZvhaqPv0ezHrDu5OxqTw_9_15"/>
      <w:bookmarkStart w:id="492" w:name="Tc_Ft_uSTnFAkCJRk-YF3P5cA_9_9"/>
      <w:bookmarkStart w:id="493" w:name="Tc_vQyBHPlTf0ytd90OaV-1GA_9_6"/>
      <w:bookmarkStart w:id="494" w:name="Tc_bXfz8B2v0UWFENs3DX6_xw_9_3"/>
      <w:bookmarkStart w:id="495" w:name="Tc_GKKn8fqE3EOTNB-hZN-DxA_9_0"/>
      <w:bookmarkStart w:id="496" w:name="Tc_qz0ycY6C90KltBe4V5EJVg_8_12"/>
      <w:bookmarkStart w:id="497" w:name="Tc_UTGSCxqT0UepmrOsMhGA9Q_8_9"/>
      <w:bookmarkStart w:id="498" w:name="Tc_X4IT43pUIUSOYw9ikzm0uw_8_6"/>
      <w:bookmarkStart w:id="499" w:name="Tc_7oN4bjjbjU-FL3uhAWx24g_8_3"/>
      <w:bookmarkStart w:id="500" w:name="Tc_IQACVOWYQkWxnXHzuJItqA_8_0"/>
      <w:bookmarkStart w:id="501" w:name="Tc_iwsde5AWVESda4Yg4Xx1_Q_7_15"/>
      <w:bookmarkStart w:id="502" w:name="Tc_WJjYkp0s60yRDWixHdFd-g_7_9"/>
      <w:bookmarkStart w:id="503" w:name="Tc_UfYpaiYTVUyLBXmGyg7owg_7_6"/>
      <w:bookmarkStart w:id="504" w:name="Tc_YRf_-Jg-VkiGh624ts-2QQ_7_3"/>
      <w:bookmarkStart w:id="505" w:name="Tc_iKqUCUnov0aJ0_qX4MxlSg_7_0"/>
      <w:bookmarkStart w:id="506" w:name="Tc_Gi8JW1BU_EKFxCfzmwGUEA_6_17"/>
      <w:bookmarkStart w:id="507" w:name="Tc_5mvgOf7Vuku32h0dRMWJsQ_6_14"/>
      <w:bookmarkStart w:id="508" w:name="Tc_tEmAuzA01kGHmUNT8-fa7g_6_11"/>
      <w:bookmarkStart w:id="509" w:name="Tc_527QPsDzh0-pCZ31GMmdVg_6_8"/>
      <w:bookmarkStart w:id="510" w:name="Tc_kXGO1twpUUCSlAClY-wRpw_6_5"/>
      <w:bookmarkStart w:id="511" w:name="Tc_zPw_U6uvOUWGtTCgXH8niw_6_0"/>
      <w:bookmarkStart w:id="512" w:name="Tc_W0HMFk6NQ0WLwkSH3ONeoQ_5_2"/>
      <w:bookmarkStart w:id="513" w:name="Tc_PsgBoNNOuk2N5pWYbZggFA_4_17"/>
      <w:bookmarkStart w:id="514" w:name="Tc_cpnR_5I7GkK8oU2D5JECOA_4_14"/>
      <w:bookmarkStart w:id="515" w:name="Tc_OfmAqNBEZUeYMYwX1QQnsA_4_11"/>
      <w:bookmarkStart w:id="516" w:name="Tc_JjAj24YpzEWHnoVcwDbFAg_4_8"/>
      <w:bookmarkStart w:id="517" w:name="Tc_F0TBhmHJuUq3dSFozBdQIQ_4_5"/>
      <w:bookmarkStart w:id="518" w:name="Tc_E2T26cg3f0qaX78Zs8TCug_4_2"/>
      <w:bookmarkStart w:id="519" w:name="Tc_59jjBgU6K060DsOtFnU4DA_3_17"/>
      <w:bookmarkStart w:id="520" w:name="Tc_I35nRTJ43kuIIOWxdovV_g_3_14"/>
      <w:bookmarkStart w:id="521" w:name="Tc_HpFpwWBP_kCWu0zKcQrDKQ_3_11"/>
      <w:bookmarkStart w:id="522" w:name="Tc_pMqfuIdP3UysE0rIige-WA_3_8"/>
      <w:bookmarkStart w:id="523" w:name="Tc_FAMIHB86C0K3__P4FhXptg_3_5"/>
      <w:bookmarkStart w:id="524" w:name="Tc_AXjBdpHzIk-NdnmoQmS_kA_3_2"/>
      <w:bookmarkStart w:id="525" w:name="Tc_kFarrrwNaUmlxJHAoS-XWA_2_17"/>
      <w:bookmarkStart w:id="526" w:name="Tc_s01wZoCUIE-NqH7V9lRqWg_2_14"/>
      <w:bookmarkStart w:id="527" w:name="Tc_gtlV_67ohUuEiDitN_Zhwg_2_8"/>
      <w:bookmarkStart w:id="528" w:name="Tc_KZtgjxk4L0SOre5U4QdUnA_2_5"/>
      <w:bookmarkStart w:id="529" w:name="Tc_bVy4JQOq4EmZ8UwShbUSqw_2_2"/>
      <w:bookmarkStart w:id="530" w:name="Tc_qrhglTFbqESBXpx_Hfwm4Q_1_14"/>
      <w:bookmarkStart w:id="531" w:name="_547ddc63_8e86_487d_a3b8_5578c4993b85"/>
      <w:bookmarkStart w:id="532" w:name="Tc_uNkEGn-vs02_yW63VykbQw_18_17"/>
      <w:bookmarkStart w:id="533" w:name="Tc_kr-gqIchpE-c3nF5iL1epw_18_14"/>
      <w:bookmarkStart w:id="534" w:name="Tc_FDc1Mr3T902Xpn-y2JeRMQ_18_11"/>
      <w:bookmarkStart w:id="535" w:name="Tc_XGDk2Y0deUaIOnRPn6dJow_18_8"/>
      <w:bookmarkStart w:id="536" w:name="Tc_4seYhXpG0U6ErQ7nCjBV5Q_18_5"/>
      <w:bookmarkStart w:id="537" w:name="Tc_LgR0u33dk0-5kQZDJykmgQ_18_0"/>
      <w:bookmarkStart w:id="538" w:name="Tc_DhgQlFizwUiijo_G6bhPCA_17_15"/>
      <w:bookmarkStart w:id="539" w:name="Tc_GGpPXs3ZUkaZhjAdsM9zKg_17_12"/>
      <w:bookmarkStart w:id="540" w:name="Tc_K4jnDMdh_UGe8cBYEfJjPw_17_0"/>
      <w:bookmarkStart w:id="541" w:name="Tc_0FhaxCD1c0y-57w62ML37A_16_15"/>
      <w:bookmarkStart w:id="542" w:name="Tc_3CvzRCV7akyM2Y47-H_oiw_16_9"/>
      <w:bookmarkStart w:id="543" w:name="Tc_C8_nh4h9_0eD22GxcZ8O5w_16_0"/>
      <w:bookmarkStart w:id="544" w:name="Tc_QxsiTfEBZUCbT1dXa1HXxg_15_15"/>
      <w:bookmarkStart w:id="545" w:name="Tc_yMWFI7cEKUe4FeYumLBY7Q_15_9"/>
      <w:bookmarkStart w:id="546" w:name="Tc_PNwIddfVjk6FfpJ568LUow_15_6"/>
      <w:bookmarkStart w:id="547" w:name="Tc_oMMH3PYQxUC8ERNe79B_zA_15_3"/>
      <w:bookmarkStart w:id="548" w:name="Tc_iuFXyH7vC02IKPrDi1iZLQ_15_0"/>
      <w:bookmarkStart w:id="549" w:name="Tc_1gHXeQmCQUWn7n53Jqmc3Q_14_12"/>
      <w:bookmarkStart w:id="550" w:name="Tc_8GUWwl0HwkGINKt840q58g_14_9"/>
      <w:bookmarkStart w:id="551" w:name="Tc_skCNJFasRUa4JbqeDikgYQ_14_6"/>
      <w:bookmarkStart w:id="552" w:name="Tc_rn2gYR4QJUamrIEYXsSOcw_14_3"/>
      <w:bookmarkStart w:id="553" w:name="Tc_jmXH12FB9UeXQww7gv2A8A_14_0"/>
      <w:bookmarkStart w:id="554" w:name="Tc_BcVIyTTR_k2BFjyT4PlnhA_13_15"/>
      <w:bookmarkStart w:id="555" w:name="Tc_X14pt7PWk0-TzsdgUS14HQ_13_9"/>
      <w:bookmarkStart w:id="556" w:name="Tc_p2gYhLeLHEa0GMJiO9wkgQ_13_6"/>
      <w:bookmarkStart w:id="557" w:name="Tc_NVWHgBWngEixIM5059buYQ_13_3"/>
      <w:bookmarkStart w:id="558" w:name="Tc_LkLF6FkbOUi33s-5lNof7g_13_0"/>
      <w:bookmarkStart w:id="559" w:name="Tc_0SNx7NBUqU-kyieBw3qKJQ_12_0"/>
      <w:bookmarkStart w:id="560" w:name="Tc_Z9MNMv0dlkiY4l7q830frw_11_15"/>
      <w:bookmarkStart w:id="561" w:name="Tc__JOWuUTMbki4N8p6TcgIJw_11_12"/>
      <w:bookmarkStart w:id="562" w:name="Tc_Dd9W1ijr-EygaGe7c2IPfw_11_0"/>
      <w:bookmarkStart w:id="563" w:name="Tc_TIvrGZkX5EqX7wDAtgkw6Q_10_15"/>
      <w:bookmarkStart w:id="564" w:name="Tc_PBynj9AzIEGWOPFUqhHH1g_10_9"/>
      <w:bookmarkStart w:id="565" w:name="Tc_fMm6Jo0qgU-eN1bVMXZNog_10_0"/>
      <w:bookmarkStart w:id="566" w:name="Tc_YYZvhaqPv0ezHrDu5OxqTw_9_15"/>
      <w:bookmarkStart w:id="567" w:name="Tc_Ft_uSTnFAkCJRk-YF3P5cA_9_9"/>
      <w:bookmarkStart w:id="568" w:name="Tc_vQyBHPlTf0ytd90OaV-1GA_9_6"/>
      <w:bookmarkStart w:id="569" w:name="Tc_bXfz8B2v0UWFENs3DX6_xw_9_3"/>
      <w:bookmarkStart w:id="570" w:name="Tc_GKKn8fqE3EOTNB-hZN-DxA_9_0"/>
      <w:bookmarkStart w:id="571" w:name="Tc_qz0ycY6C90KltBe4V5EJVg_8_12"/>
      <w:bookmarkStart w:id="572" w:name="Tc_UTGSCxqT0UepmrOsMhGA9Q_8_9"/>
      <w:bookmarkStart w:id="573" w:name="Tc_X4IT43pUIUSOYw9ikzm0uw_8_6"/>
      <w:bookmarkStart w:id="574" w:name="Tc_7oN4bjjbjU-FL3uhAWx24g_8_3"/>
      <w:bookmarkStart w:id="575" w:name="Tc_IQACVOWYQkWxnXHzuJItqA_8_0"/>
      <w:bookmarkStart w:id="576" w:name="Tc_iwsde5AWVESda4Yg4Xx1_Q_7_15"/>
      <w:bookmarkStart w:id="577" w:name="Tc_WJjYkp0s60yRDWixHdFd-g_7_9"/>
      <w:bookmarkStart w:id="578" w:name="Tc_UfYpaiYTVUyLBXmGyg7owg_7_6"/>
      <w:bookmarkStart w:id="579" w:name="Tc_YRf_-Jg-VkiGh624ts-2QQ_7_3"/>
      <w:bookmarkStart w:id="580" w:name="Tc_iKqUCUnov0aJ0_qX4MxlSg_7_0"/>
      <w:bookmarkStart w:id="581" w:name="Tc_Gi8JW1BU_EKFxCfzmwGUEA_6_17"/>
      <w:bookmarkStart w:id="582" w:name="Tc_5mvgOf7Vuku32h0dRMWJsQ_6_14"/>
      <w:bookmarkStart w:id="583" w:name="Tc_tEmAuzA01kGHmUNT8-fa7g_6_11"/>
      <w:bookmarkStart w:id="584" w:name="Tc_527QPsDzh0-pCZ31GMmdVg_6_8"/>
      <w:bookmarkStart w:id="585" w:name="Tc_kXGO1twpUUCSlAClY-wRpw_6_5"/>
      <w:bookmarkStart w:id="586" w:name="Tc_zPw_U6uvOUWGtTCgXH8niw_6_0"/>
      <w:bookmarkStart w:id="587" w:name="Tc_W0HMFk6NQ0WLwkSH3ONeoQ_5_2"/>
      <w:bookmarkStart w:id="588" w:name="Tc_PsgBoNNOuk2N5pWYbZggFA_4_17"/>
      <w:bookmarkStart w:id="589" w:name="Tc_cpnR_5I7GkK8oU2D5JECOA_4_14"/>
      <w:bookmarkStart w:id="590" w:name="Tc_OfmAqNBEZUeYMYwX1QQnsA_4_11"/>
      <w:bookmarkStart w:id="591" w:name="Tc_JjAj24YpzEWHnoVcwDbFAg_4_8"/>
      <w:bookmarkStart w:id="592" w:name="Tc_F0TBhmHJuUq3dSFozBdQIQ_4_5"/>
      <w:bookmarkStart w:id="593" w:name="Tc_E2T26cg3f0qaX78Zs8TCug_4_2"/>
      <w:bookmarkStart w:id="594" w:name="Tc_59jjBgU6K060DsOtFnU4DA_3_17"/>
      <w:bookmarkStart w:id="595" w:name="Tc_I35nRTJ43kuIIOWxdovV_g_3_14"/>
      <w:bookmarkStart w:id="596" w:name="Tc_HpFpwWBP_kCWu0zKcQrDKQ_3_11"/>
      <w:bookmarkStart w:id="597" w:name="Tc_pMqfuIdP3UysE0rIige-WA_3_8"/>
      <w:bookmarkStart w:id="598" w:name="Tc_FAMIHB86C0K3__P4FhXptg_3_5"/>
      <w:bookmarkStart w:id="599" w:name="Tc_AXjBdpHzIk-NdnmoQmS_kA_3_2"/>
      <w:bookmarkStart w:id="600" w:name="Tc_kFarrrwNaUmlxJHAoS-XWA_2_17"/>
      <w:bookmarkStart w:id="601" w:name="Tc_s01wZoCUIE-NqH7V9lRqWg_2_14"/>
      <w:bookmarkStart w:id="602" w:name="Tc_gtlV_67ohUuEiDitN_Zhwg_2_8"/>
      <w:bookmarkStart w:id="603" w:name="Tc_KZtgjxk4L0SOre5U4QdUnA_2_5"/>
      <w:bookmarkStart w:id="604" w:name="Tc_bVy4JQOq4EmZ8UwShbUSqw_2_2"/>
      <w:bookmarkStart w:id="605" w:name="Tc_qrhglTFbqESBXpx_Hfwm4Q_1_14"/>
      <w:bookmarkStart w:id="606" w:name="_547ddc63_8e86_487d_a3b8_5578c4993b85"/>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p>
    <w:tbl>
      <w:tblPr>
        <w:tblW w:w="10205" w:type="dxa"/>
        <w:jc w:val="left"/>
        <w:tblInd w:w="0" w:type="dxa"/>
        <w:tblLayout w:type="fixed"/>
        <w:tblCellMar>
          <w:top w:w="0" w:type="dxa"/>
          <w:left w:w="0" w:type="dxa"/>
          <w:bottom w:w="0" w:type="dxa"/>
          <w:right w:w="0" w:type="dxa"/>
        </w:tblCellMar>
      </w:tblPr>
      <w:tblGrid>
        <w:gridCol w:w="1482"/>
        <w:gridCol w:w="326"/>
        <w:gridCol w:w="157"/>
        <w:gridCol w:w="729"/>
        <w:gridCol w:w="326"/>
        <w:gridCol w:w="211"/>
        <w:gridCol w:w="677"/>
        <w:gridCol w:w="326"/>
        <w:gridCol w:w="211"/>
        <w:gridCol w:w="931"/>
        <w:gridCol w:w="326"/>
        <w:gridCol w:w="211"/>
        <w:gridCol w:w="931"/>
        <w:gridCol w:w="326"/>
        <w:gridCol w:w="284"/>
        <w:gridCol w:w="1142"/>
        <w:gridCol w:w="326"/>
        <w:gridCol w:w="216"/>
        <w:gridCol w:w="1067"/>
      </w:tblGrid>
      <w:tr>
        <w:trPr/>
        <w:tc>
          <w:tcPr>
            <w:tcW w:w="14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941070" cy="175260"/>
                      <wp:effectExtent l="0" t="0" r="0" b="0"/>
                      <wp:wrapNone/>
                      <wp:docPr id="59" name="Frame59"/>
                      <a:graphic xmlns:a="http://schemas.openxmlformats.org/drawingml/2006/main">
                        <a:graphicData uri="http://schemas.microsoft.com/office/word/2010/wordprocessingShape">
                          <wps:wsp>
                            <wps:cNvSpPr txBox="1"/>
                            <wps:spPr>
                              <a:xfrm>
                                <a:off x="0" y="0"/>
                                <a:ext cx="9410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07010" cy="175260"/>
                      <wp:effectExtent l="0" t="0" r="0" b="0"/>
                      <wp:wrapNone/>
                      <wp:docPr id="60" name="Frame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99695" cy="175260"/>
                      <wp:effectExtent l="0" t="0" r="0" b="0"/>
                      <wp:wrapNone/>
                      <wp:docPr id="61" name="Frame61"/>
                      <a:graphic xmlns:a="http://schemas.openxmlformats.org/drawingml/2006/main">
                        <a:graphicData uri="http://schemas.microsoft.com/office/word/2010/wordprocessingShape">
                          <wps:wsp>
                            <wps:cNvSpPr txBox="1"/>
                            <wps:spPr>
                              <a:xfrm>
                                <a:off x="0" y="0"/>
                                <a:ext cx="99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462915" cy="175260"/>
                      <wp:effectExtent l="0" t="0" r="0" b="0"/>
                      <wp:wrapNone/>
                      <wp:docPr id="62" name="Frame62"/>
                      <a:graphic xmlns:a="http://schemas.openxmlformats.org/drawingml/2006/main">
                        <a:graphicData uri="http://schemas.microsoft.com/office/word/2010/wordprocessingShape">
                          <wps:wsp>
                            <wps:cNvSpPr txBox="1"/>
                            <wps:spPr>
                              <a:xfrm>
                                <a:off x="0" y="0"/>
                                <a:ext cx="462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07010" cy="175260"/>
                      <wp:effectExtent l="0" t="0" r="0" b="0"/>
                      <wp:wrapNone/>
                      <wp:docPr id="63" name="Frame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133985" cy="175260"/>
                      <wp:effectExtent l="0" t="0" r="0" b="0"/>
                      <wp:wrapNone/>
                      <wp:docPr id="64" name="Frame6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429895" cy="175260"/>
                      <wp:effectExtent l="0" t="0" r="0" b="0"/>
                      <wp:wrapNone/>
                      <wp:docPr id="65" name="Frame65"/>
                      <a:graphic xmlns:a="http://schemas.openxmlformats.org/drawingml/2006/main">
                        <a:graphicData uri="http://schemas.microsoft.com/office/word/2010/wordprocessingShape">
                          <wps:wsp>
                            <wps:cNvSpPr txBox="1"/>
                            <wps:spPr>
                              <a:xfrm>
                                <a:off x="0" y="0"/>
                                <a:ext cx="429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07010" cy="175260"/>
                      <wp:effectExtent l="0" t="0" r="0" b="0"/>
                      <wp:wrapNone/>
                      <wp:docPr id="66" name="Frame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133985" cy="175260"/>
                      <wp:effectExtent l="0" t="0" r="0" b="0"/>
                      <wp:wrapNone/>
                      <wp:docPr id="67" name="Frame6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591185" cy="175260"/>
                      <wp:effectExtent l="0" t="0" r="0" b="0"/>
                      <wp:wrapNone/>
                      <wp:docPr id="68" name="Frame6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07010" cy="175260"/>
                      <wp:effectExtent l="0" t="0" r="0" b="0"/>
                      <wp:wrapNone/>
                      <wp:docPr id="69" name="Frame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133985" cy="175260"/>
                      <wp:effectExtent l="0" t="0" r="0" b="0"/>
                      <wp:wrapNone/>
                      <wp:docPr id="70" name="Frame7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591185" cy="175260"/>
                      <wp:effectExtent l="0" t="0" r="0" b="0"/>
                      <wp:wrapNone/>
                      <wp:docPr id="71" name="Frame7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07010" cy="175260"/>
                      <wp:effectExtent l="0" t="0" r="0" b="0"/>
                      <wp:wrapNone/>
                      <wp:docPr id="72" name="Frame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180340" cy="175260"/>
                      <wp:effectExtent l="0" t="0" r="0" b="0"/>
                      <wp:wrapNone/>
                      <wp:docPr id="73" name="Frame73"/>
                      <a:graphic xmlns:a="http://schemas.openxmlformats.org/drawingml/2006/main">
                        <a:graphicData uri="http://schemas.microsoft.com/office/word/2010/wordprocessingShape">
                          <wps:wsp>
                            <wps:cNvSpPr txBox="1"/>
                            <wps:spPr>
                              <a:xfrm>
                                <a:off x="0" y="0"/>
                                <a:ext cx="180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725170" cy="175260"/>
                      <wp:effectExtent l="0" t="0" r="0" b="0"/>
                      <wp:wrapNone/>
                      <wp:docPr id="74" name="Frame74"/>
                      <a:graphic xmlns:a="http://schemas.openxmlformats.org/drawingml/2006/main">
                        <a:graphicData uri="http://schemas.microsoft.com/office/word/2010/wordprocessingShape">
                          <wps:wsp>
                            <wps:cNvSpPr txBox="1"/>
                            <wps:spPr>
                              <a:xfrm>
                                <a:off x="0" y="0"/>
                                <a:ext cx="7251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07010" cy="175260"/>
                      <wp:effectExtent l="0" t="0" r="0" b="0"/>
                      <wp:wrapNone/>
                      <wp:docPr id="75" name="Frame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137160" cy="175260"/>
                      <wp:effectExtent l="0" t="0" r="0" b="0"/>
                      <wp:wrapNone/>
                      <wp:docPr id="76" name="Frame76"/>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77545" cy="175260"/>
                      <wp:effectExtent l="0" t="0" r="0" b="0"/>
                      <wp:wrapNone/>
                      <wp:docPr id="77" name="Frame77"/>
                      <a:graphic xmlns:a="http://schemas.openxmlformats.org/drawingml/2006/main">
                        <a:graphicData uri="http://schemas.microsoft.com/office/word/2010/wordprocessingShape">
                          <wps:wsp>
                            <wps:cNvSpPr txBox="1"/>
                            <wps:spPr>
                              <a:xfrm>
                                <a:off x="0" y="0"/>
                                <a:ext cx="677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8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57" w:type="dxa"/>
            <w:tcBorders/>
            <w:vAlign w:val="center"/>
          </w:tcPr>
          <w:p>
            <w:pPr>
              <w:pStyle w:val="TableContents"/>
              <w:bidi w:val="0"/>
              <w:spacing w:before="0" w:after="0"/>
              <w:ind w:left="0" w:right="0" w:hanging="0"/>
              <w:jc w:val="center"/>
              <w:rPr/>
            </w:pPr>
            <w:r>
              <w:rPr/>
              <w:t>​</w:t>
            </w:r>
          </w:p>
        </w:tc>
        <w:tc>
          <w:tcPr>
            <w:tcW w:w="72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w:t>
            </w:r>
          </w:p>
        </w:tc>
        <w:tc>
          <w:tcPr>
            <w:tcW w:w="677"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426" w:type="dxa"/>
            <w:gridSpan w:val="2"/>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Accumulated</w:t>
            </w:r>
          </w:p>
        </w:tc>
        <w:tc>
          <w:tcPr>
            <w:tcW w:w="326" w:type="dxa"/>
            <w:tcBorders/>
            <w:vAlign w:val="center"/>
          </w:tcPr>
          <w:p>
            <w:pPr>
              <w:pStyle w:val="TableContents"/>
              <w:bidi w:val="0"/>
              <w:spacing w:before="0" w:after="0"/>
              <w:ind w:left="0" w:right="0" w:hanging="0"/>
              <w:jc w:val="center"/>
              <w:rPr/>
            </w:pPr>
            <w:r>
              <w:rPr/>
              <w:t>    </w:t>
            </w:r>
          </w:p>
        </w:tc>
        <w:tc>
          <w:tcPr>
            <w:tcW w:w="216" w:type="dxa"/>
            <w:tcBorders/>
            <w:vAlign w:val="center"/>
          </w:tcPr>
          <w:p>
            <w:pPr>
              <w:pStyle w:val="TableContents"/>
              <w:bidi w:val="0"/>
              <w:spacing w:before="0" w:after="0"/>
              <w:ind w:left="0" w:right="0" w:hanging="0"/>
              <w:jc w:val="center"/>
              <w:rPr/>
            </w:pPr>
            <w:r>
              <w:rPr/>
              <w:t>​</w:t>
            </w:r>
          </w:p>
        </w:tc>
        <w:tc>
          <w:tcPr>
            <w:tcW w:w="1067" w:type="dxa"/>
            <w:tcBorders/>
            <w:vAlign w:val="center"/>
          </w:tcPr>
          <w:p>
            <w:pPr>
              <w:pStyle w:val="TableContents"/>
              <w:bidi w:val="0"/>
              <w:spacing w:before="0" w:after="0"/>
              <w:ind w:left="0" w:right="0" w:hanging="0"/>
              <w:jc w:val="center"/>
              <w:rPr/>
            </w:pPr>
            <w:r>
              <w:rPr/>
              <w:t>​</w:t>
            </w:r>
          </w:p>
        </w:tc>
      </w:tr>
      <w:tr>
        <w:trPr/>
        <w:tc>
          <w:tcPr>
            <w:tcW w:w="148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Common</w:t>
            </w:r>
          </w:p>
        </w:tc>
        <w:tc>
          <w:tcPr>
            <w:tcW w:w="326" w:type="dxa"/>
            <w:tcBorders/>
            <w:vAlign w:val="center"/>
          </w:tcPr>
          <w:p>
            <w:pPr>
              <w:pStyle w:val="TableContents"/>
              <w:bidi w:val="0"/>
              <w:spacing w:before="0" w:after="0"/>
              <w:ind w:left="0" w:right="0" w:hanging="0"/>
              <w:jc w:val="center"/>
              <w:rPr/>
            </w:pPr>
            <w:r>
              <w:rPr/>
              <w:t>​</w:t>
            </w:r>
          </w:p>
        </w:tc>
        <w:tc>
          <w:tcPr>
            <w:tcW w:w="888" w:type="dxa"/>
            <w:gridSpan w:val="2"/>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Common</w:t>
            </w:r>
          </w:p>
        </w:tc>
        <w:tc>
          <w:tcPr>
            <w:tcW w:w="326" w:type="dxa"/>
            <w:tcBorders/>
            <w:vAlign w:val="center"/>
          </w:tcPr>
          <w:p>
            <w:pPr>
              <w:pStyle w:val="TableContents"/>
              <w:bidi w:val="0"/>
              <w:spacing w:before="0" w:after="0"/>
              <w:ind w:left="0" w:right="0" w:hanging="0"/>
              <w:jc w:val="center"/>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Additional</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426" w:type="dxa"/>
            <w:gridSpan w:val="2"/>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Other</w:t>
            </w:r>
          </w:p>
        </w:tc>
        <w:tc>
          <w:tcPr>
            <w:tcW w:w="326" w:type="dxa"/>
            <w:tcBorders/>
            <w:vAlign w:val="center"/>
          </w:tcPr>
          <w:p>
            <w:pPr>
              <w:pStyle w:val="TableContents"/>
              <w:bidi w:val="0"/>
              <w:spacing w:before="0" w:after="0"/>
              <w:ind w:left="0" w:right="0" w:hanging="0"/>
              <w:jc w:val="center"/>
              <w:rPr/>
            </w:pPr>
            <w:r>
              <w:rPr/>
              <w:t>​</w:t>
            </w:r>
          </w:p>
        </w:tc>
        <w:tc>
          <w:tcPr>
            <w:tcW w:w="1283" w:type="dxa"/>
            <w:gridSpan w:val="2"/>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Total</w:t>
            </w:r>
          </w:p>
        </w:tc>
      </w:tr>
      <w:tr>
        <w:trPr/>
        <w:tc>
          <w:tcPr>
            <w:tcW w:w="148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Stock-</w:t>
            </w:r>
          </w:p>
        </w:tc>
        <w:tc>
          <w:tcPr>
            <w:tcW w:w="326" w:type="dxa"/>
            <w:tcBorders/>
            <w:vAlign w:val="center"/>
          </w:tcPr>
          <w:p>
            <w:pPr>
              <w:pStyle w:val="TableContents"/>
              <w:bidi w:val="0"/>
              <w:spacing w:before="0" w:after="0"/>
              <w:ind w:left="0" w:right="0" w:hanging="0"/>
              <w:jc w:val="center"/>
              <w:rPr/>
            </w:pPr>
            <w:r>
              <w:rPr/>
              <w:t>​</w:t>
            </w:r>
          </w:p>
        </w:tc>
        <w:tc>
          <w:tcPr>
            <w:tcW w:w="888" w:type="dxa"/>
            <w:gridSpan w:val="2"/>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Stock-</w:t>
            </w:r>
          </w:p>
        </w:tc>
        <w:tc>
          <w:tcPr>
            <w:tcW w:w="326" w:type="dxa"/>
            <w:tcBorders/>
            <w:vAlign w:val="center"/>
          </w:tcPr>
          <w:p>
            <w:pPr>
              <w:pStyle w:val="TableContents"/>
              <w:bidi w:val="0"/>
              <w:spacing w:before="0" w:after="0"/>
              <w:ind w:left="0" w:right="0" w:hanging="0"/>
              <w:jc w:val="center"/>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Paid-In</w:t>
            </w:r>
          </w:p>
        </w:tc>
        <w:tc>
          <w:tcPr>
            <w:tcW w:w="326" w:type="dxa"/>
            <w:tcBorders/>
            <w:vAlign w:val="center"/>
          </w:tcPr>
          <w:p>
            <w:pPr>
              <w:pStyle w:val="TableContents"/>
              <w:bidi w:val="0"/>
              <w:spacing w:before="0" w:after="0"/>
              <w:ind w:left="0" w:right="0" w:hanging="0"/>
              <w:jc w:val="center"/>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Retained</w:t>
            </w:r>
          </w:p>
        </w:tc>
        <w:tc>
          <w:tcPr>
            <w:tcW w:w="326" w:type="dxa"/>
            <w:tcBorders/>
            <w:vAlign w:val="center"/>
          </w:tcPr>
          <w:p>
            <w:pPr>
              <w:pStyle w:val="TableContents"/>
              <w:bidi w:val="0"/>
              <w:spacing w:before="0" w:after="0"/>
              <w:ind w:left="0" w:right="0" w:hanging="0"/>
              <w:jc w:val="center"/>
              <w:rPr/>
            </w:pPr>
            <w:r>
              <w:rPr/>
              <w:t>​</w:t>
            </w:r>
          </w:p>
        </w:tc>
        <w:tc>
          <w:tcPr>
            <w:tcW w:w="1426" w:type="dxa"/>
            <w:gridSpan w:val="2"/>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Comprehensive</w:t>
            </w:r>
          </w:p>
        </w:tc>
        <w:tc>
          <w:tcPr>
            <w:tcW w:w="326" w:type="dxa"/>
            <w:tcBorders/>
            <w:vAlign w:val="center"/>
          </w:tcPr>
          <w:p>
            <w:pPr>
              <w:pStyle w:val="TableContents"/>
              <w:bidi w:val="0"/>
              <w:spacing w:before="0" w:after="0"/>
              <w:ind w:left="0" w:right="0" w:hanging="0"/>
              <w:jc w:val="center"/>
              <w:rPr/>
            </w:pPr>
            <w:r>
              <w:rPr/>
              <w:t>​</w:t>
            </w:r>
          </w:p>
        </w:tc>
        <w:tc>
          <w:tcPr>
            <w:tcW w:w="1283" w:type="dxa"/>
            <w:gridSpan w:val="2"/>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Shareholders’</w:t>
            </w:r>
          </w:p>
        </w:tc>
      </w:tr>
      <w:tr>
        <w:trPr/>
        <w:tc>
          <w:tcPr>
            <w:tcW w:w="148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886"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Shares</w:t>
            </w:r>
          </w:p>
        </w:tc>
        <w:tc>
          <w:tcPr>
            <w:tcW w:w="326" w:type="dxa"/>
            <w:tcBorders/>
            <w:vAlign w:val="center"/>
          </w:tcPr>
          <w:p>
            <w:pPr>
              <w:pStyle w:val="TableContents"/>
              <w:bidi w:val="0"/>
              <w:spacing w:before="0" w:after="0"/>
              <w:ind w:left="0" w:right="0" w:hanging="0"/>
              <w:jc w:val="center"/>
              <w:rPr/>
            </w:pPr>
            <w:r>
              <w:rPr/>
              <w:t>​</w:t>
            </w:r>
          </w:p>
        </w:tc>
        <w:tc>
          <w:tcPr>
            <w:tcW w:w="888"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Amount</w:t>
            </w:r>
          </w:p>
        </w:tc>
        <w:tc>
          <w:tcPr>
            <w:tcW w:w="326" w:type="dxa"/>
            <w:tcBorders/>
            <w:vAlign w:val="center"/>
          </w:tcPr>
          <w:p>
            <w:pPr>
              <w:pStyle w:val="TableContents"/>
              <w:bidi w:val="0"/>
              <w:spacing w:before="0" w:after="0"/>
              <w:ind w:left="0" w:right="0" w:hanging="0"/>
              <w:jc w:val="center"/>
              <w:rPr/>
            </w:pPr>
            <w:r>
              <w:rPr/>
              <w:t>​</w:t>
            </w:r>
          </w:p>
        </w:tc>
        <w:tc>
          <w:tcPr>
            <w:tcW w:w="114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Capital</w:t>
            </w:r>
          </w:p>
        </w:tc>
        <w:tc>
          <w:tcPr>
            <w:tcW w:w="326" w:type="dxa"/>
            <w:tcBorders/>
            <w:vAlign w:val="center"/>
          </w:tcPr>
          <w:p>
            <w:pPr>
              <w:pStyle w:val="TableContents"/>
              <w:bidi w:val="0"/>
              <w:spacing w:before="0" w:after="0"/>
              <w:ind w:left="0" w:right="0" w:hanging="0"/>
              <w:jc w:val="center"/>
              <w:rPr/>
            </w:pPr>
            <w:r>
              <w:rPr/>
              <w:t>​</w:t>
            </w:r>
          </w:p>
        </w:tc>
        <w:tc>
          <w:tcPr>
            <w:tcW w:w="114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Earnings</w:t>
            </w:r>
          </w:p>
        </w:tc>
        <w:tc>
          <w:tcPr>
            <w:tcW w:w="326" w:type="dxa"/>
            <w:tcBorders/>
            <w:vAlign w:val="center"/>
          </w:tcPr>
          <w:p>
            <w:pPr>
              <w:pStyle w:val="TableContents"/>
              <w:bidi w:val="0"/>
              <w:spacing w:before="0" w:after="0"/>
              <w:ind w:left="0" w:right="0" w:hanging="0"/>
              <w:jc w:val="center"/>
              <w:rPr/>
            </w:pPr>
            <w:r>
              <w:rPr/>
              <w:t>​</w:t>
            </w:r>
          </w:p>
        </w:tc>
        <w:tc>
          <w:tcPr>
            <w:tcW w:w="1426"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(Loss) Income</w:t>
            </w:r>
          </w:p>
        </w:tc>
        <w:tc>
          <w:tcPr>
            <w:tcW w:w="326" w:type="dxa"/>
            <w:tcBorders/>
            <w:vAlign w:val="center"/>
          </w:tcPr>
          <w:p>
            <w:pPr>
              <w:pStyle w:val="TableContents"/>
              <w:bidi w:val="0"/>
              <w:spacing w:before="0" w:after="0"/>
              <w:ind w:left="0" w:right="0" w:hanging="0"/>
              <w:jc w:val="center"/>
              <w:rPr/>
            </w:pPr>
            <w:r>
              <w:rPr/>
              <w:t>​</w:t>
            </w:r>
          </w:p>
        </w:tc>
        <w:tc>
          <w:tcPr>
            <w:tcW w:w="1283"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Equity</w:t>
            </w:r>
          </w:p>
        </w:tc>
      </w:tr>
      <w:tr>
        <w:trPr/>
        <w:tc>
          <w:tcPr>
            <w:tcW w:w="10205" w:type="dxa"/>
            <w:gridSpan w:val="19"/>
            <w:tcBorders/>
            <w:vAlign w:val="center"/>
          </w:tcPr>
          <w:p>
            <w:pPr>
              <w:pStyle w:val="TableContents"/>
              <w:bidi w:val="0"/>
              <w:spacing w:before="0" w:after="283"/>
              <w:ind w:left="0" w:right="0" w:hanging="0"/>
              <w:jc w:val="left"/>
              <w:rPr>
                <w:sz w:val="4"/>
                <w:szCs w:val="4"/>
              </w:rPr>
            </w:pPr>
            <w:r>
              <w:rPr>
                <w:sz w:val="4"/>
                <w:szCs w:val="4"/>
              </w:rPr>
            </w:r>
          </w:p>
        </w:tc>
      </w:tr>
      <w:tr>
        <w:trPr/>
        <w:tc>
          <w:tcPr>
            <w:tcW w:w="148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8397" w:type="dxa"/>
            <w:gridSpan w:val="17"/>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(Thousands)</w:t>
            </w:r>
          </w:p>
        </w:tc>
      </w:tr>
      <w:tr>
        <w:trPr/>
        <w:tc>
          <w:tcPr>
            <w:tcW w:w="1482" w:type="dxa"/>
            <w:tcBorders/>
            <w:shd w:fill="CCEEFF" w:val="cle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Balance, July 2, 2022</w:t>
            </w:r>
          </w:p>
        </w:tc>
        <w:tc>
          <w:tcPr>
            <w:tcW w:w="326" w:type="dxa"/>
            <w:tcBorders/>
            <w:shd w:fill="CCEEFF" w:val="clear"/>
            <w:vAlign w:val="center"/>
          </w:tcPr>
          <w:p>
            <w:pPr>
              <w:pStyle w:val="TableContents"/>
              <w:bidi w:val="0"/>
              <w:spacing w:before="0" w:after="0"/>
              <w:ind w:left="0" w:right="0" w:hanging="0"/>
              <w:jc w:val="left"/>
              <w:rPr/>
            </w:pPr>
            <w:r>
              <w:rPr/>
              <w:t>​</w:t>
            </w:r>
          </w:p>
        </w:tc>
        <w:tc>
          <w:tcPr>
            <w:tcW w:w="157" w:type="dxa"/>
            <w:tcBorders/>
            <w:shd w:fill="CCEEFF" w:val="clear"/>
            <w:vAlign w:val="center"/>
          </w:tcPr>
          <w:p>
            <w:pPr>
              <w:pStyle w:val="TableContents"/>
              <w:bidi w:val="0"/>
              <w:spacing w:before="0" w:after="0"/>
              <w:ind w:left="0" w:right="0" w:hanging="0"/>
              <w:jc w:val="right"/>
              <w:rPr/>
            </w:pPr>
            <w:r>
              <w:rPr/>
              <w:t> </w:t>
            </w:r>
          </w:p>
        </w:tc>
        <w:tc>
          <w:tcPr>
            <w:tcW w:w="729"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95,702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w:t>
            </w:r>
          </w:p>
        </w:tc>
        <w:tc>
          <w:tcPr>
            <w:tcW w:w="677"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95,702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1,656,907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2,921,399</w:t>
            </w:r>
          </w:p>
        </w:tc>
        <w:tc>
          <w:tcPr>
            <w:tcW w:w="32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w:t>
            </w:r>
          </w:p>
        </w:tc>
        <w:tc>
          <w:tcPr>
            <w:tcW w:w="1142"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(481,248)</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w:t>
            </w:r>
          </w:p>
        </w:tc>
        <w:tc>
          <w:tcPr>
            <w:tcW w:w="1067"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4,192,760</w:t>
            </w:r>
          </w:p>
        </w:tc>
      </w:tr>
      <w:tr>
        <w:trPr/>
        <w:tc>
          <w:tcPr>
            <w:tcW w:w="1482"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Net income</w:t>
            </w:r>
          </w:p>
        </w:tc>
        <w:tc>
          <w:tcPr>
            <w:tcW w:w="326" w:type="dxa"/>
            <w:tcBorders/>
            <w:vAlign w:val="center"/>
          </w:tcPr>
          <w:p>
            <w:pPr>
              <w:pStyle w:val="TableContents"/>
              <w:bidi w:val="0"/>
              <w:spacing w:before="0" w:after="0"/>
              <w:ind w:left="0" w:right="0" w:hanging="0"/>
              <w:jc w:val="left"/>
              <w:rPr/>
            </w:pPr>
            <w:r>
              <w:rPr/>
              <w:t>​</w:t>
            </w:r>
          </w:p>
        </w:tc>
        <w:tc>
          <w:tcPr>
            <w:tcW w:w="157" w:type="dxa"/>
            <w:tcBorders/>
            <w:vAlign w:val="center"/>
          </w:tcPr>
          <w:p>
            <w:pPr>
              <w:pStyle w:val="TableContents"/>
              <w:bidi w:val="0"/>
              <w:spacing w:before="0" w:after="0"/>
              <w:ind w:left="0" w:right="0" w:hanging="0"/>
              <w:jc w:val="right"/>
              <w:rPr/>
            </w:pPr>
            <w:r>
              <w:rPr/>
              <w:t> </w:t>
            </w:r>
          </w:p>
        </w:tc>
        <w:tc>
          <w:tcPr>
            <w:tcW w:w="72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67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184,261</w:t>
            </w:r>
          </w:p>
        </w:tc>
        <w:tc>
          <w:tcPr>
            <w:tcW w:w="326" w:type="dxa"/>
            <w:tcBorders/>
            <w:vAlign w:val="center"/>
          </w:tcPr>
          <w:p>
            <w:pPr>
              <w:pStyle w:val="TableContents"/>
              <w:bidi w:val="0"/>
              <w:spacing w:before="0" w:after="0"/>
              <w:ind w:left="0" w:right="0" w:hanging="0"/>
              <w:jc w:val="left"/>
              <w:rPr/>
            </w:pPr>
            <w:r>
              <w:rPr/>
              <w:t>​</w:t>
            </w:r>
          </w:p>
        </w:tc>
        <w:tc>
          <w:tcPr>
            <w:tcW w:w="284" w:type="dxa"/>
            <w:tcBorders/>
            <w:vAlign w:val="center"/>
          </w:tcPr>
          <w:p>
            <w:pPr>
              <w:pStyle w:val="TableContents"/>
              <w:bidi w:val="0"/>
              <w:spacing w:before="0" w:after="0"/>
              <w:ind w:left="0" w:right="0" w:hanging="0"/>
              <w:jc w:val="right"/>
              <w:rPr/>
            </w:pPr>
            <w:r>
              <w:rPr/>
              <w:t> </w:t>
            </w:r>
          </w:p>
        </w:tc>
        <w:tc>
          <w:tcPr>
            <w:tcW w:w="114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right"/>
              <w:rPr/>
            </w:pPr>
            <w:r>
              <w:rPr/>
              <w:t> </w:t>
            </w:r>
          </w:p>
        </w:tc>
        <w:tc>
          <w:tcPr>
            <w:tcW w:w="1067"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184,261</w:t>
            </w:r>
          </w:p>
        </w:tc>
      </w:tr>
      <w:tr>
        <w:trPr/>
        <w:tc>
          <w:tcPr>
            <w:tcW w:w="1482"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Other comprehensive loss</w:t>
            </w:r>
          </w:p>
        </w:tc>
        <w:tc>
          <w:tcPr>
            <w:tcW w:w="326" w:type="dxa"/>
            <w:tcBorders/>
            <w:shd w:fill="CCEEFF" w:val="clear"/>
            <w:vAlign w:val="center"/>
          </w:tcPr>
          <w:p>
            <w:pPr>
              <w:pStyle w:val="TableContents"/>
              <w:bidi w:val="0"/>
              <w:spacing w:before="0" w:after="0"/>
              <w:ind w:left="0" w:right="0" w:hanging="0"/>
              <w:jc w:val="left"/>
              <w:rPr/>
            </w:pPr>
            <w:r>
              <w:rPr/>
              <w:t>​</w:t>
            </w:r>
          </w:p>
        </w:tc>
        <w:tc>
          <w:tcPr>
            <w:tcW w:w="157" w:type="dxa"/>
            <w:tcBorders/>
            <w:shd w:fill="CCEEFF" w:val="clear"/>
            <w:vAlign w:val="center"/>
          </w:tcPr>
          <w:p>
            <w:pPr>
              <w:pStyle w:val="TableContents"/>
              <w:bidi w:val="0"/>
              <w:spacing w:before="0" w:after="0"/>
              <w:ind w:left="0" w:right="0" w:hanging="0"/>
              <w:jc w:val="right"/>
              <w:rPr/>
            </w:pPr>
            <w:r>
              <w:rPr/>
              <w:t> </w:t>
            </w:r>
          </w:p>
        </w:tc>
        <w:tc>
          <w:tcPr>
            <w:tcW w:w="72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67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right"/>
              <w:rPr/>
            </w:pPr>
            <w:r>
              <w:rPr/>
              <w:t> </w:t>
            </w:r>
          </w:p>
        </w:tc>
        <w:tc>
          <w:tcPr>
            <w:tcW w:w="1142"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(191,797)</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right"/>
              <w:rPr/>
            </w:pPr>
            <w:r>
              <w:rPr/>
              <w:t> </w:t>
            </w:r>
          </w:p>
        </w:tc>
        <w:tc>
          <w:tcPr>
            <w:tcW w:w="1067"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(191,797)</w:t>
            </w:r>
          </w:p>
        </w:tc>
      </w:tr>
      <w:tr>
        <w:trPr/>
        <w:tc>
          <w:tcPr>
            <w:tcW w:w="1482"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Cash dividends</w:t>
            </w:r>
          </w:p>
        </w:tc>
        <w:tc>
          <w:tcPr>
            <w:tcW w:w="326" w:type="dxa"/>
            <w:tcBorders/>
            <w:vAlign w:val="center"/>
          </w:tcPr>
          <w:p>
            <w:pPr>
              <w:pStyle w:val="TableContents"/>
              <w:bidi w:val="0"/>
              <w:spacing w:before="0" w:after="0"/>
              <w:ind w:left="0" w:right="0" w:hanging="0"/>
              <w:jc w:val="left"/>
              <w:rPr/>
            </w:pPr>
            <w:r>
              <w:rPr/>
              <w:t>​</w:t>
            </w:r>
          </w:p>
        </w:tc>
        <w:tc>
          <w:tcPr>
            <w:tcW w:w="157" w:type="dxa"/>
            <w:tcBorders/>
            <w:vAlign w:val="center"/>
          </w:tcPr>
          <w:p>
            <w:pPr>
              <w:pStyle w:val="TableContents"/>
              <w:bidi w:val="0"/>
              <w:spacing w:before="0" w:after="0"/>
              <w:ind w:left="0" w:right="0" w:hanging="0"/>
              <w:jc w:val="right"/>
              <w:rPr/>
            </w:pPr>
            <w:r>
              <w:rPr/>
              <w:t> </w:t>
            </w:r>
          </w:p>
        </w:tc>
        <w:tc>
          <w:tcPr>
            <w:tcW w:w="72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67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(26,998)</w:t>
            </w:r>
          </w:p>
        </w:tc>
        <w:tc>
          <w:tcPr>
            <w:tcW w:w="326" w:type="dxa"/>
            <w:tcBorders/>
            <w:vAlign w:val="center"/>
          </w:tcPr>
          <w:p>
            <w:pPr>
              <w:pStyle w:val="TableContents"/>
              <w:bidi w:val="0"/>
              <w:spacing w:before="0" w:after="0"/>
              <w:ind w:left="0" w:right="0" w:hanging="0"/>
              <w:jc w:val="left"/>
              <w:rPr/>
            </w:pPr>
            <w:r>
              <w:rPr/>
              <w:t>​</w:t>
            </w:r>
          </w:p>
        </w:tc>
        <w:tc>
          <w:tcPr>
            <w:tcW w:w="284" w:type="dxa"/>
            <w:tcBorders/>
            <w:vAlign w:val="center"/>
          </w:tcPr>
          <w:p>
            <w:pPr>
              <w:pStyle w:val="TableContents"/>
              <w:bidi w:val="0"/>
              <w:spacing w:before="0" w:after="0"/>
              <w:ind w:left="0" w:right="0" w:hanging="0"/>
              <w:jc w:val="right"/>
              <w:rPr/>
            </w:pPr>
            <w:r>
              <w:rPr/>
              <w:t> </w:t>
            </w:r>
          </w:p>
        </w:tc>
        <w:tc>
          <w:tcPr>
            <w:tcW w:w="114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right"/>
              <w:rPr/>
            </w:pPr>
            <w:r>
              <w:rPr/>
              <w:t> </w:t>
            </w:r>
          </w:p>
        </w:tc>
        <w:tc>
          <w:tcPr>
            <w:tcW w:w="1067"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(26,998)</w:t>
            </w:r>
          </w:p>
        </w:tc>
      </w:tr>
      <w:tr>
        <w:trPr/>
        <w:tc>
          <w:tcPr>
            <w:tcW w:w="1482"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Repurchases of common stock</w:t>
            </w:r>
          </w:p>
        </w:tc>
        <w:tc>
          <w:tcPr>
            <w:tcW w:w="326" w:type="dxa"/>
            <w:tcBorders/>
            <w:shd w:fill="CCEEFF" w:val="clear"/>
            <w:vAlign w:val="center"/>
          </w:tcPr>
          <w:p>
            <w:pPr>
              <w:pStyle w:val="TableContents"/>
              <w:bidi w:val="0"/>
              <w:spacing w:before="0" w:after="0"/>
              <w:ind w:left="0" w:right="0" w:hanging="0"/>
              <w:jc w:val="left"/>
              <w:rPr/>
            </w:pPr>
            <w:r>
              <w:rPr/>
              <w:t>​</w:t>
            </w:r>
          </w:p>
        </w:tc>
        <w:tc>
          <w:tcPr>
            <w:tcW w:w="157" w:type="dxa"/>
            <w:tcBorders/>
            <w:shd w:fill="CCEEFF" w:val="clear"/>
            <w:vAlign w:val="center"/>
          </w:tcPr>
          <w:p>
            <w:pPr>
              <w:pStyle w:val="TableContents"/>
              <w:bidi w:val="0"/>
              <w:spacing w:before="0" w:after="0"/>
              <w:ind w:left="0" w:right="0" w:hanging="0"/>
              <w:jc w:val="right"/>
              <w:rPr/>
            </w:pPr>
            <w:r>
              <w:rPr/>
              <w:t> </w:t>
            </w:r>
          </w:p>
        </w:tc>
        <w:tc>
          <w:tcPr>
            <w:tcW w:w="729"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(3,445)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677"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(3,445)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(144,457)</w:t>
            </w:r>
          </w:p>
        </w:tc>
        <w:tc>
          <w:tcPr>
            <w:tcW w:w="32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right"/>
              <w:rPr/>
            </w:pPr>
            <w:r>
              <w:rPr/>
              <w:t>​</w:t>
            </w:r>
          </w:p>
        </w:tc>
        <w:tc>
          <w:tcPr>
            <w:tcW w:w="114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right"/>
              <w:rPr/>
            </w:pPr>
            <w:r>
              <w:rPr/>
              <w:t> </w:t>
            </w:r>
          </w:p>
        </w:tc>
        <w:tc>
          <w:tcPr>
            <w:tcW w:w="1067"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(147,902)</w:t>
            </w:r>
          </w:p>
        </w:tc>
      </w:tr>
      <w:tr>
        <w:trPr/>
        <w:tc>
          <w:tcPr>
            <w:tcW w:w="1482"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Stock-based compensation</w:t>
            </w:r>
          </w:p>
        </w:tc>
        <w:tc>
          <w:tcPr>
            <w:tcW w:w="326" w:type="dxa"/>
            <w:tcBorders/>
            <w:vAlign w:val="center"/>
          </w:tcPr>
          <w:p>
            <w:pPr>
              <w:pStyle w:val="TableContents"/>
              <w:bidi w:val="0"/>
              <w:spacing w:before="0" w:after="0"/>
              <w:ind w:left="0" w:right="0" w:hanging="0"/>
              <w:jc w:val="left"/>
              <w:rPr/>
            </w:pPr>
            <w:r>
              <w:rPr/>
              <w:t>​</w:t>
            </w:r>
          </w:p>
        </w:tc>
        <w:tc>
          <w:tcPr>
            <w:tcW w:w="157"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c>
          <w:tcPr>
            <w:tcW w:w="729"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right"/>
              <w:rPr/>
            </w:pPr>
            <w:r>
              <w:rPr/>
              <w:t>​</w:t>
            </w:r>
          </w:p>
        </w:tc>
        <w:tc>
          <w:tcPr>
            <w:tcW w:w="677"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right"/>
              <w:rPr/>
            </w:pPr>
            <w:r>
              <w:rPr/>
              <w:t>​</w:t>
            </w:r>
          </w:p>
        </w:tc>
        <w:tc>
          <w:tcPr>
            <w:tcW w:w="931"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8,939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right"/>
              <w:rPr/>
            </w:pPr>
            <w:r>
              <w:rPr/>
              <w:t>​</w:t>
            </w:r>
          </w:p>
        </w:tc>
        <w:tc>
          <w:tcPr>
            <w:tcW w:w="931" w:type="dxa"/>
            <w:tcBorders>
              <w:bottom w:val="single" w:sz="1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84" w:type="dxa"/>
            <w:tcBorders>
              <w:bottom w:val="single" w:sz="12" w:space="0" w:color="000000"/>
            </w:tcBorders>
            <w:tcMar>
              <w:bottom w:w="28" w:type="dxa"/>
            </w:tcMar>
            <w:vAlign w:val="center"/>
          </w:tcPr>
          <w:p>
            <w:pPr>
              <w:pStyle w:val="TableContents"/>
              <w:bidi w:val="0"/>
              <w:spacing w:before="0" w:after="0"/>
              <w:ind w:left="0" w:right="0" w:hanging="0"/>
              <w:jc w:val="right"/>
              <w:rPr/>
            </w:pPr>
            <w:r>
              <w:rPr/>
              <w:t>​</w:t>
            </w:r>
          </w:p>
        </w:tc>
        <w:tc>
          <w:tcPr>
            <w:tcW w:w="1142" w:type="dxa"/>
            <w:tcBorders>
              <w:bottom w:val="single" w:sz="1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6"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c>
          <w:tcPr>
            <w:tcW w:w="1067"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9,011</w:t>
            </w:r>
          </w:p>
        </w:tc>
      </w:tr>
      <w:tr>
        <w:trPr/>
        <w:tc>
          <w:tcPr>
            <w:tcW w:w="1482" w:type="dxa"/>
            <w:tcBorders/>
            <w:shd w:fill="CCEEFF" w:val="cle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Balance, October 1, 2022</w:t>
            </w:r>
          </w:p>
        </w:tc>
        <w:tc>
          <w:tcPr>
            <w:tcW w:w="326" w:type="dxa"/>
            <w:tcBorders/>
            <w:shd w:fill="CCEEFF" w:val="clear"/>
            <w:vAlign w:val="center"/>
          </w:tcPr>
          <w:p>
            <w:pPr>
              <w:pStyle w:val="TableContents"/>
              <w:bidi w:val="0"/>
              <w:spacing w:before="0" w:after="0"/>
              <w:ind w:left="0" w:right="0" w:hanging="0"/>
              <w:jc w:val="left"/>
              <w:rPr/>
            </w:pPr>
            <w:r>
              <w:rPr/>
              <w:t>​</w:t>
            </w:r>
          </w:p>
        </w:tc>
        <w:tc>
          <w:tcPr>
            <w:tcW w:w="157" w:type="dxa"/>
            <w:tcBorders/>
            <w:shd w:fill="CCEEFF" w:val="clear"/>
            <w:vAlign w:val="center"/>
          </w:tcPr>
          <w:p>
            <w:pPr>
              <w:pStyle w:val="TableContents"/>
              <w:bidi w:val="0"/>
              <w:spacing w:before="0" w:after="0"/>
              <w:ind w:left="0" w:right="0" w:hanging="0"/>
              <w:jc w:val="left"/>
              <w:rPr/>
            </w:pPr>
            <w:r>
              <w:rPr/>
              <w:t> </w:t>
            </w:r>
          </w:p>
        </w:tc>
        <w:tc>
          <w:tcPr>
            <w:tcW w:w="729"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92,329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77"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92,329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1,665,846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2,934,205</w:t>
            </w:r>
          </w:p>
        </w:tc>
        <w:tc>
          <w:tcPr>
            <w:tcW w:w="32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right"/>
              <w:rPr/>
            </w:pPr>
            <w:r>
              <w:rPr/>
              <w:t>​</w:t>
            </w:r>
          </w:p>
        </w:tc>
        <w:tc>
          <w:tcPr>
            <w:tcW w:w="1142"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(673,045)</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right"/>
              <w:rPr/>
            </w:pPr>
            <w:r>
              <w:rPr/>
              <w:t>​</w:t>
            </w:r>
          </w:p>
        </w:tc>
        <w:tc>
          <w:tcPr>
            <w:tcW w:w="1067"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4,019,335</w:t>
            </w:r>
          </w:p>
        </w:tc>
      </w:tr>
      <w:tr>
        <w:trPr/>
        <w:tc>
          <w:tcPr>
            <w:tcW w:w="1482"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Net income</w:t>
            </w:r>
          </w:p>
        </w:tc>
        <w:tc>
          <w:tcPr>
            <w:tcW w:w="326" w:type="dxa"/>
            <w:tcBorders/>
            <w:vAlign w:val="center"/>
          </w:tcPr>
          <w:p>
            <w:pPr>
              <w:pStyle w:val="TableContents"/>
              <w:bidi w:val="0"/>
              <w:spacing w:before="0" w:after="0"/>
              <w:ind w:left="0" w:right="0" w:hanging="0"/>
              <w:jc w:val="left"/>
              <w:rPr/>
            </w:pPr>
            <w:r>
              <w:rPr/>
              <w:t>​</w:t>
            </w:r>
          </w:p>
        </w:tc>
        <w:tc>
          <w:tcPr>
            <w:tcW w:w="157" w:type="dxa"/>
            <w:tcBorders/>
            <w:vAlign w:val="center"/>
          </w:tcPr>
          <w:p>
            <w:pPr>
              <w:pStyle w:val="TableContents"/>
              <w:bidi w:val="0"/>
              <w:spacing w:before="0" w:after="0"/>
              <w:ind w:left="0" w:right="0" w:hanging="0"/>
              <w:jc w:val="right"/>
              <w:rPr/>
            </w:pPr>
            <w:r>
              <w:rPr/>
              <w:t> </w:t>
            </w:r>
          </w:p>
        </w:tc>
        <w:tc>
          <w:tcPr>
            <w:tcW w:w="72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67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243,886</w:t>
            </w:r>
          </w:p>
        </w:tc>
        <w:tc>
          <w:tcPr>
            <w:tcW w:w="326" w:type="dxa"/>
            <w:tcBorders/>
            <w:vAlign w:val="center"/>
          </w:tcPr>
          <w:p>
            <w:pPr>
              <w:pStyle w:val="TableContents"/>
              <w:bidi w:val="0"/>
              <w:spacing w:before="0" w:after="0"/>
              <w:ind w:left="0" w:right="0" w:hanging="0"/>
              <w:jc w:val="left"/>
              <w:rPr/>
            </w:pPr>
            <w:r>
              <w:rPr/>
              <w:t>​</w:t>
            </w:r>
          </w:p>
        </w:tc>
        <w:tc>
          <w:tcPr>
            <w:tcW w:w="284" w:type="dxa"/>
            <w:tcBorders/>
            <w:vAlign w:val="center"/>
          </w:tcPr>
          <w:p>
            <w:pPr>
              <w:pStyle w:val="TableContents"/>
              <w:bidi w:val="0"/>
              <w:spacing w:before="0" w:after="0"/>
              <w:ind w:left="0" w:right="0" w:hanging="0"/>
              <w:jc w:val="right"/>
              <w:rPr/>
            </w:pPr>
            <w:r>
              <w:rPr/>
              <w:t> </w:t>
            </w:r>
          </w:p>
        </w:tc>
        <w:tc>
          <w:tcPr>
            <w:tcW w:w="114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right"/>
              <w:rPr/>
            </w:pPr>
            <w:r>
              <w:rPr/>
              <w:t> </w:t>
            </w:r>
          </w:p>
        </w:tc>
        <w:tc>
          <w:tcPr>
            <w:tcW w:w="1067"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243,886</w:t>
            </w:r>
          </w:p>
        </w:tc>
      </w:tr>
      <w:tr>
        <w:trPr/>
        <w:tc>
          <w:tcPr>
            <w:tcW w:w="1482"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Other comprehensive income</w:t>
            </w:r>
          </w:p>
        </w:tc>
        <w:tc>
          <w:tcPr>
            <w:tcW w:w="326" w:type="dxa"/>
            <w:tcBorders/>
            <w:shd w:fill="CCEEFF" w:val="clear"/>
            <w:vAlign w:val="center"/>
          </w:tcPr>
          <w:p>
            <w:pPr>
              <w:pStyle w:val="TableContents"/>
              <w:bidi w:val="0"/>
              <w:spacing w:before="0" w:after="0"/>
              <w:ind w:left="0" w:right="0" w:hanging="0"/>
              <w:jc w:val="left"/>
              <w:rPr/>
            </w:pPr>
            <w:r>
              <w:rPr/>
              <w:t>​</w:t>
            </w:r>
          </w:p>
        </w:tc>
        <w:tc>
          <w:tcPr>
            <w:tcW w:w="157" w:type="dxa"/>
            <w:tcBorders/>
            <w:shd w:fill="CCEEFF" w:val="clear"/>
            <w:vAlign w:val="center"/>
          </w:tcPr>
          <w:p>
            <w:pPr>
              <w:pStyle w:val="TableContents"/>
              <w:bidi w:val="0"/>
              <w:spacing w:before="0" w:after="0"/>
              <w:ind w:left="0" w:right="0" w:hanging="0"/>
              <w:jc w:val="right"/>
              <w:rPr/>
            </w:pPr>
            <w:r>
              <w:rPr/>
              <w:t> </w:t>
            </w:r>
          </w:p>
        </w:tc>
        <w:tc>
          <w:tcPr>
            <w:tcW w:w="72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67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right"/>
              <w:rPr/>
            </w:pPr>
            <w:r>
              <w:rPr/>
              <w:t> </w:t>
            </w:r>
          </w:p>
        </w:tc>
        <w:tc>
          <w:tcPr>
            <w:tcW w:w="1142"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243,585</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right"/>
              <w:rPr/>
            </w:pPr>
            <w:r>
              <w:rPr/>
              <w:t> </w:t>
            </w:r>
          </w:p>
        </w:tc>
        <w:tc>
          <w:tcPr>
            <w:tcW w:w="1067"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243,585</w:t>
            </w:r>
          </w:p>
        </w:tc>
      </w:tr>
      <w:tr>
        <w:trPr/>
        <w:tc>
          <w:tcPr>
            <w:tcW w:w="1482"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Cash dividends</w:t>
            </w:r>
          </w:p>
        </w:tc>
        <w:tc>
          <w:tcPr>
            <w:tcW w:w="326" w:type="dxa"/>
            <w:tcBorders/>
            <w:vAlign w:val="center"/>
          </w:tcPr>
          <w:p>
            <w:pPr>
              <w:pStyle w:val="TableContents"/>
              <w:bidi w:val="0"/>
              <w:spacing w:before="0" w:after="0"/>
              <w:ind w:left="0" w:right="0" w:hanging="0"/>
              <w:jc w:val="left"/>
              <w:rPr/>
            </w:pPr>
            <w:r>
              <w:rPr/>
              <w:t>​</w:t>
            </w:r>
          </w:p>
        </w:tc>
        <w:tc>
          <w:tcPr>
            <w:tcW w:w="157" w:type="dxa"/>
            <w:tcBorders/>
            <w:vAlign w:val="center"/>
          </w:tcPr>
          <w:p>
            <w:pPr>
              <w:pStyle w:val="TableContents"/>
              <w:bidi w:val="0"/>
              <w:spacing w:before="0" w:after="0"/>
              <w:ind w:left="0" w:right="0" w:hanging="0"/>
              <w:jc w:val="right"/>
              <w:rPr/>
            </w:pPr>
            <w:r>
              <w:rPr/>
              <w:t> </w:t>
            </w:r>
          </w:p>
        </w:tc>
        <w:tc>
          <w:tcPr>
            <w:tcW w:w="72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67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(26,307)</w:t>
            </w:r>
          </w:p>
        </w:tc>
        <w:tc>
          <w:tcPr>
            <w:tcW w:w="326" w:type="dxa"/>
            <w:tcBorders/>
            <w:vAlign w:val="center"/>
          </w:tcPr>
          <w:p>
            <w:pPr>
              <w:pStyle w:val="TableContents"/>
              <w:bidi w:val="0"/>
              <w:spacing w:before="0" w:after="0"/>
              <w:ind w:left="0" w:right="0" w:hanging="0"/>
              <w:jc w:val="left"/>
              <w:rPr/>
            </w:pPr>
            <w:r>
              <w:rPr/>
              <w:t>​</w:t>
            </w:r>
          </w:p>
        </w:tc>
        <w:tc>
          <w:tcPr>
            <w:tcW w:w="284" w:type="dxa"/>
            <w:tcBorders/>
            <w:vAlign w:val="center"/>
          </w:tcPr>
          <w:p>
            <w:pPr>
              <w:pStyle w:val="TableContents"/>
              <w:bidi w:val="0"/>
              <w:spacing w:before="0" w:after="0"/>
              <w:ind w:left="0" w:right="0" w:hanging="0"/>
              <w:jc w:val="right"/>
              <w:rPr/>
            </w:pPr>
            <w:r>
              <w:rPr/>
              <w:t> </w:t>
            </w:r>
          </w:p>
        </w:tc>
        <w:tc>
          <w:tcPr>
            <w:tcW w:w="114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right"/>
              <w:rPr/>
            </w:pPr>
            <w:r>
              <w:rPr/>
              <w:t> </w:t>
            </w:r>
          </w:p>
        </w:tc>
        <w:tc>
          <w:tcPr>
            <w:tcW w:w="1067"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(26,307)</w:t>
            </w:r>
          </w:p>
        </w:tc>
      </w:tr>
      <w:tr>
        <w:trPr/>
        <w:tc>
          <w:tcPr>
            <w:tcW w:w="1482"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Repurchases of common stock</w:t>
            </w:r>
          </w:p>
        </w:tc>
        <w:tc>
          <w:tcPr>
            <w:tcW w:w="326" w:type="dxa"/>
            <w:tcBorders/>
            <w:shd w:fill="CCEEFF" w:val="clear"/>
            <w:vAlign w:val="center"/>
          </w:tcPr>
          <w:p>
            <w:pPr>
              <w:pStyle w:val="TableContents"/>
              <w:bidi w:val="0"/>
              <w:spacing w:before="0" w:after="0"/>
              <w:ind w:left="0" w:right="0" w:hanging="0"/>
              <w:jc w:val="left"/>
              <w:rPr/>
            </w:pPr>
            <w:r>
              <w:rPr/>
              <w:t>​</w:t>
            </w:r>
          </w:p>
        </w:tc>
        <w:tc>
          <w:tcPr>
            <w:tcW w:w="157" w:type="dxa"/>
            <w:tcBorders/>
            <w:shd w:fill="CCEEFF" w:val="clear"/>
            <w:vAlign w:val="center"/>
          </w:tcPr>
          <w:p>
            <w:pPr>
              <w:pStyle w:val="TableContents"/>
              <w:bidi w:val="0"/>
              <w:spacing w:before="0" w:after="0"/>
              <w:ind w:left="0" w:right="0" w:hanging="0"/>
              <w:jc w:val="right"/>
              <w:rPr/>
            </w:pPr>
            <w:r>
              <w:rPr/>
              <w:t> </w:t>
            </w:r>
          </w:p>
        </w:tc>
        <w:tc>
          <w:tcPr>
            <w:tcW w:w="729"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(1,629)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677"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(1,629)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(62,795)</w:t>
            </w:r>
          </w:p>
        </w:tc>
        <w:tc>
          <w:tcPr>
            <w:tcW w:w="32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right"/>
              <w:rPr/>
            </w:pPr>
            <w:r>
              <w:rPr/>
              <w:t>​</w:t>
            </w:r>
          </w:p>
        </w:tc>
        <w:tc>
          <w:tcPr>
            <w:tcW w:w="114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right"/>
              <w:rPr/>
            </w:pPr>
            <w:r>
              <w:rPr/>
              <w:t> </w:t>
            </w:r>
          </w:p>
        </w:tc>
        <w:tc>
          <w:tcPr>
            <w:tcW w:w="1067"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(64,424)</w:t>
            </w:r>
          </w:p>
        </w:tc>
      </w:tr>
      <w:tr>
        <w:trPr/>
        <w:tc>
          <w:tcPr>
            <w:tcW w:w="1482"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Stock-based compensation</w:t>
            </w:r>
          </w:p>
        </w:tc>
        <w:tc>
          <w:tcPr>
            <w:tcW w:w="326" w:type="dxa"/>
            <w:tcBorders/>
            <w:vAlign w:val="center"/>
          </w:tcPr>
          <w:p>
            <w:pPr>
              <w:pStyle w:val="TableContents"/>
              <w:bidi w:val="0"/>
              <w:spacing w:before="0" w:after="0"/>
              <w:ind w:left="0" w:right="0" w:hanging="0"/>
              <w:jc w:val="left"/>
              <w:rPr/>
            </w:pPr>
            <w:r>
              <w:rPr/>
              <w:t>​</w:t>
            </w:r>
          </w:p>
        </w:tc>
        <w:tc>
          <w:tcPr>
            <w:tcW w:w="157"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c>
          <w:tcPr>
            <w:tcW w:w="729"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c>
          <w:tcPr>
            <w:tcW w:w="677"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c>
          <w:tcPr>
            <w:tcW w:w="931"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13,553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c>
          <w:tcPr>
            <w:tcW w:w="931" w:type="dxa"/>
            <w:tcBorders>
              <w:bottom w:val="single" w:sz="1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84"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c>
          <w:tcPr>
            <w:tcW w:w="1142" w:type="dxa"/>
            <w:tcBorders>
              <w:bottom w:val="single" w:sz="1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6"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c>
          <w:tcPr>
            <w:tcW w:w="1067"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13,588</w:t>
            </w:r>
          </w:p>
        </w:tc>
      </w:tr>
      <w:tr>
        <w:trPr/>
        <w:tc>
          <w:tcPr>
            <w:tcW w:w="1482" w:type="dxa"/>
            <w:tcBorders/>
            <w:shd w:fill="CCEEFF" w:val="cle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Balance, December 31, 2022</w:t>
            </w:r>
          </w:p>
        </w:tc>
        <w:tc>
          <w:tcPr>
            <w:tcW w:w="326" w:type="dxa"/>
            <w:tcBorders/>
            <w:shd w:fill="CCEEFF" w:val="clear"/>
            <w:vAlign w:val="center"/>
          </w:tcPr>
          <w:p>
            <w:pPr>
              <w:pStyle w:val="TableContents"/>
              <w:bidi w:val="0"/>
              <w:spacing w:before="0" w:after="0"/>
              <w:ind w:left="0" w:right="0" w:hanging="0"/>
              <w:jc w:val="left"/>
              <w:rPr/>
            </w:pPr>
            <w:r>
              <w:rPr/>
              <w:t>​</w:t>
            </w:r>
          </w:p>
        </w:tc>
        <w:tc>
          <w:tcPr>
            <w:tcW w:w="15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90,735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w:t>
            </w:r>
          </w:p>
        </w:tc>
        <w:tc>
          <w:tcPr>
            <w:tcW w:w="67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90,735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1,679,399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3,088,989</w:t>
            </w:r>
          </w:p>
        </w:tc>
        <w:tc>
          <w:tcPr>
            <w:tcW w:w="326" w:type="dxa"/>
            <w:tcBorders/>
            <w:shd w:fill="CCEEFF" w:val="clear"/>
            <w:vAlign w:val="center"/>
          </w:tcPr>
          <w:p>
            <w:pPr>
              <w:pStyle w:val="TableContents"/>
              <w:bidi w:val="0"/>
              <w:spacing w:before="0" w:after="0"/>
              <w:ind w:left="0" w:right="0" w:hanging="0"/>
              <w:jc w:val="left"/>
              <w:rPr/>
            </w:pPr>
            <w:r>
              <w:rPr/>
              <w:t>​</w:t>
            </w:r>
          </w:p>
        </w:tc>
        <w:tc>
          <w:tcPr>
            <w:tcW w:w="28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w:t>
            </w:r>
          </w:p>
        </w:tc>
        <w:tc>
          <w:tcPr>
            <w:tcW w:w="114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(429,460)</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w:t>
            </w:r>
          </w:p>
        </w:tc>
        <w:tc>
          <w:tcPr>
            <w:tcW w:w="1067"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9"/>
              </w:rPr>
            </w:pPr>
            <w:r>
              <w:rPr>
                <w:rFonts w:ascii="Times New Roman;Times;serif" w:hAnsi="Times New Roman;Times;serif"/>
                <w:sz w:val="19"/>
              </w:rPr>
              <w:t>4,429,663</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notes to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lineRule="auto" w:line="343"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bookmarkStart w:id="607" w:name="Consolidated_Statements_of_Cash_Flows_"/>
      <w:bookmarkStart w:id="608" w:name="_ec5f573f_0782_4842_806d_e8730fb1b635"/>
      <w:bookmarkEnd w:id="607"/>
      <w:bookmarkEnd w:id="608"/>
      <w:r>
        <w:rPr>
          <w:rFonts w:ascii="Times New Roman;Times;serif" w:hAnsi="Times New Roman;Times;serif"/>
          <w:b/>
          <w:sz w:val="20"/>
        </w:rPr>
        <w:t>AVNET,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609" w:name="Tc_uZI0qEuFLUOrewsbs4NmZw_40_5"/>
      <w:bookmarkStart w:id="610" w:name="Tc_GP2nFVNyCkK0CFMFGm3IBw_40_2"/>
      <w:bookmarkStart w:id="611" w:name="Tc_VYovM2VZmEC6iXvHu7yzqA_40_0"/>
      <w:bookmarkStart w:id="612" w:name="Tc_AVZRGoID9U2HU863H0B1CQ_39_0"/>
      <w:bookmarkStart w:id="613" w:name="Tc_8dpI-x2StkGhgN4DOqin4w_38_0"/>
      <w:bookmarkStart w:id="614" w:name="Tc_8uaoe0wmlUqgAElwTquY1g_37_0"/>
      <w:bookmarkStart w:id="615" w:name="Tc_ByLG3kn4rEe-mwEiw1Js9Q_35_0"/>
      <w:bookmarkStart w:id="616" w:name="Tc_cqUBnCBTTEiVCKulr2nrCA_33_0"/>
      <w:bookmarkStart w:id="617" w:name="Tc_J8D0WzHW10WYb0ZrQPh2dw_32_0"/>
      <w:bookmarkStart w:id="618" w:name="Tc_4awGLO-b-UenSlqU-Srzjw_31_0"/>
      <w:bookmarkStart w:id="619" w:name="Tc_o9CwJzBkz06UvwqI_LriHg_30_0"/>
      <w:bookmarkStart w:id="620" w:name="Tc_iZRE57loyUySYxoeq7Okbg_28_0"/>
      <w:bookmarkStart w:id="621" w:name="Tc_C0-0SxPI7ke0gN1qSYZwAw_27_0"/>
      <w:bookmarkStart w:id="622" w:name="Tc_8tDz7LA3qEmnOUdZ4UiAEQ_26_0"/>
      <w:bookmarkStart w:id="623" w:name="Tc_-KxVtIna60mEtNH9oM-EEg_25_0"/>
      <w:bookmarkStart w:id="624" w:name="Tc_EVF6MuWPD0OEGfzdbfItOw_24_0"/>
      <w:bookmarkStart w:id="625" w:name="Tc_O_AxRannjUac1AnSagU5IA_23_0"/>
      <w:bookmarkStart w:id="626" w:name="Tc_hhu1b_YZh0uEISLxR78pZw_22_0"/>
      <w:bookmarkStart w:id="627" w:name="Tc_hfpE8vnHDkmClQCkAzftPA_21_0"/>
      <w:bookmarkStart w:id="628" w:name="Tc_Vfa5uh4KcEmdGbLKsopNgw_19_0"/>
      <w:bookmarkStart w:id="629" w:name="Tc_y-FF_9hjDEqJoWVW0UqXjQ_18_0"/>
      <w:bookmarkStart w:id="630" w:name="Tc_yQerwsYJskiKVLgnA15QLQ_17_0"/>
      <w:bookmarkStart w:id="631" w:name="Tc_M2jWWVTLP02DotdT5Bgr6Q_16_0"/>
      <w:bookmarkStart w:id="632" w:name="Tc_gWYwFDnZd0Wctd_fMpPXDg_15_0"/>
      <w:bookmarkStart w:id="633" w:name="Tc_4ngxb48M-UySf1CpZ9uPbQ_14_0"/>
      <w:bookmarkStart w:id="634" w:name="Tc_G6UN_QOPAEe42zBtoDif4A_13_0"/>
      <w:bookmarkStart w:id="635" w:name="Tc_eUxWHqIxs0Soa1byrl6EFA_12_0"/>
      <w:bookmarkStart w:id="636" w:name="Tc_06VCKgZikk-QPhH6RVWaYw_11_0"/>
      <w:bookmarkStart w:id="637" w:name="Tc_cPXEgCFIPUa7qJ5jNtHqHw_10_0"/>
      <w:bookmarkStart w:id="638" w:name="Tc_ULyZLfKxF0KYCtn4LzahQA_9_0"/>
      <w:bookmarkStart w:id="639" w:name="Tc_keP_OE0F5Eyns2MLUJXaOA_8_0"/>
      <w:bookmarkStart w:id="640" w:name="Tc_ukCWL6VN90afiCFiTxv0eQ_6_5"/>
      <w:bookmarkStart w:id="641" w:name="Tc_lvCGWwf01UGEkuWd1BfmUw_6_2"/>
      <w:bookmarkStart w:id="642" w:name="Tc_AVvraM7MyECghyVaTZinUA_6_0"/>
      <w:bookmarkStart w:id="643" w:name="Tc_onk3i2LKcEaNFlGzHUAozg_5_0"/>
      <w:bookmarkStart w:id="644" w:name="Tc_0WOGUhmLC0mqIgiGL50lEA_4_2"/>
      <w:bookmarkStart w:id="645" w:name="Tc_khZ-yWfZxEKhFIKoNKLF1Q_3_5"/>
      <w:bookmarkStart w:id="646" w:name="Tc_nJTtacBX7U-gLlyHuQKFCQ_3_2"/>
      <w:bookmarkStart w:id="647" w:name="Tc_yuognSA-zEeX4nlu7M6zAQ_2_5"/>
      <w:bookmarkStart w:id="648" w:name="Tc_goaC7BO3VEeUvouaLAwFfw_2_2"/>
      <w:bookmarkStart w:id="649" w:name="Tc_m_3vor5mjUKJNxBf1wF-lw_1_2"/>
      <w:bookmarkStart w:id="650" w:name="_31576618_fe23_409a_b911_fad95c9490dc"/>
      <w:bookmarkStart w:id="651" w:name="Tc_uZI0qEuFLUOrewsbs4NmZw_40_5"/>
      <w:bookmarkStart w:id="652" w:name="Tc_GP2nFVNyCkK0CFMFGm3IBw_40_2"/>
      <w:bookmarkStart w:id="653" w:name="Tc_VYovM2VZmEC6iXvHu7yzqA_40_0"/>
      <w:bookmarkStart w:id="654" w:name="Tc_AVZRGoID9U2HU863H0B1CQ_39_0"/>
      <w:bookmarkStart w:id="655" w:name="Tc_8dpI-x2StkGhgN4DOqin4w_38_0"/>
      <w:bookmarkStart w:id="656" w:name="Tc_8uaoe0wmlUqgAElwTquY1g_37_0"/>
      <w:bookmarkStart w:id="657" w:name="Tc_ByLG3kn4rEe-mwEiw1Js9Q_35_0"/>
      <w:bookmarkStart w:id="658" w:name="Tc_cqUBnCBTTEiVCKulr2nrCA_33_0"/>
      <w:bookmarkStart w:id="659" w:name="Tc_J8D0WzHW10WYb0ZrQPh2dw_32_0"/>
      <w:bookmarkStart w:id="660" w:name="Tc_4awGLO-b-UenSlqU-Srzjw_31_0"/>
      <w:bookmarkStart w:id="661" w:name="Tc_o9CwJzBkz06UvwqI_LriHg_30_0"/>
      <w:bookmarkStart w:id="662" w:name="Tc_iZRE57loyUySYxoeq7Okbg_28_0"/>
      <w:bookmarkStart w:id="663" w:name="Tc_C0-0SxPI7ke0gN1qSYZwAw_27_0"/>
      <w:bookmarkStart w:id="664" w:name="Tc_8tDz7LA3qEmnOUdZ4UiAEQ_26_0"/>
      <w:bookmarkStart w:id="665" w:name="Tc_-KxVtIna60mEtNH9oM-EEg_25_0"/>
      <w:bookmarkStart w:id="666" w:name="Tc_EVF6MuWPD0OEGfzdbfItOw_24_0"/>
      <w:bookmarkStart w:id="667" w:name="Tc_O_AxRannjUac1AnSagU5IA_23_0"/>
      <w:bookmarkStart w:id="668" w:name="Tc_hhu1b_YZh0uEISLxR78pZw_22_0"/>
      <w:bookmarkStart w:id="669" w:name="Tc_hfpE8vnHDkmClQCkAzftPA_21_0"/>
      <w:bookmarkStart w:id="670" w:name="Tc_Vfa5uh4KcEmdGbLKsopNgw_19_0"/>
      <w:bookmarkStart w:id="671" w:name="Tc_y-FF_9hjDEqJoWVW0UqXjQ_18_0"/>
      <w:bookmarkStart w:id="672" w:name="Tc_yQerwsYJskiKVLgnA15QLQ_17_0"/>
      <w:bookmarkStart w:id="673" w:name="Tc_M2jWWVTLP02DotdT5Bgr6Q_16_0"/>
      <w:bookmarkStart w:id="674" w:name="Tc_gWYwFDnZd0Wctd_fMpPXDg_15_0"/>
      <w:bookmarkStart w:id="675" w:name="Tc_4ngxb48M-UySf1CpZ9uPbQ_14_0"/>
      <w:bookmarkStart w:id="676" w:name="Tc_G6UN_QOPAEe42zBtoDif4A_13_0"/>
      <w:bookmarkStart w:id="677" w:name="Tc_eUxWHqIxs0Soa1byrl6EFA_12_0"/>
      <w:bookmarkStart w:id="678" w:name="Tc_06VCKgZikk-QPhH6RVWaYw_11_0"/>
      <w:bookmarkStart w:id="679" w:name="Tc_cPXEgCFIPUa7qJ5jNtHqHw_10_0"/>
      <w:bookmarkStart w:id="680" w:name="Tc_ULyZLfKxF0KYCtn4LzahQA_9_0"/>
      <w:bookmarkStart w:id="681" w:name="Tc_keP_OE0F5Eyns2MLUJXaOA_8_0"/>
      <w:bookmarkStart w:id="682" w:name="Tc_ukCWL6VN90afiCFiTxv0eQ_6_5"/>
      <w:bookmarkStart w:id="683" w:name="Tc_lvCGWwf01UGEkuWd1BfmUw_6_2"/>
      <w:bookmarkStart w:id="684" w:name="Tc_AVvraM7MyECghyVaTZinUA_6_0"/>
      <w:bookmarkStart w:id="685" w:name="Tc_onk3i2LKcEaNFlGzHUAozg_5_0"/>
      <w:bookmarkStart w:id="686" w:name="Tc_0WOGUhmLC0mqIgiGL50lEA_4_2"/>
      <w:bookmarkStart w:id="687" w:name="Tc_khZ-yWfZxEKhFIKoNKLF1Q_3_5"/>
      <w:bookmarkStart w:id="688" w:name="Tc_nJTtacBX7U-gLlyHuQKFCQ_3_2"/>
      <w:bookmarkStart w:id="689" w:name="Tc_yuognSA-zEeX4nlu7M6zAQ_2_5"/>
      <w:bookmarkStart w:id="690" w:name="Tc_goaC7BO3VEeUvouaLAwFfw_2_2"/>
      <w:bookmarkStart w:id="691" w:name="Tc_m_3vor5mjUKJNxBf1wF-lw_1_2"/>
      <w:bookmarkStart w:id="692" w:name="_31576618_fe23_409a_b911_fad95c9490dc"/>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p>
    <w:tbl>
      <w:tblPr>
        <w:tblW w:w="9053" w:type="dxa"/>
        <w:jc w:val="left"/>
        <w:tblInd w:w="0" w:type="dxa"/>
        <w:tblLayout w:type="fixed"/>
        <w:tblCellMar>
          <w:top w:w="0" w:type="dxa"/>
          <w:left w:w="0" w:type="dxa"/>
          <w:bottom w:w="0" w:type="dxa"/>
          <w:right w:w="0" w:type="dxa"/>
        </w:tblCellMar>
      </w:tblPr>
      <w:tblGrid>
        <w:gridCol w:w="5836"/>
        <w:gridCol w:w="326"/>
        <w:gridCol w:w="251"/>
        <w:gridCol w:w="1009"/>
        <w:gridCol w:w="326"/>
        <w:gridCol w:w="231"/>
        <w:gridCol w:w="1074"/>
      </w:tblGrid>
      <w:tr>
        <w:trPr/>
        <w:tc>
          <w:tcPr>
            <w:tcW w:w="58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3705860" cy="175260"/>
                      <wp:effectExtent l="0" t="0" r="0" b="0"/>
                      <wp:wrapNone/>
                      <wp:docPr id="78" name="Frame78"/>
                      <a:graphic xmlns:a="http://schemas.openxmlformats.org/drawingml/2006/main">
                        <a:graphicData uri="http://schemas.microsoft.com/office/word/2010/wordprocessingShape">
                          <wps:wsp>
                            <wps:cNvSpPr txBox="1"/>
                            <wps:spPr>
                              <a:xfrm>
                                <a:off x="0" y="0"/>
                                <a:ext cx="3705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07010" cy="175260"/>
                      <wp:effectExtent l="0" t="0" r="0" b="0"/>
                      <wp:wrapNone/>
                      <wp:docPr id="79" name="Frame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159385" cy="175260"/>
                      <wp:effectExtent l="0" t="0" r="0" b="0"/>
                      <wp:wrapNone/>
                      <wp:docPr id="80" name="Frame80"/>
                      <a:graphic xmlns:a="http://schemas.openxmlformats.org/drawingml/2006/main">
                        <a:graphicData uri="http://schemas.microsoft.com/office/word/2010/wordprocessingShape">
                          <wps:wsp>
                            <wps:cNvSpPr txBox="1"/>
                            <wps:spPr>
                              <a:xfrm>
                                <a:off x="0" y="0"/>
                                <a:ext cx="159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0715" cy="175260"/>
                      <wp:effectExtent l="0" t="0" r="0" b="0"/>
                      <wp:wrapNone/>
                      <wp:docPr id="81" name="Frame81"/>
                      <a:graphic xmlns:a="http://schemas.openxmlformats.org/drawingml/2006/main">
                        <a:graphicData uri="http://schemas.microsoft.com/office/word/2010/wordprocessingShape">
                          <wps:wsp>
                            <wps:cNvSpPr txBox="1"/>
                            <wps:spPr>
                              <a:xfrm>
                                <a:off x="0" y="0"/>
                                <a:ext cx="6407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07010" cy="175260"/>
                      <wp:effectExtent l="0" t="0" r="0" b="0"/>
                      <wp:wrapNone/>
                      <wp:docPr id="82" name="Frame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146685" cy="175260"/>
                      <wp:effectExtent l="0" t="0" r="0" b="0"/>
                      <wp:wrapNone/>
                      <wp:docPr id="83" name="Frame83"/>
                      <a:graphic xmlns:a="http://schemas.openxmlformats.org/drawingml/2006/main">
                        <a:graphicData uri="http://schemas.microsoft.com/office/word/2010/wordprocessingShape">
                          <wps:wsp>
                            <wps:cNvSpPr txBox="1"/>
                            <wps:spPr>
                              <a:xfrm>
                                <a:off x="0" y="0"/>
                                <a:ext cx="146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81990" cy="175260"/>
                      <wp:effectExtent l="0" t="0" r="0" b="0"/>
                      <wp:wrapNone/>
                      <wp:docPr id="84" name="Frame84"/>
                      <a:graphic xmlns:a="http://schemas.openxmlformats.org/drawingml/2006/main">
                        <a:graphicData uri="http://schemas.microsoft.com/office/word/2010/wordprocessingShape">
                          <wps:wsp>
                            <wps:cNvSpPr txBox="1"/>
                            <wps:spPr>
                              <a:xfrm>
                                <a:off x="0" y="0"/>
                                <a:ext cx="681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8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891"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Six Months Ended</w:t>
            </w:r>
          </w:p>
        </w:tc>
      </w:tr>
      <w:tr>
        <w:trPr/>
        <w:tc>
          <w:tcPr>
            <w:tcW w:w="58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260"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30,</w:t>
            </w:r>
          </w:p>
        </w:tc>
        <w:tc>
          <w:tcPr>
            <w:tcW w:w="326" w:type="dxa"/>
            <w:tcBorders/>
            <w:vAlign w:val="center"/>
          </w:tcPr>
          <w:p>
            <w:pPr>
              <w:pStyle w:val="TableContents"/>
              <w:bidi w:val="0"/>
              <w:spacing w:before="0" w:after="0"/>
              <w:ind w:left="0" w:right="0" w:hanging="0"/>
              <w:jc w:val="center"/>
              <w:rPr/>
            </w:pPr>
            <w:r>
              <w:rPr/>
              <w:t>    </w:t>
            </w:r>
          </w:p>
        </w:tc>
        <w:tc>
          <w:tcPr>
            <w:tcW w:w="130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w:t>
            </w:r>
          </w:p>
        </w:tc>
      </w:tr>
      <w:tr>
        <w:trPr/>
        <w:tc>
          <w:tcPr>
            <w:tcW w:w="58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26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6" w:type="dxa"/>
            <w:tcBorders/>
            <w:vAlign w:val="center"/>
          </w:tcPr>
          <w:p>
            <w:pPr>
              <w:pStyle w:val="TableContents"/>
              <w:bidi w:val="0"/>
              <w:spacing w:before="0" w:after="0"/>
              <w:ind w:left="0" w:right="0" w:hanging="0"/>
              <w:jc w:val="center"/>
              <w:rPr/>
            </w:pPr>
            <w:r>
              <w:rPr/>
              <w:t>​</w:t>
            </w:r>
          </w:p>
        </w:tc>
        <w:tc>
          <w:tcPr>
            <w:tcW w:w="1305"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r>
      <w:tr>
        <w:trPr/>
        <w:tc>
          <w:tcPr>
            <w:tcW w:w="9053"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58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891"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(Thousands)</w:t>
            </w:r>
          </w:p>
        </w:tc>
      </w:tr>
      <w:tr>
        <w:trPr/>
        <w:tc>
          <w:tcPr>
            <w:tcW w:w="58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flows from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left"/>
              <w:rPr/>
            </w:pPr>
            <w:r>
              <w:rPr/>
              <w:t>​</w:t>
            </w:r>
          </w:p>
        </w:tc>
        <w:tc>
          <w:tcPr>
            <w:tcW w:w="100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1074" w:type="dxa"/>
            <w:tcBorders/>
            <w:shd w:fill="CCEEFF" w:val="clear"/>
            <w:vAlign w:val="center"/>
          </w:tcPr>
          <w:p>
            <w:pPr>
              <w:pStyle w:val="TableContents"/>
              <w:bidi w:val="0"/>
              <w:spacing w:before="0" w:after="0"/>
              <w:ind w:left="0" w:right="0" w:hanging="0"/>
              <w:jc w:val="left"/>
              <w:rPr/>
            </w:pPr>
            <w:r>
              <w:rPr/>
              <w:t>​</w:t>
            </w:r>
          </w:p>
        </w:tc>
      </w:tr>
      <w:tr>
        <w:trPr/>
        <w:tc>
          <w:tcPr>
            <w:tcW w:w="58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327,199</w:t>
            </w:r>
          </w:p>
        </w:tc>
        <w:tc>
          <w:tcPr>
            <w:tcW w:w="326" w:type="dxa"/>
            <w:tcBorders/>
            <w:vAlign w:val="center"/>
          </w:tcPr>
          <w:p>
            <w:pPr>
              <w:pStyle w:val="TableContents"/>
              <w:bidi w:val="0"/>
              <w:spacing w:before="0" w:after="0"/>
              <w:ind w:left="0" w:right="0" w:hanging="0"/>
              <w:jc w:val="right"/>
              <w:rPr/>
            </w:pPr>
            <w:r>
              <w:rPr/>
              <w:t>​</w:t>
            </w:r>
          </w:p>
        </w:tc>
        <w:tc>
          <w:tcPr>
            <w:tcW w:w="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428,147</w:t>
            </w:r>
          </w:p>
        </w:tc>
      </w:tr>
      <w:tr>
        <w:trPr/>
        <w:tc>
          <w:tcPr>
            <w:tcW w:w="583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left"/>
              <w:rPr/>
            </w:pPr>
            <w:r>
              <w:rPr/>
              <w:t>​</w:t>
            </w:r>
          </w:p>
        </w:tc>
        <w:tc>
          <w:tcPr>
            <w:tcW w:w="100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1074" w:type="dxa"/>
            <w:tcBorders/>
            <w:shd w:fill="CCEEFF" w:val="clear"/>
            <w:vAlign w:val="center"/>
          </w:tcPr>
          <w:p>
            <w:pPr>
              <w:pStyle w:val="TableContents"/>
              <w:bidi w:val="0"/>
              <w:spacing w:before="0" w:after="0"/>
              <w:ind w:left="0" w:right="0" w:hanging="0"/>
              <w:jc w:val="right"/>
              <w:rPr/>
            </w:pPr>
            <w:r>
              <w:rPr/>
              <w:t>​</w:t>
            </w:r>
          </w:p>
        </w:tc>
      </w:tr>
      <w:tr>
        <w:trPr/>
        <w:tc>
          <w:tcPr>
            <w:tcW w:w="58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Non-cash and other reconciling items:</w:t>
            </w:r>
          </w:p>
        </w:tc>
        <w:tc>
          <w:tcPr>
            <w:tcW w:w="326"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right"/>
              <w:rPr/>
            </w:pPr>
            <w:r>
              <w:rPr/>
              <w:t>​</w:t>
            </w:r>
          </w:p>
        </w:tc>
        <w:tc>
          <w:tcPr>
            <w:tcW w:w="100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31" w:type="dxa"/>
            <w:tcBorders/>
            <w:vAlign w:val="center"/>
          </w:tcPr>
          <w:p>
            <w:pPr>
              <w:pStyle w:val="TableContents"/>
              <w:bidi w:val="0"/>
              <w:spacing w:before="0" w:after="0"/>
              <w:ind w:left="0" w:right="0" w:hanging="0"/>
              <w:jc w:val="right"/>
              <w:rPr/>
            </w:pPr>
            <w:r>
              <w:rPr/>
              <w:t>​</w:t>
            </w:r>
          </w:p>
        </w:tc>
        <w:tc>
          <w:tcPr>
            <w:tcW w:w="1074" w:type="dxa"/>
            <w:tcBorders/>
            <w:vAlign w:val="center"/>
          </w:tcPr>
          <w:p>
            <w:pPr>
              <w:pStyle w:val="TableContents"/>
              <w:bidi w:val="0"/>
              <w:spacing w:before="0" w:after="0"/>
              <w:ind w:left="0" w:right="0" w:hanging="0"/>
              <w:jc w:val="right"/>
              <w:rPr/>
            </w:pPr>
            <w:r>
              <w:rPr/>
              <w:t>​</w:t>
            </w:r>
          </w:p>
        </w:tc>
      </w:tr>
      <w:tr>
        <w:trPr/>
        <w:tc>
          <w:tcPr>
            <w:tcW w:w="58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right"/>
              <w:rPr/>
            </w:pPr>
            <w:r>
              <w:rPr/>
              <w:t> </w:t>
            </w:r>
          </w:p>
        </w:tc>
        <w:tc>
          <w:tcPr>
            <w:tcW w:w="10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42,727</w:t>
            </w:r>
          </w:p>
        </w:tc>
        <w:tc>
          <w:tcPr>
            <w:tcW w:w="326" w:type="dxa"/>
            <w:tcBorders/>
            <w:shd w:fill="CCEEFF" w:val="clear"/>
            <w:vAlign w:val="center"/>
          </w:tcPr>
          <w:p>
            <w:pPr>
              <w:pStyle w:val="TableContents"/>
              <w:bidi w:val="0"/>
              <w:spacing w:before="0" w:after="0"/>
              <w:ind w:left="0" w:right="0" w:hanging="0"/>
              <w:jc w:val="right"/>
              <w:rPr/>
            </w:pPr>
            <w:r>
              <w:rPr/>
              <w:t>​</w:t>
            </w:r>
          </w:p>
        </w:tc>
        <w:tc>
          <w:tcPr>
            <w:tcW w:w="231" w:type="dxa"/>
            <w:tcBorders/>
            <w:shd w:fill="CCEEFF" w:val="clear"/>
            <w:vAlign w:val="center"/>
          </w:tcPr>
          <w:p>
            <w:pPr>
              <w:pStyle w:val="TableContents"/>
              <w:bidi w:val="0"/>
              <w:spacing w:before="0" w:after="0"/>
              <w:ind w:left="0" w:right="0" w:hanging="0"/>
              <w:jc w:val="right"/>
              <w:rPr/>
            </w:pPr>
            <w:r>
              <w:rPr/>
              <w:t> </w:t>
            </w:r>
          </w:p>
        </w:tc>
        <w:tc>
          <w:tcPr>
            <w:tcW w:w="10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43,705</w:t>
            </w:r>
          </w:p>
        </w:tc>
      </w:tr>
      <w:tr>
        <w:trPr/>
        <w:tc>
          <w:tcPr>
            <w:tcW w:w="58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operating lease assets</w:t>
            </w:r>
          </w:p>
        </w:tc>
        <w:tc>
          <w:tcPr>
            <w:tcW w:w="326"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right"/>
              <w:rPr/>
            </w:pPr>
            <w:r>
              <w:rPr/>
              <w:t>​</w:t>
            </w:r>
          </w:p>
        </w:tc>
        <w:tc>
          <w:tcPr>
            <w:tcW w:w="10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26,205</w:t>
            </w:r>
          </w:p>
        </w:tc>
        <w:tc>
          <w:tcPr>
            <w:tcW w:w="326" w:type="dxa"/>
            <w:tcBorders/>
            <w:vAlign w:val="center"/>
          </w:tcPr>
          <w:p>
            <w:pPr>
              <w:pStyle w:val="TableContents"/>
              <w:bidi w:val="0"/>
              <w:spacing w:before="0" w:after="0"/>
              <w:ind w:left="0" w:right="0" w:hanging="0"/>
              <w:jc w:val="right"/>
              <w:rPr/>
            </w:pPr>
            <w:r>
              <w:rPr/>
              <w:t>​</w:t>
            </w:r>
          </w:p>
        </w:tc>
        <w:tc>
          <w:tcPr>
            <w:tcW w:w="231" w:type="dxa"/>
            <w:tcBorders/>
            <w:vAlign w:val="center"/>
          </w:tcPr>
          <w:p>
            <w:pPr>
              <w:pStyle w:val="TableContents"/>
              <w:bidi w:val="0"/>
              <w:spacing w:before="0" w:after="0"/>
              <w:ind w:left="0" w:right="0" w:hanging="0"/>
              <w:jc w:val="right"/>
              <w:rPr/>
            </w:pPr>
            <w:r>
              <w:rPr/>
              <w:t>​</w:t>
            </w:r>
          </w:p>
        </w:tc>
        <w:tc>
          <w:tcPr>
            <w:tcW w:w="10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26,414</w:t>
            </w:r>
          </w:p>
        </w:tc>
      </w:tr>
      <w:tr>
        <w:trPr/>
        <w:tc>
          <w:tcPr>
            <w:tcW w:w="58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right"/>
              <w:rPr/>
            </w:pPr>
            <w:r>
              <w:rPr/>
              <w:t> </w:t>
            </w:r>
          </w:p>
        </w:tc>
        <w:tc>
          <w:tcPr>
            <w:tcW w:w="10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12,599</w:t>
            </w:r>
          </w:p>
        </w:tc>
        <w:tc>
          <w:tcPr>
            <w:tcW w:w="326" w:type="dxa"/>
            <w:tcBorders/>
            <w:shd w:fill="CCEEFF" w:val="clear"/>
            <w:vAlign w:val="center"/>
          </w:tcPr>
          <w:p>
            <w:pPr>
              <w:pStyle w:val="TableContents"/>
              <w:bidi w:val="0"/>
              <w:spacing w:before="0" w:after="0"/>
              <w:ind w:left="0" w:right="0" w:hanging="0"/>
              <w:jc w:val="right"/>
              <w:rPr/>
            </w:pPr>
            <w:r>
              <w:rPr/>
              <w:t>​</w:t>
            </w:r>
          </w:p>
        </w:tc>
        <w:tc>
          <w:tcPr>
            <w:tcW w:w="231" w:type="dxa"/>
            <w:tcBorders/>
            <w:shd w:fill="CCEEFF" w:val="clear"/>
            <w:vAlign w:val="center"/>
          </w:tcPr>
          <w:p>
            <w:pPr>
              <w:pStyle w:val="TableContents"/>
              <w:bidi w:val="0"/>
              <w:spacing w:before="0" w:after="0"/>
              <w:ind w:left="0" w:right="0" w:hanging="0"/>
              <w:jc w:val="right"/>
              <w:rPr/>
            </w:pPr>
            <w:r>
              <w:rPr/>
              <w:t> </w:t>
            </w:r>
          </w:p>
        </w:tc>
        <w:tc>
          <w:tcPr>
            <w:tcW w:w="10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(15,581)</w:t>
            </w:r>
          </w:p>
        </w:tc>
      </w:tr>
      <w:tr>
        <w:trPr/>
        <w:tc>
          <w:tcPr>
            <w:tcW w:w="58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26"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right"/>
              <w:rPr/>
            </w:pPr>
            <w:r>
              <w:rPr/>
              <w:t> </w:t>
            </w:r>
          </w:p>
        </w:tc>
        <w:tc>
          <w:tcPr>
            <w:tcW w:w="10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19,951</w:t>
            </w:r>
          </w:p>
        </w:tc>
        <w:tc>
          <w:tcPr>
            <w:tcW w:w="326" w:type="dxa"/>
            <w:tcBorders/>
            <w:vAlign w:val="center"/>
          </w:tcPr>
          <w:p>
            <w:pPr>
              <w:pStyle w:val="TableContents"/>
              <w:bidi w:val="0"/>
              <w:spacing w:before="0" w:after="0"/>
              <w:ind w:left="0" w:right="0" w:hanging="0"/>
              <w:jc w:val="right"/>
              <w:rPr/>
            </w:pPr>
            <w:r>
              <w:rPr/>
              <w:t>​</w:t>
            </w:r>
          </w:p>
        </w:tc>
        <w:tc>
          <w:tcPr>
            <w:tcW w:w="231" w:type="dxa"/>
            <w:tcBorders/>
            <w:vAlign w:val="center"/>
          </w:tcPr>
          <w:p>
            <w:pPr>
              <w:pStyle w:val="TableContents"/>
              <w:bidi w:val="0"/>
              <w:spacing w:before="0" w:after="0"/>
              <w:ind w:left="0" w:right="0" w:hanging="0"/>
              <w:jc w:val="right"/>
              <w:rPr/>
            </w:pPr>
            <w:r>
              <w:rPr/>
              <w:t> </w:t>
            </w:r>
          </w:p>
        </w:tc>
        <w:tc>
          <w:tcPr>
            <w:tcW w:w="10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21,338</w:t>
            </w:r>
          </w:p>
        </w:tc>
      </w:tr>
      <w:tr>
        <w:trPr/>
        <w:tc>
          <w:tcPr>
            <w:tcW w:w="58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net</w:t>
            </w:r>
          </w:p>
        </w:tc>
        <w:tc>
          <w:tcPr>
            <w:tcW w:w="326"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right"/>
              <w:rPr/>
            </w:pPr>
            <w:r>
              <w:rPr/>
              <w:t> </w:t>
            </w:r>
          </w:p>
        </w:tc>
        <w:tc>
          <w:tcPr>
            <w:tcW w:w="10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27,181</w:t>
            </w:r>
          </w:p>
        </w:tc>
        <w:tc>
          <w:tcPr>
            <w:tcW w:w="326" w:type="dxa"/>
            <w:tcBorders/>
            <w:shd w:fill="CCEEFF" w:val="clear"/>
            <w:vAlign w:val="center"/>
          </w:tcPr>
          <w:p>
            <w:pPr>
              <w:pStyle w:val="TableContents"/>
              <w:bidi w:val="0"/>
              <w:spacing w:before="0" w:after="0"/>
              <w:ind w:left="0" w:right="0" w:hanging="0"/>
              <w:jc w:val="right"/>
              <w:rPr/>
            </w:pPr>
            <w:r>
              <w:rPr/>
              <w:t>​</w:t>
            </w:r>
          </w:p>
        </w:tc>
        <w:tc>
          <w:tcPr>
            <w:tcW w:w="231" w:type="dxa"/>
            <w:tcBorders/>
            <w:shd w:fill="CCEEFF" w:val="clear"/>
            <w:vAlign w:val="center"/>
          </w:tcPr>
          <w:p>
            <w:pPr>
              <w:pStyle w:val="TableContents"/>
              <w:bidi w:val="0"/>
              <w:spacing w:before="0" w:after="0"/>
              <w:ind w:left="0" w:right="0" w:hanging="0"/>
              <w:jc w:val="right"/>
              <w:rPr/>
            </w:pPr>
            <w:r>
              <w:rPr/>
              <w:t> </w:t>
            </w:r>
          </w:p>
        </w:tc>
        <w:tc>
          <w:tcPr>
            <w:tcW w:w="10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7,199</w:t>
            </w:r>
          </w:p>
        </w:tc>
      </w:tr>
      <w:tr>
        <w:trPr/>
        <w:tc>
          <w:tcPr>
            <w:tcW w:w="58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(net of effects from businesses acquired and divested):</w:t>
            </w:r>
          </w:p>
        </w:tc>
        <w:tc>
          <w:tcPr>
            <w:tcW w:w="326"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right"/>
              <w:rPr/>
            </w:pPr>
            <w:r>
              <w:rPr/>
              <w:t>​</w:t>
            </w:r>
          </w:p>
        </w:tc>
        <w:tc>
          <w:tcPr>
            <w:tcW w:w="10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right"/>
              <w:rPr/>
            </w:pPr>
            <w:r>
              <w:rPr/>
              <w:t>​</w:t>
            </w:r>
          </w:p>
        </w:tc>
        <w:tc>
          <w:tcPr>
            <w:tcW w:w="231" w:type="dxa"/>
            <w:tcBorders/>
            <w:vAlign w:val="center"/>
          </w:tcPr>
          <w:p>
            <w:pPr>
              <w:pStyle w:val="TableContents"/>
              <w:bidi w:val="0"/>
              <w:spacing w:before="0" w:after="0"/>
              <w:ind w:left="0" w:right="0" w:hanging="0"/>
              <w:jc w:val="right"/>
              <w:rPr/>
            </w:pPr>
            <w:r>
              <w:rPr/>
              <w:t>​</w:t>
            </w:r>
          </w:p>
        </w:tc>
        <w:tc>
          <w:tcPr>
            <w:tcW w:w="1074" w:type="dxa"/>
            <w:tcBorders/>
            <w:vAlign w:val="center"/>
          </w:tcPr>
          <w:p>
            <w:pPr>
              <w:pStyle w:val="TableContents"/>
              <w:bidi w:val="0"/>
              <w:spacing w:before="0" w:after="0"/>
              <w:ind w:left="0" w:right="0" w:hanging="0"/>
              <w:jc w:val="right"/>
              <w:rPr/>
            </w:pPr>
            <w:r>
              <w:rPr/>
              <w:t>​</w:t>
            </w:r>
          </w:p>
        </w:tc>
      </w:tr>
      <w:tr>
        <w:trPr/>
        <w:tc>
          <w:tcPr>
            <w:tcW w:w="58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Receivables</w:t>
            </w:r>
          </w:p>
        </w:tc>
        <w:tc>
          <w:tcPr>
            <w:tcW w:w="326"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right"/>
              <w:rPr/>
            </w:pPr>
            <w:r>
              <w:rPr/>
              <w:t> </w:t>
            </w:r>
          </w:p>
        </w:tc>
        <w:tc>
          <w:tcPr>
            <w:tcW w:w="10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287,320</w:t>
            </w:r>
          </w:p>
        </w:tc>
        <w:tc>
          <w:tcPr>
            <w:tcW w:w="326" w:type="dxa"/>
            <w:tcBorders/>
            <w:shd w:fill="CCEEFF" w:val="clear"/>
            <w:vAlign w:val="center"/>
          </w:tcPr>
          <w:p>
            <w:pPr>
              <w:pStyle w:val="TableContents"/>
              <w:bidi w:val="0"/>
              <w:spacing w:before="0" w:after="0"/>
              <w:ind w:left="0" w:right="0" w:hanging="0"/>
              <w:jc w:val="right"/>
              <w:rPr/>
            </w:pPr>
            <w:r>
              <w:rPr/>
              <w:t>​</w:t>
            </w:r>
          </w:p>
        </w:tc>
        <w:tc>
          <w:tcPr>
            <w:tcW w:w="231" w:type="dxa"/>
            <w:tcBorders/>
            <w:shd w:fill="CCEEFF" w:val="clear"/>
            <w:vAlign w:val="center"/>
          </w:tcPr>
          <w:p>
            <w:pPr>
              <w:pStyle w:val="TableContents"/>
              <w:bidi w:val="0"/>
              <w:spacing w:before="0" w:after="0"/>
              <w:ind w:left="0" w:right="0" w:hanging="0"/>
              <w:jc w:val="right"/>
              <w:rPr/>
            </w:pPr>
            <w:r>
              <w:rPr/>
              <w:t> </w:t>
            </w:r>
          </w:p>
        </w:tc>
        <w:tc>
          <w:tcPr>
            <w:tcW w:w="10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(469,650)</w:t>
            </w:r>
          </w:p>
        </w:tc>
      </w:tr>
      <w:tr>
        <w:trPr/>
        <w:tc>
          <w:tcPr>
            <w:tcW w:w="58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Inventories</w:t>
            </w:r>
          </w:p>
        </w:tc>
        <w:tc>
          <w:tcPr>
            <w:tcW w:w="326"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right"/>
              <w:rPr/>
            </w:pPr>
            <w:r>
              <w:rPr/>
              <w:t> </w:t>
            </w:r>
          </w:p>
        </w:tc>
        <w:tc>
          <w:tcPr>
            <w:tcW w:w="10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(610,008)</w:t>
            </w:r>
          </w:p>
        </w:tc>
        <w:tc>
          <w:tcPr>
            <w:tcW w:w="326" w:type="dxa"/>
            <w:tcBorders/>
            <w:vAlign w:val="center"/>
          </w:tcPr>
          <w:p>
            <w:pPr>
              <w:pStyle w:val="TableContents"/>
              <w:bidi w:val="0"/>
              <w:spacing w:before="0" w:after="0"/>
              <w:ind w:left="0" w:right="0" w:hanging="0"/>
              <w:jc w:val="right"/>
              <w:rPr/>
            </w:pPr>
            <w:r>
              <w:rPr/>
              <w:t>​</w:t>
            </w:r>
          </w:p>
        </w:tc>
        <w:tc>
          <w:tcPr>
            <w:tcW w:w="231" w:type="dxa"/>
            <w:tcBorders/>
            <w:vAlign w:val="center"/>
          </w:tcPr>
          <w:p>
            <w:pPr>
              <w:pStyle w:val="TableContents"/>
              <w:bidi w:val="0"/>
              <w:spacing w:before="0" w:after="0"/>
              <w:ind w:left="0" w:right="0" w:hanging="0"/>
              <w:jc w:val="right"/>
              <w:rPr/>
            </w:pPr>
            <w:r>
              <w:rPr/>
              <w:t> </w:t>
            </w:r>
          </w:p>
        </w:tc>
        <w:tc>
          <w:tcPr>
            <w:tcW w:w="10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(686,884)</w:t>
            </w:r>
          </w:p>
        </w:tc>
      </w:tr>
      <w:tr>
        <w:trPr/>
        <w:tc>
          <w:tcPr>
            <w:tcW w:w="58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26"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right"/>
              <w:rPr/>
            </w:pPr>
            <w:r>
              <w:rPr/>
              <w:t> </w:t>
            </w:r>
          </w:p>
        </w:tc>
        <w:tc>
          <w:tcPr>
            <w:tcW w:w="10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(78,082)</w:t>
            </w:r>
          </w:p>
        </w:tc>
        <w:tc>
          <w:tcPr>
            <w:tcW w:w="326" w:type="dxa"/>
            <w:tcBorders/>
            <w:shd w:fill="CCEEFF" w:val="clear"/>
            <w:vAlign w:val="center"/>
          </w:tcPr>
          <w:p>
            <w:pPr>
              <w:pStyle w:val="TableContents"/>
              <w:bidi w:val="0"/>
              <w:spacing w:before="0" w:after="0"/>
              <w:ind w:left="0" w:right="0" w:hanging="0"/>
              <w:jc w:val="right"/>
              <w:rPr/>
            </w:pPr>
            <w:r>
              <w:rPr/>
              <w:t>​</w:t>
            </w:r>
          </w:p>
        </w:tc>
        <w:tc>
          <w:tcPr>
            <w:tcW w:w="231" w:type="dxa"/>
            <w:tcBorders/>
            <w:shd w:fill="CCEEFF" w:val="clear"/>
            <w:vAlign w:val="center"/>
          </w:tcPr>
          <w:p>
            <w:pPr>
              <w:pStyle w:val="TableContents"/>
              <w:bidi w:val="0"/>
              <w:spacing w:before="0" w:after="0"/>
              <w:ind w:left="0" w:right="0" w:hanging="0"/>
              <w:jc w:val="right"/>
              <w:rPr/>
            </w:pPr>
            <w:r>
              <w:rPr/>
              <w:t> </w:t>
            </w:r>
          </w:p>
        </w:tc>
        <w:tc>
          <w:tcPr>
            <w:tcW w:w="10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(341,210)</w:t>
            </w:r>
          </w:p>
        </w:tc>
      </w:tr>
      <w:tr>
        <w:trPr/>
        <w:tc>
          <w:tcPr>
            <w:tcW w:w="58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expenses and other, net</w:t>
            </w:r>
          </w:p>
        </w:tc>
        <w:tc>
          <w:tcPr>
            <w:tcW w:w="326" w:type="dxa"/>
            <w:tcBorders/>
            <w:vAlign w:val="center"/>
          </w:tcPr>
          <w:p>
            <w:pPr>
              <w:pStyle w:val="TableContents"/>
              <w:bidi w:val="0"/>
              <w:spacing w:before="0" w:after="0"/>
              <w:ind w:left="0" w:right="0" w:hanging="0"/>
              <w:jc w:val="left"/>
              <w:rPr/>
            </w:pPr>
            <w:r>
              <w:rPr/>
              <w:t>​</w:t>
            </w:r>
          </w:p>
        </w:tc>
        <w:tc>
          <w:tcPr>
            <w:tcW w:w="251"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c>
          <w:tcPr>
            <w:tcW w:w="1009"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(138,667)</w:t>
            </w:r>
          </w:p>
        </w:tc>
        <w:tc>
          <w:tcPr>
            <w:tcW w:w="326" w:type="dxa"/>
            <w:tcBorders/>
            <w:vAlign w:val="center"/>
          </w:tcPr>
          <w:p>
            <w:pPr>
              <w:pStyle w:val="TableContents"/>
              <w:bidi w:val="0"/>
              <w:spacing w:before="0" w:after="0"/>
              <w:ind w:left="0" w:right="0" w:hanging="0"/>
              <w:jc w:val="right"/>
              <w:rPr/>
            </w:pPr>
            <w:r>
              <w:rPr/>
              <w:t>​</w:t>
            </w:r>
          </w:p>
        </w:tc>
        <w:tc>
          <w:tcPr>
            <w:tcW w:w="231"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c>
          <w:tcPr>
            <w:tcW w:w="1074"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20,021</w:t>
            </w:r>
          </w:p>
        </w:tc>
      </w:tr>
      <w:tr>
        <w:trPr/>
        <w:tc>
          <w:tcPr>
            <w:tcW w:w="58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flows used for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51" w:type="dxa"/>
            <w:tcBorders>
              <w:bottom w:val="single" w:sz="1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9"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(83,575)</w:t>
            </w:r>
          </w:p>
        </w:tc>
        <w:tc>
          <w:tcPr>
            <w:tcW w:w="326" w:type="dxa"/>
            <w:tcBorders/>
            <w:shd w:fill="CCEEFF" w:val="clear"/>
            <w:vAlign w:val="center"/>
          </w:tcPr>
          <w:p>
            <w:pPr>
              <w:pStyle w:val="TableContents"/>
              <w:bidi w:val="0"/>
              <w:spacing w:before="0" w:after="0"/>
              <w:ind w:left="0" w:right="0" w:hanging="0"/>
              <w:jc w:val="right"/>
              <w:rPr/>
            </w:pPr>
            <w:r>
              <w:rPr/>
              <w:t>​</w:t>
            </w:r>
          </w:p>
        </w:tc>
        <w:tc>
          <w:tcPr>
            <w:tcW w:w="231" w:type="dxa"/>
            <w:tcBorders>
              <w:bottom w:val="single" w:sz="1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74"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(966,501)</w:t>
            </w:r>
          </w:p>
        </w:tc>
      </w:tr>
      <w:tr>
        <w:trPr/>
        <w:tc>
          <w:tcPr>
            <w:tcW w:w="58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right"/>
              <w:rPr/>
            </w:pPr>
            <w:r>
              <w:rPr/>
              <w:t>​</w:t>
            </w:r>
          </w:p>
        </w:tc>
        <w:tc>
          <w:tcPr>
            <w:tcW w:w="100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31" w:type="dxa"/>
            <w:tcBorders/>
            <w:vAlign w:val="center"/>
          </w:tcPr>
          <w:p>
            <w:pPr>
              <w:pStyle w:val="TableContents"/>
              <w:bidi w:val="0"/>
              <w:spacing w:before="0" w:after="0"/>
              <w:ind w:left="0" w:right="0" w:hanging="0"/>
              <w:jc w:val="right"/>
              <w:rPr/>
            </w:pPr>
            <w:r>
              <w:rPr/>
              <w:t>​</w:t>
            </w:r>
          </w:p>
        </w:tc>
        <w:tc>
          <w:tcPr>
            <w:tcW w:w="1074" w:type="dxa"/>
            <w:tcBorders/>
            <w:vAlign w:val="center"/>
          </w:tcPr>
          <w:p>
            <w:pPr>
              <w:pStyle w:val="TableContents"/>
              <w:bidi w:val="0"/>
              <w:spacing w:before="0" w:after="0"/>
              <w:ind w:left="0" w:right="0" w:hanging="0"/>
              <w:jc w:val="right"/>
              <w:rPr/>
            </w:pPr>
            <w:r>
              <w:rPr/>
              <w:t>​</w:t>
            </w:r>
          </w:p>
        </w:tc>
      </w:tr>
      <w:tr>
        <w:trPr/>
        <w:tc>
          <w:tcPr>
            <w:tcW w:w="58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flows from financing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right"/>
              <w:rPr/>
            </w:pPr>
            <w:r>
              <w:rPr/>
              <w:t>​</w:t>
            </w:r>
          </w:p>
        </w:tc>
        <w:tc>
          <w:tcPr>
            <w:tcW w:w="100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31" w:type="dxa"/>
            <w:tcBorders/>
            <w:shd w:fill="CCEEFF" w:val="clear"/>
            <w:vAlign w:val="center"/>
          </w:tcPr>
          <w:p>
            <w:pPr>
              <w:pStyle w:val="TableContents"/>
              <w:bidi w:val="0"/>
              <w:spacing w:before="0" w:after="0"/>
              <w:ind w:left="0" w:right="0" w:hanging="0"/>
              <w:jc w:val="right"/>
              <w:rPr/>
            </w:pPr>
            <w:r>
              <w:rPr/>
              <w:t>​</w:t>
            </w:r>
          </w:p>
        </w:tc>
        <w:tc>
          <w:tcPr>
            <w:tcW w:w="1074" w:type="dxa"/>
            <w:tcBorders/>
            <w:shd w:fill="CCEEFF" w:val="clear"/>
            <w:vAlign w:val="center"/>
          </w:tcPr>
          <w:p>
            <w:pPr>
              <w:pStyle w:val="TableContents"/>
              <w:bidi w:val="0"/>
              <w:spacing w:before="0" w:after="0"/>
              <w:ind w:left="0" w:right="0" w:hanging="0"/>
              <w:jc w:val="right"/>
              <w:rPr/>
            </w:pPr>
            <w:r>
              <w:rPr/>
              <w:t>​</w:t>
            </w:r>
          </w:p>
        </w:tc>
      </w:tr>
      <w:tr>
        <w:trPr/>
        <w:tc>
          <w:tcPr>
            <w:tcW w:w="58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Borrowings under accounts receivable securitization, net</w:t>
            </w:r>
          </w:p>
        </w:tc>
        <w:tc>
          <w:tcPr>
            <w:tcW w:w="326"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w:t>
            </w:r>
          </w:p>
        </w:tc>
        <w:tc>
          <w:tcPr>
            <w:tcW w:w="10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58,600</w:t>
            </w:r>
          </w:p>
        </w:tc>
        <w:tc>
          <w:tcPr>
            <w:tcW w:w="326" w:type="dxa"/>
            <w:tcBorders/>
            <w:vAlign w:val="center"/>
          </w:tcPr>
          <w:p>
            <w:pPr>
              <w:pStyle w:val="TableContents"/>
              <w:bidi w:val="0"/>
              <w:spacing w:before="0" w:after="0"/>
              <w:ind w:left="0" w:right="0" w:hanging="0"/>
              <w:jc w:val="right"/>
              <w:rPr/>
            </w:pPr>
            <w:r>
              <w:rPr/>
              <w:t>​</w:t>
            </w:r>
          </w:p>
        </w:tc>
        <w:tc>
          <w:tcPr>
            <w:tcW w:w="231" w:type="dxa"/>
            <w:tcBorders/>
            <w:vAlign w:val="center"/>
          </w:tcPr>
          <w:p>
            <w:pPr>
              <w:pStyle w:val="TableContents"/>
              <w:bidi w:val="0"/>
              <w:spacing w:before="0" w:after="0"/>
              <w:ind w:left="0" w:right="0" w:hanging="0"/>
              <w:jc w:val="left"/>
              <w:rPr/>
            </w:pPr>
            <w:r>
              <w:rPr/>
              <w:t>​</w:t>
            </w:r>
          </w:p>
        </w:tc>
        <w:tc>
          <w:tcPr>
            <w:tcW w:w="10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352,200</w:t>
            </w:r>
          </w:p>
        </w:tc>
      </w:tr>
      <w:tr>
        <w:trPr/>
        <w:tc>
          <w:tcPr>
            <w:tcW w:w="58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Borrowings under senior unsecured credit facility, net</w:t>
            </w:r>
          </w:p>
        </w:tc>
        <w:tc>
          <w:tcPr>
            <w:tcW w:w="326"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right"/>
              <w:rPr/>
            </w:pPr>
            <w:r>
              <w:rPr/>
              <w:t>​</w:t>
            </w:r>
          </w:p>
        </w:tc>
        <w:tc>
          <w:tcPr>
            <w:tcW w:w="10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272,747</w:t>
            </w:r>
          </w:p>
        </w:tc>
        <w:tc>
          <w:tcPr>
            <w:tcW w:w="326" w:type="dxa"/>
            <w:tcBorders/>
            <w:shd w:fill="CCEEFF" w:val="clear"/>
            <w:vAlign w:val="center"/>
          </w:tcPr>
          <w:p>
            <w:pPr>
              <w:pStyle w:val="TableContents"/>
              <w:bidi w:val="0"/>
              <w:spacing w:before="0" w:after="0"/>
              <w:ind w:left="0" w:right="0" w:hanging="0"/>
              <w:jc w:val="right"/>
              <w:rPr/>
            </w:pPr>
            <w:r>
              <w:rPr/>
              <w:t>​</w:t>
            </w:r>
          </w:p>
        </w:tc>
        <w:tc>
          <w:tcPr>
            <w:tcW w:w="231" w:type="dxa"/>
            <w:tcBorders/>
            <w:shd w:fill="CCEEFF" w:val="clear"/>
            <w:vAlign w:val="center"/>
          </w:tcPr>
          <w:p>
            <w:pPr>
              <w:pStyle w:val="TableContents"/>
              <w:bidi w:val="0"/>
              <w:spacing w:before="0" w:after="0"/>
              <w:ind w:left="0" w:right="0" w:hanging="0"/>
              <w:jc w:val="right"/>
              <w:rPr/>
            </w:pPr>
            <w:r>
              <w:rPr/>
              <w:t>​</w:t>
            </w:r>
          </w:p>
        </w:tc>
        <w:tc>
          <w:tcPr>
            <w:tcW w:w="10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1,132,245</w:t>
            </w:r>
          </w:p>
        </w:tc>
      </w:tr>
      <w:tr>
        <w:trPr/>
        <w:tc>
          <w:tcPr>
            <w:tcW w:w="58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Borrowings under bank credit facilities and other debt, net</w:t>
            </w:r>
          </w:p>
        </w:tc>
        <w:tc>
          <w:tcPr>
            <w:tcW w:w="326"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right"/>
              <w:rPr/>
            </w:pPr>
            <w:r>
              <w:rPr/>
              <w:t>​</w:t>
            </w:r>
          </w:p>
        </w:tc>
        <w:tc>
          <w:tcPr>
            <w:tcW w:w="10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30,752</w:t>
            </w:r>
          </w:p>
        </w:tc>
        <w:tc>
          <w:tcPr>
            <w:tcW w:w="326" w:type="dxa"/>
            <w:tcBorders/>
            <w:vAlign w:val="center"/>
          </w:tcPr>
          <w:p>
            <w:pPr>
              <w:pStyle w:val="TableContents"/>
              <w:bidi w:val="0"/>
              <w:spacing w:before="0" w:after="0"/>
              <w:ind w:left="0" w:right="0" w:hanging="0"/>
              <w:jc w:val="right"/>
              <w:rPr/>
            </w:pPr>
            <w:r>
              <w:rPr/>
              <w:t>​</w:t>
            </w:r>
          </w:p>
        </w:tc>
        <w:tc>
          <w:tcPr>
            <w:tcW w:w="231" w:type="dxa"/>
            <w:tcBorders/>
            <w:vAlign w:val="center"/>
          </w:tcPr>
          <w:p>
            <w:pPr>
              <w:pStyle w:val="TableContents"/>
              <w:bidi w:val="0"/>
              <w:spacing w:before="0" w:after="0"/>
              <w:ind w:left="0" w:right="0" w:hanging="0"/>
              <w:jc w:val="right"/>
              <w:rPr/>
            </w:pPr>
            <w:r>
              <w:rPr/>
              <w:t>​</w:t>
            </w:r>
          </w:p>
        </w:tc>
        <w:tc>
          <w:tcPr>
            <w:tcW w:w="10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47,712</w:t>
            </w:r>
          </w:p>
        </w:tc>
      </w:tr>
      <w:tr>
        <w:trPr/>
        <w:tc>
          <w:tcPr>
            <w:tcW w:w="58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Repurchases of common stock </w:t>
            </w:r>
          </w:p>
        </w:tc>
        <w:tc>
          <w:tcPr>
            <w:tcW w:w="326"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right"/>
              <w:rPr/>
            </w:pPr>
            <w:r>
              <w:rPr/>
              <w:t>​</w:t>
            </w:r>
          </w:p>
        </w:tc>
        <w:tc>
          <w:tcPr>
            <w:tcW w:w="10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(86,027)</w:t>
            </w:r>
          </w:p>
        </w:tc>
        <w:tc>
          <w:tcPr>
            <w:tcW w:w="326" w:type="dxa"/>
            <w:tcBorders/>
            <w:shd w:fill="CCEEFF" w:val="clear"/>
            <w:vAlign w:val="center"/>
          </w:tcPr>
          <w:p>
            <w:pPr>
              <w:pStyle w:val="TableContents"/>
              <w:bidi w:val="0"/>
              <w:spacing w:before="0" w:after="0"/>
              <w:ind w:left="0" w:right="0" w:hanging="0"/>
              <w:jc w:val="right"/>
              <w:rPr/>
            </w:pPr>
            <w:r>
              <w:rPr/>
              <w:t>​</w:t>
            </w:r>
          </w:p>
        </w:tc>
        <w:tc>
          <w:tcPr>
            <w:tcW w:w="231" w:type="dxa"/>
            <w:tcBorders/>
            <w:shd w:fill="CCEEFF" w:val="clear"/>
            <w:vAlign w:val="center"/>
          </w:tcPr>
          <w:p>
            <w:pPr>
              <w:pStyle w:val="TableContents"/>
              <w:bidi w:val="0"/>
              <w:spacing w:before="0" w:after="0"/>
              <w:ind w:left="0" w:right="0" w:hanging="0"/>
              <w:jc w:val="right"/>
              <w:rPr/>
            </w:pPr>
            <w:r>
              <w:rPr/>
              <w:t>​</w:t>
            </w:r>
          </w:p>
        </w:tc>
        <w:tc>
          <w:tcPr>
            <w:tcW w:w="10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(221,282)</w:t>
            </w:r>
          </w:p>
        </w:tc>
      </w:tr>
      <w:tr>
        <w:trPr/>
        <w:tc>
          <w:tcPr>
            <w:tcW w:w="58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Dividends paid on common stock</w:t>
            </w:r>
          </w:p>
        </w:tc>
        <w:tc>
          <w:tcPr>
            <w:tcW w:w="326"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right"/>
              <w:rPr/>
            </w:pPr>
            <w:r>
              <w:rPr/>
              <w:t>​</w:t>
            </w:r>
          </w:p>
        </w:tc>
        <w:tc>
          <w:tcPr>
            <w:tcW w:w="10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(56,138)</w:t>
            </w:r>
          </w:p>
        </w:tc>
        <w:tc>
          <w:tcPr>
            <w:tcW w:w="326" w:type="dxa"/>
            <w:tcBorders/>
            <w:vAlign w:val="center"/>
          </w:tcPr>
          <w:p>
            <w:pPr>
              <w:pStyle w:val="TableContents"/>
              <w:bidi w:val="0"/>
              <w:spacing w:before="0" w:after="0"/>
              <w:ind w:left="0" w:right="0" w:hanging="0"/>
              <w:jc w:val="right"/>
              <w:rPr/>
            </w:pPr>
            <w:r>
              <w:rPr/>
              <w:t>​</w:t>
            </w:r>
          </w:p>
        </w:tc>
        <w:tc>
          <w:tcPr>
            <w:tcW w:w="231" w:type="dxa"/>
            <w:tcBorders/>
            <w:vAlign w:val="center"/>
          </w:tcPr>
          <w:p>
            <w:pPr>
              <w:pStyle w:val="TableContents"/>
              <w:bidi w:val="0"/>
              <w:spacing w:before="0" w:after="0"/>
              <w:ind w:left="0" w:right="0" w:hanging="0"/>
              <w:jc w:val="right"/>
              <w:rPr/>
            </w:pPr>
            <w:r>
              <w:rPr/>
              <w:t>​</w:t>
            </w:r>
          </w:p>
        </w:tc>
        <w:tc>
          <w:tcPr>
            <w:tcW w:w="10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(53,304)</w:t>
            </w:r>
          </w:p>
        </w:tc>
      </w:tr>
      <w:tr>
        <w:trPr/>
        <w:tc>
          <w:tcPr>
            <w:tcW w:w="58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net</w:t>
            </w:r>
          </w:p>
        </w:tc>
        <w:tc>
          <w:tcPr>
            <w:tcW w:w="326" w:type="dxa"/>
            <w:tcBorders/>
            <w:shd w:fill="CCEEFF" w:val="clear"/>
            <w:vAlign w:val="center"/>
          </w:tcPr>
          <w:p>
            <w:pPr>
              <w:pStyle w:val="TableContents"/>
              <w:bidi w:val="0"/>
              <w:spacing w:before="0" w:after="0"/>
              <w:ind w:left="0" w:right="0" w:hanging="0"/>
              <w:jc w:val="left"/>
              <w:rPr/>
            </w:pPr>
            <w:r>
              <w:rPr/>
              <w:t>​</w:t>
            </w:r>
          </w:p>
        </w:tc>
        <w:tc>
          <w:tcPr>
            <w:tcW w:w="251"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09"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2,665</w:t>
            </w:r>
          </w:p>
        </w:tc>
        <w:tc>
          <w:tcPr>
            <w:tcW w:w="326" w:type="dxa"/>
            <w:tcBorders/>
            <w:shd w:fill="CCEEFF" w:val="clear"/>
            <w:vAlign w:val="center"/>
          </w:tcPr>
          <w:p>
            <w:pPr>
              <w:pStyle w:val="TableContents"/>
              <w:bidi w:val="0"/>
              <w:spacing w:before="0" w:after="0"/>
              <w:ind w:left="0" w:right="0" w:hanging="0"/>
              <w:jc w:val="right"/>
              <w:rPr/>
            </w:pPr>
            <w:r>
              <w:rPr/>
              <w:t>​</w:t>
            </w:r>
          </w:p>
        </w:tc>
        <w:tc>
          <w:tcPr>
            <w:tcW w:w="231"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74"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(1,048)</w:t>
            </w:r>
          </w:p>
        </w:tc>
      </w:tr>
      <w:tr>
        <w:trPr/>
        <w:tc>
          <w:tcPr>
            <w:tcW w:w="58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Net cash flows provided by financing activities </w:t>
            </w:r>
          </w:p>
        </w:tc>
        <w:tc>
          <w:tcPr>
            <w:tcW w:w="326" w:type="dxa"/>
            <w:tcBorders/>
            <w:vAlign w:val="center"/>
          </w:tcPr>
          <w:p>
            <w:pPr>
              <w:pStyle w:val="TableContents"/>
              <w:bidi w:val="0"/>
              <w:spacing w:before="0" w:after="0"/>
              <w:ind w:left="0" w:right="0" w:hanging="0"/>
              <w:jc w:val="left"/>
              <w:rPr/>
            </w:pPr>
            <w:r>
              <w:rPr/>
              <w:t>​</w:t>
            </w:r>
          </w:p>
        </w:tc>
        <w:tc>
          <w:tcPr>
            <w:tcW w:w="251" w:type="dxa"/>
            <w:tcBorders>
              <w:bottom w:val="single" w:sz="12" w:space="0" w:color="000000"/>
            </w:tcBorders>
            <w:tcMar>
              <w:bottom w:w="28" w:type="dxa"/>
            </w:tcMar>
            <w:vAlign w:val="center"/>
          </w:tcPr>
          <w:p>
            <w:pPr>
              <w:pStyle w:val="TableContents"/>
              <w:bidi w:val="0"/>
              <w:spacing w:before="0" w:after="0"/>
              <w:ind w:left="0" w:right="0" w:hanging="0"/>
              <w:jc w:val="left"/>
              <w:rPr/>
            </w:pPr>
            <w:r>
              <w:rPr/>
              <w:t>​</w:t>
            </w:r>
          </w:p>
        </w:tc>
        <w:tc>
          <w:tcPr>
            <w:tcW w:w="1009"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222,599</w:t>
            </w:r>
          </w:p>
        </w:tc>
        <w:tc>
          <w:tcPr>
            <w:tcW w:w="326" w:type="dxa"/>
            <w:tcBorders/>
            <w:vAlign w:val="center"/>
          </w:tcPr>
          <w:p>
            <w:pPr>
              <w:pStyle w:val="TableContents"/>
              <w:bidi w:val="0"/>
              <w:spacing w:before="0" w:after="0"/>
              <w:ind w:left="0" w:right="0" w:hanging="0"/>
              <w:jc w:val="right"/>
              <w:rPr/>
            </w:pPr>
            <w:r>
              <w:rPr/>
              <w:t>​</w:t>
            </w:r>
          </w:p>
        </w:tc>
        <w:tc>
          <w:tcPr>
            <w:tcW w:w="231" w:type="dxa"/>
            <w:tcBorders>
              <w:bottom w:val="single" w:sz="12" w:space="0" w:color="000000"/>
            </w:tcBorders>
            <w:tcMar>
              <w:bottom w:w="28" w:type="dxa"/>
            </w:tcMar>
            <w:vAlign w:val="center"/>
          </w:tcPr>
          <w:p>
            <w:pPr>
              <w:pStyle w:val="TableContents"/>
              <w:bidi w:val="0"/>
              <w:spacing w:before="0" w:after="0"/>
              <w:ind w:left="0" w:right="0" w:hanging="0"/>
              <w:jc w:val="left"/>
              <w:rPr/>
            </w:pPr>
            <w:r>
              <w:rPr/>
              <w:t>​</w:t>
            </w:r>
          </w:p>
        </w:tc>
        <w:tc>
          <w:tcPr>
            <w:tcW w:w="1074"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1,256,523</w:t>
            </w:r>
          </w:p>
        </w:tc>
      </w:tr>
      <w:tr>
        <w:trPr/>
        <w:tc>
          <w:tcPr>
            <w:tcW w:w="583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right"/>
              <w:rPr/>
            </w:pPr>
            <w:r>
              <w:rPr/>
              <w:t>​</w:t>
            </w:r>
          </w:p>
        </w:tc>
        <w:tc>
          <w:tcPr>
            <w:tcW w:w="100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31" w:type="dxa"/>
            <w:tcBorders/>
            <w:shd w:fill="CCEEFF" w:val="clear"/>
            <w:vAlign w:val="center"/>
          </w:tcPr>
          <w:p>
            <w:pPr>
              <w:pStyle w:val="TableContents"/>
              <w:bidi w:val="0"/>
              <w:spacing w:before="0" w:after="0"/>
              <w:ind w:left="0" w:right="0" w:hanging="0"/>
              <w:jc w:val="right"/>
              <w:rPr/>
            </w:pPr>
            <w:r>
              <w:rPr/>
              <w:t>​</w:t>
            </w:r>
          </w:p>
        </w:tc>
        <w:tc>
          <w:tcPr>
            <w:tcW w:w="1074" w:type="dxa"/>
            <w:tcBorders/>
            <w:shd w:fill="CCEEFF" w:val="clear"/>
            <w:vAlign w:val="center"/>
          </w:tcPr>
          <w:p>
            <w:pPr>
              <w:pStyle w:val="TableContents"/>
              <w:bidi w:val="0"/>
              <w:spacing w:before="0" w:after="0"/>
              <w:ind w:left="0" w:right="0" w:hanging="0"/>
              <w:jc w:val="right"/>
              <w:rPr/>
            </w:pPr>
            <w:r>
              <w:rPr/>
              <w:t>​</w:t>
            </w:r>
          </w:p>
        </w:tc>
      </w:tr>
      <w:tr>
        <w:trPr/>
        <w:tc>
          <w:tcPr>
            <w:tcW w:w="58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flows from investing activities:</w:t>
            </w:r>
          </w:p>
        </w:tc>
        <w:tc>
          <w:tcPr>
            <w:tcW w:w="326"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right"/>
              <w:rPr/>
            </w:pPr>
            <w:r>
              <w:rPr/>
              <w:t>​</w:t>
            </w:r>
          </w:p>
        </w:tc>
        <w:tc>
          <w:tcPr>
            <w:tcW w:w="100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31" w:type="dxa"/>
            <w:tcBorders/>
            <w:vAlign w:val="center"/>
          </w:tcPr>
          <w:p>
            <w:pPr>
              <w:pStyle w:val="TableContents"/>
              <w:bidi w:val="0"/>
              <w:spacing w:before="0" w:after="0"/>
              <w:ind w:left="0" w:right="0" w:hanging="0"/>
              <w:jc w:val="right"/>
              <w:rPr/>
            </w:pPr>
            <w:r>
              <w:rPr/>
              <w:t>​</w:t>
            </w:r>
          </w:p>
        </w:tc>
        <w:tc>
          <w:tcPr>
            <w:tcW w:w="1074" w:type="dxa"/>
            <w:tcBorders/>
            <w:vAlign w:val="center"/>
          </w:tcPr>
          <w:p>
            <w:pPr>
              <w:pStyle w:val="TableContents"/>
              <w:bidi w:val="0"/>
              <w:spacing w:before="0" w:after="0"/>
              <w:ind w:left="0" w:right="0" w:hanging="0"/>
              <w:jc w:val="right"/>
              <w:rPr/>
            </w:pPr>
            <w:r>
              <w:rPr/>
              <w:t>​</w:t>
            </w:r>
          </w:p>
        </w:tc>
      </w:tr>
      <w:tr>
        <w:trPr/>
        <w:tc>
          <w:tcPr>
            <w:tcW w:w="58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Purchases of property, plant and 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left"/>
              <w:rPr/>
            </w:pPr>
            <w:r>
              <w:rPr/>
              <w:t>​</w:t>
            </w:r>
          </w:p>
        </w:tc>
        <w:tc>
          <w:tcPr>
            <w:tcW w:w="10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(158,088)</w:t>
            </w:r>
          </w:p>
        </w:tc>
        <w:tc>
          <w:tcPr>
            <w:tcW w:w="326" w:type="dxa"/>
            <w:tcBorders/>
            <w:shd w:fill="CCEEFF" w:val="clear"/>
            <w:vAlign w:val="center"/>
          </w:tcPr>
          <w:p>
            <w:pPr>
              <w:pStyle w:val="TableContents"/>
              <w:bidi w:val="0"/>
              <w:spacing w:before="0" w:after="0"/>
              <w:ind w:left="0" w:right="0" w:hanging="0"/>
              <w:jc w:val="righ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10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(111,436)</w:t>
            </w:r>
          </w:p>
        </w:tc>
      </w:tr>
      <w:tr>
        <w:trPr/>
        <w:tc>
          <w:tcPr>
            <w:tcW w:w="58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net</w:t>
            </w:r>
          </w:p>
        </w:tc>
        <w:tc>
          <w:tcPr>
            <w:tcW w:w="326" w:type="dxa"/>
            <w:tcBorders/>
            <w:vAlign w:val="center"/>
          </w:tcPr>
          <w:p>
            <w:pPr>
              <w:pStyle w:val="TableContents"/>
              <w:bidi w:val="0"/>
              <w:spacing w:before="0" w:after="0"/>
              <w:ind w:left="0" w:right="0" w:hanging="0"/>
              <w:jc w:val="left"/>
              <w:rPr/>
            </w:pPr>
            <w:r>
              <w:rPr/>
              <w:t>​</w:t>
            </w:r>
          </w:p>
        </w:tc>
        <w:tc>
          <w:tcPr>
            <w:tcW w:w="251" w:type="dxa"/>
            <w:tcBorders>
              <w:bottom w:val="single" w:sz="12" w:space="0" w:color="000000"/>
            </w:tcBorders>
            <w:tcMar>
              <w:bottom w:w="28" w:type="dxa"/>
            </w:tcMar>
            <w:vAlign w:val="center"/>
          </w:tcPr>
          <w:p>
            <w:pPr>
              <w:pStyle w:val="TableContents"/>
              <w:bidi w:val="0"/>
              <w:spacing w:before="0" w:after="0"/>
              <w:ind w:left="0" w:right="0" w:hanging="0"/>
              <w:jc w:val="right"/>
              <w:rPr/>
            </w:pPr>
            <w:r>
              <w:rPr/>
              <w:t>​</w:t>
            </w:r>
          </w:p>
        </w:tc>
        <w:tc>
          <w:tcPr>
            <w:tcW w:w="1009"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373</w:t>
            </w:r>
          </w:p>
        </w:tc>
        <w:tc>
          <w:tcPr>
            <w:tcW w:w="326" w:type="dxa"/>
            <w:tcBorders/>
            <w:vAlign w:val="center"/>
          </w:tcPr>
          <w:p>
            <w:pPr>
              <w:pStyle w:val="TableContents"/>
              <w:bidi w:val="0"/>
              <w:spacing w:before="0" w:after="0"/>
              <w:ind w:left="0" w:right="0" w:hanging="0"/>
              <w:jc w:val="right"/>
              <w:rPr/>
            </w:pPr>
            <w:r>
              <w:rPr/>
              <w:t>​</w:t>
            </w:r>
          </w:p>
        </w:tc>
        <w:tc>
          <w:tcPr>
            <w:tcW w:w="231" w:type="dxa"/>
            <w:tcBorders>
              <w:bottom w:val="single" w:sz="12" w:space="0" w:color="000000"/>
            </w:tcBorders>
            <w:tcMar>
              <w:bottom w:w="28" w:type="dxa"/>
            </w:tcMar>
            <w:vAlign w:val="center"/>
          </w:tcPr>
          <w:p>
            <w:pPr>
              <w:pStyle w:val="TableContents"/>
              <w:bidi w:val="0"/>
              <w:spacing w:before="0" w:after="0"/>
              <w:ind w:left="0" w:right="0" w:hanging="0"/>
              <w:jc w:val="right"/>
              <w:rPr/>
            </w:pPr>
            <w:r>
              <w:rPr/>
              <w:t>​</w:t>
            </w:r>
          </w:p>
        </w:tc>
        <w:tc>
          <w:tcPr>
            <w:tcW w:w="1074"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(16,279)</w:t>
            </w:r>
          </w:p>
        </w:tc>
      </w:tr>
      <w:tr>
        <w:trPr/>
        <w:tc>
          <w:tcPr>
            <w:tcW w:w="58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flows used for 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51" w:type="dxa"/>
            <w:tcBorders>
              <w:bottom w:val="single" w:sz="1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9"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(157,715)</w:t>
            </w:r>
          </w:p>
        </w:tc>
        <w:tc>
          <w:tcPr>
            <w:tcW w:w="326" w:type="dxa"/>
            <w:tcBorders/>
            <w:shd w:fill="CCEEFF" w:val="clear"/>
            <w:vAlign w:val="center"/>
          </w:tcPr>
          <w:p>
            <w:pPr>
              <w:pStyle w:val="TableContents"/>
              <w:bidi w:val="0"/>
              <w:spacing w:before="0" w:after="0"/>
              <w:ind w:left="0" w:right="0" w:hanging="0"/>
              <w:jc w:val="right"/>
              <w:rPr/>
            </w:pPr>
            <w:r>
              <w:rPr/>
              <w:t>​</w:t>
            </w:r>
          </w:p>
        </w:tc>
        <w:tc>
          <w:tcPr>
            <w:tcW w:w="231" w:type="dxa"/>
            <w:tcBorders>
              <w:bottom w:val="single" w:sz="1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74"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(127,715)</w:t>
            </w:r>
          </w:p>
        </w:tc>
      </w:tr>
      <w:tr>
        <w:trPr/>
        <w:tc>
          <w:tcPr>
            <w:tcW w:w="58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right"/>
              <w:rPr/>
            </w:pPr>
            <w:r>
              <w:rPr/>
              <w:t>​</w:t>
            </w:r>
          </w:p>
        </w:tc>
        <w:tc>
          <w:tcPr>
            <w:tcW w:w="100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31" w:type="dxa"/>
            <w:tcBorders/>
            <w:vAlign w:val="center"/>
          </w:tcPr>
          <w:p>
            <w:pPr>
              <w:pStyle w:val="TableContents"/>
              <w:bidi w:val="0"/>
              <w:spacing w:before="0" w:after="0"/>
              <w:ind w:left="0" w:right="0" w:hanging="0"/>
              <w:jc w:val="right"/>
              <w:rPr/>
            </w:pPr>
            <w:r>
              <w:rPr/>
              <w:t>​</w:t>
            </w:r>
          </w:p>
        </w:tc>
        <w:tc>
          <w:tcPr>
            <w:tcW w:w="1074" w:type="dxa"/>
            <w:tcBorders/>
            <w:vAlign w:val="center"/>
          </w:tcPr>
          <w:p>
            <w:pPr>
              <w:pStyle w:val="TableContents"/>
              <w:bidi w:val="0"/>
              <w:spacing w:before="0" w:after="0"/>
              <w:ind w:left="0" w:right="0" w:hanging="0"/>
              <w:jc w:val="right"/>
              <w:rPr/>
            </w:pPr>
            <w:r>
              <w:rPr/>
              <w:t>​</w:t>
            </w:r>
          </w:p>
        </w:tc>
      </w:tr>
      <w:tr>
        <w:trPr/>
        <w:tc>
          <w:tcPr>
            <w:tcW w:w="58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currency exchange rate changes on 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left"/>
              <w:rPr/>
            </w:pPr>
            <w:r>
              <w:rPr/>
              <w:t>​</w:t>
            </w:r>
          </w:p>
        </w:tc>
        <w:tc>
          <w:tcPr>
            <w:tcW w:w="10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3,311</w:t>
            </w:r>
          </w:p>
        </w:tc>
        <w:tc>
          <w:tcPr>
            <w:tcW w:w="326" w:type="dxa"/>
            <w:tcBorders/>
            <w:shd w:fill="CCEEFF" w:val="clear"/>
            <w:vAlign w:val="center"/>
          </w:tcPr>
          <w:p>
            <w:pPr>
              <w:pStyle w:val="TableContents"/>
              <w:bidi w:val="0"/>
              <w:spacing w:before="0" w:after="0"/>
              <w:ind w:left="0" w:right="0" w:hanging="0"/>
              <w:jc w:val="righ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10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8,778</w:t>
            </w:r>
          </w:p>
        </w:tc>
      </w:tr>
      <w:tr>
        <w:trPr/>
        <w:tc>
          <w:tcPr>
            <w:tcW w:w="58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right"/>
              <w:rPr/>
            </w:pPr>
            <w:r>
              <w:rPr/>
              <w:t>​</w:t>
            </w:r>
          </w:p>
        </w:tc>
        <w:tc>
          <w:tcPr>
            <w:tcW w:w="100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31" w:type="dxa"/>
            <w:tcBorders/>
            <w:vAlign w:val="center"/>
          </w:tcPr>
          <w:p>
            <w:pPr>
              <w:pStyle w:val="TableContents"/>
              <w:bidi w:val="0"/>
              <w:spacing w:before="0" w:after="0"/>
              <w:ind w:left="0" w:right="0" w:hanging="0"/>
              <w:jc w:val="right"/>
              <w:rPr/>
            </w:pPr>
            <w:r>
              <w:rPr/>
              <w:t>​</w:t>
            </w:r>
          </w:p>
        </w:tc>
        <w:tc>
          <w:tcPr>
            <w:tcW w:w="1074" w:type="dxa"/>
            <w:tcBorders/>
            <w:vAlign w:val="center"/>
          </w:tcPr>
          <w:p>
            <w:pPr>
              <w:pStyle w:val="TableContents"/>
              <w:bidi w:val="0"/>
              <w:spacing w:before="0" w:after="0"/>
              <w:ind w:left="0" w:right="0" w:hanging="0"/>
              <w:jc w:val="right"/>
              <w:rPr/>
            </w:pPr>
            <w:r>
              <w:rPr/>
              <w:t>​</w:t>
            </w:r>
          </w:p>
        </w:tc>
      </w:tr>
      <w:tr>
        <w:trPr/>
        <w:tc>
          <w:tcPr>
            <w:tcW w:w="58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1009"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326"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231"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1074" w:type="dxa"/>
            <w:tcBorders/>
            <w:shd w:fill="CCEEFF" w:val="clear"/>
            <w:vAlign w:val="center"/>
          </w:tcPr>
          <w:p>
            <w:pPr>
              <w:pStyle w:val="TableContents"/>
              <w:bidi w:val="0"/>
              <w:spacing w:before="0" w:after="0"/>
              <w:ind w:left="0" w:right="0" w:hanging="0"/>
              <w:jc w:val="left"/>
              <w:rPr>
                <w:color w:val="575757"/>
              </w:rPr>
            </w:pPr>
            <w:r>
              <w:rPr>
                <w:color w:val="575757"/>
              </w:rPr>
              <w:t>​</w:t>
            </w:r>
          </w:p>
        </w:tc>
      </w:tr>
      <w:tr>
        <w:trPr/>
        <w:tc>
          <w:tcPr>
            <w:tcW w:w="5836" w:type="dxa"/>
            <w:tcBorders/>
            <w:vAlign w:val="center"/>
          </w:tcPr>
          <w:p>
            <w:pPr>
              <w:pStyle w:val="TableContents"/>
              <w:bidi w:val="0"/>
              <w:spacing w:before="0" w:after="0"/>
              <w:ind w:left="0" w:right="0" w:hanging="0"/>
              <w:jc w:val="left"/>
              <w:rPr/>
            </w:pPr>
            <w:r>
              <w:rPr/>
              <w:t xml:space="preserve">— </w:t>
            </w:r>
            <w:r>
              <w:rPr>
                <w:rFonts w:ascii="Times New Roman;Times;serif" w:hAnsi="Times New Roman;Times;serif"/>
                <w:sz w:val="20"/>
              </w:rPr>
              <w:t>(decrease) increase</w:t>
            </w:r>
          </w:p>
        </w:tc>
        <w:tc>
          <w:tcPr>
            <w:tcW w:w="326"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w:t>
            </w:r>
          </w:p>
        </w:tc>
        <w:tc>
          <w:tcPr>
            <w:tcW w:w="10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(15,380)</w:t>
            </w:r>
          </w:p>
        </w:tc>
        <w:tc>
          <w:tcPr>
            <w:tcW w:w="326" w:type="dxa"/>
            <w:tcBorders/>
            <w:vAlign w:val="center"/>
          </w:tcPr>
          <w:p>
            <w:pPr>
              <w:pStyle w:val="TableContents"/>
              <w:bidi w:val="0"/>
              <w:spacing w:before="0" w:after="0"/>
              <w:ind w:left="0" w:right="0" w:hanging="0"/>
              <w:jc w:val="right"/>
              <w:rPr/>
            </w:pPr>
            <w:r>
              <w:rPr/>
              <w:t>​</w:t>
            </w:r>
          </w:p>
        </w:tc>
        <w:tc>
          <w:tcPr>
            <w:tcW w:w="231" w:type="dxa"/>
            <w:tcBorders/>
            <w:vAlign w:val="center"/>
          </w:tcPr>
          <w:p>
            <w:pPr>
              <w:pStyle w:val="TableContents"/>
              <w:bidi w:val="0"/>
              <w:spacing w:before="0" w:after="0"/>
              <w:ind w:left="0" w:right="0" w:hanging="0"/>
              <w:jc w:val="left"/>
              <w:rPr/>
            </w:pPr>
            <w:r>
              <w:rPr/>
              <w:t>​</w:t>
            </w:r>
          </w:p>
        </w:tc>
        <w:tc>
          <w:tcPr>
            <w:tcW w:w="10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171,085</w:t>
            </w:r>
          </w:p>
        </w:tc>
      </w:tr>
      <w:tr>
        <w:trPr/>
        <w:tc>
          <w:tcPr>
            <w:tcW w:w="5836" w:type="dxa"/>
            <w:tcBorders/>
            <w:shd w:fill="CCEEFF" w:val="clear"/>
            <w:vAlign w:val="center"/>
          </w:tcPr>
          <w:p>
            <w:pPr>
              <w:pStyle w:val="TableContents"/>
              <w:bidi w:val="0"/>
              <w:spacing w:before="0" w:after="0"/>
              <w:ind w:left="0" w:right="0" w:hanging="0"/>
              <w:jc w:val="left"/>
              <w:rPr/>
            </w:pPr>
            <w:r>
              <w:rPr/>
              <w:t xml:space="preserve">— </w:t>
            </w:r>
            <w:r>
              <w:rPr>
                <w:rFonts w:ascii="Times New Roman;Times;serif" w:hAnsi="Times New Roman;Times;serif"/>
                <w:sz w:val="20"/>
              </w:rPr>
              <w:t>at beginning of period</w:t>
            </w:r>
          </w:p>
        </w:tc>
        <w:tc>
          <w:tcPr>
            <w:tcW w:w="326" w:type="dxa"/>
            <w:tcBorders/>
            <w:shd w:fill="CCEEFF" w:val="clear"/>
            <w:vAlign w:val="center"/>
          </w:tcPr>
          <w:p>
            <w:pPr>
              <w:pStyle w:val="TableContents"/>
              <w:bidi w:val="0"/>
              <w:spacing w:before="0" w:after="0"/>
              <w:ind w:left="0" w:right="0" w:hanging="0"/>
              <w:jc w:val="left"/>
              <w:rPr/>
            </w:pPr>
            <w:r>
              <w:rPr/>
              <w:t>​</w:t>
            </w:r>
          </w:p>
        </w:tc>
        <w:tc>
          <w:tcPr>
            <w:tcW w:w="251"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09"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288,230</w:t>
            </w:r>
          </w:p>
        </w:tc>
        <w:tc>
          <w:tcPr>
            <w:tcW w:w="326" w:type="dxa"/>
            <w:tcBorders/>
            <w:shd w:fill="CCEEFF" w:val="clear"/>
            <w:vAlign w:val="center"/>
          </w:tcPr>
          <w:p>
            <w:pPr>
              <w:pStyle w:val="TableContents"/>
              <w:bidi w:val="0"/>
              <w:spacing w:before="0" w:after="0"/>
              <w:ind w:left="0" w:right="0" w:hanging="0"/>
              <w:jc w:val="right"/>
              <w:rPr/>
            </w:pPr>
            <w:r>
              <w:rPr/>
              <w:t>​</w:t>
            </w:r>
          </w:p>
        </w:tc>
        <w:tc>
          <w:tcPr>
            <w:tcW w:w="231"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74"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153,693</w:t>
            </w:r>
          </w:p>
        </w:tc>
      </w:tr>
      <w:tr>
        <w:trPr/>
        <w:tc>
          <w:tcPr>
            <w:tcW w:w="5836" w:type="dxa"/>
            <w:tcBorders/>
            <w:vAlign w:val="center"/>
          </w:tcPr>
          <w:p>
            <w:pPr>
              <w:pStyle w:val="TableContents"/>
              <w:bidi w:val="0"/>
              <w:spacing w:before="0" w:after="0"/>
              <w:ind w:left="0" w:right="0" w:hanging="0"/>
              <w:jc w:val="left"/>
              <w:rPr/>
            </w:pPr>
            <w:r>
              <w:rPr/>
              <w:t xml:space="preserve">— </w:t>
            </w:r>
            <w:r>
              <w:rPr>
                <w:rFonts w:ascii="Times New Roman;Times;serif" w:hAnsi="Times New Roman;Times;serif"/>
                <w:sz w:val="20"/>
              </w:rPr>
              <w:t>at end of period</w:t>
            </w:r>
          </w:p>
        </w:tc>
        <w:tc>
          <w:tcPr>
            <w:tcW w:w="326" w:type="dxa"/>
            <w:tcBorders/>
            <w:vAlign w:val="center"/>
          </w:tcPr>
          <w:p>
            <w:pPr>
              <w:pStyle w:val="TableContents"/>
              <w:bidi w:val="0"/>
              <w:spacing w:before="0" w:after="0"/>
              <w:ind w:left="0" w:right="0" w:hanging="0"/>
              <w:jc w:val="left"/>
              <w:rPr>
                <w:color w:val="575757"/>
              </w:rPr>
            </w:pPr>
            <w:r>
              <w:rPr>
                <w:color w:val="575757"/>
              </w:rPr>
              <w:t>​</w:t>
            </w:r>
          </w:p>
        </w:tc>
        <w:tc>
          <w:tcPr>
            <w:tcW w:w="25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272,850</w:t>
            </w:r>
          </w:p>
        </w:tc>
        <w:tc>
          <w:tcPr>
            <w:tcW w:w="326" w:type="dxa"/>
            <w:tcBorders/>
            <w:vAlign w:val="center"/>
          </w:tcPr>
          <w:p>
            <w:pPr>
              <w:pStyle w:val="TableContents"/>
              <w:bidi w:val="0"/>
              <w:spacing w:before="0" w:after="0"/>
              <w:ind w:left="0" w:right="0" w:hanging="0"/>
              <w:jc w:val="right"/>
              <w:rPr/>
            </w:pPr>
            <w:r>
              <w:rPr/>
              <w:t>​</w:t>
            </w:r>
          </w:p>
        </w:tc>
        <w:tc>
          <w:tcPr>
            <w:tcW w:w="23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4"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324,778</w:t>
            </w:r>
          </w:p>
        </w:tc>
      </w:tr>
    </w:tbl>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notes to consolidated financial statements.</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lineRule="auto" w:line="343"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43" w:before="0" w:after="240"/>
        <w:ind w:left="0" w:right="0" w:hanging="0"/>
        <w:jc w:val="center"/>
        <w:rPr>
          <w:rFonts w:ascii="Times New Roman;Times;serif" w:hAnsi="Times New Roman;Times;serif"/>
          <w:b/>
          <w:sz w:val="20"/>
        </w:rPr>
      </w:pPr>
      <w:r>
        <w:rPr>
          <w:rFonts w:ascii="Times New Roman;Times;serif" w:hAnsi="Times New Roman;Times;serif"/>
          <w:b/>
          <w:sz w:val="20"/>
        </w:rPr>
        <w:t>AVNET, INC. AND SUBSIDIARIES</w:t>
        <w:br/>
        <w:t>NOTES TO CONSOLIDATED FINANCIAL STATEMENTS</w:t>
        <w:br/>
        <w:t>(Unaudited)</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bookmarkStart w:id="693" w:name="bm_1_Basis_of_presentation"/>
      <w:bookmarkStart w:id="694" w:name="Notes_to_Consolidated_Financial_Statemen"/>
      <w:bookmarkEnd w:id="693"/>
      <w:bookmarkEnd w:id="694"/>
      <w:r>
        <w:rPr>
          <w:rFonts w:ascii="Times New Roman;Times;serif" w:hAnsi="Times New Roman;Times;serif"/>
          <w:b/>
          <w:sz w:val="20"/>
        </w:rPr>
        <w:t>1. Basis of presentation and new accounting pronouncements</w:t>
      </w:r>
    </w:p>
    <w:p>
      <w:pPr>
        <w:pStyle w:val="TextBody"/>
        <w:bidi w:val="0"/>
        <w:spacing w:before="0" w:after="0"/>
        <w:ind w:left="0" w:right="0" w:firstLine="475"/>
        <w:jc w:val="both"/>
        <w:rPr/>
      </w:pPr>
      <w:r>
        <w:rPr/>
        <w:t>​</w:t>
      </w:r>
    </w:p>
    <w:p>
      <w:pPr>
        <w:pStyle w:val="TextBody"/>
        <w:bidi w:val="0"/>
        <w:spacing w:before="0" w:after="0"/>
        <w:ind w:left="0" w:right="0" w:firstLine="475"/>
        <w:jc w:val="left"/>
        <w:rPr>
          <w:rFonts w:ascii="Times New Roman;Times;serif" w:hAnsi="Times New Roman;Times;serif"/>
          <w:sz w:val="20"/>
        </w:rPr>
      </w:pPr>
      <w:r>
        <w:rPr>
          <w:rFonts w:ascii="Times New Roman;Times;serif" w:hAnsi="Times New Roman;Times;serif"/>
          <w:sz w:val="20"/>
        </w:rPr>
        <w:t xml:space="preserve">In the opinion of management, the accompanying unaudited interim consolidated financial statements contain all adjustments necessary to present fairly Avnet, Inc. and its consolidated subsidiaries’ (collectively, the “Company” or “Avnet”) financial position, results of operations, comprehensive income, and cash flows. All such adjustments are of a normal recurring nature. Certain reclassifications have been made to fiscal 2023 balances to correspond to the fiscal 2024 consolidated financial statement presentation. </w:t>
      </w:r>
    </w:p>
    <w:p>
      <w:pPr>
        <w:pStyle w:val="TextBody"/>
        <w:bidi w:val="0"/>
        <w:spacing w:before="0" w:after="0"/>
        <w:ind w:left="0" w:right="0" w:firstLine="475"/>
        <w:jc w:val="left"/>
        <w:rPr/>
      </w:pPr>
      <w:r>
        <w:rPr/>
        <w:t>​</w:t>
      </w:r>
    </w:p>
    <w:p>
      <w:pPr>
        <w:pStyle w:val="TextBody"/>
        <w:bidi w:val="0"/>
        <w:spacing w:before="0" w:after="0"/>
        <w:ind w:left="0" w:right="0" w:firstLine="475"/>
        <w:jc w:val="left"/>
        <w:rPr>
          <w:rFonts w:ascii="Times New Roman;Times;serif" w:hAnsi="Times New Roman;Times;serif"/>
          <w:sz w:val="20"/>
        </w:rPr>
      </w:pPr>
      <w:r>
        <w:rPr>
          <w:rFonts w:ascii="Times New Roman;Times;serif" w:hAnsi="Times New Roman;Times;serif"/>
          <w:sz w:val="20"/>
        </w:rPr>
        <w:t xml:space="preserve">Preparing financial statements in accordance with generally accepted accounting principles in the United States (“GAAP”) requires management to make estimates and assumptions that affect the amounts reported in the consolidated financial statements. Actual results may differ from these estimates and assumptions. </w:t>
      </w:r>
    </w:p>
    <w:p>
      <w:pPr>
        <w:pStyle w:val="TextBody"/>
        <w:bidi w:val="0"/>
        <w:spacing w:before="240" w:after="0"/>
        <w:ind w:left="0" w:right="0" w:firstLine="475"/>
        <w:jc w:val="left"/>
        <w:rPr>
          <w:rFonts w:ascii="Times New Roman;Times;serif" w:hAnsi="Times New Roman;Times;serif"/>
          <w:sz w:val="20"/>
        </w:rPr>
      </w:pPr>
      <w:r>
        <w:rPr>
          <w:rFonts w:ascii="Times New Roman;Times;serif" w:hAnsi="Times New Roman;Times;serif"/>
          <w:sz w:val="20"/>
        </w:rPr>
        <w:t>Interim results of operations do not necessarily indicate the results to be expected for the full fiscal year. The information included in this Form 10-Q should be read in conjunction with the consolidated financial statements and accompanying notes included in the Company’s Annual Report on Form 10-K for the fiscal year ended July 1, 2023.</w:t>
      </w:r>
    </w:p>
    <w:p>
      <w:pPr>
        <w:pStyle w:val="TextBody"/>
        <w:bidi w:val="0"/>
        <w:spacing w:before="0" w:after="0"/>
        <w:ind w:left="0" w:right="0" w:firstLine="475"/>
        <w:jc w:val="both"/>
        <w:rPr/>
      </w:pPr>
      <w:r>
        <w:rPr/>
        <w:t>​</w:t>
      </w:r>
    </w:p>
    <w:p>
      <w:pPr>
        <w:pStyle w:val="TextBody"/>
        <w:bidi w:val="0"/>
        <w:spacing w:before="0" w:after="0"/>
        <w:ind w:left="0" w:right="0" w:firstLine="475"/>
        <w:jc w:val="both"/>
        <w:rPr>
          <w:rFonts w:ascii="Times New Roman;Times;serif" w:hAnsi="Times New Roman;Times;serif"/>
          <w:i/>
          <w:sz w:val="20"/>
        </w:rPr>
      </w:pPr>
      <w:r>
        <w:rPr>
          <w:rFonts w:ascii="Times New Roman;Times;serif" w:hAnsi="Times New Roman;Times;serif"/>
          <w:i/>
          <w:sz w:val="20"/>
        </w:rPr>
        <w:t>Recently adopted accounting pronouncements</w:t>
      </w:r>
    </w:p>
    <w:p>
      <w:pPr>
        <w:pStyle w:val="TextBody"/>
        <w:bidi w:val="0"/>
        <w:spacing w:before="240" w:after="0"/>
        <w:ind w:left="0" w:right="0" w:firstLine="475"/>
        <w:jc w:val="left"/>
        <w:rPr>
          <w:rFonts w:ascii="Times New Roman;Times;serif" w:hAnsi="Times New Roman;Times;serif"/>
          <w:sz w:val="20"/>
        </w:rPr>
      </w:pPr>
      <w:r>
        <w:rPr>
          <w:rFonts w:ascii="Times New Roman;Times;serif" w:hAnsi="Times New Roman;Times;serif"/>
          <w:sz w:val="20"/>
        </w:rPr>
        <w:t>In September 2022, the FASB issued ASU No. 2022-04, Liabilities (subtopic 405-50): Supplier Finance Programs (“ASU No. 2022-04”) to enhance the transparency of certain supplier finance programs to assist financial statement users in understanding the effect of such programs on a company’s working capital, liquidity, and cash flows. The new guidance requires qualitative and quantitative disclosure sufficient to enable users of the financial statements to understand the nature, activity during the period, changes from period to period, and potential magnitude of such programs. The Company adopted this guidance in the first quarter of fiscal 2024, except for the amendment on roll-forward information, which is effective for the Company in fiscal 2025. The Company’s adoption of ASU No. 2022-04 did not have a material impact on the Company’s consolidated financial statements.</w:t>
      </w:r>
    </w:p>
    <w:p>
      <w:pPr>
        <w:pStyle w:val="TextBody"/>
        <w:bidi w:val="0"/>
        <w:spacing w:before="240" w:after="0"/>
        <w:ind w:left="0" w:right="0" w:firstLine="475"/>
        <w:jc w:val="left"/>
        <w:rPr>
          <w:rFonts w:ascii="Times New Roman;Times;serif" w:hAnsi="Times New Roman;Times;serif"/>
          <w:i/>
          <w:sz w:val="20"/>
        </w:rPr>
      </w:pPr>
      <w:r>
        <w:rPr>
          <w:rFonts w:ascii="Times New Roman;Times;serif" w:hAnsi="Times New Roman;Times;serif"/>
          <w:i/>
          <w:sz w:val="20"/>
        </w:rPr>
        <w:t>Recently issued accounting pronouncements</w:t>
      </w:r>
    </w:p>
    <w:p>
      <w:pPr>
        <w:pStyle w:val="TextBody"/>
        <w:bidi w:val="0"/>
        <w:spacing w:before="240" w:after="0"/>
        <w:ind w:left="0" w:right="0" w:firstLine="475"/>
        <w:jc w:val="left"/>
        <w:rPr>
          <w:rFonts w:ascii="Times New Roman;Times;serif" w:hAnsi="Times New Roman;Times;serif"/>
          <w:sz w:val="20"/>
        </w:rPr>
      </w:pPr>
      <w:r>
        <w:rPr>
          <w:rFonts w:ascii="Times New Roman;Times;serif" w:hAnsi="Times New Roman;Times;serif"/>
          <w:sz w:val="20"/>
        </w:rPr>
        <w:t xml:space="preserve">In November 2023, the FASB issued ASU No. 2023-07, </w:t>
      </w:r>
      <w:r>
        <w:rPr>
          <w:rFonts w:ascii="Times New Roman;Times;serif" w:hAnsi="Times New Roman;Times;serif"/>
          <w:i/>
          <w:sz w:val="20"/>
        </w:rPr>
        <w:t>Segment reporting (Topic 280): Improvements to Reportable Segment Disclosures</w:t>
      </w:r>
      <w:r>
        <w:rPr>
          <w:rFonts w:ascii="Times New Roman;Times;serif" w:hAnsi="Times New Roman;Times;serif"/>
          <w:sz w:val="20"/>
        </w:rPr>
        <w:t xml:space="preserve"> (“ASU No. 2023-07”) which improves segment disclosure requirements, primarily through increased disclosures about significant segment expenses. ASU No. 2023-07 will be effective for the Company in fiscal year 2025, and interim periods beginning in fiscal year 2026 with early adoption permitted. The Company is currently evaluating the impact of adopting ASU No. 2023-07 on its consolidated financial statements and disclosures.</w:t>
      </w:r>
    </w:p>
    <w:p>
      <w:pPr>
        <w:pStyle w:val="TextBody"/>
        <w:bidi w:val="0"/>
        <w:spacing w:before="240" w:after="0"/>
        <w:ind w:left="0" w:right="0" w:firstLine="475"/>
        <w:jc w:val="left"/>
        <w:rPr>
          <w:rFonts w:ascii="Times New Roman;Times;serif" w:hAnsi="Times New Roman;Times;serif"/>
          <w:sz w:val="20"/>
        </w:rPr>
      </w:pPr>
      <w:r>
        <w:rPr>
          <w:rFonts w:ascii="Times New Roman;Times;serif" w:hAnsi="Times New Roman;Times;serif"/>
          <w:sz w:val="20"/>
        </w:rPr>
        <w:t xml:space="preserve">In December 2023, the FASB issued ASU No. 2023-09, </w:t>
      </w:r>
      <w:r>
        <w:rPr>
          <w:rFonts w:ascii="Times New Roman;Times;serif" w:hAnsi="Times New Roman;Times;serif"/>
          <w:i/>
          <w:sz w:val="20"/>
        </w:rPr>
        <w:t xml:space="preserve">Income Taxes (Topic 740): Improvements to Tax Disclosures </w:t>
      </w:r>
      <w:r>
        <w:rPr>
          <w:rFonts w:ascii="Times New Roman;Times;serif" w:hAnsi="Times New Roman;Times;serif"/>
          <w:sz w:val="20"/>
        </w:rPr>
        <w:t>(“ASU No. 2023-09”), which updates income tax disclosures related to the effective income tax rate reconciliation and requires disclosure of income taxes paid by jurisdiction. ASU No. 2023-09 also provides further disclosure comparability. ASU No. 2023-09 will be effective for the Company in fiscal year 2026 and early adoption is permitted. The Company is currently evaluating the impact of adopting ASU No. 2023-09 on its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both"/>
        <w:rPr/>
      </w:pPr>
      <w:r>
        <w:rPr/>
        <w:t>​</w:t>
      </w:r>
    </w:p>
    <w:p>
      <w:pPr>
        <w:pStyle w:val="TextBody"/>
        <w:bidi w:val="0"/>
        <w:spacing w:before="0" w:after="0"/>
        <w:ind w:left="0" w:right="0" w:firstLine="475"/>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lineRule="auto" w:line="343"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43" w:before="0" w:after="0"/>
        <w:ind w:left="0" w:right="0" w:hanging="0"/>
        <w:jc w:val="center"/>
        <w:rPr>
          <w:rFonts w:ascii="Times New Roman;Times;serif" w:hAnsi="Times New Roman;Times;serif"/>
          <w:b/>
          <w:sz w:val="20"/>
        </w:rPr>
      </w:pPr>
      <w:r>
        <w:rPr>
          <w:rFonts w:ascii="Times New Roman;Times;serif" w:hAnsi="Times New Roman;Times;serif"/>
          <w:b/>
          <w:sz w:val="20"/>
        </w:rPr>
        <w:t>AVNET, INC. AND SUBSIDIARIES</w:t>
      </w:r>
    </w:p>
    <w:p>
      <w:pPr>
        <w:pStyle w:val="TextBody"/>
        <w:bidi w:val="0"/>
        <w:spacing w:lineRule="auto" w:line="343"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hanging="0"/>
        <w:jc w:val="both"/>
        <w:rPr>
          <w:rFonts w:ascii="Times New Roman;Times;serif" w:hAnsi="Times New Roman;Times;serif"/>
          <w:b/>
          <w:sz w:val="20"/>
        </w:rPr>
      </w:pPr>
      <w:bookmarkStart w:id="695" w:name="Tc_a39nkdS6B0WOFGHZFJh0VA_9_5"/>
      <w:bookmarkStart w:id="696" w:name="Tc_-jws17yF3kO97RT6GM1r-w_9_2"/>
      <w:bookmarkStart w:id="697" w:name="Tc_8GZ2t2kuREmV_3eQhiPw5A_9_0"/>
      <w:bookmarkStart w:id="698" w:name="Tc_ATJpV5JLAEG2KFzE7oe8kg_8_0"/>
      <w:bookmarkStart w:id="699" w:name="Tc_-FE2TBwg1k2zrlA-tKdBRQ_7_0"/>
      <w:bookmarkStart w:id="700" w:name="Tc_ZZnRV4SBtUqjQeeEalX61g_6_0"/>
      <w:bookmarkStart w:id="701" w:name="Tc_I2SkUj0HeE2LXzoy_4kcmw_5_0"/>
      <w:bookmarkStart w:id="702" w:name="Tc_zQLfVwJtOk2NRlnrUQIkcQ_4_5"/>
      <w:bookmarkStart w:id="703" w:name="Tc_p5f-NkeFkEKh1WyzDONKTg_4_2"/>
      <w:bookmarkStart w:id="704" w:name="Tc_2zGkgNyY0kOwcILq6iuRVw_4_0"/>
      <w:bookmarkStart w:id="705" w:name="Tc_xmZ8dcybfku4pltNIKEhIA_3_2"/>
      <w:bookmarkStart w:id="706" w:name="Tc_T6GO6fMvu0y7XZNEe_hWdQ_2_5"/>
      <w:bookmarkStart w:id="707" w:name="Tc_SIHs8iD0YUOgPxcTna8RWg_2_2"/>
      <w:bookmarkStart w:id="708" w:name="Tc_-KoLz_5oxEml0GGbtbiy7g_1_5"/>
      <w:bookmarkStart w:id="709" w:name="Tc_pyPT9lluVUCyRtIMWWiseg_1_2"/>
      <w:bookmarkStart w:id="710" w:name="Tc_ObJm-2sveU-CxlzrCcSoUg_5_5"/>
      <w:bookmarkStart w:id="711" w:name="Tc_Q3vYiSze4Em13EBeVK1ruA_5_2"/>
      <w:bookmarkStart w:id="712" w:name="Tc_sC6V-a0fj0iCRpSQ5Qilig_5_0"/>
      <w:bookmarkStart w:id="713" w:name="Tc_wc2h5hLKS0mNElzWuKHxXg_4_5"/>
      <w:bookmarkStart w:id="714" w:name="Tc_uE9BxQ3IHU6wzAEeTXiq3Q_4_2"/>
      <w:bookmarkStart w:id="715" w:name="Tc_SNYZGJG020eC6L34QTN0UQ_4_0"/>
      <w:bookmarkStart w:id="716" w:name="Tc_4CMrqjl7W0WUS4IHPE_nJg_3_2"/>
      <w:bookmarkStart w:id="717" w:name="Tc_Yew8uEaXS0q44vAoog0bUw_2_5"/>
      <w:bookmarkStart w:id="718" w:name="Tc_kmA6ZnRz30CEKSD6cp1gcQ_2_2"/>
      <w:bookmarkStart w:id="719" w:name="Tc_AaokFpx9AU2bI3Ez_Dg0RA_1_5"/>
      <w:bookmarkStart w:id="720" w:name="Tc_CtsDrhEmZ06cgU3IYVVA4w_1_2"/>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r>
        <w:rPr>
          <w:rFonts w:ascii="Times New Roman;Times;serif" w:hAnsi="Times New Roman;Times;serif"/>
          <w:b/>
          <w:sz w:val="20"/>
        </w:rPr>
        <w:t>2. Working capital</w:t>
      </w:r>
    </w:p>
    <w:p>
      <w:pPr>
        <w:pStyle w:val="TextBody"/>
        <w:bidi w:val="0"/>
        <w:spacing w:before="0" w:after="0"/>
        <w:ind w:left="0" w:right="0" w:firstLine="475"/>
        <w:jc w:val="both"/>
        <w:rPr/>
      </w:pPr>
      <w:r>
        <w:rPr/>
        <w:t>​</w:t>
      </w:r>
    </w:p>
    <w:p>
      <w:pPr>
        <w:pStyle w:val="TextBody"/>
        <w:bidi w:val="0"/>
        <w:spacing w:before="0" w:after="0"/>
        <w:ind w:left="0" w:right="0" w:firstLine="475"/>
        <w:jc w:val="both"/>
        <w:rPr>
          <w:rFonts w:ascii="Times New Roman;Times;serif" w:hAnsi="Times New Roman;Times;serif"/>
          <w:b/>
          <w:i/>
          <w:sz w:val="20"/>
        </w:rPr>
      </w:pPr>
      <w:r>
        <w:rPr>
          <w:rFonts w:ascii="Times New Roman;Times;serif" w:hAnsi="Times New Roman;Times;serif"/>
          <w:b/>
          <w:i/>
          <w:sz w:val="20"/>
        </w:rPr>
        <w:t>Receivables</w:t>
      </w:r>
    </w:p>
    <w:p>
      <w:pPr>
        <w:pStyle w:val="TextBody"/>
        <w:bidi w:val="0"/>
        <w:spacing w:before="0" w:after="0"/>
        <w:ind w:left="0" w:right="0" w:firstLine="475"/>
        <w:jc w:val="both"/>
        <w:rPr/>
      </w:pPr>
      <w:r>
        <w:rPr/>
        <w:t>​</w:t>
      </w:r>
    </w:p>
    <w:p>
      <w:pPr>
        <w:pStyle w:val="TextBody"/>
        <w:bidi w:val="0"/>
        <w:spacing w:before="0" w:after="0"/>
        <w:ind w:left="0" w:right="0" w:firstLine="475"/>
        <w:jc w:val="both"/>
        <w:rPr>
          <w:rFonts w:ascii="Times New Roman;Times;serif" w:hAnsi="Times New Roman;Times;serif"/>
          <w:sz w:val="20"/>
        </w:rPr>
      </w:pPr>
      <w:r>
        <w:rPr>
          <w:rFonts w:ascii="Times New Roman;Times;serif" w:hAnsi="Times New Roman;Times;serif"/>
          <w:sz w:val="20"/>
        </w:rPr>
        <w:t>The Company’s receivables and allowance for credit losses were as follows:</w:t>
      </w:r>
    </w:p>
    <w:p>
      <w:pPr>
        <w:pStyle w:val="TextBody"/>
        <w:bidi w:val="0"/>
        <w:spacing w:before="0" w:after="0"/>
        <w:ind w:left="0" w:right="0" w:firstLine="475"/>
        <w:jc w:val="both"/>
        <w:rPr/>
      </w:pPr>
      <w:r>
        <w:rPr/>
        <w:t>​</w:t>
      </w:r>
    </w:p>
    <w:tbl>
      <w:tblPr>
        <w:tblW w:w="5066" w:type="dxa"/>
        <w:jc w:val="left"/>
        <w:tblInd w:w="0" w:type="dxa"/>
        <w:tblLayout w:type="fixed"/>
        <w:tblCellMar>
          <w:top w:w="0" w:type="dxa"/>
          <w:left w:w="0" w:type="dxa"/>
          <w:bottom w:w="0" w:type="dxa"/>
          <w:right w:w="0" w:type="dxa"/>
        </w:tblCellMar>
      </w:tblPr>
      <w:tblGrid>
        <w:gridCol w:w="2401"/>
        <w:gridCol w:w="109"/>
        <w:gridCol w:w="232"/>
        <w:gridCol w:w="1028"/>
        <w:gridCol w:w="109"/>
        <w:gridCol w:w="211"/>
        <w:gridCol w:w="976"/>
      </w:tblGrid>
      <w:tr>
        <w:trPr/>
        <w:tc>
          <w:tcPr>
            <w:tcW w:w="24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1524635" cy="175260"/>
                      <wp:effectExtent l="0" t="0" r="0" b="0"/>
                      <wp:wrapNone/>
                      <wp:docPr id="85" name="Frame85"/>
                      <a:graphic xmlns:a="http://schemas.openxmlformats.org/drawingml/2006/main">
                        <a:graphicData uri="http://schemas.microsoft.com/office/word/2010/wordprocessingShape">
                          <wps:wsp>
                            <wps:cNvSpPr txBox="1"/>
                            <wps:spPr>
                              <a:xfrm>
                                <a:off x="0" y="0"/>
                                <a:ext cx="1524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9215" cy="175260"/>
                      <wp:effectExtent l="0" t="0" r="0" b="0"/>
                      <wp:wrapNone/>
                      <wp:docPr id="86" name="Frame8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147320" cy="175260"/>
                      <wp:effectExtent l="0" t="0" r="0" b="0"/>
                      <wp:wrapNone/>
                      <wp:docPr id="87" name="Frame87"/>
                      <a:graphic xmlns:a="http://schemas.openxmlformats.org/drawingml/2006/main">
                        <a:graphicData uri="http://schemas.microsoft.com/office/word/2010/wordprocessingShape">
                          <wps:wsp>
                            <wps:cNvSpPr txBox="1"/>
                            <wps:spPr>
                              <a:xfrm>
                                <a:off x="0" y="0"/>
                                <a:ext cx="147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52780" cy="175260"/>
                      <wp:effectExtent l="0" t="0" r="0" b="0"/>
                      <wp:wrapNone/>
                      <wp:docPr id="88" name="Frame88"/>
                      <a:graphic xmlns:a="http://schemas.openxmlformats.org/drawingml/2006/main">
                        <a:graphicData uri="http://schemas.microsoft.com/office/word/2010/wordprocessingShape">
                          <wps:wsp>
                            <wps:cNvSpPr txBox="1"/>
                            <wps:spPr>
                              <a:xfrm>
                                <a:off x="0" y="0"/>
                                <a:ext cx="652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9215" cy="175260"/>
                      <wp:effectExtent l="0" t="0" r="0" b="0"/>
                      <wp:wrapNone/>
                      <wp:docPr id="89" name="Frame8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133985" cy="175260"/>
                      <wp:effectExtent l="0" t="0" r="0" b="0"/>
                      <wp:wrapNone/>
                      <wp:docPr id="90" name="Frame9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19760" cy="175260"/>
                      <wp:effectExtent l="0" t="0" r="0" b="0"/>
                      <wp:wrapNone/>
                      <wp:docPr id="91" name="Frame91"/>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260"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30,</w:t>
            </w:r>
          </w:p>
        </w:tc>
        <w:tc>
          <w:tcPr>
            <w:tcW w:w="109" w:type="dxa"/>
            <w:tcBorders/>
            <w:vAlign w:val="center"/>
          </w:tcPr>
          <w:p>
            <w:pPr>
              <w:pStyle w:val="TableContents"/>
              <w:bidi w:val="0"/>
              <w:spacing w:before="0" w:after="0"/>
              <w:ind w:left="0" w:right="0" w:hanging="0"/>
              <w:jc w:val="left"/>
              <w:rPr/>
            </w:pPr>
            <w:r>
              <w:rPr/>
              <w:t>​</w:t>
            </w:r>
          </w:p>
        </w:tc>
        <w:tc>
          <w:tcPr>
            <w:tcW w:w="1187"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July 1,</w:t>
            </w:r>
          </w:p>
        </w:tc>
      </w:tr>
      <w:tr>
        <w:trPr/>
        <w:tc>
          <w:tcPr>
            <w:tcW w:w="24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26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109" w:type="dxa"/>
            <w:tcBorders/>
            <w:vAlign w:val="center"/>
          </w:tcPr>
          <w:p>
            <w:pPr>
              <w:pStyle w:val="TableContents"/>
              <w:bidi w:val="0"/>
              <w:spacing w:before="0" w:after="0"/>
              <w:ind w:left="0" w:right="0" w:hanging="0"/>
              <w:jc w:val="center"/>
              <w:rPr/>
            </w:pPr>
            <w:r>
              <w:rPr/>
              <w:t>​</w:t>
            </w:r>
          </w:p>
        </w:tc>
        <w:tc>
          <w:tcPr>
            <w:tcW w:w="1187"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r>
      <w:tr>
        <w:trPr/>
        <w:tc>
          <w:tcPr>
            <w:tcW w:w="5066"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24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556"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(Thousands)</w:t>
            </w:r>
          </w:p>
        </w:tc>
      </w:tr>
      <w:tr>
        <w:trPr/>
        <w:tc>
          <w:tcPr>
            <w:tcW w:w="24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Receivables</w:t>
            </w:r>
          </w:p>
        </w:tc>
        <w:tc>
          <w:tcPr>
            <w:tcW w:w="109"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4,624,549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4,876,631</w:t>
            </w:r>
          </w:p>
        </w:tc>
      </w:tr>
      <w:tr>
        <w:trPr/>
        <w:tc>
          <w:tcPr>
            <w:tcW w:w="2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Allowance for Credit Losses</w:t>
            </w:r>
          </w:p>
        </w:tc>
        <w:tc>
          <w:tcPr>
            <w:tcW w:w="109"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(115,807)</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(112,843)</w:t>
            </w:r>
          </w:p>
        </w:tc>
      </w:tr>
    </w:tbl>
    <w:p>
      <w:pPr>
        <w:pStyle w:val="TextBody"/>
        <w:bidi w:val="0"/>
        <w:spacing w:before="0" w:after="0"/>
        <w:ind w:left="0" w:right="0" w:firstLine="475"/>
        <w:jc w:val="both"/>
        <w:rPr/>
      </w:pPr>
      <w:r>
        <w:rPr/>
        <w:t>​</w:t>
      </w:r>
    </w:p>
    <w:p>
      <w:pPr>
        <w:pStyle w:val="TextBody"/>
        <w:bidi w:val="0"/>
        <w:spacing w:before="0" w:after="0"/>
        <w:ind w:left="0" w:right="0" w:firstLine="475"/>
        <w:jc w:val="left"/>
        <w:rPr>
          <w:rFonts w:ascii="Times New Roman;Times;serif" w:hAnsi="Times New Roman;Times;serif"/>
          <w:sz w:val="20"/>
        </w:rPr>
      </w:pPr>
      <w:r>
        <w:rPr>
          <w:rFonts w:ascii="Times New Roman;Times;serif" w:hAnsi="Times New Roman;Times;serif"/>
          <w:sz w:val="20"/>
        </w:rPr>
        <w:t>The Company had the following activity in the allowance for credit losses during the first six months of fiscal 2024 and fiscal 2023:</w:t>
      </w:r>
    </w:p>
    <w:p>
      <w:pPr>
        <w:pStyle w:val="TextBody"/>
        <w:bidi w:val="0"/>
        <w:spacing w:before="0" w:after="0"/>
        <w:ind w:left="0" w:right="0" w:firstLine="475"/>
        <w:jc w:val="both"/>
        <w:rPr/>
      </w:pPr>
      <w:r>
        <w:rPr/>
        <w:t>​</w:t>
      </w:r>
    </w:p>
    <w:p>
      <w:pPr>
        <w:pStyle w:val="TextBody"/>
        <w:bidi w:val="0"/>
        <w:spacing w:before="0" w:after="0"/>
        <w:ind w:left="0" w:right="0" w:hanging="0"/>
        <w:jc w:val="left"/>
        <w:rPr/>
      </w:pPr>
      <w:r>
        <w:rPr/>
        <w:t>​</w:t>
      </w:r>
    </w:p>
    <w:tbl>
      <w:tblPr>
        <w:tblW w:w="5724" w:type="dxa"/>
        <w:jc w:val="left"/>
        <w:tblInd w:w="0" w:type="dxa"/>
        <w:tblLayout w:type="fixed"/>
        <w:tblCellMar>
          <w:top w:w="0" w:type="dxa"/>
          <w:left w:w="0" w:type="dxa"/>
          <w:bottom w:w="0" w:type="dxa"/>
          <w:right w:w="0" w:type="dxa"/>
        </w:tblCellMar>
      </w:tblPr>
      <w:tblGrid>
        <w:gridCol w:w="2941"/>
        <w:gridCol w:w="109"/>
        <w:gridCol w:w="267"/>
        <w:gridCol w:w="993"/>
        <w:gridCol w:w="109"/>
        <w:gridCol w:w="250"/>
        <w:gridCol w:w="1055"/>
      </w:tblGrid>
      <w:tr>
        <w:trPr/>
        <w:tc>
          <w:tcPr>
            <w:tcW w:w="29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1867535" cy="175260"/>
                      <wp:effectExtent l="0" t="0" r="0" b="0"/>
                      <wp:wrapNone/>
                      <wp:docPr id="92" name="Frame92"/>
                      <a:graphic xmlns:a="http://schemas.openxmlformats.org/drawingml/2006/main">
                        <a:graphicData uri="http://schemas.microsoft.com/office/word/2010/wordprocessingShape">
                          <wps:wsp>
                            <wps:cNvSpPr txBox="1"/>
                            <wps:spPr>
                              <a:xfrm>
                                <a:off x="0" y="0"/>
                                <a:ext cx="1867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9215" cy="175260"/>
                      <wp:effectExtent l="0" t="0" r="0" b="0"/>
                      <wp:wrapNone/>
                      <wp:docPr id="93" name="Frame9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169545" cy="175260"/>
                      <wp:effectExtent l="0" t="0" r="0" b="0"/>
                      <wp:wrapNone/>
                      <wp:docPr id="94" name="Frame94"/>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30555" cy="175260"/>
                      <wp:effectExtent l="0" t="0" r="0" b="0"/>
                      <wp:wrapNone/>
                      <wp:docPr id="95" name="Frame95"/>
                      <a:graphic xmlns:a="http://schemas.openxmlformats.org/drawingml/2006/main">
                        <a:graphicData uri="http://schemas.microsoft.com/office/word/2010/wordprocessingShape">
                          <wps:wsp>
                            <wps:cNvSpPr txBox="1"/>
                            <wps:spPr>
                              <a:xfrm>
                                <a:off x="0" y="0"/>
                                <a:ext cx="630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9215" cy="175260"/>
                      <wp:effectExtent l="0" t="0" r="0" b="0"/>
                      <wp:wrapNone/>
                      <wp:docPr id="96" name="Frame9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158750" cy="175260"/>
                      <wp:effectExtent l="0" t="0" r="0" b="0"/>
                      <wp:wrapNone/>
                      <wp:docPr id="97" name="Frame97"/>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69925" cy="175260"/>
                      <wp:effectExtent l="0" t="0" r="0" b="0"/>
                      <wp:wrapNone/>
                      <wp:docPr id="98" name="Frame98"/>
                      <a:graphic xmlns:a="http://schemas.openxmlformats.org/drawingml/2006/main">
                        <a:graphicData uri="http://schemas.microsoft.com/office/word/2010/wordprocessingShape">
                          <wps:wsp>
                            <wps:cNvSpPr txBox="1"/>
                            <wps:spPr>
                              <a:xfrm>
                                <a:off x="0" y="0"/>
                                <a:ext cx="669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260"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30,</w:t>
            </w:r>
          </w:p>
        </w:tc>
        <w:tc>
          <w:tcPr>
            <w:tcW w:w="109" w:type="dxa"/>
            <w:tcBorders/>
            <w:vAlign w:val="center"/>
          </w:tcPr>
          <w:p>
            <w:pPr>
              <w:pStyle w:val="TableContents"/>
              <w:bidi w:val="0"/>
              <w:spacing w:before="0" w:after="0"/>
              <w:ind w:left="0" w:right="0" w:hanging="0"/>
              <w:jc w:val="left"/>
              <w:rPr>
                <w:color w:val="575757"/>
              </w:rPr>
            </w:pPr>
            <w:r>
              <w:rPr>
                <w:color w:val="575757"/>
              </w:rPr>
              <w:t>​</w:t>
            </w:r>
          </w:p>
        </w:tc>
        <w:tc>
          <w:tcPr>
            <w:tcW w:w="130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w:t>
            </w:r>
          </w:p>
        </w:tc>
      </w:tr>
      <w:tr>
        <w:trPr/>
        <w:tc>
          <w:tcPr>
            <w:tcW w:w="29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26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109" w:type="dxa"/>
            <w:tcBorders/>
            <w:vAlign w:val="center"/>
          </w:tcPr>
          <w:p>
            <w:pPr>
              <w:pStyle w:val="TableContents"/>
              <w:bidi w:val="0"/>
              <w:spacing w:before="0" w:after="0"/>
              <w:ind w:left="0" w:right="0" w:hanging="0"/>
              <w:jc w:val="left"/>
              <w:rPr>
                <w:color w:val="575757"/>
              </w:rPr>
            </w:pPr>
            <w:r>
              <w:rPr>
                <w:color w:val="575757"/>
              </w:rPr>
              <w:t>​</w:t>
            </w:r>
          </w:p>
        </w:tc>
        <w:tc>
          <w:tcPr>
            <w:tcW w:w="1305"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r>
      <w:tr>
        <w:trPr/>
        <w:tc>
          <w:tcPr>
            <w:tcW w:w="5724"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29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674"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(Thousands)</w:t>
            </w:r>
          </w:p>
        </w:tc>
      </w:tr>
      <w:tr>
        <w:trPr/>
        <w:tc>
          <w:tcPr>
            <w:tcW w:w="2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beginning of the period</w:t>
            </w:r>
          </w:p>
        </w:tc>
        <w:tc>
          <w:tcPr>
            <w:tcW w:w="109"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112,843</w:t>
            </w:r>
          </w:p>
        </w:tc>
        <w:tc>
          <w:tcPr>
            <w:tcW w:w="109"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2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113,902</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Credit Loss Provisions</w:t>
            </w:r>
          </w:p>
        </w:tc>
        <w:tc>
          <w:tcPr>
            <w:tcW w:w="109"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w:t>
            </w:r>
          </w:p>
        </w:tc>
        <w:tc>
          <w:tcPr>
            <w:tcW w:w="9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6,564</w:t>
            </w:r>
          </w:p>
        </w:tc>
        <w:tc>
          <w:tcPr>
            <w:tcW w:w="109" w:type="dxa"/>
            <w:tcBorders/>
            <w:vAlign w:val="center"/>
          </w:tcPr>
          <w:p>
            <w:pPr>
              <w:pStyle w:val="TableContents"/>
              <w:bidi w:val="0"/>
              <w:spacing w:before="0" w:after="0"/>
              <w:ind w:left="0" w:right="0" w:hanging="0"/>
              <w:jc w:val="left"/>
              <w:rPr>
                <w:color w:val="575757"/>
              </w:rPr>
            </w:pPr>
            <w:r>
              <w:rPr>
                <w:color w:val="575757"/>
              </w:rPr>
              <w:t>​</w:t>
            </w:r>
          </w:p>
        </w:tc>
        <w:tc>
          <w:tcPr>
            <w:tcW w:w="250" w:type="dxa"/>
            <w:tcBorders/>
            <w:vAlign w:val="center"/>
          </w:tcPr>
          <w:p>
            <w:pPr>
              <w:pStyle w:val="TableContents"/>
              <w:bidi w:val="0"/>
              <w:spacing w:before="0" w:after="0"/>
              <w:ind w:left="0" w:right="0" w:hanging="0"/>
              <w:jc w:val="left"/>
              <w:rPr/>
            </w:pPr>
            <w:r>
              <w:rPr/>
              <w:t>​</w:t>
            </w:r>
          </w:p>
        </w:tc>
        <w:tc>
          <w:tcPr>
            <w:tcW w:w="10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4,803</w:t>
            </w:r>
          </w:p>
        </w:tc>
      </w:tr>
      <w:tr>
        <w:trPr/>
        <w:tc>
          <w:tcPr>
            <w:tcW w:w="2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Credit Loss Recoveries</w:t>
            </w:r>
          </w:p>
        </w:tc>
        <w:tc>
          <w:tcPr>
            <w:tcW w:w="109"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w:t>
            </w:r>
          </w:p>
        </w:tc>
        <w:tc>
          <w:tcPr>
            <w:tcW w:w="9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(940)</w:t>
            </w:r>
          </w:p>
        </w:tc>
        <w:tc>
          <w:tcPr>
            <w:tcW w:w="109"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250" w:type="dxa"/>
            <w:tcBorders/>
            <w:shd w:fill="CCEEFF" w:val="clear"/>
            <w:vAlign w:val="center"/>
          </w:tcPr>
          <w:p>
            <w:pPr>
              <w:pStyle w:val="TableContents"/>
              <w:bidi w:val="0"/>
              <w:spacing w:before="0" w:after="0"/>
              <w:ind w:left="0" w:right="0" w:hanging="0"/>
              <w:jc w:val="left"/>
              <w:rPr/>
            </w:pPr>
            <w:r>
              <w:rPr/>
              <w:t>​</w:t>
            </w:r>
          </w:p>
        </w:tc>
        <w:tc>
          <w:tcPr>
            <w:tcW w:w="10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(456)</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Receivables Write Offs</w:t>
            </w:r>
          </w:p>
        </w:tc>
        <w:tc>
          <w:tcPr>
            <w:tcW w:w="109"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w:t>
            </w:r>
          </w:p>
        </w:tc>
        <w:tc>
          <w:tcPr>
            <w:tcW w:w="9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(3,885)</w:t>
            </w:r>
          </w:p>
        </w:tc>
        <w:tc>
          <w:tcPr>
            <w:tcW w:w="109" w:type="dxa"/>
            <w:tcBorders/>
            <w:vAlign w:val="center"/>
          </w:tcPr>
          <w:p>
            <w:pPr>
              <w:pStyle w:val="TableContents"/>
              <w:bidi w:val="0"/>
              <w:spacing w:before="0" w:after="0"/>
              <w:ind w:left="0" w:right="0" w:hanging="0"/>
              <w:jc w:val="left"/>
              <w:rPr>
                <w:color w:val="575757"/>
              </w:rPr>
            </w:pPr>
            <w:r>
              <w:rPr>
                <w:color w:val="575757"/>
              </w:rPr>
              <w:t>​</w:t>
            </w:r>
          </w:p>
        </w:tc>
        <w:tc>
          <w:tcPr>
            <w:tcW w:w="250" w:type="dxa"/>
            <w:tcBorders/>
            <w:vAlign w:val="center"/>
          </w:tcPr>
          <w:p>
            <w:pPr>
              <w:pStyle w:val="TableContents"/>
              <w:bidi w:val="0"/>
              <w:spacing w:before="0" w:after="0"/>
              <w:ind w:left="0" w:right="0" w:hanging="0"/>
              <w:jc w:val="left"/>
              <w:rPr/>
            </w:pPr>
            <w:r>
              <w:rPr/>
              <w:t>​</w:t>
            </w:r>
          </w:p>
        </w:tc>
        <w:tc>
          <w:tcPr>
            <w:tcW w:w="10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(12,476)</w:t>
            </w:r>
          </w:p>
        </w:tc>
      </w:tr>
      <w:tr>
        <w:trPr/>
        <w:tc>
          <w:tcPr>
            <w:tcW w:w="2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Effect and Other</w:t>
            </w:r>
          </w:p>
        </w:tc>
        <w:tc>
          <w:tcPr>
            <w:tcW w:w="109" w:type="dxa"/>
            <w:tcBorders/>
            <w:shd w:fill="CCEEFF" w:val="clear"/>
            <w:vAlign w:val="center"/>
          </w:tcPr>
          <w:p>
            <w:pPr>
              <w:pStyle w:val="TableContents"/>
              <w:bidi w:val="0"/>
              <w:spacing w:before="0" w:after="0"/>
              <w:ind w:left="0" w:right="0" w:hanging="0"/>
              <w:jc w:val="left"/>
              <w:rPr/>
            </w:pPr>
            <w:r>
              <w:rPr/>
              <w:t>​</w:t>
            </w:r>
          </w:p>
        </w:tc>
        <w:tc>
          <w:tcPr>
            <w:tcW w:w="267" w:type="dxa"/>
            <w:tcBorders>
              <w:bottom w:val="single" w:sz="1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93"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1,225</w:t>
            </w:r>
          </w:p>
        </w:tc>
        <w:tc>
          <w:tcPr>
            <w:tcW w:w="109"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250" w:type="dxa"/>
            <w:tcBorders>
              <w:bottom w:val="single" w:sz="1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55"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732</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end of the period</w:t>
            </w:r>
          </w:p>
        </w:tc>
        <w:tc>
          <w:tcPr>
            <w:tcW w:w="109" w:type="dxa"/>
            <w:tcBorders/>
            <w:vAlign w:val="center"/>
          </w:tcPr>
          <w:p>
            <w:pPr>
              <w:pStyle w:val="TableContents"/>
              <w:bidi w:val="0"/>
              <w:spacing w:before="0" w:after="0"/>
              <w:ind w:left="0" w:right="0" w:hanging="0"/>
              <w:jc w:val="left"/>
              <w:rPr/>
            </w:pPr>
            <w:r>
              <w:rPr/>
              <w:t>​</w:t>
            </w:r>
          </w:p>
        </w:tc>
        <w:tc>
          <w:tcPr>
            <w:tcW w:w="26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115,807</w:t>
            </w:r>
          </w:p>
        </w:tc>
        <w:tc>
          <w:tcPr>
            <w:tcW w:w="109" w:type="dxa"/>
            <w:tcBorders/>
            <w:vAlign w:val="center"/>
          </w:tcPr>
          <w:p>
            <w:pPr>
              <w:pStyle w:val="TableContents"/>
              <w:bidi w:val="0"/>
              <w:spacing w:before="0" w:after="0"/>
              <w:ind w:left="0" w:right="0" w:hanging="0"/>
              <w:jc w:val="left"/>
              <w:rPr>
                <w:color w:val="575757"/>
              </w:rPr>
            </w:pPr>
            <w:r>
              <w:rPr>
                <w:color w:val="575757"/>
              </w:rPr>
              <w:t>​</w:t>
            </w:r>
          </w:p>
        </w:tc>
        <w:tc>
          <w:tcPr>
            <w:tcW w:w="25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106,505</w:t>
            </w:r>
          </w:p>
        </w:tc>
      </w:tr>
    </w:tbl>
    <w:p>
      <w:pPr>
        <w:pStyle w:val="TextBody"/>
        <w:bidi w:val="0"/>
        <w:spacing w:before="0" w:after="0"/>
        <w:ind w:left="0" w:right="0" w:firstLine="475"/>
        <w:jc w:val="both"/>
        <w:rPr/>
      </w:pPr>
      <w:r>
        <w:rPr/>
        <w:t>​</w:t>
      </w:r>
    </w:p>
    <w:p>
      <w:pPr>
        <w:pStyle w:val="TextBody"/>
        <w:bidi w:val="0"/>
        <w:spacing w:before="0" w:after="0"/>
        <w:ind w:left="0" w:right="0" w:firstLine="475"/>
        <w:jc w:val="both"/>
        <w:rPr/>
      </w:pPr>
      <w:r>
        <w:rPr/>
        <w:t>​</w:t>
      </w:r>
    </w:p>
    <w:p>
      <w:pPr>
        <w:pStyle w:val="TextBody"/>
        <w:bidi w:val="0"/>
        <w:spacing w:before="0" w:after="0"/>
        <w:ind w:left="0" w:right="0" w:firstLine="475"/>
        <w:jc w:val="both"/>
        <w:rPr/>
      </w:pPr>
      <w:r>
        <w:rPr/>
        <w:t>​</w:t>
      </w:r>
    </w:p>
    <w:p>
      <w:pPr>
        <w:pStyle w:val="TextBody"/>
        <w:bidi w:val="0"/>
        <w:spacing w:before="0" w:after="0"/>
        <w:ind w:left="0" w:right="0" w:firstLine="475"/>
        <w:jc w:val="both"/>
        <w:rPr/>
      </w:pPr>
      <w:r>
        <w:rPr/>
        <w:t>​</w:t>
      </w:r>
    </w:p>
    <w:p>
      <w:pPr>
        <w:pStyle w:val="TextBody"/>
        <w:bidi w:val="0"/>
        <w:spacing w:before="0" w:after="0"/>
        <w:ind w:left="0" w:right="0" w:firstLine="475"/>
        <w:jc w:val="both"/>
        <w:rPr>
          <w:rFonts w:ascii="Times New Roman;Times;serif" w:hAnsi="Times New Roman;Times;serif"/>
          <w:b/>
          <w:i/>
          <w:sz w:val="20"/>
        </w:rPr>
      </w:pPr>
      <w:r>
        <w:rPr>
          <w:rFonts w:ascii="Times New Roman;Times;serif" w:hAnsi="Times New Roman;Times;serif"/>
          <w:b/>
          <w:i/>
          <w:sz w:val="20"/>
        </w:rPr>
        <w:t>Inventories</w:t>
      </w:r>
    </w:p>
    <w:p>
      <w:pPr>
        <w:pStyle w:val="TextBody"/>
        <w:bidi w:val="0"/>
        <w:spacing w:before="0" w:after="0"/>
        <w:ind w:left="0" w:right="0" w:firstLine="475"/>
        <w:jc w:val="both"/>
        <w:rPr/>
      </w:pPr>
      <w:r>
        <w:rPr/>
        <w:t>​</w:t>
      </w:r>
    </w:p>
    <w:p>
      <w:pPr>
        <w:pStyle w:val="TextBody"/>
        <w:bidi w:val="0"/>
        <w:spacing w:before="0" w:after="0"/>
        <w:ind w:left="0" w:right="0" w:firstLine="475"/>
        <w:jc w:val="left"/>
        <w:rPr>
          <w:rFonts w:ascii="Times New Roman;Times;serif" w:hAnsi="Times New Roman;Times;serif"/>
          <w:sz w:val="20"/>
        </w:rPr>
      </w:pPr>
      <w:r>
        <w:rPr>
          <w:rFonts w:ascii="Times New Roman;Times;serif" w:hAnsi="Times New Roman;Times;serif"/>
          <w:sz w:val="20"/>
        </w:rPr>
        <w:t xml:space="preserve">The Company’s inventories are primarily comprised of electronic components purchased from the Company’s suppliers, which are available for sale to customers in the normal course of the Company’s electronic component distribution business. Classified within inventories are electronic components held for supply chain service engagements where the Company is acting as an agent on behalf of an Original Equipment Manufacturer or in some cases the component supplier. Components held for supply chain services where the Company is acting as an agent represented approximately 10% of inventories as of December 30, 2023, and approximately 8% of inventories as of July 1, 2023. </w:t>
      </w:r>
    </w:p>
    <w:p>
      <w:pPr>
        <w:pStyle w:val="TextBody"/>
        <w:bidi w:val="0"/>
        <w:spacing w:before="0" w:after="0"/>
        <w:ind w:left="0" w:right="0" w:firstLine="475"/>
        <w:jc w:val="both"/>
        <w:rPr/>
      </w:pPr>
      <w:r>
        <w:rPr/>
        <w:t>​</w:t>
      </w:r>
    </w:p>
    <w:p>
      <w:pPr>
        <w:pStyle w:val="TextBody"/>
        <w:bidi w:val="0"/>
        <w:spacing w:before="0" w:after="0"/>
        <w:ind w:left="0" w:right="0" w:firstLine="475"/>
        <w:jc w:val="both"/>
        <w:rPr/>
      </w:pPr>
      <w:r>
        <w:rPr/>
        <w:t>​</w:t>
      </w:r>
    </w:p>
    <w:p>
      <w:pPr>
        <w:pStyle w:val="TextBody"/>
        <w:bidi w:val="0"/>
        <w:spacing w:before="0" w:after="0"/>
        <w:ind w:left="0" w:right="0" w:firstLine="475"/>
        <w:jc w:val="both"/>
        <w:rPr/>
      </w:pPr>
      <w:r>
        <w:rPr/>
        <w:t>​</w:t>
      </w:r>
    </w:p>
    <w:p>
      <w:pPr>
        <w:pStyle w:val="TextBody"/>
        <w:bidi w:val="0"/>
        <w:spacing w:before="0" w:after="0"/>
        <w:ind w:left="0" w:right="0" w:firstLine="475"/>
        <w:jc w:val="both"/>
        <w:rPr/>
      </w:pPr>
      <w:r>
        <w:rPr/>
        <w:t>​</w:t>
      </w:r>
    </w:p>
    <w:p>
      <w:pPr>
        <w:pStyle w:val="TextBody"/>
        <w:bidi w:val="0"/>
        <w:spacing w:before="0" w:after="0"/>
        <w:ind w:left="0" w:right="0" w:firstLine="475"/>
        <w:jc w:val="both"/>
        <w:rPr/>
      </w:pPr>
      <w:r>
        <w:rPr/>
        <w:t>​</w:t>
      </w:r>
    </w:p>
    <w:p>
      <w:pPr>
        <w:pStyle w:val="TextBody"/>
        <w:bidi w:val="0"/>
        <w:spacing w:before="0" w:after="0"/>
        <w:ind w:left="0" w:right="0" w:firstLine="475"/>
        <w:jc w:val="both"/>
        <w:rPr/>
      </w:pPr>
      <w:r>
        <w:rPr/>
        <w:t>​</w:t>
      </w:r>
    </w:p>
    <w:p>
      <w:pPr>
        <w:pStyle w:val="TextBody"/>
        <w:bidi w:val="0"/>
        <w:spacing w:before="0" w:after="0"/>
        <w:ind w:left="0" w:right="0" w:firstLine="475"/>
        <w:jc w:val="both"/>
        <w:rPr/>
      </w:pPr>
      <w:r>
        <w:rPr/>
        <w:t>​</w:t>
      </w:r>
    </w:p>
    <w:p>
      <w:pPr>
        <w:pStyle w:val="TextBody"/>
        <w:bidi w:val="0"/>
        <w:spacing w:before="0" w:after="0"/>
        <w:ind w:left="0" w:right="0" w:firstLine="475"/>
        <w:jc w:val="left"/>
        <w:rPr/>
      </w:pPr>
      <w:r>
        <w:rPr/>
        <w:t>​</w:t>
      </w:r>
    </w:p>
    <w:p>
      <w:pPr>
        <w:pStyle w:val="TextBody"/>
        <w:bidi w:val="0"/>
        <w:spacing w:before="0" w:after="0"/>
        <w:ind w:left="0" w:right="0" w:firstLine="475"/>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lineRule="auto" w:line="343"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43" w:before="0" w:after="0"/>
        <w:ind w:left="0" w:right="0" w:hanging="0"/>
        <w:jc w:val="center"/>
        <w:rPr>
          <w:rFonts w:ascii="Times New Roman;Times;serif" w:hAnsi="Times New Roman;Times;serif"/>
          <w:b/>
          <w:sz w:val="20"/>
        </w:rPr>
      </w:pPr>
      <w:r>
        <w:rPr>
          <w:rFonts w:ascii="Times New Roman;Times;serif" w:hAnsi="Times New Roman;Times;serif"/>
          <w:b/>
          <w:sz w:val="20"/>
        </w:rPr>
        <w:t>AVNET, INC. AND SUBSIDIARIES</w:t>
      </w:r>
    </w:p>
    <w:p>
      <w:pPr>
        <w:pStyle w:val="TextBody"/>
        <w:bidi w:val="0"/>
        <w:spacing w:lineRule="auto" w:line="343"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hanging="0"/>
        <w:jc w:val="both"/>
        <w:rPr>
          <w:rFonts w:ascii="Times New Roman;Times;serif" w:hAnsi="Times New Roman;Times;serif"/>
          <w:b/>
          <w:sz w:val="20"/>
        </w:rPr>
      </w:pPr>
      <w:bookmarkStart w:id="721" w:name="Tc_RBu7lk7a2E2L6LG9uIwPTw_6_8"/>
      <w:bookmarkStart w:id="722" w:name="Tc_d2ujmTxOP02FM7JZxCr1SQ_6_5"/>
      <w:bookmarkStart w:id="723" w:name="Tc_B3bXhEDNnEOUAFoe0bHUPg_6_2"/>
      <w:bookmarkStart w:id="724" w:name="Tc_P1Y3QP0I60Gf4CrKS1FdgA_6_0"/>
      <w:bookmarkStart w:id="725" w:name="Tc_m66sqltLBkOYz5uvz-lvrw_5_0"/>
      <w:bookmarkStart w:id="726" w:name="Tc_itcboUC7TkCIUm5rNxcgMQ_4_8"/>
      <w:bookmarkStart w:id="727" w:name="Tc_8A8gLtPZ3EWxp-q6Cj1uhA_4_5"/>
      <w:bookmarkStart w:id="728" w:name="Tc_sMxS1XedgUqGzECBeraEJg_4_2"/>
      <w:bookmarkStart w:id="729" w:name="Tc_nKkBp1f3A0ertfMkrXmpGw_4_0"/>
      <w:bookmarkStart w:id="730" w:name="Tc_D46p1AdQhk6RF_AwsRaTTA_3_2"/>
      <w:bookmarkStart w:id="731" w:name="Tc_OexyWCr4sEqpws53cZ4uyw_2_8"/>
      <w:bookmarkStart w:id="732" w:name="Tc_bkdAUPCil0W6GZPFH2lLIQ_2_5"/>
      <w:bookmarkStart w:id="733" w:name="Tc_XsHJcNGHVUWjUq5B5W69UA_2_2"/>
      <w:bookmarkStart w:id="734" w:name="Tc_XkebPmJqCUK8EiIDNHzKcg_1_2"/>
      <w:bookmarkStart w:id="735" w:name="_bc6cfb50_01c3_46bf_8b21_3a0d5ec8bfab"/>
      <w:bookmarkStart w:id="736" w:name="bm_3_Goodwill_and_intangible_assets"/>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r>
        <w:rPr>
          <w:rFonts w:ascii="Times New Roman;Times;serif" w:hAnsi="Times New Roman;Times;serif"/>
          <w:b/>
          <w:sz w:val="20"/>
        </w:rPr>
        <w:t>3. Goodwill</w:t>
      </w:r>
    </w:p>
    <w:p>
      <w:pPr>
        <w:pStyle w:val="TextBody"/>
        <w:bidi w:val="0"/>
        <w:spacing w:before="0" w:after="0"/>
        <w:ind w:left="0" w:right="0" w:hanging="0"/>
        <w:jc w:val="both"/>
        <w:rPr/>
      </w:pPr>
      <w:r>
        <w:rPr/>
        <w:t>​</w:t>
      </w:r>
    </w:p>
    <w:p>
      <w:pPr>
        <w:pStyle w:val="TextBody"/>
        <w:bidi w:val="0"/>
        <w:spacing w:before="0" w:after="0"/>
        <w:ind w:left="0" w:right="0" w:firstLine="475"/>
        <w:jc w:val="left"/>
        <w:rPr>
          <w:rFonts w:ascii="Times New Roman;Times;serif" w:hAnsi="Times New Roman;Times;serif"/>
          <w:sz w:val="20"/>
        </w:rPr>
      </w:pPr>
      <w:r>
        <w:rPr>
          <w:rFonts w:ascii="Times New Roman;Times;serif" w:hAnsi="Times New Roman;Times;serif"/>
          <w:sz w:val="20"/>
        </w:rPr>
        <w:t xml:space="preserve">The following table presents the change in goodwill by reportable segment for the first six months ended December 30, 2023. </w:t>
      </w:r>
    </w:p>
    <w:p>
      <w:pPr>
        <w:pStyle w:val="TextBody"/>
        <w:bidi w:val="0"/>
        <w:spacing w:before="0" w:after="0"/>
        <w:ind w:left="0" w:right="0" w:hanging="0"/>
        <w:jc w:val="left"/>
        <w:rPr/>
      </w:pPr>
      <w:r>
        <w:rPr/>
        <w:t>​</w:t>
      </w:r>
    </w:p>
    <w:tbl>
      <w:tblPr>
        <w:tblW w:w="7224" w:type="dxa"/>
        <w:jc w:val="left"/>
        <w:tblInd w:w="0" w:type="dxa"/>
        <w:tblLayout w:type="fixed"/>
        <w:tblCellMar>
          <w:top w:w="0" w:type="dxa"/>
          <w:left w:w="0" w:type="dxa"/>
          <w:bottom w:w="0" w:type="dxa"/>
          <w:right w:w="0" w:type="dxa"/>
        </w:tblCellMar>
      </w:tblPr>
      <w:tblGrid>
        <w:gridCol w:w="3361"/>
        <w:gridCol w:w="206"/>
        <w:gridCol w:w="245"/>
        <w:gridCol w:w="911"/>
        <w:gridCol w:w="206"/>
        <w:gridCol w:w="211"/>
        <w:gridCol w:w="781"/>
        <w:gridCol w:w="206"/>
        <w:gridCol w:w="211"/>
        <w:gridCol w:w="886"/>
      </w:tblGrid>
      <w:tr>
        <w:trPr/>
        <w:tc>
          <w:tcPr>
            <w:tcW w:w="3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134235" cy="175260"/>
                      <wp:effectExtent l="0" t="0" r="0" b="0"/>
                      <wp:wrapNone/>
                      <wp:docPr id="99" name="Frame99"/>
                      <a:graphic xmlns:a="http://schemas.openxmlformats.org/drawingml/2006/main">
                        <a:graphicData uri="http://schemas.microsoft.com/office/word/2010/wordprocessingShape">
                          <wps:wsp>
                            <wps:cNvSpPr txBox="1"/>
                            <wps:spPr>
                              <a:xfrm>
                                <a:off x="0" y="0"/>
                                <a:ext cx="2134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130810" cy="175260"/>
                      <wp:effectExtent l="0" t="0" r="0" b="0"/>
                      <wp:wrapNone/>
                      <wp:docPr id="100" name="Frame100"/>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155575" cy="175260"/>
                      <wp:effectExtent l="0" t="0" r="0" b="0"/>
                      <wp:wrapNone/>
                      <wp:docPr id="101" name="Frame101"/>
                      <a:graphic xmlns:a="http://schemas.openxmlformats.org/drawingml/2006/main">
                        <a:graphicData uri="http://schemas.microsoft.com/office/word/2010/wordprocessingShape">
                          <wps:wsp>
                            <wps:cNvSpPr txBox="1"/>
                            <wps:spPr>
                              <a:xfrm>
                                <a:off x="0" y="0"/>
                                <a:ext cx="155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578485" cy="175260"/>
                      <wp:effectExtent l="0" t="0" r="0" b="0"/>
                      <wp:wrapNone/>
                      <wp:docPr id="102" name="Frame102"/>
                      <a:graphic xmlns:a="http://schemas.openxmlformats.org/drawingml/2006/main">
                        <a:graphicData uri="http://schemas.microsoft.com/office/word/2010/wordprocessingShape">
                          <wps:wsp>
                            <wps:cNvSpPr txBox="1"/>
                            <wps:spPr>
                              <a:xfrm>
                                <a:off x="0" y="0"/>
                                <a:ext cx="578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130810" cy="175260"/>
                      <wp:effectExtent l="0" t="0" r="0" b="0"/>
                      <wp:wrapNone/>
                      <wp:docPr id="103" name="Frame103"/>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33985" cy="175260"/>
                      <wp:effectExtent l="0" t="0" r="0" b="0"/>
                      <wp:wrapNone/>
                      <wp:docPr id="104" name="Frame10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495935" cy="175260"/>
                      <wp:effectExtent l="0" t="0" r="0" b="0"/>
                      <wp:wrapNone/>
                      <wp:docPr id="105" name="Frame10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130810" cy="175260"/>
                      <wp:effectExtent l="0" t="0" r="0" b="0"/>
                      <wp:wrapNone/>
                      <wp:docPr id="106" name="Frame106"/>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33985" cy="175260"/>
                      <wp:effectExtent l="0" t="0" r="0" b="0"/>
                      <wp:wrapNone/>
                      <wp:docPr id="107" name="Frame10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562610" cy="175260"/>
                      <wp:effectExtent l="0" t="0" r="0" b="0"/>
                      <wp:wrapNone/>
                      <wp:docPr id="108" name="Frame108"/>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61"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center"/>
              <w:rPr/>
            </w:pPr>
            <w:r>
              <w:rPr/>
              <w:t>  </w:t>
            </w:r>
          </w:p>
        </w:tc>
        <w:tc>
          <w:tcPr>
            <w:tcW w:w="115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Electronic </w:t>
            </w:r>
          </w:p>
        </w:tc>
        <w:tc>
          <w:tcPr>
            <w:tcW w:w="20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pPr>
            <w:r>
              <w:rPr/>
              <w:t>​</w:t>
            </w:r>
          </w:p>
        </w:tc>
      </w:tr>
      <w:tr>
        <w:trPr/>
        <w:tc>
          <w:tcPr>
            <w:tcW w:w="3361"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center"/>
              <w:rPr/>
            </w:pPr>
            <w:r>
              <w:rPr/>
              <w:t>​</w:t>
            </w:r>
          </w:p>
        </w:tc>
        <w:tc>
          <w:tcPr>
            <w:tcW w:w="1156"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Components</w:t>
            </w:r>
          </w:p>
        </w:tc>
        <w:tc>
          <w:tcPr>
            <w:tcW w:w="206" w:type="dxa"/>
            <w:tcBorders/>
            <w:vAlign w:val="center"/>
          </w:tcPr>
          <w:p>
            <w:pPr>
              <w:pStyle w:val="TableContents"/>
              <w:bidi w:val="0"/>
              <w:spacing w:before="0" w:after="0"/>
              <w:ind w:left="0" w:right="0" w:hanging="0"/>
              <w:jc w:val="center"/>
              <w:rPr/>
            </w:pPr>
            <w:r>
              <w:rPr/>
              <w:t>​</w:t>
            </w:r>
          </w:p>
        </w:tc>
        <w:tc>
          <w:tcPr>
            <w:tcW w:w="99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Farnell</w:t>
            </w:r>
          </w:p>
        </w:tc>
        <w:tc>
          <w:tcPr>
            <w:tcW w:w="206" w:type="dxa"/>
            <w:tcBorders/>
            <w:vAlign w:val="center"/>
          </w:tcPr>
          <w:p>
            <w:pPr>
              <w:pStyle w:val="TableContents"/>
              <w:bidi w:val="0"/>
              <w:spacing w:before="0" w:after="0"/>
              <w:ind w:left="0" w:right="0" w:hanging="0"/>
              <w:jc w:val="center"/>
              <w:rPr/>
            </w:pPr>
            <w:r>
              <w:rPr/>
              <w:t>​</w:t>
            </w:r>
          </w:p>
        </w:tc>
        <w:tc>
          <w:tcPr>
            <w:tcW w:w="1097"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w:t>
            </w:r>
          </w:p>
        </w:tc>
      </w:tr>
      <w:tr>
        <w:trPr/>
        <w:tc>
          <w:tcPr>
            <w:tcW w:w="7224"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3361"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center"/>
              <w:rPr/>
            </w:pPr>
            <w:r>
              <w:rPr/>
              <w:t>​</w:t>
            </w:r>
          </w:p>
        </w:tc>
        <w:tc>
          <w:tcPr>
            <w:tcW w:w="3657" w:type="dxa"/>
            <w:gridSpan w:val="8"/>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(Thousands)</w:t>
            </w:r>
          </w:p>
        </w:tc>
      </w:tr>
      <w:tr>
        <w:trPr/>
        <w:tc>
          <w:tcPr>
            <w:tcW w:w="336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Carrying value at July 1, 2023 </w:t>
            </w:r>
            <w:r>
              <w:rPr>
                <w:rFonts w:ascii="Times New Roman;Times;serif" w:hAnsi="Times New Roman;Times;serif"/>
                <w:sz w:val="15"/>
              </w:rPr>
              <w:t>(1)</w:t>
            </w:r>
          </w:p>
        </w:tc>
        <w:tc>
          <w:tcPr>
            <w:tcW w:w="20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296,829</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483,800</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780,629</w:t>
            </w:r>
          </w:p>
        </w:tc>
      </w:tr>
      <w:tr>
        <w:trPr/>
        <w:tc>
          <w:tcPr>
            <w:tcW w:w="3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w:t>
            </w:r>
          </w:p>
        </w:tc>
        <w:tc>
          <w:tcPr>
            <w:tcW w:w="206" w:type="dxa"/>
            <w:tcBorders/>
            <w:vAlign w:val="center"/>
          </w:tcPr>
          <w:p>
            <w:pPr>
              <w:pStyle w:val="TableContents"/>
              <w:bidi w:val="0"/>
              <w:spacing w:before="0" w:after="0"/>
              <w:ind w:left="0" w:right="0" w:hanging="0"/>
              <w:jc w:val="left"/>
              <w:rPr/>
            </w:pPr>
            <w:r>
              <w:rPr/>
              <w:t>​</w:t>
            </w:r>
          </w:p>
        </w:tc>
        <w:tc>
          <w:tcPr>
            <w:tcW w:w="245"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c>
          <w:tcPr>
            <w:tcW w:w="911"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2,045</w:t>
            </w:r>
          </w:p>
        </w:tc>
        <w:tc>
          <w:tcPr>
            <w:tcW w:w="206" w:type="dxa"/>
            <w:tcBorders/>
            <w:vAlign w:val="center"/>
          </w:tcPr>
          <w:p>
            <w:pPr>
              <w:pStyle w:val="TableContents"/>
              <w:bidi w:val="0"/>
              <w:spacing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c>
          <w:tcPr>
            <w:tcW w:w="781"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4,333</w:t>
            </w:r>
          </w:p>
        </w:tc>
        <w:tc>
          <w:tcPr>
            <w:tcW w:w="206" w:type="dxa"/>
            <w:tcBorders/>
            <w:vAlign w:val="center"/>
          </w:tcPr>
          <w:p>
            <w:pPr>
              <w:pStyle w:val="TableContents"/>
              <w:bidi w:val="0"/>
              <w:spacing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c>
          <w:tcPr>
            <w:tcW w:w="886"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6,378</w:t>
            </w:r>
          </w:p>
        </w:tc>
      </w:tr>
      <w:tr>
        <w:trPr/>
        <w:tc>
          <w:tcPr>
            <w:tcW w:w="336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Carrying value at December 30, 2023 </w:t>
            </w:r>
            <w:r>
              <w:rPr>
                <w:rFonts w:ascii="Times New Roman;Times;serif" w:hAnsi="Times New Roman;Times;serif"/>
                <w:sz w:val="15"/>
              </w:rPr>
              <w:t>(1)</w:t>
            </w:r>
          </w:p>
        </w:tc>
        <w:tc>
          <w:tcPr>
            <w:tcW w:w="206" w:type="dxa"/>
            <w:tcBorders/>
            <w:shd w:fill="CCEEFF" w:val="clear"/>
            <w:vAlign w:val="center"/>
          </w:tcPr>
          <w:p>
            <w:pPr>
              <w:pStyle w:val="TableContents"/>
              <w:bidi w:val="0"/>
              <w:spacing w:before="0" w:after="0"/>
              <w:ind w:left="0" w:right="0" w:hanging="0"/>
              <w:jc w:val="left"/>
              <w:rPr/>
            </w:pPr>
            <w:r>
              <w:rPr/>
              <w:t>​</w:t>
            </w:r>
          </w:p>
        </w:tc>
        <w:tc>
          <w:tcPr>
            <w:tcW w:w="24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298,874</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488,133</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787,007</w:t>
            </w:r>
          </w:p>
        </w:tc>
      </w:tr>
    </w:tbl>
    <w:tbl>
      <w:tblPr>
        <w:tblW w:w="5657" w:type="dxa"/>
        <w:jc w:val="left"/>
        <w:tblInd w:w="0" w:type="dxa"/>
        <w:tblLayout w:type="fixed"/>
        <w:tblCellMar>
          <w:top w:w="0" w:type="dxa"/>
          <w:left w:w="0" w:type="dxa"/>
          <w:bottom w:w="0" w:type="dxa"/>
          <w:right w:w="0" w:type="dxa"/>
        </w:tblCellMar>
      </w:tblPr>
      <w:tblGrid>
        <w:gridCol w:w="286"/>
        <w:gridCol w:w="5371"/>
      </w:tblGrid>
      <w:tr>
        <w:trPr/>
        <w:tc>
          <w:tcPr>
            <w:tcW w:w="286"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(1)</w:t>
            </w:r>
          </w:p>
        </w:tc>
        <w:tc>
          <w:tcPr>
            <w:tcW w:w="5371"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8"/>
              </w:rPr>
              <w:t>Includes accumulated impairments of $1,482,677</w:t>
            </w:r>
            <w:r>
              <w:rPr>
                <w:caps w:val="false"/>
                <w:smallCaps w:val="false"/>
              </w:rPr>
              <w:t xml:space="preserve"> </w:t>
            </w:r>
            <w:r>
              <w:rPr>
                <w:rFonts w:ascii="Times New Roman;Times;serif" w:hAnsi="Times New Roman;Times;serif"/>
                <w:b w:val="false"/>
                <w:i w:val="false"/>
                <w:caps w:val="false"/>
                <w:smallCaps w:val="false"/>
                <w:sz w:val="18"/>
              </w:rPr>
              <w:t>from prior fiscal years.</w:t>
            </w:r>
            <w:r>
              <w:rPr>
                <w:caps w:val="false"/>
                <w:smallCaps w:val="false"/>
              </w:rPr>
              <w:t xml:space="preserve"> </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bookmarkStart w:id="737" w:name="Tc_tvsSQTH1gUOrJtmZ-BeaiQ_7_11"/>
      <w:bookmarkStart w:id="738" w:name="Tc_hEzmuy6VWU-uzt1oVUPmYQ_7_8"/>
      <w:bookmarkStart w:id="739" w:name="Tc_4_nXrjsShEquW-S32nKEMA_7_0"/>
      <w:bookmarkStart w:id="740" w:name="Tc_0hj-z5qFQ0Swo6duX1n3KQ_6_6"/>
      <w:bookmarkStart w:id="741" w:name="Tc_eilS484TYkiD9Q4-GX9-yA_6_3"/>
      <w:bookmarkStart w:id="742" w:name="Tc_iuAQ8ZADaE2PioGRYStCHw_6_0"/>
      <w:bookmarkStart w:id="743" w:name="Tc_6hOKhFn8Z0WdAm6oKYu1Xw_5_12"/>
      <w:bookmarkStart w:id="744" w:name="Tc__CK5DeIHkEacGJG33m7nSg_5_11"/>
      <w:bookmarkStart w:id="745" w:name="Tc_TNmj3oiHBkWdYdN8eX0XVg_5_8"/>
      <w:bookmarkStart w:id="746" w:name="Tc_0P-Z-L2-8k2IotmOWnbxeA_5_5"/>
      <w:bookmarkStart w:id="747" w:name="Tc_3KHIEcdrjkmm8ZumkHt_JA_5_3"/>
      <w:bookmarkStart w:id="748" w:name="Tc_OkZ0Kzrrj0CUDYmNIozN7w_5_0"/>
      <w:bookmarkStart w:id="749" w:name="Tc_m1JZrhJ6g02VlJJczqIbSA_4_0"/>
      <w:bookmarkStart w:id="750" w:name="Tc_TPx5Jbjzg0e7ii-5uIBPzw_3_8"/>
      <w:bookmarkStart w:id="751" w:name="Tc__Fg048mvmEK1ROzzSzePEw_3_2"/>
      <w:bookmarkStart w:id="752" w:name="Tc_M-YfvSUBYE2WhQoeR2hBzA_2_11"/>
      <w:bookmarkStart w:id="753" w:name="Tc_C_9XHRAFg0Cs1IRV8fKe2w_2_8"/>
      <w:bookmarkStart w:id="754" w:name="Tc_bNoOBHUiXkCxuRJ7keA1dQ_2_5"/>
      <w:bookmarkStart w:id="755" w:name="Tc_WSq3Fb90u0uZn9KIvhE_Ww_2_2"/>
      <w:bookmarkStart w:id="756" w:name="Tc_3R2qyQ5y8kOhoDN0QHM9jA_1_11"/>
      <w:bookmarkStart w:id="757" w:name="Tc_z5MVcW7y7kGskq9-LEVonQ_1_8"/>
      <w:bookmarkStart w:id="758" w:name="Tc_COSYy4YG10iAK5p0AUm7FQ_1_5"/>
      <w:bookmarkStart w:id="759" w:name="Tc_XeV79HlHa0e6Ic6T6kse-A_1_2"/>
      <w:bookmarkStart w:id="760" w:name="_9b387134_d4fb_461d_acf1_533731ae6b2d"/>
      <w:bookmarkStart w:id="761" w:name="bm_4_Debt_"/>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r>
        <w:rPr>
          <w:rFonts w:ascii="Times New Roman;Times;serif" w:hAnsi="Times New Roman;Times;serif"/>
          <w:b/>
          <w:sz w:val="20"/>
        </w:rPr>
        <w:t>4. Debt</w:t>
      </w:r>
    </w:p>
    <w:p>
      <w:pPr>
        <w:pStyle w:val="TextBody"/>
        <w:bidi w:val="0"/>
        <w:spacing w:before="0" w:after="0"/>
        <w:ind w:left="0" w:right="0" w:hanging="0"/>
        <w:jc w:val="both"/>
        <w:rPr/>
      </w:pPr>
      <w:r>
        <w:rPr/>
        <w:t>​</w:t>
      </w:r>
    </w:p>
    <w:p>
      <w:pPr>
        <w:pStyle w:val="TextBody"/>
        <w:bidi w:val="0"/>
        <w:spacing w:before="0" w:after="0"/>
        <w:ind w:left="0" w:right="0" w:firstLine="475"/>
        <w:jc w:val="left"/>
        <w:rPr>
          <w:rFonts w:ascii="Times New Roman;Times;serif" w:hAnsi="Times New Roman;Times;serif"/>
          <w:sz w:val="20"/>
        </w:rPr>
      </w:pPr>
      <w:r>
        <w:rPr>
          <w:rFonts w:ascii="Times New Roman;Times;serif" w:hAnsi="Times New Roman;Times;serif"/>
          <w:sz w:val="20"/>
        </w:rPr>
        <w:t>Short-term debt consists of the following (carrying balances in thousands):</w:t>
      </w:r>
    </w:p>
    <w:p>
      <w:pPr>
        <w:pStyle w:val="TextBody"/>
        <w:bidi w:val="0"/>
        <w:spacing w:before="0" w:after="0"/>
        <w:ind w:left="0" w:right="0" w:firstLine="475"/>
        <w:jc w:val="both"/>
        <w:rPr/>
      </w:pPr>
      <w:r>
        <w:rPr/>
        <w: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972"/>
        <w:gridCol w:w="109"/>
        <w:gridCol w:w="792"/>
        <w:gridCol w:w="462"/>
        <w:gridCol w:w="266"/>
        <w:gridCol w:w="466"/>
        <w:gridCol w:w="271"/>
        <w:gridCol w:w="266"/>
        <w:gridCol w:w="266"/>
        <w:gridCol w:w="989"/>
        <w:gridCol w:w="266"/>
        <w:gridCol w:w="211"/>
        <w:gridCol w:w="676"/>
        <w:gridCol w:w="193"/>
      </w:tblGrid>
      <w:tr>
        <w:trPr/>
        <w:tc>
          <w:tcPr>
            <w:tcW w:w="497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92"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989"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193" w:type="dxa"/>
            <w:tcBorders/>
            <w:vAlign w:val="center"/>
          </w:tcPr>
          <w:p>
            <w:pPr>
              <w:pStyle w:val="TableContents"/>
              <w:bidi w:val="0"/>
              <w:spacing w:before="0" w:after="0"/>
              <w:ind w:left="0" w:right="0" w:hanging="0"/>
              <w:jc w:val="left"/>
              <w:rPr/>
            </w:pPr>
            <w:r>
              <w:rPr/>
              <w:t>​</w:t>
            </w:r>
          </w:p>
        </w:tc>
      </w:tr>
      <w:tr>
        <w:trPr/>
        <w:tc>
          <w:tcPr>
            <w:tcW w:w="497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254"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30,</w:t>
            </w:r>
          </w:p>
        </w:tc>
        <w:tc>
          <w:tcPr>
            <w:tcW w:w="266" w:type="dxa"/>
            <w:tcBorders/>
            <w:vAlign w:val="center"/>
          </w:tcPr>
          <w:p>
            <w:pPr>
              <w:pStyle w:val="TableContents"/>
              <w:bidi w:val="0"/>
              <w:spacing w:before="0" w:after="0"/>
              <w:ind w:left="0" w:right="0" w:hanging="0"/>
              <w:jc w:val="center"/>
              <w:rPr/>
            </w:pPr>
            <w:r>
              <w:rPr/>
              <w:t>​</w:t>
            </w:r>
          </w:p>
        </w:tc>
        <w:tc>
          <w:tcPr>
            <w:tcW w:w="737"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July 1,</w:t>
            </w:r>
          </w:p>
        </w:tc>
        <w:tc>
          <w:tcPr>
            <w:tcW w:w="266" w:type="dxa"/>
            <w:tcBorders/>
            <w:vAlign w:val="center"/>
          </w:tcPr>
          <w:p>
            <w:pPr>
              <w:pStyle w:val="TableContents"/>
              <w:bidi w:val="0"/>
              <w:spacing w:before="0" w:after="0"/>
              <w:ind w:left="0" w:right="0" w:hanging="0"/>
              <w:jc w:val="center"/>
              <w:rPr/>
            </w:pPr>
            <w:r>
              <w:rPr/>
              <w:t>​</w:t>
            </w:r>
          </w:p>
        </w:tc>
        <w:tc>
          <w:tcPr>
            <w:tcW w:w="125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30,</w:t>
            </w:r>
          </w:p>
        </w:tc>
        <w:tc>
          <w:tcPr>
            <w:tcW w:w="26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July 1,</w:t>
            </w:r>
          </w:p>
        </w:tc>
        <w:tc>
          <w:tcPr>
            <w:tcW w:w="193" w:type="dxa"/>
            <w:tcBorders/>
            <w:vAlign w:val="center"/>
          </w:tcPr>
          <w:p>
            <w:pPr>
              <w:pStyle w:val="TableContents"/>
              <w:bidi w:val="0"/>
              <w:spacing w:before="0" w:after="0"/>
              <w:ind w:left="0" w:right="0" w:hanging="0"/>
              <w:jc w:val="center"/>
              <w:rPr/>
            </w:pPr>
            <w:r>
              <w:rPr/>
              <w:t>​</w:t>
            </w:r>
          </w:p>
        </w:tc>
      </w:tr>
      <w:tr>
        <w:trPr/>
        <w:tc>
          <w:tcPr>
            <w:tcW w:w="497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254"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266" w:type="dxa"/>
            <w:tcBorders/>
            <w:vAlign w:val="center"/>
          </w:tcPr>
          <w:p>
            <w:pPr>
              <w:pStyle w:val="TableContents"/>
              <w:bidi w:val="0"/>
              <w:spacing w:before="0" w:after="0"/>
              <w:ind w:left="0" w:right="0" w:hanging="0"/>
              <w:jc w:val="center"/>
              <w:rPr/>
            </w:pPr>
            <w:r>
              <w:rPr/>
              <w:t>   </w:t>
            </w:r>
          </w:p>
        </w:tc>
        <w:tc>
          <w:tcPr>
            <w:tcW w:w="737"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266" w:type="dxa"/>
            <w:tcBorders/>
            <w:vAlign w:val="center"/>
          </w:tcPr>
          <w:p>
            <w:pPr>
              <w:pStyle w:val="TableContents"/>
              <w:bidi w:val="0"/>
              <w:spacing w:before="0" w:after="0"/>
              <w:ind w:left="0" w:right="0" w:hanging="0"/>
              <w:jc w:val="center"/>
              <w:rPr/>
            </w:pPr>
            <w:r>
              <w:rPr/>
              <w:t>   </w:t>
            </w:r>
          </w:p>
        </w:tc>
        <w:tc>
          <w:tcPr>
            <w:tcW w:w="1255"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266" w:type="dxa"/>
            <w:tcBorders/>
            <w:vAlign w:val="center"/>
          </w:tcPr>
          <w:p>
            <w:pPr>
              <w:pStyle w:val="TableContents"/>
              <w:bidi w:val="0"/>
              <w:spacing w:before="0" w:after="0"/>
              <w:ind w:left="0" w:right="0" w:hanging="0"/>
              <w:jc w:val="center"/>
              <w:rPr/>
            </w:pPr>
            <w:r>
              <w:rPr/>
              <w:t>   </w:t>
            </w:r>
          </w:p>
        </w:tc>
        <w:tc>
          <w:tcPr>
            <w:tcW w:w="887"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193" w:type="dxa"/>
            <w:tcBorders/>
            <w:vAlign w:val="center"/>
          </w:tcPr>
          <w:p>
            <w:pPr>
              <w:pStyle w:val="TableContents"/>
              <w:bidi w:val="0"/>
              <w:spacing w:before="0" w:after="0"/>
              <w:ind w:left="0" w:right="0" w:hanging="0"/>
              <w:jc w:val="center"/>
              <w:rPr/>
            </w:pPr>
            <w:r>
              <w:rPr/>
              <w:t>​</w:t>
            </w:r>
          </w:p>
        </w:tc>
      </w:tr>
      <w:tr>
        <w:trPr/>
        <w:tc>
          <w:tcPr>
            <w:tcW w:w="10205" w:type="dxa"/>
            <w:gridSpan w:val="14"/>
            <w:tcBorders/>
            <w:vAlign w:val="center"/>
          </w:tcPr>
          <w:p>
            <w:pPr>
              <w:pStyle w:val="TableContents"/>
              <w:bidi w:val="0"/>
              <w:spacing w:before="0" w:after="283"/>
              <w:ind w:left="0" w:right="0" w:hanging="0"/>
              <w:jc w:val="left"/>
              <w:rPr>
                <w:sz w:val="4"/>
                <w:szCs w:val="4"/>
              </w:rPr>
            </w:pPr>
            <w:r>
              <w:rPr>
                <w:sz w:val="4"/>
                <w:szCs w:val="4"/>
              </w:rPr>
            </w:r>
          </w:p>
        </w:tc>
      </w:tr>
      <w:tr>
        <w:trPr/>
        <w:tc>
          <w:tcPr>
            <w:tcW w:w="497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257"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Interest Rate</w:t>
            </w:r>
          </w:p>
        </w:tc>
        <w:tc>
          <w:tcPr>
            <w:tcW w:w="266" w:type="dxa"/>
            <w:tcBorders/>
            <w:vAlign w:val="center"/>
          </w:tcPr>
          <w:p>
            <w:pPr>
              <w:pStyle w:val="TableContents"/>
              <w:bidi w:val="0"/>
              <w:spacing w:before="0" w:after="0"/>
              <w:ind w:left="0" w:right="0" w:hanging="0"/>
              <w:jc w:val="center"/>
              <w:rPr/>
            </w:pPr>
            <w:r>
              <w:rPr/>
              <w:t>​</w:t>
            </w:r>
          </w:p>
        </w:tc>
        <w:tc>
          <w:tcPr>
            <w:tcW w:w="2408"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Carrying Balance</w:t>
            </w:r>
          </w:p>
        </w:tc>
        <w:tc>
          <w:tcPr>
            <w:tcW w:w="193" w:type="dxa"/>
            <w:tcBorders/>
            <w:vAlign w:val="center"/>
          </w:tcPr>
          <w:p>
            <w:pPr>
              <w:pStyle w:val="TableContents"/>
              <w:bidi w:val="0"/>
              <w:spacing w:before="0" w:after="0"/>
              <w:ind w:left="0" w:right="0" w:hanging="0"/>
              <w:jc w:val="center"/>
              <w:rPr/>
            </w:pPr>
            <w:r>
              <w:rPr/>
              <w:t> </w:t>
            </w:r>
          </w:p>
        </w:tc>
      </w:tr>
      <w:tr>
        <w:trPr/>
        <w:tc>
          <w:tcPr>
            <w:tcW w:w="497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Revolving credit facilities:</w:t>
            </w:r>
          </w:p>
        </w:tc>
        <w:tc>
          <w:tcPr>
            <w:tcW w:w="109" w:type="dxa"/>
            <w:tcBorders/>
            <w:shd w:fill="CCEEFF" w:val="clear"/>
            <w:vAlign w:val="center"/>
          </w:tcPr>
          <w:p>
            <w:pPr>
              <w:pStyle w:val="TableContents"/>
              <w:bidi w:val="0"/>
              <w:spacing w:before="0" w:after="0"/>
              <w:ind w:left="0" w:right="0" w:hanging="0"/>
              <w:jc w:val="left"/>
              <w:rPr/>
            </w:pPr>
            <w:r>
              <w:rPr/>
              <w:t>​</w:t>
            </w:r>
          </w:p>
        </w:tc>
        <w:tc>
          <w:tcPr>
            <w:tcW w:w="792" w:type="dxa"/>
            <w:tcBorders/>
            <w:shd w:fill="CCEEFF" w:val="clear"/>
            <w:vAlign w:val="center"/>
          </w:tcPr>
          <w:p>
            <w:pPr>
              <w:pStyle w:val="TableContents"/>
              <w:bidi w:val="0"/>
              <w:spacing w:before="0" w:after="0"/>
              <w:ind w:left="0" w:right="0" w:hanging="0"/>
              <w:jc w:val="right"/>
              <w:rPr/>
            </w:pPr>
            <w:r>
              <w:rPr/>
              <w:t>​</w:t>
            </w:r>
          </w:p>
        </w:tc>
        <w:tc>
          <w:tcPr>
            <w:tcW w:w="462" w:type="dxa"/>
            <w:tcBorders/>
            <w:shd w:fill="CCEEFF" w:val="clear"/>
            <w:vAlign w:val="center"/>
          </w:tcPr>
          <w:p>
            <w:pPr>
              <w:pStyle w:val="TableContents"/>
              <w:bidi w:val="0"/>
              <w:spacing w:before="0" w:after="0"/>
              <w:ind w:left="0" w:right="0" w:hanging="0"/>
              <w:jc w:val="lef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989" w:type="dxa"/>
            <w:tcBorders/>
            <w:shd w:fill="CCEEFF" w:val="clear"/>
            <w:vAlign w:val="center"/>
          </w:tcPr>
          <w:p>
            <w:pPr>
              <w:pStyle w:val="TableContents"/>
              <w:bidi w:val="0"/>
              <w:spacing w:before="0" w:after="0"/>
              <w:ind w:left="0" w:right="0" w:hanging="0"/>
              <w:jc w:val="righ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193" w:type="dxa"/>
            <w:tcBorders/>
            <w:shd w:fill="CCEEFF" w:val="clear"/>
            <w:vAlign w:val="center"/>
          </w:tcPr>
          <w:p>
            <w:pPr>
              <w:pStyle w:val="TableContents"/>
              <w:bidi w:val="0"/>
              <w:spacing w:before="0" w:after="0"/>
              <w:ind w:left="0" w:right="0" w:hanging="0"/>
              <w:jc w:val="right"/>
              <w:rPr/>
            </w:pPr>
            <w:r>
              <w:rPr/>
              <w:t>​</w:t>
            </w:r>
          </w:p>
        </w:tc>
      </w:tr>
      <w:tr>
        <w:trPr/>
        <w:tc>
          <w:tcPr>
            <w:tcW w:w="497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securitization program (due December 2024)</w:t>
            </w:r>
          </w:p>
        </w:tc>
        <w:tc>
          <w:tcPr>
            <w:tcW w:w="109" w:type="dxa"/>
            <w:tcBorders/>
            <w:vAlign w:val="center"/>
          </w:tcPr>
          <w:p>
            <w:pPr>
              <w:pStyle w:val="TableContents"/>
              <w:bidi w:val="0"/>
              <w:spacing w:before="0" w:after="0"/>
              <w:ind w:left="0" w:right="0" w:hanging="0"/>
              <w:jc w:val="left"/>
              <w:rPr/>
            </w:pPr>
            <w:r>
              <w:rPr/>
              <w:t>​</w:t>
            </w:r>
          </w:p>
        </w:tc>
        <w:tc>
          <w:tcPr>
            <w:tcW w:w="7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6.20</w:t>
            </w:r>
          </w:p>
        </w:tc>
        <w:tc>
          <w:tcPr>
            <w:tcW w:w="4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6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c>
          <w:tcPr>
            <w:tcW w:w="271"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614,400</w:t>
            </w:r>
          </w:p>
        </w:tc>
        <w:tc>
          <w:tcPr>
            <w:tcW w:w="26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pPr>
            <w:r>
              <w:rPr/>
              <w:t>—</w:t>
            </w:r>
          </w:p>
        </w:tc>
        <w:tc>
          <w:tcPr>
            <w:tcW w:w="193" w:type="dxa"/>
            <w:tcBorders/>
            <w:vAlign w:val="center"/>
          </w:tcPr>
          <w:p>
            <w:pPr>
              <w:pStyle w:val="TableContents"/>
              <w:bidi w:val="0"/>
              <w:spacing w:before="0" w:after="0"/>
              <w:ind w:left="0" w:right="0" w:hanging="0"/>
              <w:jc w:val="right"/>
              <w:rPr/>
            </w:pPr>
            <w:r>
              <w:rPr/>
              <w:t>​</w:t>
            </w:r>
          </w:p>
        </w:tc>
      </w:tr>
      <w:tr>
        <w:trPr/>
        <w:tc>
          <w:tcPr>
            <w:tcW w:w="497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Other short-term debt </w:t>
            </w:r>
          </w:p>
        </w:tc>
        <w:tc>
          <w:tcPr>
            <w:tcW w:w="109" w:type="dxa"/>
            <w:tcBorders/>
            <w:shd w:fill="CCEEFF" w:val="clear"/>
            <w:vAlign w:val="center"/>
          </w:tcPr>
          <w:p>
            <w:pPr>
              <w:pStyle w:val="TableContents"/>
              <w:bidi w:val="0"/>
              <w:spacing w:before="0" w:after="0"/>
              <w:ind w:left="0" w:right="0" w:hanging="0"/>
              <w:jc w:val="left"/>
              <w:rPr/>
            </w:pPr>
            <w:r>
              <w:rPr/>
              <w:t>​</w:t>
            </w:r>
          </w:p>
        </w:tc>
        <w:tc>
          <w:tcPr>
            <w:tcW w:w="7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5.63</w:t>
            </w:r>
          </w:p>
        </w:tc>
        <w:tc>
          <w:tcPr>
            <w:tcW w:w="4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6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5.08</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66" w:type="dxa"/>
            <w:tcBorders/>
            <w:shd w:fill="CCEEFF" w:val="clear"/>
            <w:vAlign w:val="center"/>
          </w:tcPr>
          <w:p>
            <w:pPr>
              <w:pStyle w:val="TableContents"/>
              <w:bidi w:val="0"/>
              <w:spacing w:before="0" w:after="0"/>
              <w:ind w:left="0" w:right="0" w:hanging="0"/>
              <w:jc w:val="left"/>
              <w:rPr/>
            </w:pPr>
            <w:r>
              <w:rPr/>
              <w:t>​</w:t>
            </w:r>
          </w:p>
        </w:tc>
        <w:tc>
          <w:tcPr>
            <w:tcW w:w="266" w:type="dxa"/>
            <w:tcBorders>
              <w:bottom w:val="single" w:sz="1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89"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81,929</w:t>
            </w:r>
          </w:p>
        </w:tc>
        <w:tc>
          <w:tcPr>
            <w:tcW w:w="26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70,636</w:t>
            </w:r>
          </w:p>
        </w:tc>
        <w:tc>
          <w:tcPr>
            <w:tcW w:w="193" w:type="dxa"/>
            <w:tcBorders/>
            <w:shd w:fill="CCEEFF" w:val="clear"/>
            <w:vAlign w:val="center"/>
          </w:tcPr>
          <w:p>
            <w:pPr>
              <w:pStyle w:val="TableContents"/>
              <w:bidi w:val="0"/>
              <w:spacing w:before="0" w:after="0"/>
              <w:ind w:left="0" w:right="0" w:hanging="0"/>
              <w:jc w:val="right"/>
              <w:rPr/>
            </w:pPr>
            <w:r>
              <w:rPr/>
              <w:t>​</w:t>
            </w:r>
          </w:p>
        </w:tc>
      </w:tr>
      <w:tr>
        <w:trPr/>
        <w:tc>
          <w:tcPr>
            <w:tcW w:w="497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debt</w:t>
            </w:r>
          </w:p>
        </w:tc>
        <w:tc>
          <w:tcPr>
            <w:tcW w:w="109" w:type="dxa"/>
            <w:tcBorders/>
            <w:vAlign w:val="center"/>
          </w:tcPr>
          <w:p>
            <w:pPr>
              <w:pStyle w:val="TableContents"/>
              <w:bidi w:val="0"/>
              <w:spacing w:before="0" w:after="0"/>
              <w:ind w:left="0" w:right="0" w:hanging="0"/>
              <w:jc w:val="left"/>
              <w:rPr/>
            </w:pPr>
            <w:r>
              <w:rPr/>
              <w:t>​</w:t>
            </w:r>
          </w:p>
        </w:tc>
        <w:tc>
          <w:tcPr>
            <w:tcW w:w="792" w:type="dxa"/>
            <w:tcBorders/>
            <w:vAlign w:val="center"/>
          </w:tcPr>
          <w:p>
            <w:pPr>
              <w:pStyle w:val="TableContents"/>
              <w:bidi w:val="0"/>
              <w:spacing w:before="0" w:after="0"/>
              <w:ind w:left="0" w:right="0" w:hanging="0"/>
              <w:jc w:val="left"/>
              <w:rPr>
                <w:color w:val="575757"/>
              </w:rPr>
            </w:pPr>
            <w:r>
              <w:rPr>
                <w:color w:val="575757"/>
              </w:rPr>
              <w:t>​</w:t>
            </w:r>
          </w:p>
        </w:tc>
        <w:tc>
          <w:tcPr>
            <w:tcW w:w="462" w:type="dxa"/>
            <w:tcBorders/>
            <w:vAlign w:val="center"/>
          </w:tcPr>
          <w:p>
            <w:pPr>
              <w:pStyle w:val="TableContents"/>
              <w:bidi w:val="0"/>
              <w:spacing w:before="0" w:after="0"/>
              <w:ind w:left="0" w:right="0" w:hanging="0"/>
              <w:jc w:val="left"/>
              <w:rPr>
                <w:color w:val="575757"/>
              </w:rPr>
            </w:pPr>
            <w:r>
              <w:rPr>
                <w:color w:val="575757"/>
              </w:rPr>
              <w:t>​</w:t>
            </w:r>
          </w:p>
        </w:tc>
        <w:tc>
          <w:tcPr>
            <w:tcW w:w="266" w:type="dxa"/>
            <w:tcBorders/>
            <w:vAlign w:val="center"/>
          </w:tcPr>
          <w:p>
            <w:pPr>
              <w:pStyle w:val="TableContents"/>
              <w:bidi w:val="0"/>
              <w:spacing w:before="0" w:after="0"/>
              <w:ind w:left="0" w:right="0" w:hanging="0"/>
              <w:jc w:val="left"/>
              <w:rPr>
                <w:color w:val="575757"/>
              </w:rPr>
            </w:pPr>
            <w:r>
              <w:rPr>
                <w:color w:val="575757"/>
              </w:rPr>
              <w:t>​</w:t>
            </w:r>
          </w:p>
        </w:tc>
        <w:tc>
          <w:tcPr>
            <w:tcW w:w="466" w:type="dxa"/>
            <w:tcBorders/>
            <w:vAlign w:val="center"/>
          </w:tcPr>
          <w:p>
            <w:pPr>
              <w:pStyle w:val="TableContents"/>
              <w:bidi w:val="0"/>
              <w:spacing w:before="0" w:after="0"/>
              <w:ind w:left="0" w:right="0" w:hanging="0"/>
              <w:jc w:val="left"/>
              <w:rPr>
                <w:color w:val="575757"/>
              </w:rPr>
            </w:pPr>
            <w:r>
              <w:rPr>
                <w:color w:val="575757"/>
              </w:rPr>
              <w:t>​</w:t>
            </w:r>
          </w:p>
        </w:tc>
        <w:tc>
          <w:tcPr>
            <w:tcW w:w="271" w:type="dxa"/>
            <w:tcBorders/>
            <w:vAlign w:val="center"/>
          </w:tcPr>
          <w:p>
            <w:pPr>
              <w:pStyle w:val="TableContents"/>
              <w:bidi w:val="0"/>
              <w:spacing w:before="0" w:after="0"/>
              <w:ind w:left="0" w:right="0" w:hanging="0"/>
              <w:jc w:val="left"/>
              <w:rPr>
                <w:color w:val="575757"/>
              </w:rPr>
            </w:pPr>
            <w:r>
              <w:rPr>
                <w:color w:val="575757"/>
              </w:rPr>
              <w:t>​</w:t>
            </w:r>
          </w:p>
        </w:tc>
        <w:tc>
          <w:tcPr>
            <w:tcW w:w="266" w:type="dxa"/>
            <w:tcBorders/>
            <w:vAlign w:val="center"/>
          </w:tcPr>
          <w:p>
            <w:pPr>
              <w:pStyle w:val="TableContents"/>
              <w:bidi w:val="0"/>
              <w:spacing w:before="0" w:after="0"/>
              <w:ind w:left="0" w:right="0" w:hanging="0"/>
              <w:jc w:val="left"/>
              <w:rPr/>
            </w:pPr>
            <w:r>
              <w:rPr/>
              <w:t>​</w:t>
            </w:r>
          </w:p>
        </w:tc>
        <w:tc>
          <w:tcPr>
            <w:tcW w:w="26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696,329</w:t>
            </w:r>
          </w:p>
        </w:tc>
        <w:tc>
          <w:tcPr>
            <w:tcW w:w="26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70,636</w:t>
            </w:r>
          </w:p>
        </w:tc>
        <w:tc>
          <w:tcPr>
            <w:tcW w:w="193"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firstLine="475"/>
        <w:jc w:val="left"/>
        <w:rPr/>
      </w:pPr>
      <w:r>
        <w:rPr/>
        <w:t>​</w:t>
      </w:r>
    </w:p>
    <w:p>
      <w:pPr>
        <w:pStyle w:val="TextBody"/>
        <w:bidi w:val="0"/>
        <w:spacing w:before="0" w:after="0"/>
        <w:ind w:left="0" w:right="0" w:firstLine="480"/>
        <w:jc w:val="left"/>
        <w:rPr>
          <w:rFonts w:ascii="Times New Roman;Times;serif" w:hAnsi="Times New Roman;Times;serif"/>
          <w:sz w:val="20"/>
        </w:rPr>
      </w:pPr>
      <w:r>
        <w:rPr>
          <w:rFonts w:ascii="Times New Roman;Times;serif" w:hAnsi="Times New Roman;Times;serif"/>
          <w:sz w:val="20"/>
        </w:rPr>
        <w:t>The Company has a trade accounts receivable securitization program (the “Securitization Program”) in the United States with a group of financial institutions. The Securitization Program allows the Company to transfer, on an ongoing revolving basis, an undivided interest in a designated pool of trade accounts receivable, to provide security or collateral for borrowings of up to $700 million. The Securitization Program does not qualify for off balance sheet accounting treatment and any borrowings under the Securitization Program are recorded as debt in the consolidated balance sheets. Under the Securitization Program, the Company legally sells and isolates certain U.S. trade accounts receivable into a wholly owned and consolidated bankruptcy remote special purpose entity. Such receivables, which are recorded within “Receivables” in the consolidated balance sheets, totaled $1.16 billion and $1.27 billion at December 30, 2023, and July 1, 2023, respectively. The Securitization Program contains certain covenants relating to the quality of the receivables sold.</w:t>
      </w:r>
    </w:p>
    <w:p>
      <w:pPr>
        <w:pStyle w:val="TextBody"/>
        <w:bidi w:val="0"/>
        <w:spacing w:before="0" w:after="0"/>
        <w:ind w:left="0" w:right="0" w:firstLine="480"/>
        <w:jc w:val="left"/>
        <w:rPr/>
      </w:pPr>
      <w:r>
        <w:rPr/>
        <w:t>​</w:t>
      </w:r>
    </w:p>
    <w:p>
      <w:pPr>
        <w:pStyle w:val="TextBody"/>
        <w:bidi w:val="0"/>
        <w:spacing w:before="0" w:after="0"/>
        <w:ind w:left="0" w:right="0" w:firstLine="480"/>
        <w:jc w:val="left"/>
        <w:rPr>
          <w:rFonts w:ascii="Times New Roman;Times;serif" w:hAnsi="Times New Roman;Times;serif"/>
          <w:sz w:val="20"/>
        </w:rPr>
      </w:pPr>
      <w:r>
        <w:rPr>
          <w:rFonts w:ascii="Times New Roman;Times;serif" w:hAnsi="Times New Roman;Times;serif"/>
          <w:sz w:val="20"/>
        </w:rPr>
        <w:t xml:space="preserve">Other short-term debt consists of various committed and uncommitted lines of credit and other forms of bank debt with financial institutions utilized primarily to support the ongoing working capital requirements of the Company, including its foreign operations. </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lineRule="auto" w:line="343"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43" w:before="0" w:after="0"/>
        <w:ind w:left="0" w:right="0" w:hanging="0"/>
        <w:jc w:val="center"/>
        <w:rPr>
          <w:rFonts w:ascii="Times New Roman;Times;serif" w:hAnsi="Times New Roman;Times;serif"/>
          <w:b/>
          <w:sz w:val="20"/>
        </w:rPr>
      </w:pPr>
      <w:r>
        <w:rPr>
          <w:rFonts w:ascii="Times New Roman;Times;serif" w:hAnsi="Times New Roman;Times;serif"/>
          <w:b/>
          <w:sz w:val="20"/>
        </w:rPr>
        <w:t>AVNET, INC. AND SUBSIDIARIES</w:t>
      </w:r>
    </w:p>
    <w:p>
      <w:pPr>
        <w:pStyle w:val="TextBody"/>
        <w:bidi w:val="0"/>
        <w:spacing w:lineRule="auto" w:line="343"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firstLine="475"/>
        <w:jc w:val="left"/>
        <w:rPr>
          <w:rFonts w:ascii="Times New Roman;Times;serif" w:hAnsi="Times New Roman;Times;serif"/>
          <w:sz w:val="20"/>
        </w:rPr>
      </w:pPr>
      <w:bookmarkStart w:id="762" w:name="_Hlk124833251"/>
      <w:bookmarkStart w:id="763" w:name="_Hlk124836356"/>
      <w:bookmarkStart w:id="764" w:name="Tc_H8u4l8En5ka4A8qpegYQJQ_15_14"/>
      <w:bookmarkStart w:id="765" w:name="Tc_oUmrjf1VkUuKhS4Yf_0i4A_15_12"/>
      <w:bookmarkStart w:id="766" w:name="Tc_j1gTPCcBoEiMyQWf-wQMyw_15_8"/>
      <w:bookmarkStart w:id="767" w:name="Tc_TLvj_TCuhkeOWFKqxQrWww_15_0"/>
      <w:bookmarkStart w:id="768" w:name="Tc_sJF03QCGRkC1lhp6klUHrA_14_14"/>
      <w:bookmarkStart w:id="769" w:name="Tc_Qwqer8omrkKksXQPnmZd9w_14_0"/>
      <w:bookmarkStart w:id="770" w:name="Tc_Hm02u-WXa0GfMVztzJ1MfQ_13_14"/>
      <w:bookmarkStart w:id="771" w:name="Tc_tkvYp0hi4ki6TyfNbjAfNQ_13_0"/>
      <w:bookmarkStart w:id="772" w:name="Tc_GtoMseEnLUemZVHysQQSWQ_12_14"/>
      <w:bookmarkStart w:id="773" w:name="Tc_SPYCOw6kk0W7_oDiwZX8Sw_12_6"/>
      <w:bookmarkStart w:id="774" w:name="Tc_vBMznaUAiUKDUeoeybX5vg_12_3"/>
      <w:bookmarkStart w:id="775" w:name="Tc_hFJ4EwhjH0eRwBz8qYOaSQ_12_0"/>
      <w:bookmarkStart w:id="776" w:name="Tc_X94DZKRNZ0emVsGn0LSF5g_11_14"/>
      <w:bookmarkStart w:id="777" w:name="Tc_BK8xE-6I_0mOeuCk2szPzA_11_6"/>
      <w:bookmarkStart w:id="778" w:name="Tc_s84ZM_ggnkSeAENtnnuFXA_11_3"/>
      <w:bookmarkStart w:id="779" w:name="Tc_3Ayo9PCSXUuv9FHgYCStxg_11_0"/>
      <w:bookmarkStart w:id="780" w:name="Tc_ZtCuORn6NkWtl-2tDI9Z3w_10_14"/>
      <w:bookmarkStart w:id="781" w:name="Tc_2d9_uPbh1UqIDzW7wOYUvQ_10_6"/>
      <w:bookmarkStart w:id="782" w:name="Tc_Pw7TqIdwTECWO7boK2wrug_10_3"/>
      <w:bookmarkStart w:id="783" w:name="Tc_MDaZ6j1FbkyVzlJuCDs0Pg_10_0"/>
      <w:bookmarkStart w:id="784" w:name="Tc_HHAHvmNad0ql-VbGcCMUJw_9_14"/>
      <w:bookmarkStart w:id="785" w:name="Tc_k0eOPImp-UGEfs9t_vYCDA_9_6"/>
      <w:bookmarkStart w:id="786" w:name="Tc_T82jH0jUTUSJiYYKGSGBrA_9_3"/>
      <w:bookmarkStart w:id="787" w:name="Tc_eoH2HDnA7UCbKzqXx0fG5Q_9_0"/>
      <w:bookmarkStart w:id="788" w:name="Tc_Gz-lPvSxkEKSpm287EAqsg_8_0"/>
      <w:bookmarkStart w:id="789" w:name="Tc_9B_PjlxoUUWfkhgsPyOZZw_7_14"/>
      <w:bookmarkStart w:id="790" w:name="Tc_uYu7TRS-c0aAy9BYHDBg5g_7_5"/>
      <w:bookmarkStart w:id="791" w:name="Tc_VDwJKtIdvEWkTUgpe9CcgA_7_3"/>
      <w:bookmarkStart w:id="792" w:name="Tc_habUHf2-wEyG4yfnV55kvA_7_0"/>
      <w:bookmarkStart w:id="793" w:name="Tc_ovS2VonVikeHQZYP_8a5ag_6_14"/>
      <w:bookmarkStart w:id="794" w:name="Tc_pBEM1UC4WUeig-1Ysk3Evg_6_6"/>
      <w:bookmarkStart w:id="795" w:name="Tc_UFIhermVRUm6z__ot-zFOQ_6_3"/>
      <w:bookmarkStart w:id="796" w:name="Tc_xUPR11NfgU-pn0ZT_dZMvg_6_0"/>
      <w:bookmarkStart w:id="797" w:name="Tc_XK7_h9UVaUek0_8VjEmqPQ_5_14"/>
      <w:bookmarkStart w:id="798" w:name="Tc_pHXNLxUAvUGFwHBm0z-rRQ_5_12"/>
      <w:bookmarkStart w:id="799" w:name="Tc_v28U1TSt7UKEJdqoCxFDFw_5_9"/>
      <w:bookmarkStart w:id="800" w:name="Tc_6dnRkDziVE6Xjx75oEiaEg_5_8"/>
      <w:bookmarkStart w:id="801" w:name="Tc_Ti0GZy0kHUmTtXW5D0G8hw_5_6"/>
      <w:bookmarkStart w:id="802" w:name="Tc_uJXzNA4qF0W6It9HOxiMQQ_5_2"/>
      <w:bookmarkStart w:id="803" w:name="Tc_AmRZiCmajUKlfKkycrVzsg_5_0"/>
      <w:bookmarkStart w:id="804" w:name="Tc_llX9OA5xQUCedMJzo_FmHA_4_0"/>
      <w:bookmarkStart w:id="805" w:name="Tc_ZjEbCZUH_kyc-PLMQNbZcA_3_8"/>
      <w:bookmarkStart w:id="806" w:name="Tc_0rwSzkUBiUKyBXvlYY3k2g_3_2"/>
      <w:bookmarkStart w:id="807" w:name="Tc_XXf48r1oJECB3341EXVNKQ_2_12"/>
      <w:bookmarkStart w:id="808" w:name="Tc_sL2SkXZeKkajyyZ0N5iXRw_2_8"/>
      <w:bookmarkStart w:id="809" w:name="Tc_e5lq1ushX0eLIVmVDj4Vlw_2_5"/>
      <w:bookmarkStart w:id="810" w:name="Tc_toK1SQ2IY0WXUirxmULwhQ_2_2"/>
      <w:bookmarkStart w:id="811" w:name="Tc_MmM-3FikaUeLTK3c7k1sTw_1_12"/>
      <w:bookmarkStart w:id="812" w:name="Tc_vMwI53k89EGpszPNIi93Sw_1_8"/>
      <w:bookmarkStart w:id="813" w:name="Tc_-EEVMLt0OkOFi71esJJi-A_1_5"/>
      <w:bookmarkStart w:id="814" w:name="Tc_-RylTJf5K02yPCkMcn046w_1_2"/>
      <w:bookmarkStart w:id="815" w:name="_6a0ecb88_6b05_4e86_ba2e_d32b3f44e397"/>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r>
        <w:rPr>
          <w:rFonts w:ascii="Times New Roman;Times;serif" w:hAnsi="Times New Roman;Times;serif"/>
          <w:sz w:val="20"/>
        </w:rPr>
        <w:t>Long-term debt consists of the following (carrying balances in thousands):</w:t>
      </w:r>
    </w:p>
    <w:p>
      <w:pPr>
        <w:pStyle w:val="TextBody"/>
        <w:bidi w:val="0"/>
        <w:spacing w:before="0" w:after="0"/>
        <w:ind w:left="0" w:right="0" w:firstLine="480"/>
        <w:jc w:val="both"/>
        <w:rPr/>
      </w:pPr>
      <w:r>
        <w:rPr/>
        <w:t>​</w:t>
      </w:r>
    </w:p>
    <w:tbl>
      <w:tblPr>
        <w:tblW w:w="10058" w:type="dxa"/>
        <w:jc w:val="left"/>
        <w:tblInd w:w="0" w:type="dxa"/>
        <w:tblLayout w:type="fixed"/>
        <w:tblCellMar>
          <w:top w:w="0" w:type="dxa"/>
          <w:left w:w="0" w:type="dxa"/>
          <w:bottom w:w="0" w:type="dxa"/>
          <w:right w:w="0" w:type="dxa"/>
        </w:tblCellMar>
      </w:tblPr>
      <w:tblGrid>
        <w:gridCol w:w="4621"/>
        <w:gridCol w:w="109"/>
        <w:gridCol w:w="796"/>
        <w:gridCol w:w="464"/>
        <w:gridCol w:w="326"/>
        <w:gridCol w:w="466"/>
        <w:gridCol w:w="271"/>
        <w:gridCol w:w="206"/>
        <w:gridCol w:w="232"/>
        <w:gridCol w:w="1028"/>
        <w:gridCol w:w="206"/>
        <w:gridCol w:w="211"/>
        <w:gridCol w:w="931"/>
        <w:gridCol w:w="191"/>
      </w:tblGrid>
      <w:tr>
        <w:trPr/>
        <w:tc>
          <w:tcPr>
            <w:tcW w:w="46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934335" cy="175260"/>
                      <wp:effectExtent l="0" t="0" r="0" b="0"/>
                      <wp:wrapNone/>
                      <wp:docPr id="109" name="Frame109"/>
                      <a:graphic xmlns:a="http://schemas.openxmlformats.org/drawingml/2006/main">
                        <a:graphicData uri="http://schemas.microsoft.com/office/word/2010/wordprocessingShape">
                          <wps:wsp>
                            <wps:cNvSpPr txBox="1"/>
                            <wps:spPr>
                              <a:xfrm>
                                <a:off x="0" y="0"/>
                                <a:ext cx="2934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9215" cy="175260"/>
                      <wp:effectExtent l="0" t="0" r="0" b="0"/>
                      <wp:wrapNone/>
                      <wp:docPr id="110" name="Frame11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505460" cy="175260"/>
                      <wp:effectExtent l="0" t="0" r="0" b="0"/>
                      <wp:wrapNone/>
                      <wp:docPr id="111" name="Frame111"/>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94640" cy="175260"/>
                      <wp:effectExtent l="0" t="0" r="0" b="0"/>
                      <wp:wrapNone/>
                      <wp:docPr id="112" name="Frame112"/>
                      <a:graphic xmlns:a="http://schemas.openxmlformats.org/drawingml/2006/main">
                        <a:graphicData uri="http://schemas.microsoft.com/office/word/2010/wordprocessingShape">
                          <wps:wsp>
                            <wps:cNvSpPr txBox="1"/>
                            <wps:spPr>
                              <a:xfrm>
                                <a:off x="0" y="0"/>
                                <a:ext cx="2946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07010" cy="175260"/>
                      <wp:effectExtent l="0" t="0" r="0" b="0"/>
                      <wp:wrapNone/>
                      <wp:docPr id="113" name="Frame1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95910" cy="175260"/>
                      <wp:effectExtent l="0" t="0" r="0" b="0"/>
                      <wp:wrapNone/>
                      <wp:docPr id="114" name="Frame114"/>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172085" cy="175260"/>
                      <wp:effectExtent l="0" t="0" r="0" b="0"/>
                      <wp:wrapNone/>
                      <wp:docPr id="115" name="Frame115"/>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130810" cy="175260"/>
                      <wp:effectExtent l="0" t="0" r="0" b="0"/>
                      <wp:wrapNone/>
                      <wp:docPr id="116" name="Frame116"/>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147320" cy="175260"/>
                      <wp:effectExtent l="0" t="0" r="0" b="0"/>
                      <wp:wrapNone/>
                      <wp:docPr id="117" name="Frame117"/>
                      <a:graphic xmlns:a="http://schemas.openxmlformats.org/drawingml/2006/main">
                        <a:graphicData uri="http://schemas.microsoft.com/office/word/2010/wordprocessingShape">
                          <wps:wsp>
                            <wps:cNvSpPr txBox="1"/>
                            <wps:spPr>
                              <a:xfrm>
                                <a:off x="0" y="0"/>
                                <a:ext cx="147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52780" cy="175260"/>
                      <wp:effectExtent l="0" t="0" r="0" b="0"/>
                      <wp:wrapNone/>
                      <wp:docPr id="118" name="Frame118"/>
                      <a:graphic xmlns:a="http://schemas.openxmlformats.org/drawingml/2006/main">
                        <a:graphicData uri="http://schemas.microsoft.com/office/word/2010/wordprocessingShape">
                          <wps:wsp>
                            <wps:cNvSpPr txBox="1"/>
                            <wps:spPr>
                              <a:xfrm>
                                <a:off x="0" y="0"/>
                                <a:ext cx="652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130810" cy="175260"/>
                      <wp:effectExtent l="0" t="0" r="0" b="0"/>
                      <wp:wrapNone/>
                      <wp:docPr id="119" name="Frame119"/>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133985" cy="175260"/>
                      <wp:effectExtent l="0" t="0" r="0" b="0"/>
                      <wp:wrapNone/>
                      <wp:docPr id="120" name="Frame1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591185" cy="175260"/>
                      <wp:effectExtent l="0" t="0" r="0" b="0"/>
                      <wp:wrapNone/>
                      <wp:docPr id="121" name="Frame12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121285" cy="175260"/>
                      <wp:effectExtent l="0" t="0" r="0" b="0"/>
                      <wp:wrapNone/>
                      <wp:docPr id="122" name="Frame122"/>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6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260"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30,</w:t>
            </w:r>
          </w:p>
        </w:tc>
        <w:tc>
          <w:tcPr>
            <w:tcW w:w="326" w:type="dxa"/>
            <w:tcBorders/>
            <w:vAlign w:val="center"/>
          </w:tcPr>
          <w:p>
            <w:pPr>
              <w:pStyle w:val="TableContents"/>
              <w:bidi w:val="0"/>
              <w:spacing w:before="0" w:after="0"/>
              <w:ind w:left="0" w:right="0" w:hanging="0"/>
              <w:jc w:val="center"/>
              <w:rPr/>
            </w:pPr>
            <w:r>
              <w:rPr/>
              <w:t>​</w:t>
            </w:r>
          </w:p>
        </w:tc>
        <w:tc>
          <w:tcPr>
            <w:tcW w:w="737"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July 1,</w:t>
            </w:r>
          </w:p>
        </w:tc>
        <w:tc>
          <w:tcPr>
            <w:tcW w:w="206" w:type="dxa"/>
            <w:tcBorders/>
            <w:vAlign w:val="center"/>
          </w:tcPr>
          <w:p>
            <w:pPr>
              <w:pStyle w:val="TableContents"/>
              <w:bidi w:val="0"/>
              <w:spacing w:before="0" w:after="0"/>
              <w:ind w:left="0" w:right="0" w:hanging="0"/>
              <w:jc w:val="center"/>
              <w:rPr/>
            </w:pPr>
            <w:r>
              <w:rPr/>
              <w:t>​</w:t>
            </w:r>
          </w:p>
        </w:tc>
        <w:tc>
          <w:tcPr>
            <w:tcW w:w="1260"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30,</w:t>
            </w:r>
          </w:p>
        </w:tc>
        <w:tc>
          <w:tcPr>
            <w:tcW w:w="206" w:type="dxa"/>
            <w:tcBorders/>
            <w:vAlign w:val="center"/>
          </w:tcPr>
          <w:p>
            <w:pPr>
              <w:pStyle w:val="TableContents"/>
              <w:bidi w:val="0"/>
              <w:spacing w:before="0" w:after="0"/>
              <w:ind w:left="0" w:right="0" w:hanging="0"/>
              <w:jc w:val="center"/>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July 1,</w:t>
            </w:r>
          </w:p>
        </w:tc>
        <w:tc>
          <w:tcPr>
            <w:tcW w:w="191" w:type="dxa"/>
            <w:tcBorders/>
            <w:vAlign w:val="center"/>
          </w:tcPr>
          <w:p>
            <w:pPr>
              <w:pStyle w:val="TableContents"/>
              <w:bidi w:val="0"/>
              <w:spacing w:before="0" w:after="0"/>
              <w:ind w:left="0" w:right="0" w:hanging="0"/>
              <w:jc w:val="center"/>
              <w:rPr/>
            </w:pPr>
            <w:r>
              <w:rPr/>
              <w:t>​</w:t>
            </w:r>
          </w:p>
        </w:tc>
      </w:tr>
      <w:tr>
        <w:trPr/>
        <w:tc>
          <w:tcPr>
            <w:tcW w:w="46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26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6" w:type="dxa"/>
            <w:tcBorders/>
            <w:vAlign w:val="center"/>
          </w:tcPr>
          <w:p>
            <w:pPr>
              <w:pStyle w:val="TableContents"/>
              <w:bidi w:val="0"/>
              <w:spacing w:before="0" w:after="0"/>
              <w:ind w:left="0" w:right="0" w:hanging="0"/>
              <w:jc w:val="center"/>
              <w:rPr/>
            </w:pPr>
            <w:r>
              <w:rPr/>
              <w:t>    </w:t>
            </w:r>
          </w:p>
        </w:tc>
        <w:tc>
          <w:tcPr>
            <w:tcW w:w="737"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206" w:type="dxa"/>
            <w:tcBorders/>
            <w:vAlign w:val="center"/>
          </w:tcPr>
          <w:p>
            <w:pPr>
              <w:pStyle w:val="TableContents"/>
              <w:bidi w:val="0"/>
              <w:spacing w:before="0" w:after="0"/>
              <w:ind w:left="0" w:right="0" w:hanging="0"/>
              <w:jc w:val="center"/>
              <w:rPr/>
            </w:pPr>
            <w:r>
              <w:rPr/>
              <w:t>  </w:t>
            </w:r>
          </w:p>
        </w:tc>
        <w:tc>
          <w:tcPr>
            <w:tcW w:w="126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206" w:type="dxa"/>
            <w:tcBorders/>
            <w:vAlign w:val="center"/>
          </w:tcPr>
          <w:p>
            <w:pPr>
              <w:pStyle w:val="TableContents"/>
              <w:bidi w:val="0"/>
              <w:spacing w:before="0" w:after="0"/>
              <w:ind w:left="0" w:right="0" w:hanging="0"/>
              <w:jc w:val="center"/>
              <w:rPr/>
            </w:pPr>
            <w:r>
              <w:rPr/>
              <w:t>  </w:t>
            </w:r>
          </w:p>
        </w:tc>
        <w:tc>
          <w:tcPr>
            <w:tcW w:w="114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191" w:type="dxa"/>
            <w:tcBorders/>
            <w:vAlign w:val="center"/>
          </w:tcPr>
          <w:p>
            <w:pPr>
              <w:pStyle w:val="TableContents"/>
              <w:bidi w:val="0"/>
              <w:spacing w:before="0" w:after="0"/>
              <w:ind w:left="0" w:right="0" w:hanging="0"/>
              <w:jc w:val="center"/>
              <w:rPr/>
            </w:pPr>
            <w:r>
              <w:rPr/>
              <w:t>​</w:t>
            </w:r>
          </w:p>
        </w:tc>
      </w:tr>
      <w:tr>
        <w:trPr/>
        <w:tc>
          <w:tcPr>
            <w:tcW w:w="10058" w:type="dxa"/>
            <w:gridSpan w:val="14"/>
            <w:tcBorders/>
            <w:vAlign w:val="center"/>
          </w:tcPr>
          <w:p>
            <w:pPr>
              <w:pStyle w:val="TableContents"/>
              <w:bidi w:val="0"/>
              <w:spacing w:before="0" w:after="283"/>
              <w:ind w:left="0" w:right="0" w:hanging="0"/>
              <w:jc w:val="left"/>
              <w:rPr>
                <w:sz w:val="4"/>
                <w:szCs w:val="4"/>
              </w:rPr>
            </w:pPr>
            <w:r>
              <w:rPr>
                <w:sz w:val="4"/>
                <w:szCs w:val="4"/>
              </w:rPr>
            </w:r>
          </w:p>
        </w:tc>
      </w:tr>
      <w:tr>
        <w:trPr/>
        <w:tc>
          <w:tcPr>
            <w:tcW w:w="46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323"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Interest Rate</w:t>
            </w:r>
          </w:p>
        </w:tc>
        <w:tc>
          <w:tcPr>
            <w:tcW w:w="206" w:type="dxa"/>
            <w:tcBorders/>
            <w:vAlign w:val="center"/>
          </w:tcPr>
          <w:p>
            <w:pPr>
              <w:pStyle w:val="TableContents"/>
              <w:bidi w:val="0"/>
              <w:spacing w:before="0" w:after="0"/>
              <w:ind w:left="0" w:right="0" w:hanging="0"/>
              <w:jc w:val="center"/>
              <w:rPr/>
            </w:pPr>
            <w:r>
              <w:rPr/>
              <w:t>​</w:t>
            </w:r>
          </w:p>
        </w:tc>
        <w:tc>
          <w:tcPr>
            <w:tcW w:w="2608"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Carrying Balance</w:t>
            </w:r>
          </w:p>
        </w:tc>
        <w:tc>
          <w:tcPr>
            <w:tcW w:w="191" w:type="dxa"/>
            <w:tcBorders/>
            <w:vAlign w:val="center"/>
          </w:tcPr>
          <w:p>
            <w:pPr>
              <w:pStyle w:val="TableContents"/>
              <w:bidi w:val="0"/>
              <w:spacing w:before="0" w:after="0"/>
              <w:ind w:left="0" w:right="0" w:hanging="0"/>
              <w:jc w:val="center"/>
              <w:rPr/>
            </w:pPr>
            <w:r>
              <w:rPr/>
              <w:t> </w:t>
            </w:r>
          </w:p>
        </w:tc>
      </w:tr>
      <w:tr>
        <w:trPr/>
        <w:tc>
          <w:tcPr>
            <w:tcW w:w="46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Revolving credit facilities:</w:t>
            </w:r>
          </w:p>
        </w:tc>
        <w:tc>
          <w:tcPr>
            <w:tcW w:w="109" w:type="dxa"/>
            <w:tcBorders/>
            <w:shd w:fill="CCEEFF" w:val="clear"/>
            <w:vAlign w:val="center"/>
          </w:tcPr>
          <w:p>
            <w:pPr>
              <w:pStyle w:val="TableContents"/>
              <w:bidi w:val="0"/>
              <w:spacing w:before="0" w:after="0"/>
              <w:ind w:left="0" w:right="0" w:hanging="0"/>
              <w:jc w:val="center"/>
              <w:rPr/>
            </w:pPr>
            <w:r>
              <w:rPr/>
              <w:t>​</w:t>
            </w:r>
          </w:p>
        </w:tc>
        <w:tc>
          <w:tcPr>
            <w:tcW w:w="796" w:type="dxa"/>
            <w:tcBorders/>
            <w:shd w:fill="CCEEFF" w:val="clear"/>
            <w:vAlign w:val="center"/>
          </w:tcPr>
          <w:p>
            <w:pPr>
              <w:pStyle w:val="TableContents"/>
              <w:bidi w:val="0"/>
              <w:spacing w:before="0" w:after="0"/>
              <w:ind w:left="0" w:right="0" w:hanging="0"/>
              <w:jc w:val="center"/>
              <w:rPr/>
            </w:pPr>
            <w:r>
              <w:rPr/>
              <w:t>​</w:t>
            </w:r>
          </w:p>
        </w:tc>
        <w:tc>
          <w:tcPr>
            <w:tcW w:w="464"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466" w:type="dxa"/>
            <w:tcBorders/>
            <w:shd w:fill="CCEEFF" w:val="clear"/>
            <w:vAlign w:val="center"/>
          </w:tcPr>
          <w:p>
            <w:pPr>
              <w:pStyle w:val="TableContents"/>
              <w:bidi w:val="0"/>
              <w:spacing w:before="0" w:after="0"/>
              <w:ind w:left="0" w:right="0" w:hanging="0"/>
              <w:jc w:val="center"/>
              <w:rPr/>
            </w:pPr>
            <w:r>
              <w:rPr/>
              <w:t>​</w:t>
            </w:r>
          </w:p>
        </w:tc>
        <w:tc>
          <w:tcPr>
            <w:tcW w:w="271" w:type="dxa"/>
            <w:tcBorders/>
            <w:shd w:fill="CCEEFF" w:val="clear"/>
            <w:vAlign w:val="center"/>
          </w:tcPr>
          <w:p>
            <w:pPr>
              <w:pStyle w:val="TableContents"/>
              <w:bidi w:val="0"/>
              <w:spacing w:before="0" w:after="0"/>
              <w:ind w:left="0" w:right="0" w:hanging="0"/>
              <w:jc w:val="center"/>
              <w:rPr/>
            </w:pPr>
            <w:r>
              <w:rPr/>
              <w:t>​</w:t>
            </w:r>
          </w:p>
        </w:tc>
        <w:tc>
          <w:tcPr>
            <w:tcW w:w="206" w:type="dxa"/>
            <w:tcBorders/>
            <w:shd w:fill="CCEEFF" w:val="clear"/>
            <w:vAlign w:val="center"/>
          </w:tcPr>
          <w:p>
            <w:pPr>
              <w:pStyle w:val="TableContents"/>
              <w:bidi w:val="0"/>
              <w:spacing w:before="0" w:after="0"/>
              <w:ind w:left="0" w:right="0" w:hanging="0"/>
              <w:jc w:val="center"/>
              <w:rPr/>
            </w:pPr>
            <w:r>
              <w:rPr/>
              <w:t>​</w:t>
            </w:r>
          </w:p>
        </w:tc>
        <w:tc>
          <w:tcPr>
            <w:tcW w:w="232" w:type="dxa"/>
            <w:tcBorders/>
            <w:shd w:fill="CCEEFF" w:val="clear"/>
            <w:vAlign w:val="center"/>
          </w:tcPr>
          <w:p>
            <w:pPr>
              <w:pStyle w:val="TableContents"/>
              <w:bidi w:val="0"/>
              <w:spacing w:before="0" w:after="0"/>
              <w:ind w:left="0" w:right="0" w:hanging="0"/>
              <w:jc w:val="center"/>
              <w:rPr/>
            </w:pPr>
            <w:r>
              <w:rPr/>
              <w:t>​</w:t>
            </w:r>
          </w:p>
        </w:tc>
        <w:tc>
          <w:tcPr>
            <w:tcW w:w="1028" w:type="dxa"/>
            <w:tcBorders/>
            <w:shd w:fill="CCEEFF" w:val="clear"/>
            <w:vAlign w:val="center"/>
          </w:tcPr>
          <w:p>
            <w:pPr>
              <w:pStyle w:val="TableContents"/>
              <w:bidi w:val="0"/>
              <w:spacing w:before="0" w:after="0"/>
              <w:ind w:left="0" w:right="0" w:hanging="0"/>
              <w:jc w:val="center"/>
              <w:rPr/>
            </w:pPr>
            <w:r>
              <w:rPr/>
              <w:t>​</w:t>
            </w:r>
          </w:p>
        </w:tc>
        <w:tc>
          <w:tcPr>
            <w:tcW w:w="20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931" w:type="dxa"/>
            <w:tcBorders/>
            <w:shd w:fill="CCEEFF" w:val="clear"/>
            <w:vAlign w:val="center"/>
          </w:tcPr>
          <w:p>
            <w:pPr>
              <w:pStyle w:val="TableContents"/>
              <w:bidi w:val="0"/>
              <w:spacing w:before="0" w:after="0"/>
              <w:ind w:left="0" w:right="0" w:hanging="0"/>
              <w:jc w:val="center"/>
              <w:rPr/>
            </w:pPr>
            <w:r>
              <w:rPr/>
              <w:t>​</w:t>
            </w:r>
          </w:p>
        </w:tc>
        <w:tc>
          <w:tcPr>
            <w:tcW w:w="191" w:type="dxa"/>
            <w:tcBorders/>
            <w:shd w:fill="CCEEFF" w:val="clear"/>
            <w:vAlign w:val="center"/>
          </w:tcPr>
          <w:p>
            <w:pPr>
              <w:pStyle w:val="TableContents"/>
              <w:bidi w:val="0"/>
              <w:spacing w:before="0" w:after="0"/>
              <w:ind w:left="0" w:right="0" w:hanging="0"/>
              <w:jc w:val="center"/>
              <w:rPr/>
            </w:pPr>
            <w:r>
              <w:rPr/>
              <w:t>​</w:t>
            </w:r>
          </w:p>
        </w:tc>
      </w:tr>
      <w:tr>
        <w:trPr/>
        <w:tc>
          <w:tcPr>
            <w:tcW w:w="46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securitization program</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pPr>
            <w:r>
              <w:rPr/>
              <w:t>—</w:t>
            </w:r>
          </w:p>
        </w:tc>
        <w:tc>
          <w:tcPr>
            <w:tcW w:w="46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5.99</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06" w:type="dxa"/>
            <w:tcBorders/>
            <w:vAlign w:val="center"/>
          </w:tcPr>
          <w:p>
            <w:pPr>
              <w:pStyle w:val="TableContents"/>
              <w:bidi w:val="0"/>
              <w:spacing w:before="0" w:after="0"/>
              <w:ind w:left="0" w:right="0" w:hanging="0"/>
              <w:jc w:val="center"/>
              <w:rPr/>
            </w:pPr>
            <w:r>
              <w:rPr/>
              <w:t>​</w:t>
            </w:r>
          </w:p>
        </w:tc>
        <w:tc>
          <w:tcPr>
            <w:tcW w:w="2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555,800</w:t>
            </w:r>
          </w:p>
        </w:tc>
        <w:tc>
          <w:tcPr>
            <w:tcW w:w="191" w:type="dxa"/>
            <w:tcBorders/>
            <w:vAlign w:val="center"/>
          </w:tcPr>
          <w:p>
            <w:pPr>
              <w:pStyle w:val="TableContents"/>
              <w:bidi w:val="0"/>
              <w:spacing w:before="0" w:after="0"/>
              <w:ind w:left="0" w:right="0" w:hanging="0"/>
              <w:jc w:val="center"/>
              <w:rPr/>
            </w:pPr>
            <w:r>
              <w:rPr/>
              <w:t>​</w:t>
            </w:r>
          </w:p>
        </w:tc>
      </w:tr>
      <w:tr>
        <w:trPr/>
        <w:tc>
          <w:tcPr>
            <w:tcW w:w="46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Credit Facility</w:t>
            </w:r>
          </w:p>
        </w:tc>
        <w:tc>
          <w:tcPr>
            <w:tcW w:w="109" w:type="dxa"/>
            <w:tcBorders/>
            <w:shd w:fill="CCEEFF" w:val="clear"/>
            <w:vAlign w:val="center"/>
          </w:tcPr>
          <w:p>
            <w:pPr>
              <w:pStyle w:val="TableContents"/>
              <w:bidi w:val="0"/>
              <w:spacing w:before="0" w:after="0"/>
              <w:ind w:left="0" w:right="0" w:hanging="0"/>
              <w:jc w:val="center"/>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5.62</w:t>
            </w:r>
          </w:p>
        </w:tc>
        <w:tc>
          <w:tcPr>
            <w:tcW w:w="46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4.85</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06" w:type="dxa"/>
            <w:tcBorders/>
            <w:shd w:fill="CCEEFF" w:val="clear"/>
            <w:vAlign w:val="center"/>
          </w:tcPr>
          <w:p>
            <w:pPr>
              <w:pStyle w:val="TableContents"/>
              <w:bidi w:val="0"/>
              <w:spacing w:before="0" w:after="0"/>
              <w:ind w:left="0" w:right="0" w:hanging="0"/>
              <w:jc w:val="center"/>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10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1,091,696</w:t>
            </w:r>
          </w:p>
        </w:tc>
        <w:tc>
          <w:tcPr>
            <w:tcW w:w="20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796,552</w:t>
            </w:r>
          </w:p>
        </w:tc>
        <w:tc>
          <w:tcPr>
            <w:tcW w:w="191" w:type="dxa"/>
            <w:tcBorders/>
            <w:shd w:fill="CCEEFF" w:val="clear"/>
            <w:vAlign w:val="center"/>
          </w:tcPr>
          <w:p>
            <w:pPr>
              <w:pStyle w:val="TableContents"/>
              <w:bidi w:val="0"/>
              <w:spacing w:before="0" w:after="0"/>
              <w:ind w:left="0" w:right="0" w:hanging="0"/>
              <w:jc w:val="center"/>
              <w:rPr/>
            </w:pPr>
            <w:r>
              <w:rPr/>
              <w:t>​</w:t>
            </w:r>
          </w:p>
        </w:tc>
      </w:tr>
      <w:tr>
        <w:trPr/>
        <w:tc>
          <w:tcPr>
            <w:tcW w:w="46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long-term debt</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4.74</w:t>
            </w:r>
          </w:p>
        </w:tc>
        <w:tc>
          <w:tcPr>
            <w:tcW w:w="4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0"/>
              <w:ind w:left="0" w:right="0" w:hanging="0"/>
              <w:jc w:val="center"/>
              <w:rPr/>
            </w:pPr>
            <w:r>
              <w:rPr/>
              <w:t>​</w:t>
            </w:r>
          </w:p>
        </w:tc>
        <w:tc>
          <w:tcPr>
            <w:tcW w:w="466" w:type="dxa"/>
            <w:tcBorders/>
            <w:vAlign w:val="center"/>
          </w:tcPr>
          <w:p>
            <w:pPr>
              <w:pStyle w:val="TableContents"/>
              <w:bidi w:val="0"/>
              <w:spacing w:before="0" w:after="0"/>
              <w:ind w:left="0" w:right="0" w:hanging="0"/>
              <w:jc w:val="right"/>
              <w:rPr/>
            </w:pPr>
            <w:r>
              <w:rPr/>
              <w:t>—</w:t>
            </w:r>
          </w:p>
        </w:tc>
        <w:tc>
          <w:tcPr>
            <w:tcW w:w="271"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center"/>
              <w:rPr/>
            </w:pPr>
            <w:r>
              <w:rPr/>
              <w:t>​</w:t>
            </w:r>
          </w:p>
        </w:tc>
        <w:tc>
          <w:tcPr>
            <w:tcW w:w="232" w:type="dxa"/>
            <w:tcBorders/>
            <w:vAlign w:val="center"/>
          </w:tcPr>
          <w:p>
            <w:pPr>
              <w:pStyle w:val="TableContents"/>
              <w:bidi w:val="0"/>
              <w:spacing w:before="0" w:after="0"/>
              <w:ind w:left="0" w:right="0" w:hanging="0"/>
              <w:jc w:val="left"/>
              <w:rPr/>
            </w:pPr>
            <w:r>
              <w:rPr/>
              <w:t>​</w:t>
            </w:r>
          </w:p>
        </w:tc>
        <w:tc>
          <w:tcPr>
            <w:tcW w:w="10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24,899</w:t>
            </w:r>
          </w:p>
        </w:tc>
        <w:tc>
          <w:tcPr>
            <w:tcW w:w="20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center"/>
              <w:rPr/>
            </w:pPr>
            <w:r>
              <w:rPr/>
              <w:t>​</w:t>
            </w:r>
          </w:p>
        </w:tc>
      </w:tr>
      <w:tr>
        <w:trPr/>
        <w:tc>
          <w:tcPr>
            <w:tcW w:w="46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Public notes due:</w:t>
            </w:r>
          </w:p>
        </w:tc>
        <w:tc>
          <w:tcPr>
            <w:tcW w:w="109"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46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1028"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6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April 2026</w:t>
            </w:r>
          </w:p>
        </w:tc>
        <w:tc>
          <w:tcPr>
            <w:tcW w:w="109"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4.63</w:t>
            </w:r>
          </w:p>
        </w:tc>
        <w:tc>
          <w:tcPr>
            <w:tcW w:w="4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4.63</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0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right"/>
              <w:rPr/>
            </w:pPr>
            <w:r>
              <w:rPr/>
              <w:t>​</w:t>
            </w:r>
          </w:p>
        </w:tc>
        <w:tc>
          <w:tcPr>
            <w:tcW w:w="10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550,000</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550,000</w:t>
            </w:r>
          </w:p>
        </w:tc>
        <w:tc>
          <w:tcPr>
            <w:tcW w:w="191" w:type="dxa"/>
            <w:tcBorders/>
            <w:vAlign w:val="center"/>
          </w:tcPr>
          <w:p>
            <w:pPr>
              <w:pStyle w:val="TableContents"/>
              <w:bidi w:val="0"/>
              <w:spacing w:before="0" w:after="0"/>
              <w:ind w:left="0" w:right="0" w:hanging="0"/>
              <w:jc w:val="right"/>
              <w:rPr/>
            </w:pPr>
            <w:r>
              <w:rPr/>
              <w:t>​</w:t>
            </w:r>
          </w:p>
        </w:tc>
      </w:tr>
      <w:tr>
        <w:trPr/>
        <w:tc>
          <w:tcPr>
            <w:tcW w:w="46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May 2031</w:t>
            </w:r>
          </w:p>
        </w:tc>
        <w:tc>
          <w:tcPr>
            <w:tcW w:w="109"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w:t>
            </w:r>
          </w:p>
        </w:tc>
        <w:tc>
          <w:tcPr>
            <w:tcW w:w="46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right"/>
              <w:rPr/>
            </w:pPr>
            <w:r>
              <w:rPr/>
              <w:t>​</w:t>
            </w:r>
          </w:p>
        </w:tc>
        <w:tc>
          <w:tcPr>
            <w:tcW w:w="10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300,000</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300,000</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46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June 2032</w:t>
            </w:r>
          </w:p>
        </w:tc>
        <w:tc>
          <w:tcPr>
            <w:tcW w:w="109"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5.50</w:t>
            </w:r>
          </w:p>
        </w:tc>
        <w:tc>
          <w:tcPr>
            <w:tcW w:w="4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5.50</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0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right"/>
              <w:rPr/>
            </w:pPr>
            <w:r>
              <w:rPr/>
              <w:t>​</w:t>
            </w:r>
          </w:p>
        </w:tc>
        <w:tc>
          <w:tcPr>
            <w:tcW w:w="10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300,000</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300,000</w:t>
            </w:r>
          </w:p>
        </w:tc>
        <w:tc>
          <w:tcPr>
            <w:tcW w:w="191" w:type="dxa"/>
            <w:tcBorders/>
            <w:vAlign w:val="center"/>
          </w:tcPr>
          <w:p>
            <w:pPr>
              <w:pStyle w:val="TableContents"/>
              <w:bidi w:val="0"/>
              <w:spacing w:before="0" w:after="0"/>
              <w:ind w:left="0" w:right="0" w:hanging="0"/>
              <w:jc w:val="right"/>
              <w:rPr/>
            </w:pPr>
            <w:r>
              <w:rPr/>
              <w:t>​</w:t>
            </w:r>
          </w:p>
        </w:tc>
      </w:tr>
      <w:tr>
        <w:trPr/>
        <w:tc>
          <w:tcPr>
            <w:tcW w:w="46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March 2028</w:t>
            </w:r>
          </w:p>
        </w:tc>
        <w:tc>
          <w:tcPr>
            <w:tcW w:w="109"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6.25</w:t>
            </w:r>
          </w:p>
        </w:tc>
        <w:tc>
          <w:tcPr>
            <w:tcW w:w="46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6.25</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32"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1028"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500,000</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931"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500,000</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46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debt before discount and debt issuance costs</w:t>
            </w:r>
          </w:p>
        </w:tc>
        <w:tc>
          <w:tcPr>
            <w:tcW w:w="109"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46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color w:val="575757"/>
              </w:rPr>
            </w:pPr>
            <w:r>
              <w:rPr>
                <w:color w:val="575757"/>
              </w:rPr>
              <w:t>​</w:t>
            </w:r>
          </w:p>
        </w:tc>
        <w:tc>
          <w:tcPr>
            <w:tcW w:w="20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right"/>
              <w:rPr/>
            </w:pPr>
            <w:r>
              <w:rPr/>
              <w:t> </w:t>
            </w:r>
          </w:p>
        </w:tc>
        <w:tc>
          <w:tcPr>
            <w:tcW w:w="10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2,766,595</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3,002,352</w:t>
            </w:r>
          </w:p>
        </w:tc>
        <w:tc>
          <w:tcPr>
            <w:tcW w:w="191" w:type="dxa"/>
            <w:tcBorders/>
            <w:vAlign w:val="center"/>
          </w:tcPr>
          <w:p>
            <w:pPr>
              <w:pStyle w:val="TableContents"/>
              <w:bidi w:val="0"/>
              <w:spacing w:before="0" w:after="0"/>
              <w:ind w:left="0" w:right="0" w:hanging="0"/>
              <w:jc w:val="right"/>
              <w:rPr/>
            </w:pPr>
            <w:r>
              <w:rPr/>
              <w:t>​</w:t>
            </w:r>
          </w:p>
        </w:tc>
      </w:tr>
      <w:tr>
        <w:trPr/>
        <w:tc>
          <w:tcPr>
            <w:tcW w:w="46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Discount and debt issuance costs – unamortized</w:t>
            </w:r>
          </w:p>
        </w:tc>
        <w:tc>
          <w:tcPr>
            <w:tcW w:w="109"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c>
          <w:tcPr>
            <w:tcW w:w="46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32"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1028"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(13,074)</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931"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(14,323)</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46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debt</w:t>
            </w:r>
          </w:p>
        </w:tc>
        <w:tc>
          <w:tcPr>
            <w:tcW w:w="109"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46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23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2,753,521</w:t>
            </w:r>
          </w:p>
        </w:tc>
        <w:tc>
          <w:tcPr>
            <w:tcW w:w="20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2,988,029</w:t>
            </w:r>
          </w:p>
        </w:tc>
        <w:tc>
          <w:tcPr>
            <w:tcW w:w="1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firstLine="475"/>
        <w:jc w:val="left"/>
        <w:rPr/>
      </w:pPr>
      <w:r>
        <w:rPr/>
        <w:t>​</w:t>
      </w:r>
    </w:p>
    <w:p>
      <w:pPr>
        <w:pStyle w:val="TextBody"/>
        <w:bidi w:val="0"/>
        <w:spacing w:before="0" w:after="0"/>
        <w:ind w:left="0" w:right="0" w:firstLine="480"/>
        <w:jc w:val="left"/>
        <w:rPr/>
      </w:pPr>
      <w:r>
        <w:rPr/>
        <w:t>​</w:t>
      </w:r>
    </w:p>
    <w:p>
      <w:pPr>
        <w:pStyle w:val="TextBody"/>
        <w:bidi w:val="0"/>
        <w:spacing w:before="0" w:after="0"/>
        <w:ind w:left="0" w:right="0" w:firstLine="475"/>
        <w:jc w:val="left"/>
        <w:rPr>
          <w:rFonts w:ascii="Times New Roman;Times;serif" w:hAnsi="Times New Roman;Times;serif"/>
          <w:sz w:val="20"/>
        </w:rPr>
      </w:pPr>
      <w:r>
        <w:rPr>
          <w:rFonts w:ascii="Times New Roman;Times;serif" w:hAnsi="Times New Roman;Times;serif"/>
          <w:sz w:val="20"/>
        </w:rPr>
        <w:t xml:space="preserve">The Company has a five-year $1.50 billion revolving credit facility (the “Credit Facility”) with a syndicate of banks, which expires in August 2027. It consists of revolving credit facilities and the issuance of up to $200.0 million of letters of credit and up to $300.0 million of loans in certain approved currencies. As of December 30, 2023, and July 1, 2023, there were $0.9 million in letters of credit issued under the Credit Facility. Under the Credit Facility, the Company may select from various interest rate options, currencies, and maturities. The Credit Facility contains certain covenants, including various limitations on debt incurrence, share repurchases, dividends, investments, and capital expenditures. The Credit Facility also includes a financial covenant requiring the Company to maintain a leverage ratio not to exceed a certain threshold, which the Company was in compliance with as of December 30, 2023, and July 1, 2023. </w:t>
      </w:r>
    </w:p>
    <w:p>
      <w:pPr>
        <w:pStyle w:val="TextBody"/>
        <w:bidi w:val="0"/>
        <w:spacing w:before="0" w:after="0"/>
        <w:ind w:left="0" w:right="0" w:firstLine="480"/>
        <w:jc w:val="left"/>
        <w:rPr/>
      </w:pPr>
      <w:r>
        <w:rPr/>
        <w:t>​</w:t>
      </w:r>
    </w:p>
    <w:p>
      <w:pPr>
        <w:pStyle w:val="TextBody"/>
        <w:bidi w:val="0"/>
        <w:spacing w:before="0" w:after="0"/>
        <w:ind w:left="0" w:right="0" w:firstLine="475"/>
        <w:jc w:val="left"/>
        <w:rPr>
          <w:rFonts w:ascii="Times New Roman;Times;serif" w:hAnsi="Times New Roman;Times;serif"/>
          <w:sz w:val="20"/>
        </w:rPr>
      </w:pPr>
      <w:r>
        <w:rPr>
          <w:rFonts w:ascii="Times New Roman;Times;serif" w:hAnsi="Times New Roman;Times;serif"/>
          <w:sz w:val="20"/>
        </w:rPr>
        <w:t>As of December 30, 2023, the carrying value and fair value of the Company’s total debt was $3.45 billion and $3.42 billion, respectively. At July 1, 2023, the carrying value and fair value of the Company’s total debt was $3.06 billion and $2.98 billion, respectively. Fair value for public notes was estimated based on quoted market prices (Level 1) and, for other forms of debt, fair value approximates carrying value due to the market based variable nature of the interest rates on those debt facilities (Level 2).</w:t>
      </w:r>
    </w:p>
    <w:p>
      <w:pPr>
        <w:pStyle w:val="TextBody"/>
        <w:bidi w:val="0"/>
        <w:spacing w:before="0" w:after="0"/>
        <w:ind w:left="0" w:right="0" w:firstLine="475"/>
        <w:jc w:val="both"/>
        <w:rPr/>
      </w:pPr>
      <w:r>
        <w:rPr/>
        <w:t>​</w:t>
      </w:r>
    </w:p>
    <w:p>
      <w:pPr>
        <w:pStyle w:val="TextBody"/>
        <w:bidi w:val="0"/>
        <w:spacing w:before="0" w:after="0"/>
        <w:ind w:left="0" w:right="0" w:hanging="0"/>
        <w:jc w:val="both"/>
        <w:rPr>
          <w:rFonts w:ascii="Times New Roman;Times;serif" w:hAnsi="Times New Roman;Times;serif"/>
          <w:b/>
          <w:sz w:val="20"/>
        </w:rPr>
      </w:pPr>
      <w:bookmarkStart w:id="816" w:name="Tc_yL6UtF4fLkmP2U1qBbaoRg_6_11"/>
      <w:bookmarkStart w:id="817" w:name="Tc_piiE2tKTn0qmQlZ8A6LVAg_6_8"/>
      <w:bookmarkStart w:id="818" w:name="Tc_gIergpGE80mDZnSyBxbwZw_6_5"/>
      <w:bookmarkStart w:id="819" w:name="Tc_qVIzg20djEWg3y5aZAfEfw_6_2"/>
      <w:bookmarkStart w:id="820" w:name="Tc_ivMn3DaXwE-AFgfTPrjiYw_6_0"/>
      <w:bookmarkStart w:id="821" w:name="Tc_1Reh5UeMsE6bz7meLvM6Gw_5_0"/>
      <w:bookmarkStart w:id="822" w:name="Tc_nFnWZZ-1eEWJ__2Uz8zWOg_4_11"/>
      <w:bookmarkStart w:id="823" w:name="Tc_RevGctVeMUuYyc2VuOzTrg_4_8"/>
      <w:bookmarkStart w:id="824" w:name="Tc_WwXoBAIl-UKPzKnwCjJ_Tg_4_5"/>
      <w:bookmarkStart w:id="825" w:name="Tc_qGUa2jTEOkSEDJGqUbF8Pw_4_2"/>
      <w:bookmarkStart w:id="826" w:name="Tc_7OR8VUIIPUejiCNcVrBrTQ_4_0"/>
      <w:bookmarkStart w:id="827" w:name="Tc_WsYkIenZpkyI0H4QQ-ob1w_3_11"/>
      <w:bookmarkStart w:id="828" w:name="Tc_XQlj0PwLPkCM2GtliCYfgw_3_8"/>
      <w:bookmarkStart w:id="829" w:name="Tc_HaoO5RxTbk-QrayeSUtn6w_3_5"/>
      <w:bookmarkStart w:id="830" w:name="Tc_agX1-d6fakKJzb1BORPSZA_3_2"/>
      <w:bookmarkStart w:id="831" w:name="Tc_euL4wl2JHUS_I5K3rufFyQ_2_11"/>
      <w:bookmarkStart w:id="832" w:name="Tc_UrrRgL765Eu2OI73jcLrFw_2_8"/>
      <w:bookmarkStart w:id="833" w:name="Tc_QhYvMtYTYEGfstB-Ocu1Lw_2_5"/>
      <w:bookmarkStart w:id="834" w:name="Tc_HElvAck1x0iSO7dYsN0dJw_2_2"/>
      <w:bookmarkStart w:id="835" w:name="Tc_XNI0OijMDEa9GHaDe5yRwg_1_8"/>
      <w:bookmarkStart w:id="836" w:name="Tc_yglzGnR2RUyuE2OtZSza3w_1_2"/>
      <w:bookmarkStart w:id="837" w:name="_d2edd133_fcb6_44a1_a9e8_4a6be3c3d23a"/>
      <w:bookmarkStart w:id="838" w:name="_Hlk126071764"/>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r>
        <w:rPr>
          <w:rFonts w:ascii="Times New Roman;Times;serif" w:hAnsi="Times New Roman;Times;serif"/>
          <w:b/>
          <w:sz w:val="20"/>
        </w:rPr>
        <w:t>5. Leases</w:t>
      </w:r>
    </w:p>
    <w:p>
      <w:pPr>
        <w:pStyle w:val="TextBody"/>
        <w:bidi w:val="0"/>
        <w:spacing w:before="0" w:after="0"/>
        <w:ind w:left="0" w:right="0" w:firstLine="475"/>
        <w:jc w:val="both"/>
        <w:rPr/>
      </w:pPr>
      <w:r>
        <w:rPr/>
        <w:t>​</w:t>
      </w:r>
    </w:p>
    <w:p>
      <w:pPr>
        <w:pStyle w:val="TextBody"/>
        <w:bidi w:val="0"/>
        <w:spacing w:before="0" w:after="0"/>
        <w:ind w:left="0" w:right="0" w:firstLine="475"/>
        <w:jc w:val="left"/>
        <w:rPr>
          <w:rFonts w:ascii="Times New Roman;Times;serif" w:hAnsi="Times New Roman;Times;serif"/>
          <w:sz w:val="20"/>
        </w:rPr>
      </w:pPr>
      <w:r>
        <w:rPr>
          <w:rFonts w:ascii="Times New Roman;Times;serif" w:hAnsi="Times New Roman;Times;serif"/>
          <w:sz w:val="20"/>
        </w:rPr>
        <w:t>Substantially all the Company’s leases are classified as operating leases and are predominately related to real property for distribution centers, office space, and integration facilities with a lease term of up to 14 years. The Company’s equipment leases are primarily for automobiles and distribution center equipment and are not material to the consolidated financial statements.</w:t>
      </w:r>
    </w:p>
    <w:p>
      <w:pPr>
        <w:pStyle w:val="TextBody"/>
        <w:bidi w:val="0"/>
        <w:spacing w:before="0" w:after="0"/>
        <w:ind w:left="0" w:right="0" w:firstLine="475"/>
        <w:jc w:val="left"/>
        <w:rPr/>
      </w:pPr>
      <w:r>
        <w:rPr/>
        <w:t>​</w:t>
      </w:r>
    </w:p>
    <w:p>
      <w:pPr>
        <w:pStyle w:val="TextBody"/>
        <w:bidi w:val="0"/>
        <w:spacing w:before="0" w:after="0"/>
        <w:ind w:left="0" w:right="0" w:firstLine="475"/>
        <w:jc w:val="left"/>
        <w:rPr>
          <w:rFonts w:ascii="Times New Roman;Times;serif" w:hAnsi="Times New Roman;Times;serif"/>
          <w:sz w:val="20"/>
        </w:rPr>
      </w:pPr>
      <w:r>
        <w:rPr>
          <w:rFonts w:ascii="Times New Roman;Times;serif" w:hAnsi="Times New Roman;Times;serif"/>
          <w:sz w:val="20"/>
        </w:rPr>
        <w:t>The components of lease cost related to the Company’s operating leases were as follows (in thousands):</w:t>
      </w:r>
    </w:p>
    <w:p>
      <w:pPr>
        <w:pStyle w:val="TextBody"/>
        <w:bidi w:val="0"/>
        <w:spacing w:before="0" w:after="0"/>
        <w:ind w:left="0" w:right="0" w:firstLine="475"/>
        <w:jc w:val="both"/>
        <w:rPr/>
      </w:pPr>
      <w:r>
        <w:rPr/>
        <w:t>​</w:t>
      </w:r>
    </w:p>
    <w:tbl>
      <w:tblPr>
        <w:tblW w:w="7580" w:type="dxa"/>
        <w:jc w:val="left"/>
        <w:tblInd w:w="0" w:type="dxa"/>
        <w:tblLayout w:type="fixed"/>
        <w:tblCellMar>
          <w:top w:w="0" w:type="dxa"/>
          <w:left w:w="0" w:type="dxa"/>
          <w:bottom w:w="0" w:type="dxa"/>
          <w:right w:w="0" w:type="dxa"/>
        </w:tblCellMar>
      </w:tblPr>
      <w:tblGrid>
        <w:gridCol w:w="1756"/>
        <w:gridCol w:w="109"/>
        <w:gridCol w:w="298"/>
        <w:gridCol w:w="962"/>
        <w:gridCol w:w="218"/>
        <w:gridCol w:w="297"/>
        <w:gridCol w:w="963"/>
        <w:gridCol w:w="206"/>
        <w:gridCol w:w="299"/>
        <w:gridCol w:w="961"/>
        <w:gridCol w:w="206"/>
        <w:gridCol w:w="277"/>
        <w:gridCol w:w="1028"/>
      </w:tblGrid>
      <w:tr>
        <w:trPr/>
        <w:tc>
          <w:tcPr>
            <w:tcW w:w="17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1115060" cy="175260"/>
                      <wp:effectExtent l="0" t="0" r="0" b="0"/>
                      <wp:wrapNone/>
                      <wp:docPr id="123" name="Frame123"/>
                      <a:graphic xmlns:a="http://schemas.openxmlformats.org/drawingml/2006/main">
                        <a:graphicData uri="http://schemas.microsoft.com/office/word/2010/wordprocessingShape">
                          <wps:wsp>
                            <wps:cNvSpPr txBox="1"/>
                            <wps:spPr>
                              <a:xfrm>
                                <a:off x="0" y="0"/>
                                <a:ext cx="1115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9215" cy="175260"/>
                      <wp:effectExtent l="0" t="0" r="0" b="0"/>
                      <wp:wrapNone/>
                      <wp:docPr id="124" name="Frame12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189230" cy="175260"/>
                      <wp:effectExtent l="0" t="0" r="0" b="0"/>
                      <wp:wrapNone/>
                      <wp:docPr id="125" name="Frame125"/>
                      <a:graphic xmlns:a="http://schemas.openxmlformats.org/drawingml/2006/main">
                        <a:graphicData uri="http://schemas.microsoft.com/office/word/2010/wordprocessingShape">
                          <wps:wsp>
                            <wps:cNvSpPr txBox="1"/>
                            <wps:spPr>
                              <a:xfrm>
                                <a:off x="0" y="0"/>
                                <a:ext cx="189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10870" cy="175260"/>
                      <wp:effectExtent l="0" t="0" r="0" b="0"/>
                      <wp:wrapNone/>
                      <wp:docPr id="126" name="Frame126"/>
                      <a:graphic xmlns:a="http://schemas.openxmlformats.org/drawingml/2006/main">
                        <a:graphicData uri="http://schemas.microsoft.com/office/word/2010/wordprocessingShape">
                          <wps:wsp>
                            <wps:cNvSpPr txBox="1"/>
                            <wps:spPr>
                              <a:xfrm>
                                <a:off x="0" y="0"/>
                                <a:ext cx="6108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138430" cy="175260"/>
                      <wp:effectExtent l="0" t="0" r="0" b="0"/>
                      <wp:wrapNone/>
                      <wp:docPr id="127" name="Frame127"/>
                      <a:graphic xmlns:a="http://schemas.openxmlformats.org/drawingml/2006/main">
                        <a:graphicData uri="http://schemas.microsoft.com/office/word/2010/wordprocessingShape">
                          <wps:wsp>
                            <wps:cNvSpPr txBox="1"/>
                            <wps:spPr>
                              <a:xfrm>
                                <a:off x="0" y="0"/>
                                <a:ext cx="138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188595" cy="175260"/>
                      <wp:effectExtent l="0" t="0" r="0" b="0"/>
                      <wp:wrapNone/>
                      <wp:docPr id="128" name="Frame128"/>
                      <a:graphic xmlns:a="http://schemas.openxmlformats.org/drawingml/2006/main">
                        <a:graphicData uri="http://schemas.microsoft.com/office/word/2010/wordprocessingShape">
                          <wps:wsp>
                            <wps:cNvSpPr txBox="1"/>
                            <wps:spPr>
                              <a:xfrm>
                                <a:off x="0" y="0"/>
                                <a:ext cx="188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11505" cy="175260"/>
                      <wp:effectExtent l="0" t="0" r="0" b="0"/>
                      <wp:wrapNone/>
                      <wp:docPr id="129" name="Frame129"/>
                      <a:graphic xmlns:a="http://schemas.openxmlformats.org/drawingml/2006/main">
                        <a:graphicData uri="http://schemas.microsoft.com/office/word/2010/wordprocessingShape">
                          <wps:wsp>
                            <wps:cNvSpPr txBox="1"/>
                            <wps:spPr>
                              <a:xfrm>
                                <a:off x="0" y="0"/>
                                <a:ext cx="6115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130810" cy="175260"/>
                      <wp:effectExtent l="0" t="0" r="0" b="0"/>
                      <wp:wrapNone/>
                      <wp:docPr id="130" name="Frame130"/>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189865" cy="175260"/>
                      <wp:effectExtent l="0" t="0" r="0" b="0"/>
                      <wp:wrapNone/>
                      <wp:docPr id="131" name="Frame131"/>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10235" cy="175260"/>
                      <wp:effectExtent l="0" t="0" r="0" b="0"/>
                      <wp:wrapNone/>
                      <wp:docPr id="132" name="Frame132"/>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130810" cy="175260"/>
                      <wp:effectExtent l="0" t="0" r="0" b="0"/>
                      <wp:wrapNone/>
                      <wp:docPr id="133" name="Frame133"/>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175895" cy="175260"/>
                      <wp:effectExtent l="0" t="0" r="0" b="0"/>
                      <wp:wrapNone/>
                      <wp:docPr id="134" name="Frame134"/>
                      <a:graphic xmlns:a="http://schemas.openxmlformats.org/drawingml/2006/main">
                        <a:graphicData uri="http://schemas.microsoft.com/office/word/2010/wordprocessingShape">
                          <wps:wsp>
                            <wps:cNvSpPr txBox="1"/>
                            <wps:spPr>
                              <a:xfrm>
                                <a:off x="0" y="0"/>
                                <a:ext cx="175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52780" cy="175260"/>
                      <wp:effectExtent l="0" t="0" r="0" b="0"/>
                      <wp:wrapNone/>
                      <wp:docPr id="135" name="Frame135"/>
                      <a:graphic xmlns:a="http://schemas.openxmlformats.org/drawingml/2006/main">
                        <a:graphicData uri="http://schemas.microsoft.com/office/word/2010/wordprocessingShape">
                          <wps:wsp>
                            <wps:cNvSpPr txBox="1"/>
                            <wps:spPr>
                              <a:xfrm>
                                <a:off x="0" y="0"/>
                                <a:ext cx="652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738"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Second Quarters Ended</w:t>
            </w:r>
          </w:p>
        </w:tc>
        <w:tc>
          <w:tcPr>
            <w:tcW w:w="206" w:type="dxa"/>
            <w:tcBorders/>
            <w:vAlign w:val="center"/>
          </w:tcPr>
          <w:p>
            <w:pPr>
              <w:pStyle w:val="TableContents"/>
              <w:bidi w:val="0"/>
              <w:spacing w:before="0" w:after="0"/>
              <w:ind w:left="0" w:right="0" w:hanging="0"/>
              <w:jc w:val="left"/>
              <w:rPr/>
            </w:pPr>
            <w:r>
              <w:rPr/>
              <w:t>​</w:t>
            </w:r>
          </w:p>
        </w:tc>
        <w:tc>
          <w:tcPr>
            <w:tcW w:w="2771"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Six Months Ended</w:t>
            </w:r>
          </w:p>
        </w:tc>
      </w:tr>
      <w:tr>
        <w:trPr/>
        <w:tc>
          <w:tcPr>
            <w:tcW w:w="17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260"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30,</w:t>
            </w:r>
          </w:p>
        </w:tc>
        <w:tc>
          <w:tcPr>
            <w:tcW w:w="218" w:type="dxa"/>
            <w:tcBorders/>
            <w:vAlign w:val="center"/>
          </w:tcPr>
          <w:p>
            <w:pPr>
              <w:pStyle w:val="TableContents"/>
              <w:bidi w:val="0"/>
              <w:spacing w:before="0" w:after="0"/>
              <w:ind w:left="0" w:right="0" w:hanging="0"/>
              <w:jc w:val="center"/>
              <w:rPr/>
            </w:pPr>
            <w:r>
              <w:rPr/>
              <w:t>​</w:t>
            </w:r>
          </w:p>
        </w:tc>
        <w:tc>
          <w:tcPr>
            <w:tcW w:w="1260"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w:t>
            </w:r>
          </w:p>
        </w:tc>
        <w:tc>
          <w:tcPr>
            <w:tcW w:w="206" w:type="dxa"/>
            <w:tcBorders/>
            <w:vAlign w:val="center"/>
          </w:tcPr>
          <w:p>
            <w:pPr>
              <w:pStyle w:val="TableContents"/>
              <w:bidi w:val="0"/>
              <w:spacing w:before="0" w:after="0"/>
              <w:ind w:left="0" w:right="0" w:hanging="0"/>
              <w:jc w:val="left"/>
              <w:rPr/>
            </w:pPr>
            <w:r>
              <w:rPr/>
              <w:t>​</w:t>
            </w:r>
          </w:p>
        </w:tc>
        <w:tc>
          <w:tcPr>
            <w:tcW w:w="1260"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30,</w:t>
            </w:r>
          </w:p>
        </w:tc>
        <w:tc>
          <w:tcPr>
            <w:tcW w:w="206" w:type="dxa"/>
            <w:tcBorders/>
            <w:vAlign w:val="center"/>
          </w:tcPr>
          <w:p>
            <w:pPr>
              <w:pStyle w:val="TableContents"/>
              <w:bidi w:val="0"/>
              <w:spacing w:before="0" w:after="0"/>
              <w:ind w:left="0" w:right="0" w:hanging="0"/>
              <w:jc w:val="center"/>
              <w:rPr/>
            </w:pPr>
            <w:r>
              <w:rPr/>
              <w:t>​</w:t>
            </w:r>
          </w:p>
        </w:tc>
        <w:tc>
          <w:tcPr>
            <w:tcW w:w="130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w:t>
            </w:r>
          </w:p>
        </w:tc>
      </w:tr>
      <w:tr>
        <w:trPr/>
        <w:tc>
          <w:tcPr>
            <w:tcW w:w="17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26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218" w:type="dxa"/>
            <w:tcBorders/>
            <w:vAlign w:val="center"/>
          </w:tcPr>
          <w:p>
            <w:pPr>
              <w:pStyle w:val="TableContents"/>
              <w:bidi w:val="0"/>
              <w:spacing w:before="0" w:after="0"/>
              <w:ind w:left="0" w:right="0" w:hanging="0"/>
              <w:jc w:val="left"/>
              <w:rPr/>
            </w:pPr>
            <w:r>
              <w:rPr/>
              <w:t>  </w:t>
            </w:r>
          </w:p>
        </w:tc>
        <w:tc>
          <w:tcPr>
            <w:tcW w:w="126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206" w:type="dxa"/>
            <w:tcBorders/>
            <w:vAlign w:val="center"/>
          </w:tcPr>
          <w:p>
            <w:pPr>
              <w:pStyle w:val="TableContents"/>
              <w:bidi w:val="0"/>
              <w:spacing w:before="0" w:after="0"/>
              <w:ind w:left="0" w:right="0" w:hanging="0"/>
              <w:jc w:val="left"/>
              <w:rPr>
                <w:color w:val="575757"/>
              </w:rPr>
            </w:pPr>
            <w:r>
              <w:rPr>
                <w:color w:val="575757"/>
              </w:rPr>
              <w:t>  </w:t>
            </w:r>
          </w:p>
        </w:tc>
        <w:tc>
          <w:tcPr>
            <w:tcW w:w="126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206" w:type="dxa"/>
            <w:tcBorders/>
            <w:vAlign w:val="center"/>
          </w:tcPr>
          <w:p>
            <w:pPr>
              <w:pStyle w:val="TableContents"/>
              <w:bidi w:val="0"/>
              <w:spacing w:before="0" w:after="0"/>
              <w:ind w:left="0" w:right="0" w:hanging="0"/>
              <w:jc w:val="left"/>
              <w:rPr/>
            </w:pPr>
            <w:r>
              <w:rPr/>
              <w:t>  </w:t>
            </w:r>
          </w:p>
        </w:tc>
        <w:tc>
          <w:tcPr>
            <w:tcW w:w="1305"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r>
      <w:tr>
        <w:trPr/>
        <w:tc>
          <w:tcPr>
            <w:tcW w:w="17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cost</w:t>
            </w:r>
          </w:p>
        </w:tc>
        <w:tc>
          <w:tcPr>
            <w:tcW w:w="109" w:type="dxa"/>
            <w:tcBorders/>
            <w:shd w:fill="CCEEFF" w:val="clear"/>
            <w:vAlign w:val="center"/>
          </w:tcPr>
          <w:p>
            <w:pPr>
              <w:pStyle w:val="TableContents"/>
              <w:bidi w:val="0"/>
              <w:spacing w:before="0" w:after="0"/>
              <w:ind w:left="0" w:right="0" w:hanging="0"/>
              <w:jc w:val="left"/>
              <w:rPr/>
            </w:pPr>
            <w:r>
              <w:rPr/>
              <w:t>​</w:t>
            </w:r>
          </w:p>
        </w:tc>
        <w:tc>
          <w:tcPr>
            <w:tcW w:w="29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14,166</w:t>
            </w:r>
          </w:p>
        </w:tc>
        <w:tc>
          <w:tcPr>
            <w:tcW w:w="218"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2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16,917</w:t>
            </w:r>
          </w:p>
        </w:tc>
        <w:tc>
          <w:tcPr>
            <w:tcW w:w="206"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2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29,705</w:t>
            </w:r>
          </w:p>
        </w:tc>
        <w:tc>
          <w:tcPr>
            <w:tcW w:w="20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33,482</w:t>
            </w:r>
          </w:p>
        </w:tc>
      </w:tr>
      <w:tr>
        <w:trPr/>
        <w:tc>
          <w:tcPr>
            <w:tcW w:w="17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Variable lease cost</w:t>
            </w:r>
          </w:p>
        </w:tc>
        <w:tc>
          <w:tcPr>
            <w:tcW w:w="109" w:type="dxa"/>
            <w:tcBorders/>
            <w:vAlign w:val="center"/>
          </w:tcPr>
          <w:p>
            <w:pPr>
              <w:pStyle w:val="TableContents"/>
              <w:bidi w:val="0"/>
              <w:spacing w:before="0" w:after="0"/>
              <w:ind w:left="0" w:right="0" w:hanging="0"/>
              <w:jc w:val="left"/>
              <w:rPr/>
            </w:pPr>
            <w:r>
              <w:rPr/>
              <w:t>​</w:t>
            </w:r>
          </w:p>
        </w:tc>
        <w:tc>
          <w:tcPr>
            <w:tcW w:w="298" w:type="dxa"/>
            <w:tcBorders>
              <w:bottom w:val="single" w:sz="12" w:space="0" w:color="000000"/>
            </w:tcBorders>
            <w:tcMar>
              <w:bottom w:w="28" w:type="dxa"/>
            </w:tcMar>
            <w:vAlign w:val="center"/>
          </w:tcPr>
          <w:p>
            <w:pPr>
              <w:pStyle w:val="TableContents"/>
              <w:bidi w:val="0"/>
              <w:spacing w:before="0" w:after="0"/>
              <w:ind w:left="0" w:right="0" w:hanging="0"/>
              <w:jc w:val="left"/>
              <w:rPr/>
            </w:pPr>
            <w:r>
              <w:rPr/>
              <w:t>​</w:t>
            </w:r>
          </w:p>
        </w:tc>
        <w:tc>
          <w:tcPr>
            <w:tcW w:w="962"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8,677</w:t>
            </w:r>
          </w:p>
        </w:tc>
        <w:tc>
          <w:tcPr>
            <w:tcW w:w="218" w:type="dxa"/>
            <w:tcBorders/>
            <w:vAlign w:val="center"/>
          </w:tcPr>
          <w:p>
            <w:pPr>
              <w:pStyle w:val="TableContents"/>
              <w:bidi w:val="0"/>
              <w:spacing w:before="0" w:after="0"/>
              <w:ind w:left="0" w:right="0" w:hanging="0"/>
              <w:jc w:val="left"/>
              <w:rPr>
                <w:color w:val="575757"/>
              </w:rPr>
            </w:pPr>
            <w:r>
              <w:rPr>
                <w:color w:val="575757"/>
              </w:rPr>
              <w:t>​</w:t>
            </w:r>
          </w:p>
        </w:tc>
        <w:tc>
          <w:tcPr>
            <w:tcW w:w="297" w:type="dxa"/>
            <w:tcBorders>
              <w:bottom w:val="single" w:sz="12" w:space="0" w:color="000000"/>
            </w:tcBorders>
            <w:tcMar>
              <w:bottom w:w="28" w:type="dxa"/>
            </w:tcMar>
            <w:vAlign w:val="center"/>
          </w:tcPr>
          <w:p>
            <w:pPr>
              <w:pStyle w:val="TableContents"/>
              <w:bidi w:val="0"/>
              <w:spacing w:before="0" w:after="0"/>
              <w:ind w:left="0" w:right="0" w:hanging="0"/>
              <w:jc w:val="left"/>
              <w:rPr>
                <w:color w:val="575757"/>
              </w:rPr>
            </w:pPr>
            <w:r>
              <w:rPr>
                <w:color w:val="575757"/>
              </w:rPr>
              <w:t>​</w:t>
            </w:r>
          </w:p>
        </w:tc>
        <w:tc>
          <w:tcPr>
            <w:tcW w:w="963"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5,715</w:t>
            </w:r>
          </w:p>
        </w:tc>
        <w:tc>
          <w:tcPr>
            <w:tcW w:w="206" w:type="dxa"/>
            <w:tcBorders/>
            <w:vAlign w:val="center"/>
          </w:tcPr>
          <w:p>
            <w:pPr>
              <w:pStyle w:val="TableContents"/>
              <w:bidi w:val="0"/>
              <w:spacing w:before="0" w:after="0"/>
              <w:ind w:left="0" w:right="0" w:hanging="0"/>
              <w:jc w:val="left"/>
              <w:rPr>
                <w:color w:val="575757"/>
              </w:rPr>
            </w:pPr>
            <w:r>
              <w:rPr>
                <w:color w:val="575757"/>
              </w:rPr>
              <w:t>​</w:t>
            </w:r>
          </w:p>
        </w:tc>
        <w:tc>
          <w:tcPr>
            <w:tcW w:w="299" w:type="dxa"/>
            <w:tcBorders>
              <w:bottom w:val="single" w:sz="12" w:space="0" w:color="000000"/>
            </w:tcBorders>
            <w:tcMar>
              <w:bottom w:w="28" w:type="dxa"/>
            </w:tcMar>
            <w:vAlign w:val="center"/>
          </w:tcPr>
          <w:p>
            <w:pPr>
              <w:pStyle w:val="TableContents"/>
              <w:bidi w:val="0"/>
              <w:spacing w:before="0" w:after="0"/>
              <w:ind w:left="0" w:right="0" w:hanging="0"/>
              <w:jc w:val="left"/>
              <w:rPr/>
            </w:pPr>
            <w:r>
              <w:rPr/>
              <w:t>​</w:t>
            </w:r>
          </w:p>
        </w:tc>
        <w:tc>
          <w:tcPr>
            <w:tcW w:w="961"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15,844</w:t>
            </w:r>
          </w:p>
        </w:tc>
        <w:tc>
          <w:tcPr>
            <w:tcW w:w="206" w:type="dxa"/>
            <w:tcBorders/>
            <w:vAlign w:val="center"/>
          </w:tcPr>
          <w:p>
            <w:pPr>
              <w:pStyle w:val="TableContents"/>
              <w:bidi w:val="0"/>
              <w:spacing w:before="0" w:after="0"/>
              <w:ind w:left="0" w:right="0" w:hanging="0"/>
              <w:jc w:val="left"/>
              <w:rPr/>
            </w:pPr>
            <w:r>
              <w:rPr/>
              <w:t>​</w:t>
            </w:r>
          </w:p>
        </w:tc>
        <w:tc>
          <w:tcPr>
            <w:tcW w:w="277" w:type="dxa"/>
            <w:tcBorders>
              <w:bottom w:val="single" w:sz="12" w:space="0" w:color="000000"/>
            </w:tcBorders>
            <w:tcMar>
              <w:bottom w:w="28" w:type="dxa"/>
            </w:tcMar>
            <w:vAlign w:val="center"/>
          </w:tcPr>
          <w:p>
            <w:pPr>
              <w:pStyle w:val="TableContents"/>
              <w:bidi w:val="0"/>
              <w:spacing w:before="0" w:after="0"/>
              <w:ind w:left="0" w:right="0" w:hanging="0"/>
              <w:jc w:val="left"/>
              <w:rPr/>
            </w:pPr>
            <w:r>
              <w:rPr/>
              <w:t>​</w:t>
            </w:r>
          </w:p>
        </w:tc>
        <w:tc>
          <w:tcPr>
            <w:tcW w:w="1028"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12,028</w:t>
            </w:r>
          </w:p>
        </w:tc>
      </w:tr>
      <w:tr>
        <w:trPr/>
        <w:tc>
          <w:tcPr>
            <w:tcW w:w="17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lease cost</w:t>
            </w:r>
          </w:p>
        </w:tc>
        <w:tc>
          <w:tcPr>
            <w:tcW w:w="109" w:type="dxa"/>
            <w:tcBorders/>
            <w:shd w:fill="CCEEFF" w:val="clear"/>
            <w:vAlign w:val="center"/>
          </w:tcPr>
          <w:p>
            <w:pPr>
              <w:pStyle w:val="TableContents"/>
              <w:bidi w:val="0"/>
              <w:spacing w:before="0" w:after="0"/>
              <w:ind w:left="0" w:right="0" w:hanging="0"/>
              <w:jc w:val="left"/>
              <w:rPr/>
            </w:pPr>
            <w:r>
              <w:rPr/>
              <w:t>​</w:t>
            </w:r>
          </w:p>
        </w:tc>
        <w:tc>
          <w:tcPr>
            <w:tcW w:w="29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22,843</w:t>
            </w:r>
          </w:p>
        </w:tc>
        <w:tc>
          <w:tcPr>
            <w:tcW w:w="218"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29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22,632</w:t>
            </w:r>
          </w:p>
        </w:tc>
        <w:tc>
          <w:tcPr>
            <w:tcW w:w="206"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29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45,549</w:t>
            </w:r>
          </w:p>
        </w:tc>
        <w:tc>
          <w:tcPr>
            <w:tcW w:w="206" w:type="dxa"/>
            <w:tcBorders/>
            <w:shd w:fill="CCEEFF" w:val="clear"/>
            <w:vAlign w:val="center"/>
          </w:tcPr>
          <w:p>
            <w:pPr>
              <w:pStyle w:val="TableContents"/>
              <w:bidi w:val="0"/>
              <w:spacing w:before="0" w:after="0"/>
              <w:ind w:left="0" w:right="0" w:hanging="0"/>
              <w:jc w:val="left"/>
              <w:rPr/>
            </w:pPr>
            <w:r>
              <w:rPr/>
              <w:t>​</w:t>
            </w:r>
          </w:p>
        </w:tc>
        <w:tc>
          <w:tcPr>
            <w:tcW w:w="27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45,510</w:t>
            </w:r>
          </w:p>
        </w:tc>
      </w:tr>
    </w:tbl>
    <w:p>
      <w:pPr>
        <w:pStyle w:val="TextBody"/>
        <w:bidi w:val="0"/>
        <w:spacing w:before="0" w:after="0"/>
        <w:ind w:left="0" w:right="0" w:hanging="0"/>
        <w:jc w:val="both"/>
        <w:rPr>
          <w:color w:val="252525"/>
        </w:rPr>
      </w:pPr>
      <w:r>
        <w:rPr>
          <w:color w:val="252525"/>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lineRule="auto" w:line="343"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43" w:before="0" w:after="0"/>
        <w:ind w:left="0" w:right="0" w:hanging="0"/>
        <w:jc w:val="center"/>
        <w:rPr>
          <w:rFonts w:ascii="Times New Roman;Times;serif" w:hAnsi="Times New Roman;Times;serif"/>
          <w:b/>
          <w:sz w:val="20"/>
        </w:rPr>
      </w:pPr>
      <w:r>
        <w:rPr>
          <w:rFonts w:ascii="Times New Roman;Times;serif" w:hAnsi="Times New Roman;Times;serif"/>
          <w:b/>
          <w:sz w:val="20"/>
        </w:rPr>
        <w:t>AVNET, INC. AND SUBSIDIARIES</w:t>
      </w:r>
    </w:p>
    <w:p>
      <w:pPr>
        <w:pStyle w:val="TextBody"/>
        <w:bidi w:val="0"/>
        <w:spacing w:lineRule="auto" w:line="343"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firstLine="475"/>
        <w:jc w:val="left"/>
        <w:rPr>
          <w:rFonts w:ascii="Times New Roman;Times;serif" w:hAnsi="Times New Roman;Times;serif"/>
          <w:sz w:val="20"/>
        </w:rPr>
      </w:pPr>
      <w:bookmarkStart w:id="839" w:name="Tc_DSj7DKONgkenny2DykIwMA_10_4"/>
      <w:bookmarkStart w:id="840" w:name="Tc_IwfC55F70kSaIbzMcbbP2Q_10_1"/>
      <w:bookmarkStart w:id="841" w:name="Tc_pIFPWwiRqUWjTum15-IdBg_10_0"/>
      <w:bookmarkStart w:id="842" w:name="Tc_nKs_Osx7uEuMcR-XGcrJTA_9_4"/>
      <w:bookmarkStart w:id="843" w:name="Tc_OOHDRkxuFUefiYsBvqkv5w_9_1"/>
      <w:bookmarkStart w:id="844" w:name="Tc_7UGJDS61Ykm-9jb9gfBzaA_9_0"/>
      <w:bookmarkStart w:id="845" w:name="Tc_djy0LzL0Gk-61XwPhBqleg_8_0"/>
      <w:bookmarkStart w:id="846" w:name="Tc_mrq1EHMqkEuN5fHC9CV52A_6_6"/>
      <w:bookmarkStart w:id="847" w:name="Tc_8RkdNdgZ40S7IG63q-RqCw_6_3"/>
      <w:bookmarkStart w:id="848" w:name="Tc_iFr9Xp_Tu0qAtOzLq7aDXg_6_0"/>
      <w:bookmarkStart w:id="849" w:name="Tc_tetREBQAkkiHYjJ4OCmzQw_5_0"/>
      <w:bookmarkStart w:id="850" w:name="Tc_ibOXdnJkKUSk5POHPDR_Iw_4_0"/>
      <w:bookmarkStart w:id="851" w:name="Tc_73VdZl6tV0q7PKighKHptg_3_5"/>
      <w:bookmarkStart w:id="852" w:name="Tc_lYb8Qs0r-ESeEOgxUPqdTQ_3_2"/>
      <w:bookmarkStart w:id="853" w:name="Tc_uqKSktifA0ykLqU3trlxdQ_2_5"/>
      <w:bookmarkStart w:id="854" w:name="Tc_Ud5UZ9ZgYUmDzsP3pWsqsw_2_2"/>
      <w:bookmarkStart w:id="855" w:name="Tc_yDWyucCgd02RWbg-RaX51g_1_2"/>
      <w:bookmarkStart w:id="856" w:name="_e2237672_1167_4761_8d6a_03213eb73e6d"/>
      <w:bookmarkStart w:id="857" w:name="Tc_Ul9Jh4Yq-EmnPnjoGWYAJw_10_1"/>
      <w:bookmarkStart w:id="858" w:name="Tc_JdnB1szuc0C9kH04mUl9GQ_10_0"/>
      <w:bookmarkStart w:id="859" w:name="Tc_qhXA4VR-JEetlKrEKcsSWA_9_0"/>
      <w:bookmarkStart w:id="860" w:name="Tc_6QdyUd4xfUuDFNtlXJa0yg_8_0"/>
      <w:bookmarkStart w:id="861" w:name="Tc_SJYBUwWkCkyQ9h2JdW3Hxw_7_0"/>
      <w:bookmarkStart w:id="862" w:name="Tc_15mQnuKKvE2v8c5N0oGktA_6_0"/>
      <w:bookmarkStart w:id="863" w:name="Tc_H3kN-mpDMUieRTsxjuo4YA_5_0"/>
      <w:bookmarkStart w:id="864" w:name="Tc_Xo9EFdd7oECZ-J2QBQGxyg_4_0"/>
      <w:bookmarkStart w:id="865" w:name="Tc_GXw0SJdsXEa65bIzURe6nw_3_0"/>
      <w:bookmarkStart w:id="866" w:name="Tc_Lwajb-OPSki4QKSx1iIVEQ_2_1"/>
      <w:bookmarkStart w:id="867" w:name="Tc_zWeR4YnX9ECvN7dugItdXg_2_0"/>
      <w:bookmarkStart w:id="868" w:name="Tc_bBH8X6s61UKLbBufGw_KgA_1_0"/>
      <w:bookmarkStart w:id="869" w:name="_7028d80d_2004_4645_9478_c36724646a2b"/>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r>
        <w:rPr>
          <w:rFonts w:ascii="Times New Roman;Times;serif" w:hAnsi="Times New Roman;Times;serif"/>
          <w:sz w:val="20"/>
        </w:rPr>
        <w:t>Future minimum operating lease payments as of December 30, 2023, are as follows (in thousands):</w:t>
      </w:r>
    </w:p>
    <w:p>
      <w:pPr>
        <w:pStyle w:val="TextBody"/>
        <w:bidi w:val="0"/>
        <w:spacing w:before="0" w:after="0"/>
        <w:ind w:left="0" w:right="0" w:hanging="0"/>
        <w:jc w:val="both"/>
        <w:rPr>
          <w:color w:val="252525"/>
        </w:rPr>
      </w:pPr>
      <w:r>
        <w:rPr>
          <w:color w:val="252525"/>
        </w:rPr>
        <w:t>​</w:t>
      </w:r>
    </w:p>
    <w:tbl>
      <w:tblPr>
        <w:tblW w:w="5373" w:type="dxa"/>
        <w:jc w:val="left"/>
        <w:tblInd w:w="0" w:type="dxa"/>
        <w:tblLayout w:type="fixed"/>
        <w:tblCellMar>
          <w:top w:w="0" w:type="dxa"/>
          <w:left w:w="0" w:type="dxa"/>
          <w:bottom w:w="0" w:type="dxa"/>
          <w:right w:w="0" w:type="dxa"/>
        </w:tblCellMar>
      </w:tblPr>
      <w:tblGrid>
        <w:gridCol w:w="4276"/>
        <w:gridCol w:w="211"/>
        <w:gridCol w:w="886"/>
      </w:tblGrid>
      <w:tr>
        <w:trPr/>
        <w:tc>
          <w:tcPr>
            <w:tcW w:w="4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715260" cy="175260"/>
                      <wp:effectExtent l="0" t="0" r="0" b="0"/>
                      <wp:wrapNone/>
                      <wp:docPr id="136" name="Frame136"/>
                      <a:graphic xmlns:a="http://schemas.openxmlformats.org/drawingml/2006/main">
                        <a:graphicData uri="http://schemas.microsoft.com/office/word/2010/wordprocessingShape">
                          <wps:wsp>
                            <wps:cNvSpPr txBox="1"/>
                            <wps:spPr>
                              <a:xfrm>
                                <a:off x="0" y="0"/>
                                <a:ext cx="2715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133985" cy="175260"/>
                      <wp:effectExtent l="0" t="0" r="0" b="0"/>
                      <wp:wrapNone/>
                      <wp:docPr id="137" name="Frame13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562610" cy="175260"/>
                      <wp:effectExtent l="0" t="0" r="0" b="0"/>
                      <wp:wrapNone/>
                      <wp:docPr id="138" name="Frame138"/>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7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Fiscal Year</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r>
      <w:tr>
        <w:trPr/>
        <w:tc>
          <w:tcPr>
            <w:tcW w:w="4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Remainder of fiscal 2024</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33,028</w:t>
            </w:r>
          </w:p>
        </w:tc>
      </w:tr>
      <w:tr>
        <w:trPr/>
        <w:tc>
          <w:tcPr>
            <w:tcW w:w="4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57,085</w:t>
            </w:r>
          </w:p>
        </w:tc>
      </w:tr>
      <w:tr>
        <w:trPr/>
        <w:tc>
          <w:tcPr>
            <w:tcW w:w="4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211" w:type="dxa"/>
            <w:tcBorders/>
            <w:shd w:fill="CCEEFF" w:val="clear"/>
            <w:vAlign w:val="center"/>
          </w:tcPr>
          <w:p>
            <w:pPr>
              <w:pStyle w:val="TableContents"/>
              <w:bidi w:val="0"/>
              <w:spacing w:before="0" w:after="0"/>
              <w:ind w:left="0" w:right="0" w:hanging="0"/>
              <w:jc w:val="righ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46,490</w:t>
            </w:r>
          </w:p>
        </w:tc>
      </w:tr>
      <w:tr>
        <w:trPr/>
        <w:tc>
          <w:tcPr>
            <w:tcW w:w="4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211" w:type="dxa"/>
            <w:tcBorders/>
            <w:vAlign w:val="center"/>
          </w:tcPr>
          <w:p>
            <w:pPr>
              <w:pStyle w:val="TableContents"/>
              <w:bidi w:val="0"/>
              <w:spacing w:before="0" w:after="0"/>
              <w:ind w:left="0" w:right="0" w:hanging="0"/>
              <w:jc w:val="righ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28,901</w:t>
            </w:r>
          </w:p>
        </w:tc>
      </w:tr>
      <w:tr>
        <w:trPr/>
        <w:tc>
          <w:tcPr>
            <w:tcW w:w="4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211" w:type="dxa"/>
            <w:tcBorders/>
            <w:shd w:fill="CCEEFF" w:val="clear"/>
            <w:vAlign w:val="center"/>
          </w:tcPr>
          <w:p>
            <w:pPr>
              <w:pStyle w:val="TableContents"/>
              <w:bidi w:val="0"/>
              <w:spacing w:before="0" w:after="0"/>
              <w:ind w:left="0" w:right="0" w:hanging="0"/>
              <w:jc w:val="righ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22,718</w:t>
            </w:r>
          </w:p>
        </w:tc>
      </w:tr>
      <w:tr>
        <w:trPr/>
        <w:tc>
          <w:tcPr>
            <w:tcW w:w="4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c>
          <w:tcPr>
            <w:tcW w:w="886"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101,473</w:t>
            </w:r>
          </w:p>
        </w:tc>
      </w:tr>
      <w:tr>
        <w:trPr/>
        <w:tc>
          <w:tcPr>
            <w:tcW w:w="4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future operating lease payments</w:t>
            </w:r>
          </w:p>
        </w:tc>
        <w:tc>
          <w:tcPr>
            <w:tcW w:w="211" w:type="dxa"/>
            <w:tcBorders/>
            <w:shd w:fill="CCEEFF" w:val="clear"/>
            <w:vAlign w:val="center"/>
          </w:tcPr>
          <w:p>
            <w:pPr>
              <w:pStyle w:val="TableContents"/>
              <w:bidi w:val="0"/>
              <w:spacing w:before="0" w:after="0"/>
              <w:ind w:left="0" w:right="0" w:hanging="0"/>
              <w:jc w:val="righ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289,695</w:t>
            </w:r>
          </w:p>
        </w:tc>
      </w:tr>
      <w:tr>
        <w:trPr/>
        <w:tc>
          <w:tcPr>
            <w:tcW w:w="4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imputed interest on operating lease liabilities</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right"/>
              <w:rPr/>
            </w:pPr>
            <w:r>
              <w:rPr/>
              <w:t>​</w:t>
            </w:r>
          </w:p>
        </w:tc>
        <w:tc>
          <w:tcPr>
            <w:tcW w:w="886"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(42,750)</w:t>
            </w:r>
          </w:p>
        </w:tc>
      </w:tr>
      <w:tr>
        <w:trPr/>
        <w:tc>
          <w:tcPr>
            <w:tcW w:w="4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lease liabilities</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246,945</w:t>
            </w:r>
          </w:p>
        </w:tc>
      </w:tr>
    </w:tbl>
    <w:p>
      <w:pPr>
        <w:pStyle w:val="TextBody"/>
        <w:bidi w:val="0"/>
        <w:spacing w:lineRule="auto" w:line="343" w:before="0" w:after="0"/>
        <w:ind w:left="0" w:right="0" w:hanging="0"/>
        <w:jc w:val="both"/>
        <w:rPr>
          <w:color w:val="252525"/>
        </w:rPr>
      </w:pPr>
      <w:r>
        <w:rPr>
          <w:color w:val="252525"/>
        </w:rPr>
        <w:t>​</w:t>
      </w:r>
    </w:p>
    <w:p>
      <w:pPr>
        <w:pStyle w:val="TextBody"/>
        <w:bidi w:val="0"/>
        <w:spacing w:before="0" w:after="0"/>
        <w:ind w:left="0" w:right="0" w:firstLine="475"/>
        <w:jc w:val="left"/>
        <w:rPr>
          <w:rFonts w:ascii="Times New Roman;Times;serif" w:hAnsi="Times New Roman;Times;serif"/>
          <w:sz w:val="20"/>
        </w:rPr>
      </w:pPr>
      <w:r>
        <w:rPr>
          <w:rFonts w:ascii="Times New Roman;Times;serif" w:hAnsi="Times New Roman;Times;serif"/>
          <w:sz w:val="20"/>
        </w:rPr>
        <w:t>Other information pertaining to operating leases consists of the following:</w:t>
      </w:r>
    </w:p>
    <w:p>
      <w:pPr>
        <w:pStyle w:val="TextBody"/>
        <w:bidi w:val="0"/>
        <w:spacing w:before="0" w:after="0"/>
        <w:ind w:left="0" w:right="0" w:firstLine="475"/>
        <w:jc w:val="both"/>
        <w:rPr/>
      </w:pPr>
      <w:r>
        <w:rPr/>
        <w:t>​</w:t>
      </w:r>
    </w:p>
    <w:tbl>
      <w:tblPr>
        <w:tblW w:w="8538" w:type="dxa"/>
        <w:jc w:val="left"/>
        <w:tblInd w:w="0" w:type="dxa"/>
        <w:tblLayout w:type="fixed"/>
        <w:tblCellMar>
          <w:top w:w="0" w:type="dxa"/>
          <w:left w:w="0" w:type="dxa"/>
          <w:bottom w:w="0" w:type="dxa"/>
          <w:right w:w="0" w:type="dxa"/>
        </w:tblCellMar>
      </w:tblPr>
      <w:tblGrid>
        <w:gridCol w:w="5551"/>
        <w:gridCol w:w="211"/>
        <w:gridCol w:w="900"/>
        <w:gridCol w:w="360"/>
        <w:gridCol w:w="211"/>
        <w:gridCol w:w="889"/>
        <w:gridCol w:w="416"/>
      </w:tblGrid>
      <w:tr>
        <w:trPr/>
        <w:tc>
          <w:tcPr>
            <w:tcW w:w="5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3524885" cy="175260"/>
                      <wp:effectExtent l="0" t="0" r="0" b="0"/>
                      <wp:wrapNone/>
                      <wp:docPr id="139" name="Frame139"/>
                      <a:graphic xmlns:a="http://schemas.openxmlformats.org/drawingml/2006/main">
                        <a:graphicData uri="http://schemas.microsoft.com/office/word/2010/wordprocessingShape">
                          <wps:wsp>
                            <wps:cNvSpPr txBox="1"/>
                            <wps:spPr>
                              <a:xfrm>
                                <a:off x="0" y="0"/>
                                <a:ext cx="3524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133985" cy="175260"/>
                      <wp:effectExtent l="0" t="0" r="0" b="0"/>
                      <wp:wrapNone/>
                      <wp:docPr id="140" name="Frame14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571500" cy="175260"/>
                      <wp:effectExtent l="0" t="0" r="0" b="0"/>
                      <wp:wrapNone/>
                      <wp:docPr id="141" name="Frame141"/>
                      <a:graphic xmlns:a="http://schemas.openxmlformats.org/drawingml/2006/main">
                        <a:graphicData uri="http://schemas.microsoft.com/office/word/2010/wordprocessingShape">
                          <wps:wsp>
                            <wps:cNvSpPr txBox="1"/>
                            <wps:spPr>
                              <a:xfrm>
                                <a:off x="0" y="0"/>
                                <a:ext cx="5715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28600" cy="175260"/>
                      <wp:effectExtent l="0" t="0" r="0" b="0"/>
                      <wp:wrapNone/>
                      <wp:docPr id="142" name="Frame142"/>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133985" cy="175260"/>
                      <wp:effectExtent l="0" t="0" r="0" b="0"/>
                      <wp:wrapNone/>
                      <wp:docPr id="143" name="Frame14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564515" cy="175260"/>
                      <wp:effectExtent l="0" t="0" r="0" b="0"/>
                      <wp:wrapNone/>
                      <wp:docPr id="144" name="Frame144"/>
                      <a:graphic xmlns:a="http://schemas.openxmlformats.org/drawingml/2006/main">
                        <a:graphicData uri="http://schemas.microsoft.com/office/word/2010/wordprocessingShape">
                          <wps:wsp>
                            <wps:cNvSpPr txBox="1"/>
                            <wps:spPr>
                              <a:xfrm>
                                <a:off x="0" y="0"/>
                                <a:ext cx="5645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64160" cy="175260"/>
                      <wp:effectExtent l="0" t="0" r="0" b="0"/>
                      <wp:wrapNone/>
                      <wp:docPr id="145" name="Frame145"/>
                      <a:graphic xmlns:a="http://schemas.openxmlformats.org/drawingml/2006/main">
                        <a:graphicData uri="http://schemas.microsoft.com/office/word/2010/wordprocessingShape">
                          <wps:wsp>
                            <wps:cNvSpPr txBox="1"/>
                            <wps:spPr>
                              <a:xfrm>
                                <a:off x="0" y="0"/>
                                <a:ext cx="264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551" w:type="dxa"/>
            <w:tcBorders/>
            <w:vAlign w:val="center"/>
          </w:tcPr>
          <w:p>
            <w:pPr>
              <w:pStyle w:val="TableContents"/>
              <w:bidi w:val="0"/>
              <w:spacing w:before="0" w:after="0"/>
              <w:ind w:left="0" w:right="0" w:hanging="0"/>
              <w:jc w:val="left"/>
              <w:rPr>
                <w:color w:val="D9D9D9"/>
              </w:rPr>
            </w:pPr>
            <w:r>
              <w:rPr>
                <w:color w:val="D9D9D9"/>
              </w:rPr>
              <w:t>​</w:t>
            </w:r>
          </w:p>
        </w:tc>
        <w:tc>
          <w:tcPr>
            <w:tcW w:w="211" w:type="dxa"/>
            <w:tcBorders/>
            <w:vAlign w:val="center"/>
          </w:tcPr>
          <w:p>
            <w:pPr>
              <w:pStyle w:val="TableContents"/>
              <w:bidi w:val="0"/>
              <w:spacing w:before="0" w:after="0"/>
              <w:ind w:left="0" w:right="0" w:hanging="0"/>
              <w:jc w:val="left"/>
              <w:rPr>
                <w:color w:val="D9D9D9"/>
              </w:rPr>
            </w:pPr>
            <w:r>
              <w:rPr>
                <w:color w:val="D9D9D9"/>
              </w:rPr>
              <w:t>​</w:t>
            </w:r>
          </w:p>
        </w:tc>
        <w:tc>
          <w:tcPr>
            <w:tcW w:w="2776"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Six Months Ended</w:t>
            </w:r>
          </w:p>
        </w:tc>
      </w:tr>
      <w:tr>
        <w:trPr/>
        <w:tc>
          <w:tcPr>
            <w:tcW w:w="5551" w:type="dxa"/>
            <w:tcBorders/>
            <w:vAlign w:val="center"/>
          </w:tcPr>
          <w:p>
            <w:pPr>
              <w:pStyle w:val="TableContents"/>
              <w:bidi w:val="0"/>
              <w:spacing w:before="0" w:after="0"/>
              <w:ind w:left="0" w:right="0" w:hanging="0"/>
              <w:jc w:val="left"/>
              <w:rPr>
                <w:color w:val="D9D9D9"/>
              </w:rPr>
            </w:pPr>
            <w:r>
              <w:rPr>
                <w:color w:val="D9D9D9"/>
              </w:rPr>
              <w:t>​</w:t>
            </w:r>
          </w:p>
        </w:tc>
        <w:tc>
          <w:tcPr>
            <w:tcW w:w="211" w:type="dxa"/>
            <w:tcBorders/>
            <w:vAlign w:val="center"/>
          </w:tcPr>
          <w:p>
            <w:pPr>
              <w:pStyle w:val="TableContents"/>
              <w:bidi w:val="0"/>
              <w:spacing w:before="0" w:after="0"/>
              <w:ind w:left="0" w:right="0" w:hanging="0"/>
              <w:jc w:val="left"/>
              <w:rPr>
                <w:color w:val="D9D9D9"/>
              </w:rPr>
            </w:pPr>
            <w:r>
              <w:rPr>
                <w:color w:val="D9D9D9"/>
              </w:rPr>
              <w:t>​</w:t>
            </w:r>
          </w:p>
        </w:tc>
        <w:tc>
          <w:tcPr>
            <w:tcW w:w="1260"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30,</w:t>
            </w:r>
          </w:p>
        </w:tc>
        <w:tc>
          <w:tcPr>
            <w:tcW w:w="211" w:type="dxa"/>
            <w:tcBorders/>
            <w:vAlign w:val="center"/>
          </w:tcPr>
          <w:p>
            <w:pPr>
              <w:pStyle w:val="TableContents"/>
              <w:bidi w:val="0"/>
              <w:spacing w:before="0" w:after="0"/>
              <w:ind w:left="0" w:right="0" w:hanging="0"/>
              <w:jc w:val="center"/>
              <w:rPr/>
            </w:pPr>
            <w:r>
              <w:rPr/>
              <w:t>​</w:t>
            </w:r>
          </w:p>
        </w:tc>
        <w:tc>
          <w:tcPr>
            <w:tcW w:w="130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w:t>
            </w:r>
          </w:p>
        </w:tc>
      </w:tr>
      <w:tr>
        <w:trPr/>
        <w:tc>
          <w:tcPr>
            <w:tcW w:w="5551" w:type="dxa"/>
            <w:tcBorders/>
            <w:vAlign w:val="center"/>
          </w:tcPr>
          <w:p>
            <w:pPr>
              <w:pStyle w:val="TableContents"/>
              <w:bidi w:val="0"/>
              <w:spacing w:before="0" w:after="0"/>
              <w:ind w:left="0" w:right="0" w:hanging="0"/>
              <w:jc w:val="left"/>
              <w:rPr>
                <w:color w:val="D9D9D9"/>
              </w:rPr>
            </w:pPr>
            <w:r>
              <w:rPr>
                <w:color w:val="D9D9D9"/>
              </w:rPr>
              <w:t>​</w:t>
            </w:r>
          </w:p>
        </w:tc>
        <w:tc>
          <w:tcPr>
            <w:tcW w:w="211" w:type="dxa"/>
            <w:tcBorders/>
            <w:vAlign w:val="center"/>
          </w:tcPr>
          <w:p>
            <w:pPr>
              <w:pStyle w:val="TableContents"/>
              <w:bidi w:val="0"/>
              <w:spacing w:before="0" w:after="0"/>
              <w:ind w:left="0" w:right="0" w:hanging="0"/>
              <w:jc w:val="left"/>
              <w:rPr>
                <w:color w:val="D9D9D9"/>
              </w:rPr>
            </w:pPr>
            <w:r>
              <w:rPr>
                <w:color w:val="D9D9D9"/>
              </w:rPr>
              <w:t>​</w:t>
            </w:r>
          </w:p>
        </w:tc>
        <w:tc>
          <w:tcPr>
            <w:tcW w:w="126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211" w:type="dxa"/>
            <w:tcBorders/>
            <w:vAlign w:val="center"/>
          </w:tcPr>
          <w:p>
            <w:pPr>
              <w:pStyle w:val="TableContents"/>
              <w:bidi w:val="0"/>
              <w:spacing w:before="0" w:after="0"/>
              <w:ind w:left="0" w:right="0" w:hanging="0"/>
              <w:jc w:val="center"/>
              <w:rPr/>
            </w:pPr>
            <w:r>
              <w:rPr/>
              <w:t>  </w:t>
            </w:r>
          </w:p>
        </w:tc>
        <w:tc>
          <w:tcPr>
            <w:tcW w:w="1305"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r>
      <w:tr>
        <w:trPr/>
        <w:tc>
          <w:tcPr>
            <w:tcW w:w="55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Term and Discount Rate</w:t>
            </w:r>
          </w:p>
        </w:tc>
        <w:tc>
          <w:tcPr>
            <w:tcW w:w="211" w:type="dxa"/>
            <w:tcBorders/>
            <w:vAlign w:val="center"/>
          </w:tcPr>
          <w:p>
            <w:pPr>
              <w:pStyle w:val="TableContents"/>
              <w:bidi w:val="0"/>
              <w:spacing w:before="0" w:after="0"/>
              <w:ind w:left="0" w:right="0" w:hanging="0"/>
              <w:jc w:val="left"/>
              <w:rPr>
                <w:color w:val="D9D9D9"/>
              </w:rPr>
            </w:pPr>
            <w:r>
              <w:rPr>
                <w:color w:val="D9D9D9"/>
              </w:rPr>
              <w:t>​</w:t>
            </w:r>
          </w:p>
        </w:tc>
        <w:tc>
          <w:tcPr>
            <w:tcW w:w="900" w:type="dxa"/>
            <w:tcBorders/>
            <w:vAlign w:val="center"/>
          </w:tcPr>
          <w:p>
            <w:pPr>
              <w:pStyle w:val="TableContents"/>
              <w:bidi w:val="0"/>
              <w:spacing w:before="0" w:after="0"/>
              <w:ind w:left="0" w:right="0" w:hanging="0"/>
              <w:jc w:val="right"/>
              <w:rPr/>
            </w:pPr>
            <w:r>
              <w:rPr/>
              <w:t>​</w:t>
            </w:r>
          </w:p>
        </w:tc>
        <w:tc>
          <w:tcPr>
            <w:tcW w:w="360"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9" w:type="dxa"/>
            <w:tcBorders/>
            <w:vAlign w:val="center"/>
          </w:tcPr>
          <w:p>
            <w:pPr>
              <w:pStyle w:val="TableContents"/>
              <w:bidi w:val="0"/>
              <w:spacing w:before="0" w:after="0"/>
              <w:ind w:left="0" w:right="0" w:hanging="0"/>
              <w:jc w:val="left"/>
              <w:rPr/>
            </w:pPr>
            <w:r>
              <w:rPr/>
              <w:t>​</w:t>
            </w:r>
          </w:p>
        </w:tc>
        <w:tc>
          <w:tcPr>
            <w:tcW w:w="416" w:type="dxa"/>
            <w:tcBorders/>
            <w:vAlign w:val="center"/>
          </w:tcPr>
          <w:p>
            <w:pPr>
              <w:pStyle w:val="TableContents"/>
              <w:bidi w:val="0"/>
              <w:spacing w:before="0" w:after="0"/>
              <w:ind w:left="0" w:right="0" w:hanging="0"/>
              <w:jc w:val="left"/>
              <w:rPr/>
            </w:pPr>
            <w:r>
              <w:rPr/>
              <w:t>​</w:t>
            </w:r>
          </w:p>
        </w:tc>
      </w:tr>
      <w:tr>
        <w:trPr/>
        <w:tc>
          <w:tcPr>
            <w:tcW w:w="55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remaining lease term in years</w:t>
            </w:r>
          </w:p>
        </w:tc>
        <w:tc>
          <w:tcPr>
            <w:tcW w:w="211" w:type="dxa"/>
            <w:tcBorders/>
            <w:shd w:fill="CCEEFF" w:val="clear"/>
            <w:vAlign w:val="center"/>
          </w:tcPr>
          <w:p>
            <w:pPr>
              <w:pStyle w:val="TableContents"/>
              <w:bidi w:val="0"/>
              <w:spacing w:before="0" w:after="0"/>
              <w:ind w:left="0" w:right="0" w:hanging="0"/>
              <w:jc w:val="right"/>
              <w:rPr>
                <w:color w:val="D9D9D9"/>
              </w:rPr>
            </w:pPr>
            <w:r>
              <w:rPr>
                <w:color w:val="D9D9D9"/>
              </w:rPr>
              <w:t>​</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c>
          <w:tcPr>
            <w:tcW w:w="360"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w:t>
            </w:r>
          </w:p>
        </w:tc>
        <w:tc>
          <w:tcPr>
            <w:tcW w:w="416" w:type="dxa"/>
            <w:tcBorders/>
            <w:shd w:fill="CCEEFF" w:val="clear"/>
            <w:vAlign w:val="center"/>
          </w:tcPr>
          <w:p>
            <w:pPr>
              <w:pStyle w:val="TableContents"/>
              <w:bidi w:val="0"/>
              <w:spacing w:before="0" w:after="0"/>
              <w:ind w:left="0" w:right="0" w:hanging="0"/>
              <w:jc w:val="left"/>
              <w:rPr/>
            </w:pPr>
            <w:r>
              <w:rPr/>
              <w:t>​</w:t>
            </w:r>
          </w:p>
        </w:tc>
      </w:tr>
      <w:tr>
        <w:trPr/>
        <w:tc>
          <w:tcPr>
            <w:tcW w:w="55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discount rate</w:t>
            </w:r>
          </w:p>
        </w:tc>
        <w:tc>
          <w:tcPr>
            <w:tcW w:w="211" w:type="dxa"/>
            <w:tcBorders/>
            <w:vAlign w:val="center"/>
          </w:tcPr>
          <w:p>
            <w:pPr>
              <w:pStyle w:val="TableContents"/>
              <w:bidi w:val="0"/>
              <w:spacing w:before="0" w:after="0"/>
              <w:ind w:left="0" w:right="0" w:hanging="0"/>
              <w:jc w:val="right"/>
              <w:rPr>
                <w:color w:val="D9D9D9"/>
              </w:rPr>
            </w:pPr>
            <w:r>
              <w:rPr>
                <w:color w:val="D9D9D9"/>
              </w:rPr>
              <w:t>​</w:t>
            </w:r>
          </w:p>
        </w:tc>
        <w:tc>
          <w:tcPr>
            <w:tcW w:w="9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3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w:t>
            </w:r>
          </w:p>
        </w:tc>
        <w:tc>
          <w:tcPr>
            <w:tcW w:w="8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551" w:type="dxa"/>
            <w:tcBorders/>
            <w:shd w:fill="CCEEFF" w:val="clear"/>
            <w:vAlign w:val="center"/>
          </w:tcPr>
          <w:p>
            <w:pPr>
              <w:pStyle w:val="TableContents"/>
              <w:bidi w:val="0"/>
              <w:spacing w:before="0" w:after="0"/>
              <w:ind w:left="0" w:right="0" w:hanging="0"/>
              <w:jc w:val="left"/>
              <w:rPr>
                <w:color w:val="D9D9D9"/>
              </w:rPr>
            </w:pPr>
            <w:r>
              <w:rPr>
                <w:color w:val="D9D9D9"/>
              </w:rPr>
              <w:t>​</w:t>
            </w:r>
          </w:p>
        </w:tc>
        <w:tc>
          <w:tcPr>
            <w:tcW w:w="211" w:type="dxa"/>
            <w:tcBorders/>
            <w:shd w:fill="CCEEFF" w:val="clear"/>
            <w:vAlign w:val="center"/>
          </w:tcPr>
          <w:p>
            <w:pPr>
              <w:pStyle w:val="TableContents"/>
              <w:bidi w:val="0"/>
              <w:spacing w:before="0" w:after="0"/>
              <w:ind w:left="0" w:right="0" w:hanging="0"/>
              <w:jc w:val="right"/>
              <w:rPr>
                <w:color w:val="D9D9D9"/>
              </w:rPr>
            </w:pPr>
            <w:r>
              <w:rPr>
                <w:color w:val="D9D9D9"/>
              </w:rPr>
              <w:t>​</w:t>
            </w:r>
          </w:p>
        </w:tc>
        <w:tc>
          <w:tcPr>
            <w:tcW w:w="900" w:type="dxa"/>
            <w:tcBorders/>
            <w:shd w:fill="CCEEFF" w:val="clear"/>
            <w:vAlign w:val="center"/>
          </w:tcPr>
          <w:p>
            <w:pPr>
              <w:pStyle w:val="TableContents"/>
              <w:bidi w:val="0"/>
              <w:spacing w:before="0" w:after="0"/>
              <w:ind w:left="0" w:right="0" w:hanging="0"/>
              <w:jc w:val="right"/>
              <w:rPr>
                <w:color w:val="D9D9D9"/>
              </w:rPr>
            </w:pPr>
            <w:r>
              <w:rPr>
                <w:color w:val="D9D9D9"/>
              </w:rPr>
              <w:t>​</w:t>
            </w:r>
          </w:p>
        </w:tc>
        <w:tc>
          <w:tcPr>
            <w:tcW w:w="360"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211"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889"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416" w:type="dxa"/>
            <w:tcBorders/>
            <w:shd w:fill="CCEEFF" w:val="clear"/>
            <w:vAlign w:val="center"/>
          </w:tcPr>
          <w:p>
            <w:pPr>
              <w:pStyle w:val="TableContents"/>
              <w:bidi w:val="0"/>
              <w:spacing w:before="0" w:after="0"/>
              <w:ind w:left="0" w:right="0" w:hanging="0"/>
              <w:jc w:val="left"/>
              <w:rPr>
                <w:color w:val="575757"/>
              </w:rPr>
            </w:pPr>
            <w:r>
              <w:rPr>
                <w:color w:val="575757"/>
              </w:rPr>
              <w:t>​</w:t>
            </w:r>
          </w:p>
        </w:tc>
      </w:tr>
      <w:tr>
        <w:trPr/>
        <w:tc>
          <w:tcPr>
            <w:tcW w:w="55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Supplemental Cash Flow Information (in thousands)</w:t>
            </w:r>
          </w:p>
        </w:tc>
        <w:tc>
          <w:tcPr>
            <w:tcW w:w="211" w:type="dxa"/>
            <w:tcBorders/>
            <w:vAlign w:val="center"/>
          </w:tcPr>
          <w:p>
            <w:pPr>
              <w:pStyle w:val="TableContents"/>
              <w:bidi w:val="0"/>
              <w:spacing w:before="0" w:after="0"/>
              <w:ind w:left="0" w:right="0" w:hanging="0"/>
              <w:jc w:val="left"/>
              <w:rPr/>
            </w:pPr>
            <w:r>
              <w:rPr/>
              <w:t>​</w:t>
            </w:r>
          </w:p>
        </w:tc>
        <w:tc>
          <w:tcPr>
            <w:tcW w:w="900" w:type="dxa"/>
            <w:tcBorders/>
            <w:vAlign w:val="center"/>
          </w:tcPr>
          <w:p>
            <w:pPr>
              <w:pStyle w:val="TableContents"/>
              <w:bidi w:val="0"/>
              <w:spacing w:before="0" w:after="0"/>
              <w:ind w:left="0" w:right="0" w:hanging="0"/>
              <w:jc w:val="right"/>
              <w:rPr/>
            </w:pPr>
            <w:r>
              <w:rPr/>
              <w:t>​</w:t>
            </w:r>
          </w:p>
        </w:tc>
        <w:tc>
          <w:tcPr>
            <w:tcW w:w="360"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vAlign w:val="center"/>
          </w:tcPr>
          <w:p>
            <w:pPr>
              <w:pStyle w:val="TableContents"/>
              <w:bidi w:val="0"/>
              <w:spacing w:before="0" w:after="0"/>
              <w:ind w:left="0" w:right="0" w:hanging="0"/>
              <w:jc w:val="left"/>
              <w:rPr/>
            </w:pPr>
            <w:r>
              <w:rPr/>
              <w:t>​</w:t>
            </w:r>
          </w:p>
        </w:tc>
        <w:tc>
          <w:tcPr>
            <w:tcW w:w="889" w:type="dxa"/>
            <w:tcBorders/>
            <w:vAlign w:val="center"/>
          </w:tcPr>
          <w:p>
            <w:pPr>
              <w:pStyle w:val="TableContents"/>
              <w:bidi w:val="0"/>
              <w:spacing w:before="0" w:after="0"/>
              <w:ind w:left="0" w:right="0" w:hanging="0"/>
              <w:jc w:val="right"/>
              <w:rPr/>
            </w:pPr>
            <w:r>
              <w:rPr/>
              <w:t>​</w:t>
            </w:r>
          </w:p>
        </w:tc>
        <w:tc>
          <w:tcPr>
            <w:tcW w:w="416" w:type="dxa"/>
            <w:tcBorders/>
            <w:vAlign w:val="center"/>
          </w:tcPr>
          <w:p>
            <w:pPr>
              <w:pStyle w:val="TableContents"/>
              <w:bidi w:val="0"/>
              <w:spacing w:before="0" w:after="0"/>
              <w:ind w:left="0" w:right="0" w:hanging="0"/>
              <w:jc w:val="left"/>
              <w:rPr>
                <w:color w:val="575757"/>
              </w:rPr>
            </w:pPr>
            <w:r>
              <w:rPr>
                <w:color w:val="575757"/>
              </w:rPr>
              <w:t>​</w:t>
            </w:r>
          </w:p>
        </w:tc>
      </w:tr>
      <w:tr>
        <w:trPr/>
        <w:tc>
          <w:tcPr>
            <w:tcW w:w="55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paid for operating lease liabilities</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28,073</w:t>
            </w:r>
          </w:p>
        </w:tc>
        <w:tc>
          <w:tcPr>
            <w:tcW w:w="360"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28,463</w:t>
            </w:r>
          </w:p>
        </w:tc>
        <w:tc>
          <w:tcPr>
            <w:tcW w:w="416" w:type="dxa"/>
            <w:tcBorders/>
            <w:shd w:fill="CCEEFF" w:val="clear"/>
            <w:vAlign w:val="center"/>
          </w:tcPr>
          <w:p>
            <w:pPr>
              <w:pStyle w:val="TableContents"/>
              <w:bidi w:val="0"/>
              <w:spacing w:before="0" w:after="0"/>
              <w:ind w:left="0" w:right="0" w:hanging="0"/>
              <w:jc w:val="left"/>
              <w:rPr>
                <w:color w:val="575757"/>
              </w:rPr>
            </w:pPr>
            <w:r>
              <w:rPr>
                <w:color w:val="575757"/>
              </w:rPr>
              <w:t>​</w:t>
            </w:r>
          </w:p>
        </w:tc>
      </w:tr>
      <w:tr>
        <w:trPr/>
        <w:tc>
          <w:tcPr>
            <w:tcW w:w="55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assets obtained from new operating lease liabilities</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30,399</w:t>
            </w:r>
          </w:p>
        </w:tc>
        <w:tc>
          <w:tcPr>
            <w:tcW w:w="360"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29,640</w:t>
            </w:r>
          </w:p>
        </w:tc>
        <w:tc>
          <w:tcPr>
            <w:tcW w:w="416" w:type="dxa"/>
            <w:tcBorders/>
            <w:vAlign w:val="center"/>
          </w:tcPr>
          <w:p>
            <w:pPr>
              <w:pStyle w:val="TableContents"/>
              <w:bidi w:val="0"/>
              <w:spacing w:before="0" w:after="0"/>
              <w:ind w:left="0" w:right="0" w:hanging="0"/>
              <w:jc w:val="left"/>
              <w:rPr>
                <w:color w:val="575757"/>
              </w:rPr>
            </w:pPr>
            <w:r>
              <w:rPr>
                <w:color w:val="575757"/>
              </w:rPr>
              <w:t>​</w:t>
            </w:r>
          </w:p>
        </w:tc>
      </w:tr>
    </w:tbl>
    <w:p>
      <w:pPr>
        <w:pStyle w:val="TextBody"/>
        <w:bidi w:val="0"/>
        <w:spacing w:before="0" w:after="0"/>
        <w:ind w:left="0" w:right="0" w:firstLine="475"/>
        <w:jc w:val="both"/>
        <w:rPr/>
      </w:pPr>
      <w:r>
        <w:rPr/>
        <w:t>​</w:t>
      </w:r>
    </w:p>
    <w:p>
      <w:pPr>
        <w:pStyle w:val="TextBody"/>
        <w:bidi w:val="0"/>
        <w:spacing w:before="0" w:after="0"/>
        <w:ind w:left="0" w:right="0" w:firstLine="475"/>
        <w:jc w:val="both"/>
        <w:rPr/>
      </w:pPr>
      <w:r>
        <w:rPr/>
        <w:t>​</w:t>
      </w:r>
    </w:p>
    <w:p>
      <w:pPr>
        <w:pStyle w:val="TextBody"/>
        <w:bidi w:val="0"/>
        <w:spacing w:before="0" w:after="0"/>
        <w:ind w:left="0" w:right="0" w:firstLine="475"/>
        <w:jc w:val="both"/>
        <w:rPr/>
      </w:pPr>
      <w:r>
        <w:rPr/>
        <w:t>​</w:t>
      </w:r>
    </w:p>
    <w:p>
      <w:pPr>
        <w:pStyle w:val="TextBody"/>
        <w:bidi w:val="0"/>
        <w:spacing w:before="0" w:after="0"/>
        <w:ind w:left="0" w:right="0" w:firstLine="475"/>
        <w:jc w:val="both"/>
        <w:rPr/>
      </w:pPr>
      <w:r>
        <w:rPr/>
        <w:t>​</w:t>
      </w:r>
    </w:p>
    <w:p>
      <w:pPr>
        <w:pStyle w:val="TextBody"/>
        <w:bidi w:val="0"/>
        <w:spacing w:before="0" w:after="0"/>
        <w:ind w:left="0" w:right="0" w:firstLine="475"/>
        <w:jc w:val="both"/>
        <w:rPr/>
      </w:pPr>
      <w:r>
        <w:rPr/>
        <w:t>​</w:t>
      </w:r>
    </w:p>
    <w:p>
      <w:pPr>
        <w:pStyle w:val="TextBody"/>
        <w:bidi w:val="0"/>
        <w:spacing w:before="0" w:after="0"/>
        <w:ind w:left="0" w:right="0" w:hanging="0"/>
        <w:jc w:val="both"/>
        <w:rPr/>
      </w:pPr>
      <w:bookmarkStart w:id="870" w:name="bm_5_Derivative_financial_instruments"/>
      <w:bookmarkEnd w:id="870"/>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6. Derivative financial instruments</w:t>
      </w:r>
    </w:p>
    <w:p>
      <w:pPr>
        <w:pStyle w:val="TextBody"/>
        <w:bidi w:val="0"/>
        <w:spacing w:before="0" w:after="0"/>
        <w:ind w:left="0" w:right="0" w:hanging="0"/>
        <w:jc w:val="both"/>
        <w:rPr/>
      </w:pPr>
      <w:r>
        <w:rPr/>
        <w:t>​</w:t>
      </w:r>
    </w:p>
    <w:p>
      <w:pPr>
        <w:pStyle w:val="TextBody"/>
        <w:bidi w:val="0"/>
        <w:spacing w:before="0" w:after="0"/>
        <w:ind w:left="0" w:right="0" w:firstLine="475"/>
        <w:jc w:val="left"/>
        <w:rPr>
          <w:rFonts w:ascii="Times New Roman;Times;serif" w:hAnsi="Times New Roman;Times;serif"/>
          <w:sz w:val="20"/>
        </w:rPr>
      </w:pPr>
      <w:r>
        <w:rPr>
          <w:rFonts w:ascii="Times New Roman;Times;serif" w:hAnsi="Times New Roman;Times;serif"/>
          <w:sz w:val="20"/>
        </w:rPr>
        <w:t xml:space="preserve">Many of the Company’s subsidiaries purchase and sell products in currencies other than their functional currencies, which subjects the Company to the risks associated with fluctuations in currency exchange rates. This foreign currency exposure relates primarily to international transactions where the currency collected from customers can be different from the currency used to purchase from suppliers. The Company’s foreign operations transactions are denominated primarily in the following currencies: U.S. Dollar, Euro, British Pound, Japanese Yen, Chinese Yuan, Taiwan Dollar, Canadian Dollar, and Mexican Peso. The Company also, to a lesser extent, has foreign operations transactions in other EMEA and Asian foreign currencies. </w:t>
      </w:r>
    </w:p>
    <w:p>
      <w:pPr>
        <w:pStyle w:val="TextBody"/>
        <w:bidi w:val="0"/>
        <w:spacing w:before="0" w:after="0"/>
        <w:ind w:left="0" w:right="0" w:firstLine="475"/>
        <w:jc w:val="left"/>
        <w:rPr/>
      </w:pPr>
      <w:r>
        <w:rPr/>
        <w:t>​</w:t>
      </w:r>
    </w:p>
    <w:p>
      <w:pPr>
        <w:pStyle w:val="TextBody"/>
        <w:bidi w:val="0"/>
        <w:spacing w:before="0" w:after="0"/>
        <w:ind w:left="0" w:right="0" w:firstLine="475"/>
        <w:jc w:val="left"/>
        <w:rPr>
          <w:rFonts w:ascii="Times New Roman;Times;serif" w:hAnsi="Times New Roman;Times;serif"/>
          <w:sz w:val="20"/>
        </w:rPr>
      </w:pPr>
      <w:r>
        <w:rPr>
          <w:rFonts w:ascii="Times New Roman;Times;serif" w:hAnsi="Times New Roman;Times;serif"/>
          <w:sz w:val="20"/>
        </w:rPr>
        <w:t>The Company uses economic hedges to reduce this risk utilizing natural hedging (</w:t>
      </w:r>
      <w:r>
        <w:rPr>
          <w:rFonts w:ascii="Times New Roman;Times;serif" w:hAnsi="Times New Roman;Times;serif"/>
          <w:i/>
          <w:sz w:val="20"/>
        </w:rPr>
        <w:t>i.e.</w:t>
      </w:r>
      <w:r>
        <w:rPr>
          <w:rFonts w:ascii="Times New Roman;Times;serif" w:hAnsi="Times New Roman;Times;serif"/>
          <w:sz w:val="20"/>
        </w:rPr>
        <w:t>, offsetting receivables and payables in the same foreign currency) and creating offsetting positions using derivative financial instruments (primarily forward foreign exchange contracts typically with maturities of less than 60 days, but no longer than one year). The Company continues to have exposure to foreign currency risks to the extent they are not economically hedged. The fair value of forward foreign exchange contracts is based on Level 2 criteria under the ASC 820 fair value hierarchy. The Company’s master netting and other similar arrangements with various financial institutions related to derivative financial instruments allow for the right of offset. The Company’s policy is to present derivative financial instruments with the same counterparty as either a net asset or liability when the right of offset exists. Under the Company’s economic hedging policies, gains and losses on the derivative financial instruments are classified within the same line item in the consolidated statements of operations as the remeasurement of the underlying assets or liabilities being economically hedged.</w:t>
      </w:r>
    </w:p>
    <w:p>
      <w:pPr>
        <w:pStyle w:val="TextBody"/>
        <w:bidi w:val="0"/>
        <w:spacing w:before="0" w:after="0"/>
        <w:ind w:left="0" w:right="0" w:firstLine="475"/>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lineRule="auto" w:line="343"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43" w:before="0" w:after="0"/>
        <w:ind w:left="0" w:right="0" w:hanging="0"/>
        <w:jc w:val="center"/>
        <w:rPr>
          <w:rFonts w:ascii="Times New Roman;Times;serif" w:hAnsi="Times New Roman;Times;serif"/>
          <w:b/>
          <w:sz w:val="20"/>
        </w:rPr>
      </w:pPr>
      <w:r>
        <w:rPr>
          <w:rFonts w:ascii="Times New Roman;Times;serif" w:hAnsi="Times New Roman;Times;serif"/>
          <w:b/>
          <w:sz w:val="20"/>
        </w:rPr>
        <w:t>AVNET, INC. AND SUBSIDIARIES</w:t>
      </w:r>
    </w:p>
    <w:p>
      <w:pPr>
        <w:pStyle w:val="TextBody"/>
        <w:bidi w:val="0"/>
        <w:spacing w:lineRule="auto" w:line="343"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firstLine="475"/>
        <w:jc w:val="left"/>
        <w:rPr>
          <w:rFonts w:ascii="Times New Roman;Times;serif" w:hAnsi="Times New Roman;Times;serif"/>
          <w:sz w:val="20"/>
        </w:rPr>
      </w:pPr>
      <w:bookmarkStart w:id="871" w:name="Tc_EpOGoZuHEkG1SKq8ahwlkQ_6_17"/>
      <w:bookmarkStart w:id="872" w:name="Tc_EIUok8dIQU2asqtg0juZ4A_6_12"/>
      <w:bookmarkStart w:id="873" w:name="Tc_UIrVLSWflUqqY5EooG8VrQ_6_10"/>
      <w:bookmarkStart w:id="874" w:name="Tc_8xOtxq9X_E2oE0sgyBVDdA_6_7"/>
      <w:bookmarkStart w:id="875" w:name="Tc_hygAzHxf5k20jwJOTpOGZA_6_3"/>
      <w:bookmarkStart w:id="876" w:name="Tc_Ki-t3_jS2UW5JSx5X0I6ZA_6_1"/>
      <w:bookmarkStart w:id="877" w:name="Tc_GgIwF0XeTk6vst_2dv-RvQ_6_0"/>
      <w:bookmarkStart w:id="878" w:name="Tc_7WKGAo-AiUOrHY39FcOgLw_5_17"/>
      <w:bookmarkStart w:id="879" w:name="Tc_eN1SIsybnkOITNMGD-pniA_5_15"/>
      <w:bookmarkStart w:id="880" w:name="Tc_dzcIHPLSdUGH8thJ3v2z0Q_5_12"/>
      <w:bookmarkStart w:id="881" w:name="Tc_JxqngLu9SE-wqzRr0RByfw_5_10"/>
      <w:bookmarkStart w:id="882" w:name="Tc_OW9xh-lHnUWdow6waFotnw_5_6"/>
      <w:bookmarkStart w:id="883" w:name="Tc_nXjZeDGMKE68AMewTZDa4g_5_3"/>
      <w:bookmarkStart w:id="884" w:name="Tc_jDaGLN3jQ0SXPhlClRmiNA_5_0"/>
      <w:bookmarkStart w:id="885" w:name="Tc_iD-sM2kybkmilrcnjS1baw_4_3"/>
      <w:bookmarkStart w:id="886" w:name="Tc_jt0rOZQ2JkK4cQpohCYmRQ_3_15"/>
      <w:bookmarkStart w:id="887" w:name="Tc_rVlmdxKG5E2DtT48Cv_PJA_3_10"/>
      <w:bookmarkStart w:id="888" w:name="Tc_sqhAd0x3ZkC5GQFDzWgC1w_3_6"/>
      <w:bookmarkStart w:id="889" w:name="Tc_o6-QOGNt2UaQrVzx9FMKkA_3_3"/>
      <w:bookmarkStart w:id="890" w:name="Tc_iWMRGQeF30WEdU3jrCC4OA_2_15"/>
      <w:bookmarkStart w:id="891" w:name="Tc_wW_ddMtPJUCh2_2yJMwsAw_2_10"/>
      <w:bookmarkStart w:id="892" w:name="Tc__uvgSf4YhkiLMwHFt1SyOQ_2_6"/>
      <w:bookmarkStart w:id="893" w:name="Tc_r76LWCX3d0aoehX5P_szQg_2_3"/>
      <w:bookmarkStart w:id="894" w:name="Tc_3yA88SfPq0qVdZUvswpzBg_1_10"/>
      <w:bookmarkStart w:id="895" w:name="Tc_k6tilrW6pEq7h_SEspjxdw_1_3"/>
      <w:bookmarkStart w:id="896" w:name="Tc_IC_YNzpQGEGrJZgR58ZyuQ_8_5"/>
      <w:bookmarkStart w:id="897" w:name="Tc_zbcOTkL25U-Qq-BDxOS20g_8_2"/>
      <w:bookmarkStart w:id="898" w:name="Tc_-Fy21a0bckednpqWfOCEng_7_0"/>
      <w:bookmarkStart w:id="899" w:name="Tc_AumLMHENZk2X9ueA8P8DMA_6_5"/>
      <w:bookmarkStart w:id="900" w:name="Tc_jNJz8eCWDUmcyFcSzRkMtw_6_2"/>
      <w:bookmarkStart w:id="901" w:name="Tc_YY-xNGUUmUOtRPhDc0wTCw_5_5"/>
      <w:bookmarkStart w:id="902" w:name="Tc_uvXxmOJoO0uZOD-9QtCGig_5_2"/>
      <w:bookmarkStart w:id="903" w:name="Tc_ZrT5vwzOZU2DGHvEDOM6tQ_4_0"/>
      <w:bookmarkStart w:id="904" w:name="Tc_zSTejCxCRE22SFHL-eue5g_3_2"/>
      <w:bookmarkStart w:id="905" w:name="Tc_hGmJk51pf0ufLosqBDFBjQ_2_5"/>
      <w:bookmarkStart w:id="906" w:name="Tc_jHBYeUYfp0KYs87ol8djFQ_2_2"/>
      <w:bookmarkStart w:id="907" w:name="Tc_PRTsSsrrTUmJHZPTO5qz5w_1_5"/>
      <w:bookmarkStart w:id="908" w:name="Tc_KP8qIW2adUKjVlDqysEbcg_1_2"/>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r>
        <w:rPr>
          <w:rFonts w:ascii="Times New Roman;Times;serif" w:hAnsi="Times New Roman;Times;serif"/>
          <w:sz w:val="20"/>
        </w:rPr>
        <w:t xml:space="preserve">In fiscal 2023, the Company entered into a fixed-to-fixed rate cross currency swap (the “cross-currency swap”) with a notional amount of $500.0 million, or €472.6 million, that is set to mature in March 2028. The Company designated this derivative contract as a net investment hedge of its European operations and elected the spot method for measuring hedge effectiveness. Changes in fair value of the cross-currency swap is presented in “Accumulated other comprehensive loss” in the consolidated balance sheets. Amounts related to the cross-currency swap recognized directly in net income represent net periodic interest settlements and accruals, which are recognized in “Interest and other financing expenses, net,” on the consolidated statements of operations. The fair value of the cross-currency swaps is based on Level 2 criteria under the ASC 820 fair value hierarchy. </w:t>
      </w:r>
    </w:p>
    <w:p>
      <w:pPr>
        <w:pStyle w:val="TextBody"/>
        <w:bidi w:val="0"/>
        <w:spacing w:before="0" w:after="0"/>
        <w:ind w:left="0" w:right="0" w:firstLine="475"/>
        <w:jc w:val="left"/>
        <w:rPr/>
      </w:pPr>
      <w:r>
        <w:rPr/>
        <w:t>​</w:t>
      </w:r>
    </w:p>
    <w:p>
      <w:pPr>
        <w:pStyle w:val="TextBody"/>
        <w:bidi w:val="0"/>
        <w:spacing w:before="0" w:after="0"/>
        <w:ind w:left="0" w:right="0" w:firstLine="475"/>
        <w:jc w:val="left"/>
        <w:rPr>
          <w:rFonts w:ascii="Times New Roman;Times;serif" w:hAnsi="Times New Roman;Times;serif"/>
          <w:sz w:val="20"/>
        </w:rPr>
      </w:pPr>
      <w:r>
        <w:rPr>
          <w:rFonts w:ascii="Times New Roman;Times;serif" w:hAnsi="Times New Roman;Times;serif"/>
          <w:sz w:val="20"/>
        </w:rPr>
        <w:t>The Company uses these derivative financial instruments to manage risks associated with foreign currency exchange rates and interest rates. The Company does not enter derivative financial instruments for trading or speculative purposes and monitors the financial stability and credit standing of its counterparties.</w:t>
      </w:r>
    </w:p>
    <w:p>
      <w:pPr>
        <w:pStyle w:val="TextBody"/>
        <w:bidi w:val="0"/>
        <w:spacing w:before="0" w:after="0"/>
        <w:ind w:left="0" w:right="0" w:hanging="0"/>
        <w:jc w:val="left"/>
        <w:rPr/>
      </w:pPr>
      <w:r>
        <w:rPr/>
        <w:t>​</w:t>
      </w:r>
    </w:p>
    <w:p>
      <w:pPr>
        <w:pStyle w:val="TextBody"/>
        <w:bidi w:val="0"/>
        <w:spacing w:before="0" w:after="0"/>
        <w:ind w:left="0" w:right="0" w:firstLine="475"/>
        <w:jc w:val="left"/>
        <w:rPr>
          <w:rFonts w:ascii="Times New Roman;Times;serif" w:hAnsi="Times New Roman;Times;serif"/>
          <w:sz w:val="20"/>
        </w:rPr>
      </w:pPr>
      <w:r>
        <w:rPr>
          <w:rFonts w:ascii="Times New Roman;Times;serif" w:hAnsi="Times New Roman;Times;serif"/>
          <w:sz w:val="20"/>
        </w:rPr>
        <w:t>The locations and fair values of the Company’s derivative financial instruments in the Company’s consolidated balance sheets are as follows:</w:t>
      </w:r>
    </w:p>
    <w:p>
      <w:pPr>
        <w:pStyle w:val="TextBody"/>
        <w:bidi w:val="0"/>
        <w:spacing w:before="0" w:after="0"/>
        <w:ind w:left="0" w:right="0" w:firstLine="475"/>
        <w:jc w:val="both"/>
        <w:rPr/>
      </w:pPr>
      <w:r>
        <w:rPr/>
        <w:t>​</w:t>
      </w:r>
    </w:p>
    <w:tbl>
      <w:tblPr>
        <w:tblW w:w="5358" w:type="dxa"/>
        <w:jc w:val="left"/>
        <w:tblInd w:w="0" w:type="dxa"/>
        <w:tblLayout w:type="fixed"/>
        <w:tblCellMar>
          <w:top w:w="0" w:type="dxa"/>
          <w:left w:w="0" w:type="dxa"/>
          <w:bottom w:w="0" w:type="dxa"/>
          <w:right w:w="0" w:type="dxa"/>
        </w:tblCellMar>
      </w:tblPr>
      <w:tblGrid>
        <w:gridCol w:w="2671"/>
        <w:gridCol w:w="109"/>
        <w:gridCol w:w="299"/>
        <w:gridCol w:w="961"/>
        <w:gridCol w:w="326"/>
        <w:gridCol w:w="211"/>
        <w:gridCol w:w="781"/>
      </w:tblGrid>
      <w:tr>
        <w:trPr/>
        <w:tc>
          <w:tcPr>
            <w:tcW w:w="26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1696085" cy="175260"/>
                      <wp:effectExtent l="0" t="0" r="0" b="0"/>
                      <wp:wrapNone/>
                      <wp:docPr id="146" name="Frame146"/>
                      <a:graphic xmlns:a="http://schemas.openxmlformats.org/drawingml/2006/main">
                        <a:graphicData uri="http://schemas.microsoft.com/office/word/2010/wordprocessingShape">
                          <wps:wsp>
                            <wps:cNvSpPr txBox="1"/>
                            <wps:spPr>
                              <a:xfrm>
                                <a:off x="0" y="0"/>
                                <a:ext cx="1696085"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9215" cy="175260"/>
                      <wp:effectExtent l="0" t="0" r="0" b="0"/>
                      <wp:wrapNone/>
                      <wp:docPr id="147" name="Frame14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189865" cy="175260"/>
                      <wp:effectExtent l="0" t="0" r="0" b="0"/>
                      <wp:wrapNone/>
                      <wp:docPr id="148" name="Frame148"/>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10235" cy="175260"/>
                      <wp:effectExtent l="0" t="0" r="0" b="0"/>
                      <wp:wrapNone/>
                      <wp:docPr id="149" name="Frame149"/>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07010" cy="175260"/>
                      <wp:effectExtent l="0" t="0" r="0" b="0"/>
                      <wp:wrapNone/>
                      <wp:docPr id="150" name="Frame1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133985" cy="175260"/>
                      <wp:effectExtent l="0" t="0" r="0" b="0"/>
                      <wp:wrapNone/>
                      <wp:docPr id="151" name="Frame15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495935" cy="175260"/>
                      <wp:effectExtent l="0" t="0" r="0" b="0"/>
                      <wp:wrapNone/>
                      <wp:docPr id="152" name="Frame15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r>
      <w:tr>
        <w:trPr/>
        <w:tc>
          <w:tcPr>
            <w:tcW w:w="2671" w:type="dxa"/>
            <w:tcBorders/>
            <w:vAlign w:val="center"/>
          </w:tcPr>
          <w:p>
            <w:pPr>
              <w:pStyle w:val="TableContents"/>
              <w:bidi w:val="0"/>
              <w:spacing w:lineRule="atLeast" w:line="240" w:before="0" w:after="0"/>
              <w:ind w:left="0" w:right="0" w:hanging="0"/>
              <w:jc w:val="left"/>
              <w:rPr/>
            </w:pPr>
            <w:r>
              <w:rPr/>
              <w:t>​</w:t>
            </w:r>
          </w:p>
        </w:tc>
        <w:tc>
          <w:tcPr>
            <w:tcW w:w="109" w:type="dxa"/>
            <w:tcBorders/>
            <w:vAlign w:val="center"/>
          </w:tcPr>
          <w:p>
            <w:pPr>
              <w:pStyle w:val="TableContents"/>
              <w:bidi w:val="0"/>
              <w:spacing w:lineRule="atLeast" w:line="240" w:before="0" w:after="0"/>
              <w:ind w:left="0" w:right="0" w:hanging="0"/>
              <w:jc w:val="center"/>
              <w:rPr/>
            </w:pPr>
            <w:r>
              <w:rPr/>
              <w:t>​</w:t>
            </w:r>
          </w:p>
        </w:tc>
        <w:tc>
          <w:tcPr>
            <w:tcW w:w="1260" w:type="dxa"/>
            <w:gridSpan w:val="2"/>
            <w:tcBorders/>
            <w:vAlign w:val="center"/>
          </w:tcPr>
          <w:p>
            <w:pPr>
              <w:pStyle w:val="TableContents"/>
              <w:bidi w:val="0"/>
              <w:spacing w:lineRule="atLeast" w:line="240" w:before="0" w:after="0"/>
              <w:ind w:left="0" w:right="0" w:hanging="0"/>
              <w:jc w:val="center"/>
              <w:rPr>
                <w:rFonts w:ascii="Times New Roman;Times;serif" w:hAnsi="Times New Roman;Times;serif"/>
                <w:b/>
                <w:sz w:val="20"/>
              </w:rPr>
            </w:pPr>
            <w:r>
              <w:rPr>
                <w:rFonts w:ascii="Times New Roman;Times;serif" w:hAnsi="Times New Roman;Times;serif"/>
                <w:b/>
                <w:sz w:val="20"/>
              </w:rPr>
              <w:t>December 30,</w:t>
            </w:r>
          </w:p>
        </w:tc>
        <w:tc>
          <w:tcPr>
            <w:tcW w:w="326" w:type="dxa"/>
            <w:tcBorders/>
            <w:vAlign w:val="center"/>
          </w:tcPr>
          <w:p>
            <w:pPr>
              <w:pStyle w:val="TableContents"/>
              <w:bidi w:val="0"/>
              <w:spacing w:lineRule="atLeast" w:line="240" w:before="0" w:after="0"/>
              <w:ind w:left="0" w:right="0" w:hanging="0"/>
              <w:jc w:val="center"/>
              <w:rPr/>
            </w:pPr>
            <w:r>
              <w:rPr/>
              <w:t>    </w:t>
            </w:r>
          </w:p>
        </w:tc>
        <w:tc>
          <w:tcPr>
            <w:tcW w:w="992" w:type="dxa"/>
            <w:gridSpan w:val="2"/>
            <w:tcBorders/>
            <w:vAlign w:val="center"/>
          </w:tcPr>
          <w:p>
            <w:pPr>
              <w:pStyle w:val="TableContents"/>
              <w:bidi w:val="0"/>
              <w:spacing w:lineRule="atLeast" w:line="240" w:before="0" w:after="0"/>
              <w:ind w:left="0" w:right="0" w:hanging="0"/>
              <w:jc w:val="center"/>
              <w:rPr>
                <w:rFonts w:ascii="Times New Roman;Times;serif" w:hAnsi="Times New Roman;Times;serif"/>
                <w:b/>
                <w:sz w:val="20"/>
              </w:rPr>
            </w:pPr>
            <w:r>
              <w:rPr>
                <w:rFonts w:ascii="Times New Roman;Times;serif" w:hAnsi="Times New Roman;Times;serif"/>
                <w:b/>
                <w:sz w:val="20"/>
              </w:rPr>
              <w:t>July 1,</w:t>
            </w:r>
          </w:p>
        </w:tc>
      </w:tr>
      <w:tr>
        <w:trPr/>
        <w:tc>
          <w:tcPr>
            <w:tcW w:w="2671" w:type="dxa"/>
            <w:tcBorders/>
            <w:vAlign w:val="center"/>
          </w:tcPr>
          <w:p>
            <w:pPr>
              <w:pStyle w:val="TableContents"/>
              <w:bidi w:val="0"/>
              <w:spacing w:lineRule="atLeast" w:line="240" w:before="0" w:after="0"/>
              <w:ind w:left="0" w:right="0" w:hanging="0"/>
              <w:jc w:val="left"/>
              <w:rPr/>
            </w:pPr>
            <w:r>
              <w:rPr/>
              <w:t>​</w:t>
            </w:r>
          </w:p>
        </w:tc>
        <w:tc>
          <w:tcPr>
            <w:tcW w:w="109" w:type="dxa"/>
            <w:tcBorders/>
            <w:vAlign w:val="center"/>
          </w:tcPr>
          <w:p>
            <w:pPr>
              <w:pStyle w:val="TableContents"/>
              <w:bidi w:val="0"/>
              <w:spacing w:lineRule="atLeast" w:line="240" w:before="0" w:after="0"/>
              <w:ind w:left="0" w:right="0" w:hanging="0"/>
              <w:jc w:val="center"/>
              <w:rPr/>
            </w:pPr>
            <w:r>
              <w:rPr/>
              <w:t>​</w:t>
            </w:r>
          </w:p>
        </w:tc>
        <w:tc>
          <w:tcPr>
            <w:tcW w:w="1260" w:type="dxa"/>
            <w:gridSpan w:val="2"/>
            <w:tcBorders>
              <w:bottom w:val="single" w:sz="12" w:space="0" w:color="000000"/>
            </w:tcBorders>
            <w:tcMar>
              <w:bottom w:w="28" w:type="dxa"/>
            </w:tcMar>
            <w:vAlign w:val="center"/>
          </w:tcPr>
          <w:p>
            <w:pPr>
              <w:pStyle w:val="TableContents"/>
              <w:bidi w:val="0"/>
              <w:spacing w:lineRule="atLeast" w:line="240"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6" w:type="dxa"/>
            <w:tcBorders/>
            <w:vAlign w:val="center"/>
          </w:tcPr>
          <w:p>
            <w:pPr>
              <w:pStyle w:val="TableContents"/>
              <w:bidi w:val="0"/>
              <w:spacing w:lineRule="atLeast" w:line="240" w:before="0" w:after="0"/>
              <w:ind w:left="0" w:right="0" w:hanging="0"/>
              <w:jc w:val="center"/>
              <w:rPr/>
            </w:pPr>
            <w:r>
              <w:rPr/>
              <w:t>​</w:t>
            </w:r>
          </w:p>
        </w:tc>
        <w:tc>
          <w:tcPr>
            <w:tcW w:w="992" w:type="dxa"/>
            <w:gridSpan w:val="2"/>
            <w:tcBorders>
              <w:bottom w:val="single" w:sz="12" w:space="0" w:color="000000"/>
            </w:tcBorders>
            <w:tcMar>
              <w:bottom w:w="28" w:type="dxa"/>
            </w:tcMar>
            <w:vAlign w:val="center"/>
          </w:tcPr>
          <w:p>
            <w:pPr>
              <w:pStyle w:val="TableContents"/>
              <w:bidi w:val="0"/>
              <w:spacing w:lineRule="atLeast" w:line="240"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r>
      <w:tr>
        <w:trPr/>
        <w:tc>
          <w:tcPr>
            <w:tcW w:w="5358"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2671" w:type="dxa"/>
            <w:tcBorders/>
            <w:vAlign w:val="center"/>
          </w:tcPr>
          <w:p>
            <w:pPr>
              <w:pStyle w:val="TableContents"/>
              <w:bidi w:val="0"/>
              <w:spacing w:lineRule="atLeast" w:line="240" w:before="0" w:after="0"/>
              <w:ind w:left="0" w:right="0" w:hanging="0"/>
              <w:jc w:val="left"/>
              <w:rPr/>
            </w:pPr>
            <w:r>
              <w:rPr/>
              <w:t>​</w:t>
            </w:r>
          </w:p>
        </w:tc>
        <w:tc>
          <w:tcPr>
            <w:tcW w:w="109" w:type="dxa"/>
            <w:tcBorders/>
            <w:vAlign w:val="center"/>
          </w:tcPr>
          <w:p>
            <w:pPr>
              <w:pStyle w:val="TableContents"/>
              <w:bidi w:val="0"/>
              <w:spacing w:lineRule="atLeast" w:line="240" w:before="0" w:after="0"/>
              <w:ind w:left="0" w:right="0" w:hanging="0"/>
              <w:jc w:val="center"/>
              <w:rPr/>
            </w:pPr>
            <w:r>
              <w:rPr/>
              <w:t>​</w:t>
            </w:r>
          </w:p>
        </w:tc>
        <w:tc>
          <w:tcPr>
            <w:tcW w:w="2578" w:type="dxa"/>
            <w:gridSpan w:val="5"/>
            <w:tcBorders/>
            <w:vAlign w:val="center"/>
          </w:tcPr>
          <w:p>
            <w:pPr>
              <w:pStyle w:val="TableContents"/>
              <w:bidi w:val="0"/>
              <w:spacing w:lineRule="atLeast" w:line="240" w:before="0" w:after="0"/>
              <w:ind w:left="0" w:right="0" w:hanging="0"/>
              <w:jc w:val="center"/>
              <w:rPr>
                <w:rFonts w:ascii="Times New Roman;Times;serif" w:hAnsi="Times New Roman;Times;serif"/>
                <w:b/>
                <w:sz w:val="20"/>
              </w:rPr>
            </w:pPr>
            <w:r>
              <w:rPr>
                <w:rFonts w:ascii="Times New Roman;Times;serif" w:hAnsi="Times New Roman;Times;serif"/>
                <w:b/>
                <w:sz w:val="20"/>
              </w:rPr>
              <w:t>(Thousands)</w:t>
            </w:r>
          </w:p>
        </w:tc>
      </w:tr>
      <w:tr>
        <w:trPr/>
        <w:tc>
          <w:tcPr>
            <w:tcW w:w="2671" w:type="dxa"/>
            <w:tcBorders/>
            <w:shd w:fill="CCEEFF" w:val="clear"/>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Economic hedges</w:t>
            </w:r>
          </w:p>
        </w:tc>
        <w:tc>
          <w:tcPr>
            <w:tcW w:w="109" w:type="dxa"/>
            <w:tcBorders/>
            <w:shd w:fill="CCEEFF" w:val="clear"/>
            <w:vAlign w:val="center"/>
          </w:tcPr>
          <w:p>
            <w:pPr>
              <w:pStyle w:val="TableContents"/>
              <w:bidi w:val="0"/>
              <w:spacing w:lineRule="atLeast" w:line="240" w:before="0" w:after="0"/>
              <w:ind w:left="0" w:right="0" w:hanging="0"/>
              <w:jc w:val="left"/>
              <w:rPr/>
            </w:pPr>
            <w:r>
              <w:rPr/>
              <w:t>​</w:t>
            </w:r>
          </w:p>
        </w:tc>
        <w:tc>
          <w:tcPr>
            <w:tcW w:w="299" w:type="dxa"/>
            <w:tcBorders/>
            <w:shd w:fill="CCEEFF" w:val="clear"/>
            <w:vAlign w:val="center"/>
          </w:tcPr>
          <w:p>
            <w:pPr>
              <w:pStyle w:val="TableContents"/>
              <w:bidi w:val="0"/>
              <w:spacing w:lineRule="atLeast" w:line="240" w:before="0" w:after="0"/>
              <w:ind w:left="0" w:right="0" w:hanging="0"/>
              <w:jc w:val="left"/>
              <w:rPr/>
            </w:pPr>
            <w:r>
              <w:rPr/>
              <w:t>​</w:t>
            </w:r>
          </w:p>
        </w:tc>
        <w:tc>
          <w:tcPr>
            <w:tcW w:w="961" w:type="dxa"/>
            <w:tcBorders/>
            <w:shd w:fill="CCEEFF" w:val="clear"/>
            <w:vAlign w:val="center"/>
          </w:tcPr>
          <w:p>
            <w:pPr>
              <w:pStyle w:val="TableContents"/>
              <w:bidi w:val="0"/>
              <w:spacing w:lineRule="atLeast" w:line="240" w:before="0" w:after="0"/>
              <w:ind w:left="0" w:right="0" w:hanging="0"/>
              <w:jc w:val="right"/>
              <w:rPr/>
            </w:pPr>
            <w:r>
              <w:rPr/>
              <w:t>​</w:t>
            </w:r>
          </w:p>
        </w:tc>
        <w:tc>
          <w:tcPr>
            <w:tcW w:w="326" w:type="dxa"/>
            <w:tcBorders/>
            <w:shd w:fill="CCEEFF" w:val="clear"/>
            <w:vAlign w:val="center"/>
          </w:tcPr>
          <w:p>
            <w:pPr>
              <w:pStyle w:val="TableContents"/>
              <w:bidi w:val="0"/>
              <w:spacing w:lineRule="atLeast" w:line="240" w:before="0" w:after="0"/>
              <w:ind w:left="0" w:right="0" w:hanging="0"/>
              <w:jc w:val="left"/>
              <w:rPr/>
            </w:pPr>
            <w:r>
              <w:rPr/>
              <w:t>​</w:t>
            </w:r>
          </w:p>
        </w:tc>
        <w:tc>
          <w:tcPr>
            <w:tcW w:w="211" w:type="dxa"/>
            <w:tcBorders/>
            <w:shd w:fill="CCEEFF" w:val="clear"/>
            <w:vAlign w:val="center"/>
          </w:tcPr>
          <w:p>
            <w:pPr>
              <w:pStyle w:val="TableContents"/>
              <w:bidi w:val="0"/>
              <w:spacing w:lineRule="atLeast" w:line="240" w:before="0" w:after="0"/>
              <w:ind w:left="0" w:right="0" w:hanging="0"/>
              <w:jc w:val="left"/>
              <w:rPr/>
            </w:pPr>
            <w:r>
              <w:rPr/>
              <w:t>​</w:t>
            </w:r>
          </w:p>
        </w:tc>
        <w:tc>
          <w:tcPr>
            <w:tcW w:w="781" w:type="dxa"/>
            <w:tcBorders/>
            <w:shd w:fill="CCEEFF" w:val="clear"/>
            <w:vAlign w:val="center"/>
          </w:tcPr>
          <w:p>
            <w:pPr>
              <w:pStyle w:val="TableContents"/>
              <w:bidi w:val="0"/>
              <w:spacing w:lineRule="atLeast" w:line="240" w:before="0" w:after="0"/>
              <w:ind w:left="0" w:right="0" w:hanging="0"/>
              <w:jc w:val="right"/>
              <w:rPr/>
            </w:pPr>
            <w:r>
              <w:rPr/>
              <w:t>​</w:t>
            </w:r>
          </w:p>
        </w:tc>
      </w:tr>
      <w:tr>
        <w:trPr/>
        <w:tc>
          <w:tcPr>
            <w:tcW w:w="2671" w:type="dxa"/>
            <w:tcBorders/>
            <w:vAlign w:val="center"/>
          </w:tcPr>
          <w:p>
            <w:pPr>
              <w:pStyle w:val="TableContents"/>
              <w:bidi w:val="0"/>
              <w:spacing w:lineRule="atLeast" w:line="240"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and other current assets</w:t>
            </w:r>
          </w:p>
        </w:tc>
        <w:tc>
          <w:tcPr>
            <w:tcW w:w="109" w:type="dxa"/>
            <w:tcBorders/>
            <w:vAlign w:val="center"/>
          </w:tcPr>
          <w:p>
            <w:pPr>
              <w:pStyle w:val="TableContents"/>
              <w:bidi w:val="0"/>
              <w:spacing w:lineRule="atLeast" w:line="240" w:before="0" w:after="0"/>
              <w:ind w:left="0" w:right="0" w:hanging="0"/>
              <w:jc w:val="left"/>
              <w:rPr/>
            </w:pPr>
            <w:r>
              <w:rPr/>
              <w:t>​</w:t>
            </w:r>
          </w:p>
        </w:tc>
        <w:tc>
          <w:tcPr>
            <w:tcW w:w="299" w:type="dxa"/>
            <w:tcBorders/>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1" w:type="dxa"/>
            <w:tcBorders/>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58,127</w:t>
            </w:r>
          </w:p>
        </w:tc>
        <w:tc>
          <w:tcPr>
            <w:tcW w:w="326" w:type="dxa"/>
            <w:tcBorders/>
            <w:vAlign w:val="center"/>
          </w:tcPr>
          <w:p>
            <w:pPr>
              <w:pStyle w:val="TableContents"/>
              <w:bidi w:val="0"/>
              <w:spacing w:lineRule="atLeast" w:line="240" w:before="0" w:after="0"/>
              <w:ind w:left="0" w:right="0" w:hanging="0"/>
              <w:jc w:val="left"/>
              <w:rPr/>
            </w:pPr>
            <w:r>
              <w:rPr/>
              <w:t>​</w:t>
            </w:r>
          </w:p>
        </w:tc>
        <w:tc>
          <w:tcPr>
            <w:tcW w:w="211" w:type="dxa"/>
            <w:tcBorders/>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69,104</w:t>
            </w:r>
          </w:p>
        </w:tc>
      </w:tr>
      <w:tr>
        <w:trPr/>
        <w:tc>
          <w:tcPr>
            <w:tcW w:w="2671" w:type="dxa"/>
            <w:tcBorders/>
            <w:shd w:fill="CCEEFF" w:val="clear"/>
            <w:vAlign w:val="center"/>
          </w:tcPr>
          <w:p>
            <w:pPr>
              <w:pStyle w:val="TableContents"/>
              <w:bidi w:val="0"/>
              <w:spacing w:lineRule="atLeast" w:line="240"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and other</w:t>
            </w:r>
          </w:p>
        </w:tc>
        <w:tc>
          <w:tcPr>
            <w:tcW w:w="109" w:type="dxa"/>
            <w:tcBorders/>
            <w:shd w:fill="CCEEFF" w:val="clear"/>
            <w:vAlign w:val="center"/>
          </w:tcPr>
          <w:p>
            <w:pPr>
              <w:pStyle w:val="TableContents"/>
              <w:bidi w:val="0"/>
              <w:spacing w:lineRule="atLeast" w:line="240" w:before="0" w:after="0"/>
              <w:ind w:left="0" w:right="0" w:hanging="0"/>
              <w:jc w:val="left"/>
              <w:rPr/>
            </w:pPr>
            <w:r>
              <w:rPr/>
              <w:t>​</w:t>
            </w:r>
          </w:p>
        </w:tc>
        <w:tc>
          <w:tcPr>
            <w:tcW w:w="299" w:type="dxa"/>
            <w:tcBorders/>
            <w:shd w:fill="CCEEFF" w:val="clear"/>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1" w:type="dxa"/>
            <w:tcBorders/>
            <w:shd w:fill="CCEEFF" w:val="cle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59,424</w:t>
            </w:r>
          </w:p>
        </w:tc>
        <w:tc>
          <w:tcPr>
            <w:tcW w:w="326" w:type="dxa"/>
            <w:tcBorders/>
            <w:shd w:fill="CCEEFF" w:val="clear"/>
            <w:vAlign w:val="center"/>
          </w:tcPr>
          <w:p>
            <w:pPr>
              <w:pStyle w:val="TableContents"/>
              <w:bidi w:val="0"/>
              <w:spacing w:lineRule="atLeast" w:line="240" w:before="0" w:after="0"/>
              <w:ind w:left="0" w:right="0" w:hanging="0"/>
              <w:jc w:val="left"/>
              <w:rPr/>
            </w:pPr>
            <w:r>
              <w:rPr/>
              <w:t>​</w:t>
            </w:r>
          </w:p>
        </w:tc>
        <w:tc>
          <w:tcPr>
            <w:tcW w:w="211" w:type="dxa"/>
            <w:tcBorders/>
            <w:shd w:fill="CCEEFF" w:val="clear"/>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68,594</w:t>
            </w:r>
          </w:p>
        </w:tc>
      </w:tr>
      <w:tr>
        <w:trPr/>
        <w:tc>
          <w:tcPr>
            <w:tcW w:w="2671" w:type="dxa"/>
            <w:tcBorders/>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Cross-currency swap</w:t>
            </w:r>
          </w:p>
        </w:tc>
        <w:tc>
          <w:tcPr>
            <w:tcW w:w="109" w:type="dxa"/>
            <w:tcBorders/>
            <w:vAlign w:val="center"/>
          </w:tcPr>
          <w:p>
            <w:pPr>
              <w:pStyle w:val="TableContents"/>
              <w:bidi w:val="0"/>
              <w:spacing w:lineRule="atLeast" w:line="240" w:before="0" w:after="0"/>
              <w:ind w:left="0" w:right="0" w:hanging="0"/>
              <w:jc w:val="left"/>
              <w:rPr/>
            </w:pPr>
            <w:r>
              <w:rPr/>
              <w:t>​</w:t>
            </w:r>
          </w:p>
        </w:tc>
        <w:tc>
          <w:tcPr>
            <w:tcW w:w="299" w:type="dxa"/>
            <w:tcBorders/>
            <w:vAlign w:val="center"/>
          </w:tcPr>
          <w:p>
            <w:pPr>
              <w:pStyle w:val="TableContents"/>
              <w:bidi w:val="0"/>
              <w:spacing w:lineRule="atLeast" w:line="240" w:before="0" w:after="0"/>
              <w:ind w:left="0" w:right="0" w:hanging="0"/>
              <w:jc w:val="left"/>
              <w:rPr/>
            </w:pPr>
            <w:r>
              <w:rPr/>
              <w:t>​</w:t>
            </w:r>
          </w:p>
        </w:tc>
        <w:tc>
          <w:tcPr>
            <w:tcW w:w="961" w:type="dxa"/>
            <w:tcBorders/>
            <w:vAlign w:val="center"/>
          </w:tcPr>
          <w:p>
            <w:pPr>
              <w:pStyle w:val="TableContents"/>
              <w:bidi w:val="0"/>
              <w:spacing w:lineRule="atLeast" w:line="240" w:before="0" w:after="0"/>
              <w:ind w:left="0" w:right="0" w:hanging="0"/>
              <w:jc w:val="right"/>
              <w:rPr/>
            </w:pPr>
            <w:r>
              <w:rPr/>
              <w:t>​</w:t>
            </w:r>
          </w:p>
        </w:tc>
        <w:tc>
          <w:tcPr>
            <w:tcW w:w="326" w:type="dxa"/>
            <w:tcBorders/>
            <w:vAlign w:val="center"/>
          </w:tcPr>
          <w:p>
            <w:pPr>
              <w:pStyle w:val="TableContents"/>
              <w:bidi w:val="0"/>
              <w:spacing w:lineRule="atLeast" w:line="240" w:before="0" w:after="0"/>
              <w:ind w:left="0" w:right="0" w:hanging="0"/>
              <w:jc w:val="left"/>
              <w:rPr/>
            </w:pPr>
            <w:r>
              <w:rPr/>
              <w:t>​</w:t>
            </w:r>
          </w:p>
        </w:tc>
        <w:tc>
          <w:tcPr>
            <w:tcW w:w="211" w:type="dxa"/>
            <w:tcBorders/>
            <w:vAlign w:val="center"/>
          </w:tcPr>
          <w:p>
            <w:pPr>
              <w:pStyle w:val="TableContents"/>
              <w:bidi w:val="0"/>
              <w:spacing w:lineRule="atLeast" w:line="240" w:before="0" w:after="0"/>
              <w:ind w:left="0" w:right="0" w:hanging="0"/>
              <w:jc w:val="left"/>
              <w:rPr/>
            </w:pPr>
            <w:r>
              <w:rPr/>
              <w:t>​</w:t>
            </w:r>
          </w:p>
        </w:tc>
        <w:tc>
          <w:tcPr>
            <w:tcW w:w="781" w:type="dxa"/>
            <w:tcBorders/>
            <w:vAlign w:val="center"/>
          </w:tcPr>
          <w:p>
            <w:pPr>
              <w:pStyle w:val="TableContents"/>
              <w:bidi w:val="0"/>
              <w:spacing w:lineRule="atLeast" w:line="240" w:before="0" w:after="0"/>
              <w:ind w:left="0" w:right="0" w:hanging="0"/>
              <w:jc w:val="right"/>
              <w:rPr/>
            </w:pPr>
            <w:r>
              <w:rPr/>
              <w:t>​</w:t>
            </w:r>
          </w:p>
        </w:tc>
      </w:tr>
      <w:tr>
        <w:trPr/>
        <w:tc>
          <w:tcPr>
            <w:tcW w:w="2671" w:type="dxa"/>
            <w:tcBorders/>
            <w:shd w:fill="CCEEFF" w:val="clear"/>
            <w:vAlign w:val="center"/>
          </w:tcPr>
          <w:p>
            <w:pPr>
              <w:pStyle w:val="TableContents"/>
              <w:bidi w:val="0"/>
              <w:spacing w:lineRule="atLeast" w:line="240"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liabilities</w:t>
            </w:r>
          </w:p>
        </w:tc>
        <w:tc>
          <w:tcPr>
            <w:tcW w:w="109" w:type="dxa"/>
            <w:tcBorders/>
            <w:shd w:fill="CCEEFF" w:val="clear"/>
            <w:vAlign w:val="center"/>
          </w:tcPr>
          <w:p>
            <w:pPr>
              <w:pStyle w:val="TableContents"/>
              <w:bidi w:val="0"/>
              <w:spacing w:lineRule="atLeast" w:line="240" w:before="0" w:after="0"/>
              <w:ind w:left="0" w:right="0" w:hanging="0"/>
              <w:jc w:val="left"/>
              <w:rPr>
                <w:color w:val="575757"/>
              </w:rPr>
            </w:pPr>
            <w:r>
              <w:rPr>
                <w:color w:val="575757"/>
              </w:rPr>
              <w:t>​</w:t>
            </w:r>
          </w:p>
        </w:tc>
        <w:tc>
          <w:tcPr>
            <w:tcW w:w="299" w:type="dxa"/>
            <w:tcBorders/>
            <w:shd w:fill="CCEEFF" w:val="clear"/>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1" w:type="dxa"/>
            <w:tcBorders/>
            <w:shd w:fill="CCEEFF" w:val="cle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35,240</w:t>
            </w:r>
          </w:p>
        </w:tc>
        <w:tc>
          <w:tcPr>
            <w:tcW w:w="326" w:type="dxa"/>
            <w:tcBorders/>
            <w:shd w:fill="CCEEFF" w:val="clear"/>
            <w:vAlign w:val="center"/>
          </w:tcPr>
          <w:p>
            <w:pPr>
              <w:pStyle w:val="TableContents"/>
              <w:bidi w:val="0"/>
              <w:spacing w:lineRule="atLeast" w:line="240" w:before="0" w:after="0"/>
              <w:ind w:left="0" w:right="0" w:hanging="0"/>
              <w:jc w:val="left"/>
              <w:rPr/>
            </w:pPr>
            <w:r>
              <w:rPr/>
              <w:t>​</w:t>
            </w:r>
          </w:p>
        </w:tc>
        <w:tc>
          <w:tcPr>
            <w:tcW w:w="211" w:type="dxa"/>
            <w:tcBorders/>
            <w:shd w:fill="CCEEFF" w:val="clear"/>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lineRule="atLeast" w:line="240" w:before="0" w:after="0"/>
              <w:ind w:left="0" w:right="60" w:hanging="0"/>
              <w:jc w:val="right"/>
              <w:rPr>
                <w:rFonts w:ascii="Times New Roman;Times;serif" w:hAnsi="Times New Roman;Times;serif"/>
                <w:sz w:val="20"/>
              </w:rPr>
            </w:pPr>
            <w:r>
              <w:rPr>
                <w:rFonts w:ascii="Times New Roman;Times;serif" w:hAnsi="Times New Roman;Times;serif"/>
                <w:sz w:val="20"/>
              </w:rPr>
              <w:t>22,849</w:t>
            </w:r>
          </w:p>
        </w:tc>
      </w:tr>
    </w:tbl>
    <w:p>
      <w:pPr>
        <w:pStyle w:val="TextBody"/>
        <w:bidi w:val="0"/>
        <w:spacing w:before="0" w:after="0"/>
        <w:ind w:left="0" w:right="0" w:firstLine="475"/>
        <w:jc w:val="both"/>
        <w:rPr/>
      </w:pPr>
      <w:r>
        <w:rPr/>
        <w:t>​</w:t>
      </w:r>
    </w:p>
    <w:p>
      <w:pPr>
        <w:pStyle w:val="TextBody"/>
        <w:bidi w:val="0"/>
        <w:spacing w:before="0" w:after="0"/>
        <w:ind w:left="0" w:right="0" w:firstLine="475"/>
        <w:jc w:val="left"/>
        <w:rPr>
          <w:rFonts w:ascii="Times New Roman;Times;serif" w:hAnsi="Times New Roman;Times;serif"/>
          <w:sz w:val="20"/>
        </w:rPr>
      </w:pPr>
      <w:r>
        <w:rPr>
          <w:rFonts w:ascii="Times New Roman;Times;serif" w:hAnsi="Times New Roman;Times;serif"/>
          <w:sz w:val="20"/>
        </w:rPr>
        <w:t>The locations of derivative financial instruments on the Company’s consolidated statements of operations are as follows:</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562"/>
        <w:gridCol w:w="2756"/>
        <w:gridCol w:w="109"/>
        <w:gridCol w:w="276"/>
        <w:gridCol w:w="972"/>
        <w:gridCol w:w="212"/>
        <w:gridCol w:w="295"/>
        <w:gridCol w:w="953"/>
        <w:gridCol w:w="206"/>
        <w:gridCol w:w="211"/>
        <w:gridCol w:w="1089"/>
        <w:gridCol w:w="206"/>
        <w:gridCol w:w="211"/>
        <w:gridCol w:w="930"/>
        <w:gridCol w:w="217"/>
      </w:tblGrid>
      <w:tr>
        <w:trPr/>
        <w:tc>
          <w:tcPr>
            <w:tcW w:w="15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991870" cy="175260"/>
                      <wp:effectExtent l="0" t="0" r="0" b="0"/>
                      <wp:wrapNone/>
                      <wp:docPr id="153" name="Frame153"/>
                      <a:graphic xmlns:a="http://schemas.openxmlformats.org/drawingml/2006/main">
                        <a:graphicData uri="http://schemas.microsoft.com/office/word/2010/wordprocessingShape">
                          <wps:wsp>
                            <wps:cNvSpPr txBox="1"/>
                            <wps:spPr>
                              <a:xfrm>
                                <a:off x="0" y="0"/>
                                <a:ext cx="991870"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27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1750060" cy="175260"/>
                      <wp:effectExtent l="0" t="0" r="0" b="0"/>
                      <wp:wrapNone/>
                      <wp:docPr id="154" name="Frame154"/>
                      <a:graphic xmlns:a="http://schemas.openxmlformats.org/drawingml/2006/main">
                        <a:graphicData uri="http://schemas.microsoft.com/office/word/2010/wordprocessingShape">
                          <wps:wsp>
                            <wps:cNvSpPr txBox="1"/>
                            <wps:spPr>
                              <a:xfrm>
                                <a:off x="0" y="0"/>
                                <a:ext cx="1750060"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9215" cy="175260"/>
                      <wp:effectExtent l="0" t="0" r="0" b="0"/>
                      <wp:wrapNone/>
                      <wp:docPr id="155" name="Frame15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175260" cy="175260"/>
                      <wp:effectExtent l="0" t="0" r="0" b="0"/>
                      <wp:wrapNone/>
                      <wp:docPr id="156" name="Frame156"/>
                      <a:graphic xmlns:a="http://schemas.openxmlformats.org/drawingml/2006/main">
                        <a:graphicData uri="http://schemas.microsoft.com/office/word/2010/wordprocessingShape">
                          <wps:wsp>
                            <wps:cNvSpPr txBox="1"/>
                            <wps:spPr>
                              <a:xfrm>
                                <a:off x="0" y="0"/>
                                <a:ext cx="175260"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9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17220" cy="175260"/>
                      <wp:effectExtent l="0" t="0" r="0" b="0"/>
                      <wp:wrapNone/>
                      <wp:docPr id="157" name="Frame157"/>
                      <a:graphic xmlns:a="http://schemas.openxmlformats.org/drawingml/2006/main">
                        <a:graphicData uri="http://schemas.microsoft.com/office/word/2010/wordprocessingShape">
                          <wps:wsp>
                            <wps:cNvSpPr txBox="1"/>
                            <wps:spPr>
                              <a:xfrm>
                                <a:off x="0" y="0"/>
                                <a:ext cx="617220"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2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134620" cy="175260"/>
                      <wp:effectExtent l="0" t="0" r="0" b="0"/>
                      <wp:wrapNone/>
                      <wp:docPr id="158" name="Frame158"/>
                      <a:graphic xmlns:a="http://schemas.openxmlformats.org/drawingml/2006/main">
                        <a:graphicData uri="http://schemas.microsoft.com/office/word/2010/wordprocessingShape">
                          <wps:wsp>
                            <wps:cNvSpPr txBox="1"/>
                            <wps:spPr>
                              <a:xfrm>
                                <a:off x="0" y="0"/>
                                <a:ext cx="134620"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2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187325" cy="175260"/>
                      <wp:effectExtent l="0" t="0" r="0" b="0"/>
                      <wp:wrapNone/>
                      <wp:docPr id="159" name="Frame159"/>
                      <a:graphic xmlns:a="http://schemas.openxmlformats.org/drawingml/2006/main">
                        <a:graphicData uri="http://schemas.microsoft.com/office/word/2010/wordprocessingShape">
                          <wps:wsp>
                            <wps:cNvSpPr txBox="1"/>
                            <wps:spPr>
                              <a:xfrm>
                                <a:off x="0" y="0"/>
                                <a:ext cx="187325"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9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05155" cy="175260"/>
                      <wp:effectExtent l="0" t="0" r="0" b="0"/>
                      <wp:wrapNone/>
                      <wp:docPr id="160" name="Frame160"/>
                      <a:graphic xmlns:a="http://schemas.openxmlformats.org/drawingml/2006/main">
                        <a:graphicData uri="http://schemas.microsoft.com/office/word/2010/wordprocessingShape">
                          <wps:wsp>
                            <wps:cNvSpPr txBox="1"/>
                            <wps:spPr>
                              <a:xfrm>
                                <a:off x="0" y="0"/>
                                <a:ext cx="605155"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130810" cy="175260"/>
                      <wp:effectExtent l="0" t="0" r="0" b="0"/>
                      <wp:wrapNone/>
                      <wp:docPr id="161" name="Frame161"/>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133985" cy="175260"/>
                      <wp:effectExtent l="0" t="0" r="0" b="0"/>
                      <wp:wrapNone/>
                      <wp:docPr id="162" name="Frame16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10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91515" cy="175260"/>
                      <wp:effectExtent l="0" t="0" r="0" b="0"/>
                      <wp:wrapNone/>
                      <wp:docPr id="163" name="Frame163"/>
                      <a:graphic xmlns:a="http://schemas.openxmlformats.org/drawingml/2006/main">
                        <a:graphicData uri="http://schemas.microsoft.com/office/word/2010/wordprocessingShape">
                          <wps:wsp>
                            <wps:cNvSpPr txBox="1"/>
                            <wps:spPr>
                              <a:xfrm>
                                <a:off x="0" y="0"/>
                                <a:ext cx="691515"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130810" cy="175260"/>
                      <wp:effectExtent l="0" t="0" r="0" b="0"/>
                      <wp:wrapNone/>
                      <wp:docPr id="164" name="Frame164"/>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133985" cy="175260"/>
                      <wp:effectExtent l="0" t="0" r="0" b="0"/>
                      <wp:wrapNone/>
                      <wp:docPr id="165" name="Frame16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9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590550" cy="175260"/>
                      <wp:effectExtent l="0" t="0" r="0" b="0"/>
                      <wp:wrapNone/>
                      <wp:docPr id="166" name="Frame166"/>
                      <a:graphic xmlns:a="http://schemas.openxmlformats.org/drawingml/2006/main">
                        <a:graphicData uri="http://schemas.microsoft.com/office/word/2010/wordprocessingShape">
                          <wps:wsp>
                            <wps:cNvSpPr txBox="1"/>
                            <wps:spPr>
                              <a:xfrm>
                                <a:off x="0" y="0"/>
                                <a:ext cx="590550"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217"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562" w:type="dxa"/>
            <w:tcBorders/>
            <w:vAlign w:val="center"/>
          </w:tcPr>
          <w:p>
            <w:pPr>
              <w:pStyle w:val="TableContents"/>
              <w:bidi w:val="0"/>
              <w:spacing w:lineRule="atLeast" w:line="240" w:before="0" w:after="0"/>
              <w:ind w:left="0" w:right="0" w:hanging="0"/>
              <w:jc w:val="left"/>
              <w:rPr/>
            </w:pPr>
            <w:r>
              <w:rPr/>
              <w:t>​</w:t>
            </w:r>
          </w:p>
        </w:tc>
        <w:tc>
          <w:tcPr>
            <w:tcW w:w="2756" w:type="dxa"/>
            <w:tcBorders/>
            <w:vAlign w:val="center"/>
          </w:tcPr>
          <w:p>
            <w:pPr>
              <w:pStyle w:val="TableContents"/>
              <w:bidi w:val="0"/>
              <w:spacing w:lineRule="atLeast" w:line="240" w:before="0" w:after="0"/>
              <w:ind w:left="0" w:right="0" w:hanging="0"/>
              <w:jc w:val="left"/>
              <w:rPr/>
            </w:pPr>
            <w:r>
              <w:rPr/>
              <w:t>​</w:t>
            </w:r>
          </w:p>
        </w:tc>
        <w:tc>
          <w:tcPr>
            <w:tcW w:w="109" w:type="dxa"/>
            <w:tcBorders/>
            <w:vAlign w:val="center"/>
          </w:tcPr>
          <w:p>
            <w:pPr>
              <w:pStyle w:val="TableContents"/>
              <w:bidi w:val="0"/>
              <w:spacing w:lineRule="atLeast" w:line="240" w:before="0" w:after="0"/>
              <w:ind w:left="0" w:right="0" w:hanging="0"/>
              <w:jc w:val="left"/>
              <w:rPr/>
            </w:pPr>
            <w:r>
              <w:rPr/>
              <w:t>​</w:t>
            </w:r>
          </w:p>
        </w:tc>
        <w:tc>
          <w:tcPr>
            <w:tcW w:w="2708" w:type="dxa"/>
            <w:gridSpan w:val="5"/>
            <w:tcBorders>
              <w:bottom w:val="single" w:sz="12" w:space="0" w:color="000000"/>
            </w:tcBorders>
            <w:tcMar>
              <w:bottom w:w="28" w:type="dxa"/>
            </w:tcMar>
            <w:vAlign w:val="center"/>
          </w:tcPr>
          <w:p>
            <w:pPr>
              <w:pStyle w:val="TableContents"/>
              <w:bidi w:val="0"/>
              <w:spacing w:lineRule="atLeast" w:line="240" w:before="0" w:after="0"/>
              <w:ind w:left="0" w:right="0" w:hanging="0"/>
              <w:jc w:val="center"/>
              <w:rPr>
                <w:rFonts w:ascii="Times New Roman;Times;serif" w:hAnsi="Times New Roman;Times;serif"/>
                <w:b/>
                <w:sz w:val="19"/>
              </w:rPr>
            </w:pPr>
            <w:r>
              <w:rPr>
                <w:rFonts w:ascii="Times New Roman;Times;serif" w:hAnsi="Times New Roman;Times;serif"/>
                <w:b/>
                <w:sz w:val="19"/>
              </w:rPr>
              <w:t>Second Quarters Ended</w:t>
            </w:r>
          </w:p>
        </w:tc>
        <w:tc>
          <w:tcPr>
            <w:tcW w:w="206" w:type="dxa"/>
            <w:tcBorders/>
            <w:vAlign w:val="center"/>
          </w:tcPr>
          <w:p>
            <w:pPr>
              <w:pStyle w:val="TableContents"/>
              <w:bidi w:val="0"/>
              <w:spacing w:lineRule="atLeast" w:line="240" w:before="0" w:after="0"/>
              <w:ind w:left="0" w:right="0" w:hanging="0"/>
              <w:jc w:val="left"/>
              <w:rPr/>
            </w:pPr>
            <w:r>
              <w:rPr/>
              <w:t>​</w:t>
            </w:r>
          </w:p>
        </w:tc>
        <w:tc>
          <w:tcPr>
            <w:tcW w:w="2647" w:type="dxa"/>
            <w:gridSpan w:val="5"/>
            <w:tcBorders>
              <w:bottom w:val="single" w:sz="12" w:space="0" w:color="000000"/>
            </w:tcBorders>
            <w:tcMar>
              <w:bottom w:w="28" w:type="dxa"/>
            </w:tcMar>
            <w:vAlign w:val="center"/>
          </w:tcPr>
          <w:p>
            <w:pPr>
              <w:pStyle w:val="TableContents"/>
              <w:bidi w:val="0"/>
              <w:spacing w:lineRule="atLeast" w:line="240" w:before="0" w:after="0"/>
              <w:ind w:left="0" w:right="0" w:hanging="0"/>
              <w:jc w:val="center"/>
              <w:rPr>
                <w:rFonts w:ascii="Times New Roman;Times;serif" w:hAnsi="Times New Roman;Times;serif"/>
                <w:b/>
                <w:sz w:val="19"/>
              </w:rPr>
            </w:pPr>
            <w:r>
              <w:rPr>
                <w:rFonts w:ascii="Times New Roman;Times;serif" w:hAnsi="Times New Roman;Times;serif"/>
                <w:b/>
                <w:sz w:val="19"/>
              </w:rPr>
              <w:t>Six Months Ended</w:t>
            </w:r>
          </w:p>
        </w:tc>
        <w:tc>
          <w:tcPr>
            <w:tcW w:w="217"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562" w:type="dxa"/>
            <w:tcBorders/>
            <w:vAlign w:val="center"/>
          </w:tcPr>
          <w:p>
            <w:pPr>
              <w:pStyle w:val="TableContents"/>
              <w:bidi w:val="0"/>
              <w:spacing w:lineRule="atLeast" w:line="240" w:before="0" w:after="0"/>
              <w:ind w:left="0" w:right="0" w:hanging="0"/>
              <w:jc w:val="left"/>
              <w:rPr/>
            </w:pPr>
            <w:r>
              <w:rPr/>
              <w:t>​</w:t>
            </w:r>
          </w:p>
        </w:tc>
        <w:tc>
          <w:tcPr>
            <w:tcW w:w="2756" w:type="dxa"/>
            <w:tcBorders/>
            <w:vAlign w:val="center"/>
          </w:tcPr>
          <w:p>
            <w:pPr>
              <w:pStyle w:val="TableContents"/>
              <w:bidi w:val="0"/>
              <w:spacing w:lineRule="atLeast" w:line="240" w:before="0" w:after="0"/>
              <w:ind w:left="0" w:right="0" w:hanging="0"/>
              <w:jc w:val="left"/>
              <w:rPr/>
            </w:pPr>
            <w:r>
              <w:rPr/>
              <w:t>​</w:t>
            </w:r>
          </w:p>
        </w:tc>
        <w:tc>
          <w:tcPr>
            <w:tcW w:w="109" w:type="dxa"/>
            <w:tcBorders/>
            <w:vAlign w:val="center"/>
          </w:tcPr>
          <w:p>
            <w:pPr>
              <w:pStyle w:val="TableContents"/>
              <w:bidi w:val="0"/>
              <w:spacing w:lineRule="atLeast" w:line="240" w:before="0" w:after="0"/>
              <w:ind w:left="0" w:right="0" w:hanging="0"/>
              <w:jc w:val="left"/>
              <w:rPr/>
            </w:pPr>
            <w:r>
              <w:rPr/>
              <w:t>​</w:t>
            </w:r>
          </w:p>
        </w:tc>
        <w:tc>
          <w:tcPr>
            <w:tcW w:w="1248" w:type="dxa"/>
            <w:gridSpan w:val="2"/>
            <w:tcBorders/>
            <w:vAlign w:val="center"/>
          </w:tcPr>
          <w:p>
            <w:pPr>
              <w:pStyle w:val="TableContents"/>
              <w:bidi w:val="0"/>
              <w:spacing w:lineRule="atLeast" w:line="240" w:before="0" w:after="0"/>
              <w:ind w:left="0" w:right="0" w:hanging="0"/>
              <w:jc w:val="center"/>
              <w:rPr>
                <w:rFonts w:ascii="Times New Roman;Times;serif" w:hAnsi="Times New Roman;Times;serif"/>
                <w:b/>
                <w:sz w:val="19"/>
              </w:rPr>
            </w:pPr>
            <w:r>
              <w:rPr>
                <w:rFonts w:ascii="Times New Roman;Times;serif" w:hAnsi="Times New Roman;Times;serif"/>
                <w:b/>
                <w:sz w:val="19"/>
              </w:rPr>
              <w:t>December 30,</w:t>
            </w:r>
          </w:p>
        </w:tc>
        <w:tc>
          <w:tcPr>
            <w:tcW w:w="212" w:type="dxa"/>
            <w:tcBorders/>
            <w:vAlign w:val="center"/>
          </w:tcPr>
          <w:p>
            <w:pPr>
              <w:pStyle w:val="TableContents"/>
              <w:bidi w:val="0"/>
              <w:spacing w:lineRule="atLeast" w:line="240" w:before="0" w:after="0"/>
              <w:ind w:left="0" w:right="0" w:hanging="0"/>
              <w:jc w:val="center"/>
              <w:rPr/>
            </w:pPr>
            <w:r>
              <w:rPr/>
              <w:t>  </w:t>
            </w:r>
          </w:p>
        </w:tc>
        <w:tc>
          <w:tcPr>
            <w:tcW w:w="1248" w:type="dxa"/>
            <w:gridSpan w:val="2"/>
            <w:tcBorders/>
            <w:vAlign w:val="center"/>
          </w:tcPr>
          <w:p>
            <w:pPr>
              <w:pStyle w:val="TableContents"/>
              <w:bidi w:val="0"/>
              <w:spacing w:lineRule="atLeast" w:line="240" w:before="0" w:after="0"/>
              <w:ind w:left="0" w:right="0" w:hanging="0"/>
              <w:jc w:val="center"/>
              <w:rPr>
                <w:rFonts w:ascii="Times New Roman;Times;serif" w:hAnsi="Times New Roman;Times;serif"/>
                <w:b/>
                <w:sz w:val="19"/>
              </w:rPr>
            </w:pPr>
            <w:r>
              <w:rPr>
                <w:rFonts w:ascii="Times New Roman;Times;serif" w:hAnsi="Times New Roman;Times;serif"/>
                <w:b/>
                <w:sz w:val="19"/>
              </w:rPr>
              <w:t>December 31,</w:t>
            </w:r>
          </w:p>
        </w:tc>
        <w:tc>
          <w:tcPr>
            <w:tcW w:w="206" w:type="dxa"/>
            <w:tcBorders/>
            <w:vAlign w:val="center"/>
          </w:tcPr>
          <w:p>
            <w:pPr>
              <w:pStyle w:val="TableContents"/>
              <w:bidi w:val="0"/>
              <w:spacing w:lineRule="atLeast" w:line="240" w:before="0" w:after="0"/>
              <w:ind w:left="0" w:right="0" w:hanging="0"/>
              <w:jc w:val="center"/>
              <w:rPr/>
            </w:pPr>
            <w:r>
              <w:rPr/>
              <w:t> </w:t>
            </w:r>
          </w:p>
        </w:tc>
        <w:tc>
          <w:tcPr>
            <w:tcW w:w="1300" w:type="dxa"/>
            <w:gridSpan w:val="2"/>
            <w:tcBorders/>
            <w:vAlign w:val="center"/>
          </w:tcPr>
          <w:p>
            <w:pPr>
              <w:pStyle w:val="TableContents"/>
              <w:bidi w:val="0"/>
              <w:spacing w:lineRule="atLeast" w:line="240" w:before="0" w:after="0"/>
              <w:ind w:left="0" w:right="0" w:hanging="0"/>
              <w:jc w:val="center"/>
              <w:rPr>
                <w:rFonts w:ascii="Times New Roman;Times;serif" w:hAnsi="Times New Roman;Times;serif"/>
                <w:b/>
                <w:sz w:val="19"/>
              </w:rPr>
            </w:pPr>
            <w:r>
              <w:rPr>
                <w:rFonts w:ascii="Times New Roman;Times;serif" w:hAnsi="Times New Roman;Times;serif"/>
                <w:b/>
                <w:sz w:val="19"/>
              </w:rPr>
              <w:t>December 30,</w:t>
            </w:r>
          </w:p>
        </w:tc>
        <w:tc>
          <w:tcPr>
            <w:tcW w:w="206" w:type="dxa"/>
            <w:tcBorders/>
            <w:vAlign w:val="center"/>
          </w:tcPr>
          <w:p>
            <w:pPr>
              <w:pStyle w:val="TableContents"/>
              <w:bidi w:val="0"/>
              <w:spacing w:lineRule="atLeast" w:line="240" w:before="0" w:after="0"/>
              <w:ind w:left="0" w:right="0" w:hanging="0"/>
              <w:jc w:val="center"/>
              <w:rPr/>
            </w:pPr>
            <w:r>
              <w:rPr/>
              <w:t>  </w:t>
            </w:r>
          </w:p>
        </w:tc>
        <w:tc>
          <w:tcPr>
            <w:tcW w:w="1358" w:type="dxa"/>
            <w:gridSpan w:val="3"/>
            <w:tcBorders/>
            <w:vAlign w:val="center"/>
          </w:tcPr>
          <w:p>
            <w:pPr>
              <w:pStyle w:val="TableContents"/>
              <w:bidi w:val="0"/>
              <w:spacing w:lineRule="atLeast" w:line="240" w:before="0" w:after="0"/>
              <w:ind w:left="0" w:right="0" w:hanging="0"/>
              <w:jc w:val="center"/>
              <w:rPr>
                <w:rFonts w:ascii="Times New Roman;Times;serif" w:hAnsi="Times New Roman;Times;serif"/>
                <w:b/>
                <w:sz w:val="19"/>
              </w:rPr>
            </w:pPr>
            <w:r>
              <w:rPr>
                <w:rFonts w:ascii="Times New Roman;Times;serif" w:hAnsi="Times New Roman;Times;serif"/>
                <w:b/>
                <w:sz w:val="19"/>
              </w:rPr>
              <w:t>December 31,</w:t>
            </w:r>
          </w:p>
        </w:tc>
      </w:tr>
      <w:tr>
        <w:trPr/>
        <w:tc>
          <w:tcPr>
            <w:tcW w:w="1562" w:type="dxa"/>
            <w:tcBorders/>
            <w:vAlign w:val="center"/>
          </w:tcPr>
          <w:p>
            <w:pPr>
              <w:pStyle w:val="TableContents"/>
              <w:bidi w:val="0"/>
              <w:spacing w:lineRule="atLeast" w:line="240" w:before="0" w:after="0"/>
              <w:ind w:left="0" w:right="0" w:hanging="0"/>
              <w:jc w:val="left"/>
              <w:rPr/>
            </w:pPr>
            <w:r>
              <w:rPr/>
              <w:t>​</w:t>
            </w:r>
          </w:p>
        </w:tc>
        <w:tc>
          <w:tcPr>
            <w:tcW w:w="2756" w:type="dxa"/>
            <w:tcBorders/>
            <w:vAlign w:val="center"/>
          </w:tcPr>
          <w:p>
            <w:pPr>
              <w:pStyle w:val="TableContents"/>
              <w:bidi w:val="0"/>
              <w:spacing w:lineRule="atLeast" w:line="240" w:before="0" w:after="0"/>
              <w:ind w:left="0" w:right="0" w:hanging="0"/>
              <w:jc w:val="left"/>
              <w:rPr/>
            </w:pPr>
            <w:r>
              <w:rPr/>
              <w:t>​</w:t>
            </w:r>
          </w:p>
        </w:tc>
        <w:tc>
          <w:tcPr>
            <w:tcW w:w="109" w:type="dxa"/>
            <w:tcBorders/>
            <w:vAlign w:val="center"/>
          </w:tcPr>
          <w:p>
            <w:pPr>
              <w:pStyle w:val="TableContents"/>
              <w:bidi w:val="0"/>
              <w:spacing w:lineRule="atLeast" w:line="240" w:before="0" w:after="0"/>
              <w:ind w:left="0" w:right="0" w:hanging="0"/>
              <w:jc w:val="left"/>
              <w:rPr/>
            </w:pPr>
            <w:r>
              <w:rPr/>
              <w:t>​</w:t>
            </w:r>
          </w:p>
        </w:tc>
        <w:tc>
          <w:tcPr>
            <w:tcW w:w="1248" w:type="dxa"/>
            <w:gridSpan w:val="2"/>
            <w:tcBorders>
              <w:bottom w:val="single" w:sz="12" w:space="0" w:color="000000"/>
            </w:tcBorders>
            <w:tcMar>
              <w:bottom w:w="28" w:type="dxa"/>
            </w:tcMar>
            <w:vAlign w:val="center"/>
          </w:tcPr>
          <w:p>
            <w:pPr>
              <w:pStyle w:val="TableContents"/>
              <w:bidi w:val="0"/>
              <w:spacing w:lineRule="atLeast" w:line="240" w:before="0" w:after="0"/>
              <w:ind w:left="0" w:right="0" w:hanging="0"/>
              <w:jc w:val="center"/>
              <w:rPr>
                <w:rFonts w:ascii="Times New Roman;Times;serif" w:hAnsi="Times New Roman;Times;serif"/>
                <w:b/>
                <w:sz w:val="19"/>
              </w:rPr>
            </w:pPr>
            <w:r>
              <w:rPr>
                <w:rFonts w:ascii="Times New Roman;Times;serif" w:hAnsi="Times New Roman;Times;serif"/>
                <w:b/>
                <w:sz w:val="19"/>
              </w:rPr>
              <w:t>2023</w:t>
            </w:r>
          </w:p>
        </w:tc>
        <w:tc>
          <w:tcPr>
            <w:tcW w:w="212" w:type="dxa"/>
            <w:tcBorders/>
            <w:vAlign w:val="center"/>
          </w:tcPr>
          <w:p>
            <w:pPr>
              <w:pStyle w:val="TableContents"/>
              <w:bidi w:val="0"/>
              <w:spacing w:lineRule="atLeast" w:line="240" w:before="0" w:after="0"/>
              <w:ind w:left="0" w:right="0" w:hanging="0"/>
              <w:jc w:val="center"/>
              <w:rPr/>
            </w:pPr>
            <w:r>
              <w:rPr/>
              <w:t>​</w:t>
            </w:r>
          </w:p>
        </w:tc>
        <w:tc>
          <w:tcPr>
            <w:tcW w:w="1248" w:type="dxa"/>
            <w:gridSpan w:val="2"/>
            <w:tcBorders>
              <w:bottom w:val="single" w:sz="12" w:space="0" w:color="000000"/>
            </w:tcBorders>
            <w:tcMar>
              <w:bottom w:w="28" w:type="dxa"/>
            </w:tcMar>
            <w:vAlign w:val="center"/>
          </w:tcPr>
          <w:p>
            <w:pPr>
              <w:pStyle w:val="TableContents"/>
              <w:bidi w:val="0"/>
              <w:spacing w:lineRule="atLeast" w:line="240" w:before="0" w:after="0"/>
              <w:ind w:left="0" w:right="0" w:hanging="0"/>
              <w:jc w:val="center"/>
              <w:rPr>
                <w:rFonts w:ascii="Times New Roman;Times;serif" w:hAnsi="Times New Roman;Times;serif"/>
                <w:b/>
                <w:sz w:val="19"/>
              </w:rPr>
            </w:pPr>
            <w:r>
              <w:rPr>
                <w:rFonts w:ascii="Times New Roman;Times;serif" w:hAnsi="Times New Roman;Times;serif"/>
                <w:b/>
                <w:sz w:val="19"/>
              </w:rPr>
              <w:t>2022</w:t>
            </w:r>
          </w:p>
        </w:tc>
        <w:tc>
          <w:tcPr>
            <w:tcW w:w="206" w:type="dxa"/>
            <w:tcBorders/>
            <w:vAlign w:val="center"/>
          </w:tcPr>
          <w:p>
            <w:pPr>
              <w:pStyle w:val="TableContents"/>
              <w:bidi w:val="0"/>
              <w:spacing w:lineRule="atLeast" w:line="240" w:before="0" w:after="0"/>
              <w:ind w:left="0" w:right="0" w:hanging="0"/>
              <w:jc w:val="center"/>
              <w:rPr/>
            </w:pPr>
            <w:r>
              <w:rPr/>
              <w:t>  </w:t>
            </w:r>
          </w:p>
        </w:tc>
        <w:tc>
          <w:tcPr>
            <w:tcW w:w="1300" w:type="dxa"/>
            <w:gridSpan w:val="2"/>
            <w:tcBorders>
              <w:bottom w:val="single" w:sz="12" w:space="0" w:color="000000"/>
            </w:tcBorders>
            <w:tcMar>
              <w:bottom w:w="28" w:type="dxa"/>
            </w:tcMar>
            <w:vAlign w:val="center"/>
          </w:tcPr>
          <w:p>
            <w:pPr>
              <w:pStyle w:val="TableContents"/>
              <w:bidi w:val="0"/>
              <w:spacing w:lineRule="atLeast" w:line="240" w:before="0" w:after="0"/>
              <w:ind w:left="0" w:right="0" w:hanging="0"/>
              <w:jc w:val="center"/>
              <w:rPr>
                <w:rFonts w:ascii="Times New Roman;Times;serif" w:hAnsi="Times New Roman;Times;serif"/>
                <w:b/>
                <w:sz w:val="19"/>
              </w:rPr>
            </w:pPr>
            <w:r>
              <w:rPr>
                <w:rFonts w:ascii="Times New Roman;Times;serif" w:hAnsi="Times New Roman;Times;serif"/>
                <w:b/>
                <w:sz w:val="19"/>
              </w:rPr>
              <w:t>2023</w:t>
            </w:r>
          </w:p>
        </w:tc>
        <w:tc>
          <w:tcPr>
            <w:tcW w:w="206" w:type="dxa"/>
            <w:tcBorders/>
            <w:vAlign w:val="center"/>
          </w:tcPr>
          <w:p>
            <w:pPr>
              <w:pStyle w:val="TableContents"/>
              <w:bidi w:val="0"/>
              <w:spacing w:lineRule="atLeast" w:line="240" w:before="0" w:after="0"/>
              <w:ind w:left="0" w:right="0" w:hanging="0"/>
              <w:jc w:val="center"/>
              <w:rPr/>
            </w:pPr>
            <w:r>
              <w:rPr/>
              <w:t>​</w:t>
            </w:r>
          </w:p>
        </w:tc>
        <w:tc>
          <w:tcPr>
            <w:tcW w:w="1358" w:type="dxa"/>
            <w:gridSpan w:val="3"/>
            <w:tcBorders>
              <w:bottom w:val="single" w:sz="12" w:space="0" w:color="000000"/>
            </w:tcBorders>
            <w:tcMar>
              <w:bottom w:w="28" w:type="dxa"/>
            </w:tcMar>
            <w:vAlign w:val="center"/>
          </w:tcPr>
          <w:p>
            <w:pPr>
              <w:pStyle w:val="TableContents"/>
              <w:bidi w:val="0"/>
              <w:spacing w:lineRule="atLeast" w:line="240" w:before="0" w:after="0"/>
              <w:ind w:left="0" w:right="0" w:hanging="0"/>
              <w:jc w:val="center"/>
              <w:rPr>
                <w:rFonts w:ascii="Times New Roman;Times;serif" w:hAnsi="Times New Roman;Times;serif"/>
                <w:b/>
                <w:sz w:val="19"/>
              </w:rPr>
            </w:pPr>
            <w:r>
              <w:rPr>
                <w:rFonts w:ascii="Times New Roman;Times;serif" w:hAnsi="Times New Roman;Times;serif"/>
                <w:b/>
                <w:sz w:val="19"/>
              </w:rPr>
              <w:t>2022</w:t>
            </w:r>
          </w:p>
        </w:tc>
      </w:tr>
      <w:tr>
        <w:trPr/>
        <w:tc>
          <w:tcPr>
            <w:tcW w:w="10205" w:type="dxa"/>
            <w:gridSpan w:val="15"/>
            <w:tcBorders/>
            <w:vAlign w:val="center"/>
          </w:tcPr>
          <w:p>
            <w:pPr>
              <w:pStyle w:val="TableContents"/>
              <w:bidi w:val="0"/>
              <w:spacing w:before="0" w:after="283"/>
              <w:ind w:left="0" w:right="0" w:hanging="0"/>
              <w:jc w:val="left"/>
              <w:rPr>
                <w:sz w:val="4"/>
                <w:szCs w:val="4"/>
              </w:rPr>
            </w:pPr>
            <w:r>
              <w:rPr>
                <w:sz w:val="4"/>
                <w:szCs w:val="4"/>
              </w:rPr>
            </w:r>
          </w:p>
        </w:tc>
      </w:tr>
      <w:tr>
        <w:trPr/>
        <w:tc>
          <w:tcPr>
            <w:tcW w:w="1562" w:type="dxa"/>
            <w:tcBorders/>
            <w:vAlign w:val="center"/>
          </w:tcPr>
          <w:p>
            <w:pPr>
              <w:pStyle w:val="TableContents"/>
              <w:bidi w:val="0"/>
              <w:spacing w:lineRule="atLeast" w:line="240" w:before="0" w:after="0"/>
              <w:ind w:left="0" w:right="0" w:hanging="0"/>
              <w:jc w:val="left"/>
              <w:rPr/>
            </w:pPr>
            <w:r>
              <w:rPr/>
              <w:t>​</w:t>
            </w:r>
          </w:p>
        </w:tc>
        <w:tc>
          <w:tcPr>
            <w:tcW w:w="2756" w:type="dxa"/>
            <w:tcBorders/>
            <w:vAlign w:val="center"/>
          </w:tcPr>
          <w:p>
            <w:pPr>
              <w:pStyle w:val="TableContents"/>
              <w:bidi w:val="0"/>
              <w:spacing w:lineRule="atLeast" w:line="240" w:before="0" w:after="0"/>
              <w:ind w:left="0" w:right="0" w:hanging="0"/>
              <w:jc w:val="left"/>
              <w:rPr/>
            </w:pPr>
            <w:r>
              <w:rPr/>
              <w:t>​</w:t>
            </w:r>
          </w:p>
        </w:tc>
        <w:tc>
          <w:tcPr>
            <w:tcW w:w="109" w:type="dxa"/>
            <w:tcBorders/>
            <w:vAlign w:val="center"/>
          </w:tcPr>
          <w:p>
            <w:pPr>
              <w:pStyle w:val="TableContents"/>
              <w:bidi w:val="0"/>
              <w:spacing w:lineRule="atLeast" w:line="240" w:before="0" w:after="0"/>
              <w:ind w:left="0" w:right="0" w:hanging="0"/>
              <w:jc w:val="left"/>
              <w:rPr/>
            </w:pPr>
            <w:r>
              <w:rPr/>
              <w:t>​</w:t>
            </w:r>
          </w:p>
        </w:tc>
        <w:tc>
          <w:tcPr>
            <w:tcW w:w="5561" w:type="dxa"/>
            <w:gridSpan w:val="11"/>
            <w:tcBorders/>
            <w:vAlign w:val="center"/>
          </w:tcPr>
          <w:p>
            <w:pPr>
              <w:pStyle w:val="TableContents"/>
              <w:bidi w:val="0"/>
              <w:spacing w:lineRule="atLeast" w:line="240" w:before="0" w:after="0"/>
              <w:ind w:left="0" w:right="0" w:hanging="0"/>
              <w:jc w:val="center"/>
              <w:rPr>
                <w:rFonts w:ascii="Times New Roman;Times;serif" w:hAnsi="Times New Roman;Times;serif"/>
                <w:b/>
                <w:sz w:val="19"/>
              </w:rPr>
            </w:pPr>
            <w:r>
              <w:rPr>
                <w:rFonts w:ascii="Times New Roman;Times;serif" w:hAnsi="Times New Roman;Times;serif"/>
                <w:b/>
                <w:sz w:val="19"/>
              </w:rPr>
              <w:t>(Thousands)</w:t>
            </w:r>
          </w:p>
        </w:tc>
        <w:tc>
          <w:tcPr>
            <w:tcW w:w="217"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562" w:type="dxa"/>
            <w:tcBorders/>
            <w:shd w:fill="CCEEFF" w:val="clear"/>
            <w:vAlign w:val="center"/>
          </w:tcPr>
          <w:p>
            <w:pPr>
              <w:pStyle w:val="TableContents"/>
              <w:bidi w:val="0"/>
              <w:spacing w:lineRule="atLeast" w:line="240" w:before="0" w:after="0"/>
              <w:ind w:left="0" w:right="0" w:hanging="0"/>
              <w:jc w:val="left"/>
              <w:rPr>
                <w:rFonts w:ascii="Times New Roman;Times;serif" w:hAnsi="Times New Roman;Times;serif"/>
                <w:sz w:val="19"/>
              </w:rPr>
            </w:pPr>
            <w:r>
              <w:rPr>
                <w:rFonts w:ascii="Times New Roman;Times;serif" w:hAnsi="Times New Roman;Times;serif"/>
                <w:sz w:val="19"/>
              </w:rPr>
              <w:t xml:space="preserve">Economic hedges </w:t>
            </w:r>
          </w:p>
        </w:tc>
        <w:tc>
          <w:tcPr>
            <w:tcW w:w="2756" w:type="dxa"/>
            <w:tcBorders/>
            <w:shd w:fill="CCEEFF" w:val="clear"/>
            <w:vAlign w:val="center"/>
          </w:tcPr>
          <w:p>
            <w:pPr>
              <w:pStyle w:val="TableContents"/>
              <w:bidi w:val="0"/>
              <w:spacing w:lineRule="atLeast" w:line="240" w:before="0" w:after="0"/>
              <w:ind w:left="0" w:right="0" w:hanging="0"/>
              <w:jc w:val="left"/>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Other (expense) income, net</w:t>
            </w:r>
          </w:p>
        </w:tc>
        <w:tc>
          <w:tcPr>
            <w:tcW w:w="109" w:type="dxa"/>
            <w:tcBorders/>
            <w:shd w:fill="CCEEFF" w:val="clear"/>
            <w:vAlign w:val="center"/>
          </w:tcPr>
          <w:p>
            <w:pPr>
              <w:pStyle w:val="TableContents"/>
              <w:bidi w:val="0"/>
              <w:spacing w:lineRule="atLeast" w:line="240" w:before="0" w:after="0"/>
              <w:ind w:left="0" w:right="0" w:hanging="0"/>
              <w:jc w:val="left"/>
              <w:rPr/>
            </w:pPr>
            <w:r>
              <w:rPr/>
              <w:t>​</w:t>
            </w:r>
          </w:p>
        </w:tc>
        <w:tc>
          <w:tcPr>
            <w:tcW w:w="276" w:type="dxa"/>
            <w:tcBorders/>
            <w:shd w:fill="CCEEFF" w:val="clear"/>
            <w:vAlign w:val="center"/>
          </w:tcPr>
          <w:p>
            <w:pPr>
              <w:pStyle w:val="TableContents"/>
              <w:bidi w:val="0"/>
              <w:spacing w:lineRule="atLeast" w:line="240"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72" w:type="dxa"/>
            <w:tcBorders/>
            <w:shd w:fill="CCEEFF" w:val="clear"/>
            <w:vAlign w:val="center"/>
          </w:tcPr>
          <w:p>
            <w:pPr>
              <w:pStyle w:val="TableContents"/>
              <w:bidi w:val="0"/>
              <w:spacing w:lineRule="atLeast" w:line="240" w:before="0" w:after="0"/>
              <w:ind w:left="0" w:right="0" w:hanging="0"/>
              <w:jc w:val="right"/>
              <w:rPr>
                <w:rFonts w:ascii="Times New Roman;Times;serif" w:hAnsi="Times New Roman;Times;serif"/>
                <w:sz w:val="19"/>
              </w:rPr>
            </w:pPr>
            <w:r>
              <w:rPr>
                <w:rFonts w:ascii="Times New Roman;Times;serif" w:hAnsi="Times New Roman;Times;serif"/>
                <w:sz w:val="19"/>
              </w:rPr>
              <w:t>(18,631)</w:t>
            </w:r>
          </w:p>
        </w:tc>
        <w:tc>
          <w:tcPr>
            <w:tcW w:w="212" w:type="dxa"/>
            <w:tcBorders/>
            <w:shd w:fill="CCEEFF" w:val="clear"/>
            <w:vAlign w:val="center"/>
          </w:tcPr>
          <w:p>
            <w:pPr>
              <w:pStyle w:val="TableContents"/>
              <w:bidi w:val="0"/>
              <w:spacing w:lineRule="atLeast" w:line="240" w:before="0" w:after="0"/>
              <w:ind w:left="0" w:right="0" w:hanging="0"/>
              <w:jc w:val="left"/>
              <w:rPr/>
            </w:pPr>
            <w:r>
              <w:rPr/>
              <w:t>​</w:t>
            </w:r>
          </w:p>
        </w:tc>
        <w:tc>
          <w:tcPr>
            <w:tcW w:w="295" w:type="dxa"/>
            <w:tcBorders/>
            <w:shd w:fill="CCEEFF" w:val="clear"/>
            <w:vAlign w:val="center"/>
          </w:tcPr>
          <w:p>
            <w:pPr>
              <w:pStyle w:val="TableContents"/>
              <w:bidi w:val="0"/>
              <w:spacing w:lineRule="atLeast" w:line="240"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53" w:type="dxa"/>
            <w:tcBorders/>
            <w:shd w:fill="CCEEFF" w:val="clear"/>
            <w:vAlign w:val="center"/>
          </w:tcPr>
          <w:p>
            <w:pPr>
              <w:pStyle w:val="TableContents"/>
              <w:bidi w:val="0"/>
              <w:spacing w:lineRule="atLeast" w:line="240" w:before="0" w:after="0"/>
              <w:ind w:left="0" w:right="0" w:hanging="0"/>
              <w:jc w:val="right"/>
              <w:rPr>
                <w:rFonts w:ascii="Times New Roman;Times;serif" w:hAnsi="Times New Roman;Times;serif"/>
                <w:sz w:val="19"/>
              </w:rPr>
            </w:pPr>
            <w:r>
              <w:rPr>
                <w:rFonts w:ascii="Times New Roman;Times;serif" w:hAnsi="Times New Roman;Times;serif"/>
                <w:sz w:val="19"/>
              </w:rPr>
              <w:t>11,543</w:t>
            </w:r>
          </w:p>
        </w:tc>
        <w:tc>
          <w:tcPr>
            <w:tcW w:w="206" w:type="dxa"/>
            <w:tcBorders/>
            <w:shd w:fill="CCEEFF" w:val="clear"/>
            <w:vAlign w:val="center"/>
          </w:tcPr>
          <w:p>
            <w:pPr>
              <w:pStyle w:val="TableContents"/>
              <w:bidi w:val="0"/>
              <w:spacing w:lineRule="atLeast" w:line="240" w:before="0" w:after="0"/>
              <w:ind w:left="0" w:right="0" w:hanging="0"/>
              <w:jc w:val="left"/>
              <w:rPr/>
            </w:pPr>
            <w:r>
              <w:rPr/>
              <w:t>​</w:t>
            </w:r>
          </w:p>
        </w:tc>
        <w:tc>
          <w:tcPr>
            <w:tcW w:w="211" w:type="dxa"/>
            <w:tcBorders/>
            <w:shd w:fill="CCEEFF" w:val="clear"/>
            <w:vAlign w:val="center"/>
          </w:tcPr>
          <w:p>
            <w:pPr>
              <w:pStyle w:val="TableContents"/>
              <w:bidi w:val="0"/>
              <w:spacing w:lineRule="atLeast" w:line="240"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1089" w:type="dxa"/>
            <w:tcBorders/>
            <w:shd w:fill="CCEEFF" w:val="clear"/>
            <w:vAlign w:val="center"/>
          </w:tcPr>
          <w:p>
            <w:pPr>
              <w:pStyle w:val="TableContents"/>
              <w:bidi w:val="0"/>
              <w:spacing w:lineRule="atLeast" w:line="240" w:before="0" w:after="0"/>
              <w:ind w:left="0" w:right="0" w:hanging="0"/>
              <w:jc w:val="right"/>
              <w:rPr>
                <w:rFonts w:ascii="Times New Roman;Times;serif" w:hAnsi="Times New Roman;Times;serif"/>
                <w:sz w:val="19"/>
              </w:rPr>
            </w:pPr>
            <w:r>
              <w:rPr>
                <w:rFonts w:ascii="Times New Roman;Times;serif" w:hAnsi="Times New Roman;Times;serif"/>
                <w:sz w:val="19"/>
              </w:rPr>
              <w:t>(20,733)</w:t>
            </w:r>
          </w:p>
        </w:tc>
        <w:tc>
          <w:tcPr>
            <w:tcW w:w="206" w:type="dxa"/>
            <w:tcBorders/>
            <w:shd w:fill="CCEEFF" w:val="clear"/>
            <w:vAlign w:val="center"/>
          </w:tcPr>
          <w:p>
            <w:pPr>
              <w:pStyle w:val="TableContents"/>
              <w:bidi w:val="0"/>
              <w:spacing w:lineRule="atLeast" w:line="240" w:before="0" w:after="0"/>
              <w:ind w:left="0" w:right="0" w:hanging="0"/>
              <w:jc w:val="left"/>
              <w:rPr/>
            </w:pPr>
            <w:r>
              <w:rPr/>
              <w:t>​</w:t>
            </w:r>
          </w:p>
        </w:tc>
        <w:tc>
          <w:tcPr>
            <w:tcW w:w="211" w:type="dxa"/>
            <w:tcBorders/>
            <w:shd w:fill="CCEEFF" w:val="clear"/>
            <w:vAlign w:val="center"/>
          </w:tcPr>
          <w:p>
            <w:pPr>
              <w:pStyle w:val="TableContents"/>
              <w:bidi w:val="0"/>
              <w:spacing w:lineRule="atLeast" w:line="240"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0" w:type="dxa"/>
            <w:tcBorders/>
            <w:shd w:fill="CCEEFF" w:val="clear"/>
            <w:vAlign w:val="center"/>
          </w:tcPr>
          <w:p>
            <w:pPr>
              <w:pStyle w:val="TableContents"/>
              <w:bidi w:val="0"/>
              <w:spacing w:lineRule="atLeast" w:line="240" w:before="0" w:after="0"/>
              <w:ind w:left="0" w:right="0" w:hanging="0"/>
              <w:jc w:val="right"/>
              <w:rPr>
                <w:rFonts w:ascii="Times New Roman;Times;serif" w:hAnsi="Times New Roman;Times;serif"/>
                <w:sz w:val="19"/>
              </w:rPr>
            </w:pPr>
            <w:r>
              <w:rPr>
                <w:rFonts w:ascii="Times New Roman;Times;serif" w:hAnsi="Times New Roman;Times;serif"/>
                <w:sz w:val="19"/>
              </w:rPr>
              <w:t>11,184</w:t>
            </w:r>
          </w:p>
        </w:tc>
        <w:tc>
          <w:tcPr>
            <w:tcW w:w="217"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562" w:type="dxa"/>
            <w:tcBorders/>
            <w:vAlign w:val="center"/>
          </w:tcPr>
          <w:p>
            <w:pPr>
              <w:pStyle w:val="TableContents"/>
              <w:bidi w:val="0"/>
              <w:spacing w:lineRule="atLeast" w:line="240" w:before="0" w:after="0"/>
              <w:ind w:left="0" w:right="0" w:hanging="0"/>
              <w:jc w:val="left"/>
              <w:rPr>
                <w:rFonts w:ascii="Times New Roman;Times;serif" w:hAnsi="Times New Roman;Times;serif"/>
                <w:sz w:val="19"/>
              </w:rPr>
            </w:pPr>
            <w:r>
              <w:rPr>
                <w:rFonts w:ascii="Times New Roman;Times;serif" w:hAnsi="Times New Roman;Times;serif"/>
                <w:sz w:val="19"/>
              </w:rPr>
              <w:t>Cross currency swap</w:t>
            </w:r>
          </w:p>
        </w:tc>
        <w:tc>
          <w:tcPr>
            <w:tcW w:w="2756" w:type="dxa"/>
            <w:tcBorders/>
            <w:vAlign w:val="center"/>
          </w:tcPr>
          <w:p>
            <w:pPr>
              <w:pStyle w:val="TableContents"/>
              <w:pBdr/>
              <w:bidi w:val="0"/>
              <w:spacing w:lineRule="atLeast" w:line="240" w:before="0" w:after="0"/>
              <w:ind w:left="0" w:right="0" w:hanging="0"/>
              <w:jc w:val="left"/>
              <w:rPr>
                <w:rFonts w:ascii="Times New Roman;Times;serif" w:hAnsi="Times New Roman;Times;serif"/>
                <w:sz w:val="19"/>
              </w:rPr>
            </w:pPr>
            <w:r>
              <w:rPr>
                <w:rFonts w:ascii="Times New Roman;Times;serif" w:hAnsi="Times New Roman;Times;serif"/>
                <w:sz w:val="19"/>
              </w:rPr>
              <w:t>Interest and other financing expense, net</w:t>
            </w:r>
          </w:p>
        </w:tc>
        <w:tc>
          <w:tcPr>
            <w:tcW w:w="109" w:type="dxa"/>
            <w:tcBorders/>
            <w:vAlign w:val="center"/>
          </w:tcPr>
          <w:p>
            <w:pPr>
              <w:pStyle w:val="TableContents"/>
              <w:bidi w:val="0"/>
              <w:spacing w:lineRule="atLeast" w:line="240" w:before="0" w:after="0"/>
              <w:ind w:left="0" w:right="0" w:hanging="0"/>
              <w:jc w:val="left"/>
              <w:rPr/>
            </w:pPr>
            <w:r>
              <w:rPr/>
              <w:t>​</w:t>
            </w:r>
          </w:p>
        </w:tc>
        <w:tc>
          <w:tcPr>
            <w:tcW w:w="276" w:type="dxa"/>
            <w:tcBorders/>
            <w:vAlign w:val="center"/>
          </w:tcPr>
          <w:p>
            <w:pPr>
              <w:pStyle w:val="TableContents"/>
              <w:bidi w:val="0"/>
              <w:spacing w:lineRule="atLeast" w:line="240"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72" w:type="dxa"/>
            <w:tcBorders/>
            <w:vAlign w:val="center"/>
          </w:tcPr>
          <w:p>
            <w:pPr>
              <w:pStyle w:val="TableContents"/>
              <w:bidi w:val="0"/>
              <w:spacing w:lineRule="atLeast" w:line="240" w:before="0" w:after="0"/>
              <w:ind w:left="0" w:right="0" w:hanging="0"/>
              <w:jc w:val="right"/>
              <w:rPr>
                <w:rFonts w:ascii="Times New Roman;Times;serif" w:hAnsi="Times New Roman;Times;serif"/>
                <w:sz w:val="19"/>
              </w:rPr>
            </w:pPr>
            <w:r>
              <w:rPr>
                <w:rFonts w:ascii="Times New Roman;Times;serif" w:hAnsi="Times New Roman;Times;serif"/>
                <w:sz w:val="19"/>
              </w:rPr>
              <w:t>1,223</w:t>
            </w:r>
          </w:p>
        </w:tc>
        <w:tc>
          <w:tcPr>
            <w:tcW w:w="212" w:type="dxa"/>
            <w:tcBorders/>
            <w:vAlign w:val="center"/>
          </w:tcPr>
          <w:p>
            <w:pPr>
              <w:pStyle w:val="TableContents"/>
              <w:bidi w:val="0"/>
              <w:spacing w:lineRule="atLeast" w:line="240" w:before="0" w:after="0"/>
              <w:ind w:left="0" w:right="0" w:hanging="0"/>
              <w:jc w:val="left"/>
              <w:rPr/>
            </w:pPr>
            <w:r>
              <w:rPr/>
              <w:t>​</w:t>
            </w:r>
          </w:p>
        </w:tc>
        <w:tc>
          <w:tcPr>
            <w:tcW w:w="295" w:type="dxa"/>
            <w:tcBorders/>
            <w:vAlign w:val="center"/>
          </w:tcPr>
          <w:p>
            <w:pPr>
              <w:pStyle w:val="TableContents"/>
              <w:bidi w:val="0"/>
              <w:spacing w:lineRule="atLeast" w:line="240" w:before="0" w:after="0"/>
              <w:ind w:left="0" w:right="0" w:hanging="0"/>
              <w:jc w:val="left"/>
              <w:rPr/>
            </w:pPr>
            <w:r>
              <w:rPr/>
              <w:t>​</w:t>
            </w:r>
          </w:p>
        </w:tc>
        <w:tc>
          <w:tcPr>
            <w:tcW w:w="953" w:type="dxa"/>
            <w:tcBorders/>
            <w:vAlign w:val="center"/>
          </w:tcPr>
          <w:p>
            <w:pPr>
              <w:pStyle w:val="TableContents"/>
              <w:bidi w:val="0"/>
              <w:spacing w:lineRule="atLeast" w:line="240" w:before="0" w:after="0"/>
              <w:ind w:left="0" w:right="0" w:hanging="0"/>
              <w:jc w:val="right"/>
              <w:rPr/>
            </w:pPr>
            <w:r>
              <w:rPr/>
              <w:t>—</w:t>
            </w:r>
          </w:p>
        </w:tc>
        <w:tc>
          <w:tcPr>
            <w:tcW w:w="206" w:type="dxa"/>
            <w:tcBorders/>
            <w:vAlign w:val="center"/>
          </w:tcPr>
          <w:p>
            <w:pPr>
              <w:pStyle w:val="TableContents"/>
              <w:bidi w:val="0"/>
              <w:spacing w:lineRule="atLeast" w:line="240" w:before="0" w:after="0"/>
              <w:ind w:left="0" w:right="0" w:hanging="0"/>
              <w:jc w:val="left"/>
              <w:rPr/>
            </w:pPr>
            <w:r>
              <w:rPr/>
              <w:t>​</w:t>
            </w:r>
          </w:p>
        </w:tc>
        <w:tc>
          <w:tcPr>
            <w:tcW w:w="211" w:type="dxa"/>
            <w:tcBorders/>
            <w:vAlign w:val="center"/>
          </w:tcPr>
          <w:p>
            <w:pPr>
              <w:pStyle w:val="TableContents"/>
              <w:bidi w:val="0"/>
              <w:spacing w:lineRule="atLeast" w:line="240"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1089" w:type="dxa"/>
            <w:tcBorders/>
            <w:vAlign w:val="center"/>
          </w:tcPr>
          <w:p>
            <w:pPr>
              <w:pStyle w:val="TableContents"/>
              <w:bidi w:val="0"/>
              <w:spacing w:lineRule="atLeast" w:line="240" w:before="0" w:after="0"/>
              <w:ind w:left="0" w:right="0" w:hanging="0"/>
              <w:jc w:val="right"/>
              <w:rPr>
                <w:rFonts w:ascii="Times New Roman;Times;serif" w:hAnsi="Times New Roman;Times;serif"/>
                <w:sz w:val="19"/>
              </w:rPr>
            </w:pPr>
            <w:r>
              <w:rPr>
                <w:rFonts w:ascii="Times New Roman;Times;serif" w:hAnsi="Times New Roman;Times;serif"/>
                <w:sz w:val="19"/>
              </w:rPr>
              <w:t>2,236</w:t>
            </w:r>
          </w:p>
        </w:tc>
        <w:tc>
          <w:tcPr>
            <w:tcW w:w="206" w:type="dxa"/>
            <w:tcBorders/>
            <w:vAlign w:val="center"/>
          </w:tcPr>
          <w:p>
            <w:pPr>
              <w:pStyle w:val="TableContents"/>
              <w:bidi w:val="0"/>
              <w:spacing w:lineRule="atLeast" w:line="240" w:before="0" w:after="0"/>
              <w:ind w:left="0" w:right="0" w:hanging="0"/>
              <w:jc w:val="left"/>
              <w:rPr/>
            </w:pPr>
            <w:r>
              <w:rPr/>
              <w:t>​</w:t>
            </w:r>
          </w:p>
        </w:tc>
        <w:tc>
          <w:tcPr>
            <w:tcW w:w="211" w:type="dxa"/>
            <w:tcBorders/>
            <w:vAlign w:val="center"/>
          </w:tcPr>
          <w:p>
            <w:pPr>
              <w:pStyle w:val="TableContents"/>
              <w:bidi w:val="0"/>
              <w:spacing w:lineRule="atLeast" w:line="240" w:before="0" w:after="0"/>
              <w:ind w:left="0" w:right="0" w:hanging="0"/>
              <w:jc w:val="left"/>
              <w:rPr/>
            </w:pPr>
            <w:r>
              <w:rPr/>
              <w:t>​</w:t>
            </w:r>
          </w:p>
        </w:tc>
        <w:tc>
          <w:tcPr>
            <w:tcW w:w="930" w:type="dxa"/>
            <w:tcBorders/>
            <w:vAlign w:val="center"/>
          </w:tcPr>
          <w:p>
            <w:pPr>
              <w:pStyle w:val="TableContents"/>
              <w:bidi w:val="0"/>
              <w:spacing w:lineRule="atLeast" w:line="240" w:before="0" w:after="0"/>
              <w:ind w:left="0" w:right="60" w:hanging="0"/>
              <w:jc w:val="right"/>
              <w:rPr/>
            </w:pPr>
            <w:r>
              <w:rPr/>
              <w:t>—</w:t>
            </w:r>
          </w:p>
        </w:tc>
        <w:tc>
          <w:tcPr>
            <w:tcW w:w="217"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sz w:val="20"/>
        </w:rPr>
      </w:pPr>
      <w:bookmarkStart w:id="909" w:name="bm_6_Commitments_and_contingencies"/>
      <w:bookmarkEnd w:id="909"/>
      <w:r>
        <w:rPr>
          <w:rFonts w:ascii="Times New Roman;Times;serif" w:hAnsi="Times New Roman;Times;serif"/>
          <w:b/>
          <w:sz w:val="20"/>
        </w:rPr>
        <w:t>7. Commitments and contingencies</w:t>
      </w:r>
    </w:p>
    <w:p>
      <w:pPr>
        <w:pStyle w:val="TextBody"/>
        <w:bidi w:val="0"/>
        <w:spacing w:before="0" w:after="0"/>
        <w:ind w:left="0" w:right="0" w:hanging="0"/>
        <w:jc w:val="both"/>
        <w:rPr/>
      </w:pPr>
      <w:r>
        <w:rPr/>
        <w:t>​</w:t>
      </w:r>
    </w:p>
    <w:p>
      <w:pPr>
        <w:pStyle w:val="TextBody"/>
        <w:bidi w:val="0"/>
        <w:spacing w:before="0" w:after="0"/>
        <w:ind w:left="0" w:right="0" w:firstLine="475"/>
        <w:jc w:val="left"/>
        <w:rPr>
          <w:rFonts w:ascii="Times New Roman;Times;serif" w:hAnsi="Times New Roman;Times;serif"/>
          <w:sz w:val="20"/>
        </w:rPr>
      </w:pPr>
      <w:r>
        <w:rPr>
          <w:rFonts w:ascii="Times New Roman;Times;serif" w:hAnsi="Times New Roman;Times;serif"/>
          <w:sz w:val="20"/>
        </w:rPr>
        <w:t xml:space="preserve">From time to time, the Company may become a party to, or be otherwise involved in, various lawsuits, claims, investigations, and other legal proceedings arising in the ordinary course of conducting its business. While litigation is subject to inherent uncertainties, management does not anticipate that any such matters will have a material adverse effect on the Company’s financial condition, liquidity, or results of operations. </w:t>
      </w:r>
    </w:p>
    <w:p>
      <w:pPr>
        <w:pStyle w:val="TextBody"/>
        <w:bidi w:val="0"/>
        <w:spacing w:before="0" w:after="0"/>
        <w:ind w:left="0" w:right="0" w:firstLine="274"/>
        <w:jc w:val="left"/>
        <w:rPr/>
      </w:pPr>
      <w:r>
        <w:rPr/>
        <w:t>​</w:t>
      </w:r>
    </w:p>
    <w:p>
      <w:pPr>
        <w:pStyle w:val="TextBody"/>
        <w:bidi w:val="0"/>
        <w:spacing w:before="0" w:after="0"/>
        <w:ind w:left="0" w:right="0" w:firstLine="475"/>
        <w:jc w:val="left"/>
        <w:rPr>
          <w:rFonts w:ascii="Times New Roman;Times;serif" w:hAnsi="Times New Roman;Times;serif"/>
          <w:sz w:val="20"/>
        </w:rPr>
      </w:pPr>
      <w:r>
        <w:rPr>
          <w:rFonts w:ascii="Times New Roman;Times;serif" w:hAnsi="Times New Roman;Times;serif"/>
          <w:sz w:val="20"/>
        </w:rPr>
        <w:t>The Company is also currently subject to various pending and potential legal matters and investigations relating to compliance with governmental laws and regulations. For certain of these matters, it is not possible to determine the ultimate outcome, and the Company cannot reasonably estimate the maximum potential exposure or the range of possible loss, particularly regarding matters in early stages. The Company currently believes that the resolution of such matters will not have a material adverse effect on the Company’s financial position or liquidity, but could possibly be material to its results of operations in any single reporting period.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lineRule="auto" w:line="343"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43" w:before="0" w:after="0"/>
        <w:ind w:left="0" w:right="0" w:hanging="0"/>
        <w:jc w:val="center"/>
        <w:rPr>
          <w:rFonts w:ascii="Times New Roman;Times;serif" w:hAnsi="Times New Roman;Times;serif"/>
          <w:b/>
          <w:sz w:val="20"/>
        </w:rPr>
      </w:pPr>
      <w:r>
        <w:rPr>
          <w:rFonts w:ascii="Times New Roman;Times;serif" w:hAnsi="Times New Roman;Times;serif"/>
          <w:b/>
          <w:sz w:val="20"/>
        </w:rPr>
        <w:t>AVNET, INC. AND SUBSIDIARIES</w:t>
      </w:r>
    </w:p>
    <w:p>
      <w:pPr>
        <w:pStyle w:val="TextBody"/>
        <w:bidi w:val="0"/>
        <w:spacing w:lineRule="auto" w:line="343"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firstLine="274"/>
        <w:jc w:val="both"/>
        <w:rPr/>
      </w:pPr>
      <w:bookmarkStart w:id="910" w:name="_Hlk148421035"/>
      <w:bookmarkStart w:id="911" w:name="_Hlk124836390"/>
      <w:bookmarkStart w:id="912" w:name="_Hlk124835110"/>
      <w:bookmarkEnd w:id="910"/>
      <w:bookmarkEnd w:id="911"/>
      <w:bookmarkEnd w:id="912"/>
      <w:r>
        <w:rPr/>
        <w:t>​</w:t>
      </w:r>
    </w:p>
    <w:p>
      <w:pPr>
        <w:pStyle w:val="TextBody"/>
        <w:bidi w:val="0"/>
        <w:spacing w:before="0" w:after="0"/>
        <w:ind w:left="0" w:right="0" w:firstLine="475"/>
        <w:jc w:val="left"/>
        <w:rPr>
          <w:rFonts w:ascii="Times New Roman;Times;serif" w:hAnsi="Times New Roman;Times;serif"/>
          <w:sz w:val="20"/>
        </w:rPr>
      </w:pPr>
      <w:r>
        <w:rPr>
          <w:rFonts w:ascii="Times New Roman;Times;serif" w:hAnsi="Times New Roman;Times;serif"/>
          <w:sz w:val="20"/>
        </w:rPr>
        <w:t>As of December 30, 2023, and July 1, 2023, the Company had aggregate estimated liabilities of $22.7 million classified within accrued expenses and other for such compliance-related matters that were reasonably estimable as of such dates.</w:t>
      </w:r>
    </w:p>
    <w:p>
      <w:pPr>
        <w:pStyle w:val="TextBody"/>
        <w:bidi w:val="0"/>
        <w:spacing w:before="0" w:after="0"/>
        <w:ind w:left="0" w:right="0" w:hanging="0"/>
        <w:jc w:val="left"/>
        <w:rPr/>
      </w:pPr>
      <w:r>
        <w:rPr/>
        <w:t>​</w:t>
      </w:r>
    </w:p>
    <w:p>
      <w:pPr>
        <w:pStyle w:val="TextBody"/>
        <w:bidi w:val="0"/>
        <w:spacing w:before="0" w:after="0"/>
        <w:ind w:left="0" w:right="0" w:firstLine="475"/>
        <w:jc w:val="left"/>
        <w:rPr>
          <w:rFonts w:ascii="Times New Roman;Times;serif" w:hAnsi="Times New Roman;Times;serif"/>
          <w:i/>
          <w:sz w:val="20"/>
        </w:rPr>
      </w:pPr>
      <w:r>
        <w:rPr>
          <w:rFonts w:ascii="Times New Roman;Times;serif" w:hAnsi="Times New Roman;Times;serif"/>
          <w:i/>
          <w:sz w:val="20"/>
        </w:rPr>
        <w:t>Gain on Legal Settlements and Other</w:t>
      </w:r>
    </w:p>
    <w:p>
      <w:pPr>
        <w:pStyle w:val="TextBody"/>
        <w:bidi w:val="0"/>
        <w:spacing w:before="0" w:after="0"/>
        <w:ind w:left="0" w:right="0" w:firstLine="475"/>
        <w:jc w:val="left"/>
        <w:rPr/>
      </w:pPr>
      <w:r>
        <w:rPr/>
        <w:t>​</w:t>
      </w:r>
    </w:p>
    <w:p>
      <w:pPr>
        <w:pStyle w:val="TextBody"/>
        <w:bidi w:val="0"/>
        <w:spacing w:before="0" w:after="0"/>
        <w:ind w:left="0" w:right="0" w:firstLine="475"/>
        <w:jc w:val="left"/>
        <w:rPr>
          <w:rFonts w:ascii="Times New Roman;Times;serif" w:hAnsi="Times New Roman;Times;serif"/>
          <w:sz w:val="20"/>
        </w:rPr>
      </w:pPr>
      <w:r>
        <w:rPr>
          <w:rFonts w:ascii="Times New Roman;Times;serif" w:hAnsi="Times New Roman;Times;serif"/>
          <w:sz w:val="20"/>
        </w:rPr>
        <w:t>During the first six months of fiscal 2024 and the first six months of fiscal 2023, the Company recorded a gain on legal settlements and other of $86.5 million and $61.7 million, respectively, in connection with the settlement of claims filed against certain manufacturers of capacitors.</w:t>
      </w:r>
    </w:p>
    <w:p>
      <w:pPr>
        <w:pStyle w:val="TextBody"/>
        <w:bidi w:val="0"/>
        <w:spacing w:before="0" w:after="0"/>
        <w:ind w:left="0" w:right="0" w:firstLine="480"/>
        <w:jc w:val="both"/>
        <w:rPr/>
      </w:pPr>
      <w:r>
        <w:rPr/>
        <w:t>​</w:t>
      </w:r>
    </w:p>
    <w:p>
      <w:pPr>
        <w:pStyle w:val="TextBody"/>
        <w:bidi w:val="0"/>
        <w:spacing w:before="0" w:after="0"/>
        <w:ind w:left="0" w:right="0" w:hanging="0"/>
        <w:jc w:val="both"/>
        <w:rPr>
          <w:rFonts w:ascii="Times New Roman;Times;serif" w:hAnsi="Times New Roman;Times;serif"/>
          <w:b/>
          <w:sz w:val="20"/>
        </w:rPr>
      </w:pPr>
      <w:bookmarkStart w:id="913" w:name="bm_7_Income_taxes"/>
      <w:bookmarkStart w:id="914" w:name="_Hlk93498429"/>
      <w:bookmarkEnd w:id="913"/>
      <w:bookmarkEnd w:id="914"/>
      <w:r>
        <w:rPr>
          <w:rFonts w:ascii="Times New Roman;Times;serif" w:hAnsi="Times New Roman;Times;serif"/>
          <w:b/>
          <w:sz w:val="20"/>
        </w:rPr>
        <w:t>8. Income taxes</w:t>
      </w:r>
    </w:p>
    <w:p>
      <w:pPr>
        <w:pStyle w:val="TextBody"/>
        <w:bidi w:val="0"/>
        <w:spacing w:before="0" w:after="0"/>
        <w:ind w:left="0" w:right="0" w:hanging="0"/>
        <w:jc w:val="both"/>
        <w:rPr/>
      </w:pPr>
      <w:r>
        <w:rPr/>
        <w:t>​</w:t>
      </w:r>
    </w:p>
    <w:p>
      <w:pPr>
        <w:pStyle w:val="TextBody"/>
        <w:bidi w:val="0"/>
        <w:spacing w:before="0" w:after="0"/>
        <w:ind w:left="0" w:right="0" w:firstLine="475"/>
        <w:jc w:val="left"/>
        <w:rPr>
          <w:rFonts w:ascii="Times New Roman;Times;serif" w:hAnsi="Times New Roman;Times;serif"/>
          <w:sz w:val="20"/>
        </w:rPr>
      </w:pPr>
      <w:r>
        <w:rPr>
          <w:rFonts w:ascii="Times New Roman;Times;serif" w:hAnsi="Times New Roman;Times;serif"/>
          <w:sz w:val="20"/>
        </w:rPr>
        <w:t>The below discussion of the effective tax rate for the periods presented in the consolidated statements of operations is in comparison to the 21% U.S. statutory federal income tax rate.</w:t>
      </w:r>
    </w:p>
    <w:p>
      <w:pPr>
        <w:pStyle w:val="TextBody"/>
        <w:bidi w:val="0"/>
        <w:spacing w:before="0" w:after="0"/>
        <w:ind w:left="0" w:right="0" w:firstLine="475"/>
        <w:jc w:val="both"/>
        <w:rPr/>
      </w:pPr>
      <w:r>
        <w:rPr/>
        <w:t>​</w:t>
      </w:r>
    </w:p>
    <w:p>
      <w:pPr>
        <w:pStyle w:val="TextBody"/>
        <w:bidi w:val="0"/>
        <w:spacing w:before="0" w:after="0"/>
        <w:ind w:left="0" w:right="0" w:firstLine="475"/>
        <w:jc w:val="left"/>
        <w:rPr>
          <w:rFonts w:ascii="Times New Roman;Times;serif" w:hAnsi="Times New Roman;Times;serif"/>
          <w:sz w:val="20"/>
        </w:rPr>
      </w:pPr>
      <w:r>
        <w:rPr>
          <w:rFonts w:ascii="Times New Roman;Times;serif" w:hAnsi="Times New Roman;Times;serif"/>
          <w:sz w:val="20"/>
        </w:rPr>
        <w:t>The Company’s effective tax rate on its income before taxes was 23.2% in the second quarter of fiscal 2024. During the second quarter of fiscal 2024, the Company’s effective tax rate was unfavorably impacted primarily by (i) increases to unrecognized tax benefit reserves, (ii) U.S. state taxes, partially offset by (iii) the mix of income in lower tax foreign jurisdictions.</w:t>
      </w:r>
    </w:p>
    <w:p>
      <w:pPr>
        <w:pStyle w:val="TextBody"/>
        <w:bidi w:val="0"/>
        <w:spacing w:before="0" w:after="0"/>
        <w:ind w:left="0" w:right="0" w:firstLine="475"/>
        <w:jc w:val="left"/>
        <w:rPr/>
      </w:pPr>
      <w:r>
        <w:rPr/>
        <w:t>​</w:t>
      </w:r>
    </w:p>
    <w:p>
      <w:pPr>
        <w:pStyle w:val="TextBody"/>
        <w:bidi w:val="0"/>
        <w:spacing w:before="0" w:after="0"/>
        <w:ind w:left="0" w:right="0" w:firstLine="475"/>
        <w:jc w:val="left"/>
        <w:rPr>
          <w:rFonts w:ascii="Times New Roman;Times;serif" w:hAnsi="Times New Roman;Times;serif"/>
          <w:sz w:val="20"/>
        </w:rPr>
      </w:pPr>
      <w:r>
        <w:rPr>
          <w:rFonts w:ascii="Times New Roman;Times;serif" w:hAnsi="Times New Roman;Times;serif"/>
          <w:sz w:val="20"/>
        </w:rPr>
        <w:t>During the second quarter of fiscal 2023, the Company’s effective tax rate on its income before taxes was 19.5%. During the second quarter of fiscal 2023, the Company’s effective tax rate was favorably impacted primarily by (i) decreases to unrecognized tax benefit reserves, partially offset by (ii) the mix of income in higher tax foreign jurisdictions.</w:t>
      </w:r>
    </w:p>
    <w:p>
      <w:pPr>
        <w:pStyle w:val="TextBody"/>
        <w:bidi w:val="0"/>
        <w:spacing w:before="0" w:after="0"/>
        <w:ind w:left="0" w:right="0" w:firstLine="480"/>
        <w:jc w:val="both"/>
        <w:rPr/>
      </w:pPr>
      <w:r>
        <w:rPr/>
        <w:t>​</w:t>
      </w:r>
    </w:p>
    <w:p>
      <w:pPr>
        <w:pStyle w:val="TextBody"/>
        <w:bidi w:val="0"/>
        <w:spacing w:before="0" w:after="0"/>
        <w:ind w:left="0" w:right="0" w:firstLine="480"/>
        <w:jc w:val="both"/>
        <w:rPr>
          <w:rFonts w:ascii="Times New Roman;Times;serif" w:hAnsi="Times New Roman;Times;serif"/>
          <w:sz w:val="20"/>
        </w:rPr>
      </w:pPr>
      <w:r>
        <w:rPr>
          <w:rFonts w:ascii="Times New Roman;Times;serif" w:hAnsi="Times New Roman;Times;serif"/>
          <w:sz w:val="20"/>
        </w:rPr>
        <w:t>For the first six months of fiscal 2024, the Company’s effective tax rate on its income before taxes was 23.7%. The effective tax rate for the first six months of fiscal 2024 was unfavorably impacted primarily by (i) increases to unrecognized tax benefit reserves, (ii) U.S. state taxes, and (iii) the mix of income in higher tax foreign jurisdictions.</w:t>
      </w:r>
    </w:p>
    <w:p>
      <w:pPr>
        <w:pStyle w:val="TextBody"/>
        <w:bidi w:val="0"/>
        <w:spacing w:before="0" w:after="0"/>
        <w:ind w:left="0" w:right="0" w:firstLine="480"/>
        <w:jc w:val="both"/>
        <w:rPr/>
      </w:pPr>
      <w:r>
        <w:rPr/>
        <w:t>​</w:t>
      </w:r>
    </w:p>
    <w:p>
      <w:pPr>
        <w:pStyle w:val="TextBody"/>
        <w:bidi w:val="0"/>
        <w:spacing w:before="0" w:after="0"/>
        <w:ind w:left="0" w:right="0" w:firstLine="480"/>
        <w:jc w:val="both"/>
        <w:rPr>
          <w:rFonts w:ascii="Times New Roman;Times;serif" w:hAnsi="Times New Roman;Times;serif"/>
          <w:sz w:val="20"/>
        </w:rPr>
      </w:pPr>
      <w:r>
        <w:rPr>
          <w:rFonts w:ascii="Times New Roman;Times;serif" w:hAnsi="Times New Roman;Times;serif"/>
          <w:sz w:val="20"/>
        </w:rPr>
        <w:t>During the first six months of fiscal 2023, the Company’s effective tax rate on its income before taxes was 22.0%. The effective tax rate for the first six months of fiscal 2023 was unfavorably impacted primarily by (i) the mix of income in higher tax foreign jurisdictions, partially offset by (ii) decreases to unrecognized tax benefit reserves.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lineRule="auto" w:line="343"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43" w:before="0" w:after="0"/>
        <w:ind w:left="0" w:right="0" w:hanging="0"/>
        <w:jc w:val="center"/>
        <w:rPr>
          <w:rFonts w:ascii="Times New Roman;Times;serif" w:hAnsi="Times New Roman;Times;serif"/>
          <w:b/>
          <w:sz w:val="20"/>
        </w:rPr>
      </w:pPr>
      <w:r>
        <w:rPr>
          <w:rFonts w:ascii="Times New Roman;Times;serif" w:hAnsi="Times New Roman;Times;serif"/>
          <w:b/>
          <w:sz w:val="20"/>
        </w:rPr>
        <w:t>AVNET, INC. AND SUBSIDIARIES</w:t>
      </w:r>
    </w:p>
    <w:p>
      <w:pPr>
        <w:pStyle w:val="TextBody"/>
        <w:bidi w:val="0"/>
        <w:spacing w:lineRule="auto" w:line="343"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hanging="0"/>
        <w:jc w:val="both"/>
        <w:rPr/>
      </w:pPr>
      <w:bookmarkStart w:id="915" w:name="Narr__v0bq-i4gkK-ax9-7HkJuQ"/>
      <w:bookmarkStart w:id="916" w:name="Tc_psD8zh7tW062UA15slzD2w_13_11"/>
      <w:bookmarkStart w:id="917" w:name="Tc_I4pCpFFopEe-jLzdp7VjhA_13_8"/>
      <w:bookmarkStart w:id="918" w:name="Tc_O_4XIl_8Z0GvI_oubOmEIQ_13_5"/>
      <w:bookmarkStart w:id="919" w:name="Tc_FWnMNUDG_0qmsLCkDu1E9Q_13_2"/>
      <w:bookmarkStart w:id="920" w:name="Tc_XBCzx_eM6UOxYgsbhq4Gjw_13_0"/>
      <w:bookmarkStart w:id="921" w:name="Tc_cHtGN_VqLkS2yYcHgas8Zg_11_0"/>
      <w:bookmarkStart w:id="922" w:name="Tc_oredHIKp60Kzz4Zyx07O4A_10_0"/>
      <w:bookmarkStart w:id="923" w:name="Tc_i0RORkl1CUO538ayl2MxpA_9_0"/>
      <w:bookmarkStart w:id="924" w:name="Tc_ITugeqsPmEi4hg1RvDdhVA_8_0"/>
      <w:bookmarkStart w:id="925" w:name="Tc_jlymPQJVLkuakMdqnvHdaQ_7_0"/>
      <w:bookmarkStart w:id="926" w:name="Tc_OwFEdYPE5kK96SFj83WpGA_5_11"/>
      <w:bookmarkStart w:id="927" w:name="Tc_hzThON0ra0SxoT4bJXSnYw_5_8"/>
      <w:bookmarkStart w:id="928" w:name="Tc_SBjhbK3_vUuNaMeo90vRNA_5_5"/>
      <w:bookmarkStart w:id="929" w:name="Tc_rLH9snOOr0ml9epi2yd-2A_5_2"/>
      <w:bookmarkStart w:id="930" w:name="Tc_y9RAU1dbTkGIFbr2HvUatw_5_0"/>
      <w:bookmarkStart w:id="931" w:name="Tc_wzjtlE5FXEO1EsisshLing_4_2"/>
      <w:bookmarkStart w:id="932" w:name="Tc_LdAUNyvX-0KepLvxipaPJw_3_11"/>
      <w:bookmarkStart w:id="933" w:name="Tc_xvPWaGP3CEugjnhIQ_Vafw_3_8"/>
      <w:bookmarkStart w:id="934" w:name="Tc_DIKXYpm5tkm15hUS8PR9XQ_3_5"/>
      <w:bookmarkStart w:id="935" w:name="Tc_jA_pCgKgSkWSGOzRajcdCQ_3_2"/>
      <w:bookmarkStart w:id="936" w:name="Tc_ENO-Tk9bMUOvMf2w44lPow_2_11"/>
      <w:bookmarkStart w:id="937" w:name="Tc_XZMvb_hfOEaaDoqb2GwP2g_2_8"/>
      <w:bookmarkStart w:id="938" w:name="Tc_DDMkRjVf3UKNMr_zmtucgg_2_5"/>
      <w:bookmarkStart w:id="939" w:name="Tc_dIcYtRyzMESBC9n2w8bWsQ_2_2"/>
      <w:bookmarkStart w:id="940" w:name="Tc_DvkHLJsK4ES0x6rAmZLoWQ_1_8"/>
      <w:bookmarkStart w:id="941" w:name="Tc_BP2Qk9YGDESI6yY0ecAYPQ_1_2"/>
      <w:bookmarkStart w:id="942" w:name="_bd246086_7ffe_448a_8c20_c88ea474e528"/>
      <w:bookmarkStart w:id="943" w:name="bm_8_Pension_plan"/>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9. Pension plan</w:t>
      </w:r>
    </w:p>
    <w:p>
      <w:pPr>
        <w:pStyle w:val="TextBody"/>
        <w:bidi w:val="0"/>
        <w:spacing w:before="0" w:after="0"/>
        <w:ind w:left="0" w:right="0" w:hanging="0"/>
        <w:jc w:val="both"/>
        <w:rPr/>
      </w:pPr>
      <w:r>
        <w:rPr/>
        <w:t>​</w:t>
      </w:r>
    </w:p>
    <w:p>
      <w:pPr>
        <w:pStyle w:val="TextBody"/>
        <w:bidi w:val="0"/>
        <w:spacing w:before="0" w:after="0"/>
        <w:ind w:left="0" w:right="0" w:firstLine="475"/>
        <w:jc w:val="left"/>
        <w:rPr>
          <w:rFonts w:ascii="Times New Roman;Times;serif" w:hAnsi="Times New Roman;Times;serif"/>
          <w:sz w:val="20"/>
        </w:rPr>
      </w:pPr>
      <w:r>
        <w:rPr>
          <w:rFonts w:ascii="Times New Roman;Times;serif" w:hAnsi="Times New Roman;Times;serif"/>
          <w:sz w:val="20"/>
        </w:rPr>
        <w:t>The Company has a noncontributory defined benefit pension plan that covers substantially all current or former U.S. employees (the “Plan”). Components of net periodic pension cost for the Plan was as follows:</w:t>
      </w:r>
    </w:p>
    <w:p>
      <w:pPr>
        <w:pStyle w:val="TextBody"/>
        <w:bidi w:val="0"/>
        <w:spacing w:before="0" w:after="0"/>
        <w:ind w:left="0" w:right="0" w:firstLine="480"/>
        <w:jc w:val="both"/>
        <w:rPr/>
      </w:pPr>
      <w:r>
        <w:rPr/>
        <w:t>​</w:t>
      </w:r>
    </w:p>
    <w:tbl>
      <w:tblPr>
        <w:tblW w:w="10205" w:type="dxa"/>
        <w:jc w:val="left"/>
        <w:tblInd w:w="0" w:type="dxa"/>
        <w:tblLayout w:type="fixed"/>
        <w:tblCellMar>
          <w:top w:w="0" w:type="dxa"/>
          <w:left w:w="0" w:type="dxa"/>
          <w:bottom w:w="0" w:type="dxa"/>
          <w:right w:w="0" w:type="dxa"/>
        </w:tblCellMar>
      </w:tblPr>
      <w:tblGrid>
        <w:gridCol w:w="4119"/>
        <w:gridCol w:w="206"/>
        <w:gridCol w:w="311"/>
        <w:gridCol w:w="933"/>
        <w:gridCol w:w="326"/>
        <w:gridCol w:w="275"/>
        <w:gridCol w:w="968"/>
        <w:gridCol w:w="206"/>
        <w:gridCol w:w="275"/>
        <w:gridCol w:w="968"/>
        <w:gridCol w:w="326"/>
        <w:gridCol w:w="273"/>
        <w:gridCol w:w="1019"/>
      </w:tblGrid>
      <w:tr>
        <w:trPr/>
        <w:tc>
          <w:tcPr>
            <w:tcW w:w="41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2615565" cy="175260"/>
                      <wp:effectExtent l="0" t="0" r="0" b="0"/>
                      <wp:wrapNone/>
                      <wp:docPr id="167" name="Frame167"/>
                      <a:graphic xmlns:a="http://schemas.openxmlformats.org/drawingml/2006/main">
                        <a:graphicData uri="http://schemas.microsoft.com/office/word/2010/wordprocessingShape">
                          <wps:wsp>
                            <wps:cNvSpPr txBox="1"/>
                            <wps:spPr>
                              <a:xfrm>
                                <a:off x="0" y="0"/>
                                <a:ext cx="2615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130810" cy="175260"/>
                      <wp:effectExtent l="0" t="0" r="0" b="0"/>
                      <wp:wrapNone/>
                      <wp:docPr id="168" name="Frame168"/>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197485" cy="175260"/>
                      <wp:effectExtent l="0" t="0" r="0" b="0"/>
                      <wp:wrapNone/>
                      <wp:docPr id="169" name="Frame169"/>
                      <a:graphic xmlns:a="http://schemas.openxmlformats.org/drawingml/2006/main">
                        <a:graphicData uri="http://schemas.microsoft.com/office/word/2010/wordprocessingShape">
                          <wps:wsp>
                            <wps:cNvSpPr txBox="1"/>
                            <wps:spPr>
                              <a:xfrm>
                                <a:off x="0" y="0"/>
                                <a:ext cx="197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592455" cy="175260"/>
                      <wp:effectExtent l="0" t="0" r="0" b="0"/>
                      <wp:wrapNone/>
                      <wp:docPr id="170" name="Frame170"/>
                      <a:graphic xmlns:a="http://schemas.openxmlformats.org/drawingml/2006/main">
                        <a:graphicData uri="http://schemas.microsoft.com/office/word/2010/wordprocessingShape">
                          <wps:wsp>
                            <wps:cNvSpPr txBox="1"/>
                            <wps:spPr>
                              <a:xfrm>
                                <a:off x="0" y="0"/>
                                <a:ext cx="592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07010" cy="175260"/>
                      <wp:effectExtent l="0" t="0" r="0" b="0"/>
                      <wp:wrapNone/>
                      <wp:docPr id="171" name="Frame1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174625" cy="175260"/>
                      <wp:effectExtent l="0" t="0" r="0" b="0"/>
                      <wp:wrapNone/>
                      <wp:docPr id="172" name="Frame172"/>
                      <a:graphic xmlns:a="http://schemas.openxmlformats.org/drawingml/2006/main">
                        <a:graphicData uri="http://schemas.microsoft.com/office/word/2010/wordprocessingShape">
                          <wps:wsp>
                            <wps:cNvSpPr txBox="1"/>
                            <wps:spPr>
                              <a:xfrm>
                                <a:off x="0" y="0"/>
                                <a:ext cx="174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14680" cy="175260"/>
                      <wp:effectExtent l="0" t="0" r="0" b="0"/>
                      <wp:wrapNone/>
                      <wp:docPr id="173" name="Frame173"/>
                      <a:graphic xmlns:a="http://schemas.openxmlformats.org/drawingml/2006/main">
                        <a:graphicData uri="http://schemas.microsoft.com/office/word/2010/wordprocessingShape">
                          <wps:wsp>
                            <wps:cNvSpPr txBox="1"/>
                            <wps:spPr>
                              <a:xfrm>
                                <a:off x="0" y="0"/>
                                <a:ext cx="6146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130810" cy="175260"/>
                      <wp:effectExtent l="0" t="0" r="0" b="0"/>
                      <wp:wrapNone/>
                      <wp:docPr id="174" name="Frame174"/>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174625" cy="175260"/>
                      <wp:effectExtent l="0" t="0" r="0" b="0"/>
                      <wp:wrapNone/>
                      <wp:docPr id="175" name="Frame175"/>
                      <a:graphic xmlns:a="http://schemas.openxmlformats.org/drawingml/2006/main">
                        <a:graphicData uri="http://schemas.microsoft.com/office/word/2010/wordprocessingShape">
                          <wps:wsp>
                            <wps:cNvSpPr txBox="1"/>
                            <wps:spPr>
                              <a:xfrm>
                                <a:off x="0" y="0"/>
                                <a:ext cx="174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14680" cy="175260"/>
                      <wp:effectExtent l="0" t="0" r="0" b="0"/>
                      <wp:wrapNone/>
                      <wp:docPr id="176" name="Frame176"/>
                      <a:graphic xmlns:a="http://schemas.openxmlformats.org/drawingml/2006/main">
                        <a:graphicData uri="http://schemas.microsoft.com/office/word/2010/wordprocessingShape">
                          <wps:wsp>
                            <wps:cNvSpPr txBox="1"/>
                            <wps:spPr>
                              <a:xfrm>
                                <a:off x="0" y="0"/>
                                <a:ext cx="6146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207010" cy="175260"/>
                      <wp:effectExtent l="0" t="0" r="0" b="0"/>
                      <wp:wrapNone/>
                      <wp:docPr id="177" name="Frame1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173355" cy="175260"/>
                      <wp:effectExtent l="0" t="0" r="0" b="0"/>
                      <wp:wrapNone/>
                      <wp:docPr id="178" name="Frame178"/>
                      <a:graphic xmlns:a="http://schemas.openxmlformats.org/drawingml/2006/main">
                        <a:graphicData uri="http://schemas.microsoft.com/office/word/2010/wordprocessingShape">
                          <wps:wsp>
                            <wps:cNvSpPr txBox="1"/>
                            <wps:spPr>
                              <a:xfrm>
                                <a:off x="0" y="0"/>
                                <a:ext cx="173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7065" cy="175260"/>
                      <wp:effectExtent l="0" t="0" r="0" b="0"/>
                      <wp:wrapNone/>
                      <wp:docPr id="179" name="Frame179"/>
                      <a:graphic xmlns:a="http://schemas.openxmlformats.org/drawingml/2006/main">
                        <a:graphicData uri="http://schemas.microsoft.com/office/word/2010/wordprocessingShape">
                          <wps:wsp>
                            <wps:cNvSpPr txBox="1"/>
                            <wps:spPr>
                              <a:xfrm>
                                <a:off x="0" y="0"/>
                                <a:ext cx="6470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19"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2813"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Second Quarters Ended</w:t>
            </w:r>
          </w:p>
        </w:tc>
        <w:tc>
          <w:tcPr>
            <w:tcW w:w="206" w:type="dxa"/>
            <w:tcBorders/>
            <w:vAlign w:val="center"/>
          </w:tcPr>
          <w:p>
            <w:pPr>
              <w:pStyle w:val="TableContents"/>
              <w:bidi w:val="0"/>
              <w:spacing w:before="0" w:after="0"/>
              <w:ind w:left="0" w:right="0" w:hanging="0"/>
              <w:jc w:val="left"/>
              <w:rPr/>
            </w:pPr>
            <w:r>
              <w:rPr/>
              <w:t>​</w:t>
            </w:r>
          </w:p>
        </w:tc>
        <w:tc>
          <w:tcPr>
            <w:tcW w:w="2861"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Six Months Ended</w:t>
            </w:r>
          </w:p>
        </w:tc>
      </w:tr>
      <w:tr>
        <w:trPr/>
        <w:tc>
          <w:tcPr>
            <w:tcW w:w="4119"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  </w:t>
            </w:r>
          </w:p>
        </w:tc>
        <w:tc>
          <w:tcPr>
            <w:tcW w:w="1244"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30,</w:t>
            </w:r>
          </w:p>
        </w:tc>
        <w:tc>
          <w:tcPr>
            <w:tcW w:w="326" w:type="dxa"/>
            <w:tcBorders/>
            <w:vAlign w:val="center"/>
          </w:tcPr>
          <w:p>
            <w:pPr>
              <w:pStyle w:val="TableContents"/>
              <w:bidi w:val="0"/>
              <w:spacing w:before="0" w:after="0"/>
              <w:ind w:left="0" w:right="0" w:hanging="0"/>
              <w:jc w:val="center"/>
              <w:rPr/>
            </w:pPr>
            <w:r>
              <w:rPr/>
              <w:t>    </w:t>
            </w:r>
          </w:p>
        </w:tc>
        <w:tc>
          <w:tcPr>
            <w:tcW w:w="1243"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w:t>
            </w:r>
          </w:p>
        </w:tc>
        <w:tc>
          <w:tcPr>
            <w:tcW w:w="206" w:type="dxa"/>
            <w:tcBorders/>
            <w:vAlign w:val="center"/>
          </w:tcPr>
          <w:p>
            <w:pPr>
              <w:pStyle w:val="TableContents"/>
              <w:bidi w:val="0"/>
              <w:spacing w:before="0" w:after="0"/>
              <w:ind w:left="0" w:right="0" w:hanging="0"/>
              <w:jc w:val="left"/>
              <w:rPr/>
            </w:pPr>
            <w:r>
              <w:rPr/>
              <w:t>  </w:t>
            </w:r>
          </w:p>
        </w:tc>
        <w:tc>
          <w:tcPr>
            <w:tcW w:w="1243"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30,</w:t>
            </w:r>
          </w:p>
        </w:tc>
        <w:tc>
          <w:tcPr>
            <w:tcW w:w="326" w:type="dxa"/>
            <w:tcBorders/>
            <w:vAlign w:val="center"/>
          </w:tcPr>
          <w:p>
            <w:pPr>
              <w:pStyle w:val="TableContents"/>
              <w:bidi w:val="0"/>
              <w:spacing w:before="0" w:after="0"/>
              <w:ind w:left="0" w:right="0" w:hanging="0"/>
              <w:jc w:val="center"/>
              <w:rPr/>
            </w:pPr>
            <w:r>
              <w:rPr/>
              <w:t>    </w:t>
            </w:r>
          </w:p>
        </w:tc>
        <w:tc>
          <w:tcPr>
            <w:tcW w:w="1292"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w:t>
            </w:r>
          </w:p>
        </w:tc>
      </w:tr>
      <w:tr>
        <w:trPr/>
        <w:tc>
          <w:tcPr>
            <w:tcW w:w="4119"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1244"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6" w:type="dxa"/>
            <w:tcBorders/>
            <w:vAlign w:val="center"/>
          </w:tcPr>
          <w:p>
            <w:pPr>
              <w:pStyle w:val="TableContents"/>
              <w:bidi w:val="0"/>
              <w:spacing w:before="0" w:after="0"/>
              <w:ind w:left="0" w:right="0" w:hanging="0"/>
              <w:jc w:val="center"/>
              <w:rPr/>
            </w:pPr>
            <w:r>
              <w:rPr/>
              <w:t>   </w:t>
            </w:r>
          </w:p>
        </w:tc>
        <w:tc>
          <w:tcPr>
            <w:tcW w:w="1243"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206" w:type="dxa"/>
            <w:tcBorders/>
            <w:vAlign w:val="center"/>
          </w:tcPr>
          <w:p>
            <w:pPr>
              <w:pStyle w:val="TableContents"/>
              <w:bidi w:val="0"/>
              <w:spacing w:before="0" w:after="0"/>
              <w:ind w:left="0" w:right="0" w:hanging="0"/>
              <w:jc w:val="left"/>
              <w:rPr/>
            </w:pPr>
            <w:r>
              <w:rPr/>
              <w:t>  </w:t>
            </w:r>
          </w:p>
        </w:tc>
        <w:tc>
          <w:tcPr>
            <w:tcW w:w="1243"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6" w:type="dxa"/>
            <w:tcBorders/>
            <w:vAlign w:val="center"/>
          </w:tcPr>
          <w:p>
            <w:pPr>
              <w:pStyle w:val="TableContents"/>
              <w:bidi w:val="0"/>
              <w:spacing w:before="0" w:after="0"/>
              <w:ind w:left="0" w:right="0" w:hanging="0"/>
              <w:jc w:val="center"/>
              <w:rPr/>
            </w:pPr>
            <w:r>
              <w:rPr/>
              <w:t>   </w:t>
            </w:r>
          </w:p>
        </w:tc>
        <w:tc>
          <w:tcPr>
            <w:tcW w:w="129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r>
      <w:tr>
        <w:trPr/>
        <w:tc>
          <w:tcPr>
            <w:tcW w:w="102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4119"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5880" w:type="dxa"/>
            <w:gridSpan w:val="11"/>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(Thousands)</w:t>
            </w:r>
          </w:p>
        </w:tc>
      </w:tr>
      <w:tr>
        <w:trPr/>
        <w:tc>
          <w:tcPr>
            <w:tcW w:w="411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Service cost within selling, general and administrative expenses</w:t>
            </w:r>
          </w:p>
        </w:tc>
        <w:tc>
          <w:tcPr>
            <w:tcW w:w="206" w:type="dxa"/>
            <w:tcBorders/>
            <w:shd w:fill="CCEEFF" w:val="clear"/>
            <w:vAlign w:val="center"/>
          </w:tcPr>
          <w:p>
            <w:pPr>
              <w:pStyle w:val="TableContents"/>
              <w:bidi w:val="0"/>
              <w:spacing w:before="0" w:after="0"/>
              <w:ind w:left="0" w:right="0" w:hanging="0"/>
              <w:jc w:val="left"/>
              <w:rPr/>
            </w:pPr>
            <w:r>
              <w:rPr/>
              <w:t>​</w:t>
            </w:r>
          </w:p>
        </w:tc>
        <w:tc>
          <w:tcPr>
            <w:tcW w:w="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2,563</w:t>
            </w:r>
          </w:p>
        </w:tc>
        <w:tc>
          <w:tcPr>
            <w:tcW w:w="326" w:type="dxa"/>
            <w:tcBorders/>
            <w:shd w:fill="CCEEFF" w:val="clear"/>
            <w:vAlign w:val="center"/>
          </w:tcPr>
          <w:p>
            <w:pPr>
              <w:pStyle w:val="TableContents"/>
              <w:bidi w:val="0"/>
              <w:spacing w:before="0" w:after="0"/>
              <w:ind w:left="0" w:right="0" w:hanging="0"/>
              <w:jc w:val="left"/>
              <w:rPr/>
            </w:pPr>
            <w:r>
              <w:rPr/>
              <w:t>​</w:t>
            </w:r>
          </w:p>
        </w:tc>
        <w:tc>
          <w:tcPr>
            <w:tcW w:w="2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3,004</w:t>
            </w:r>
          </w:p>
        </w:tc>
        <w:tc>
          <w:tcPr>
            <w:tcW w:w="206" w:type="dxa"/>
            <w:tcBorders/>
            <w:shd w:fill="CCEEFF" w:val="clear"/>
            <w:vAlign w:val="center"/>
          </w:tcPr>
          <w:p>
            <w:pPr>
              <w:pStyle w:val="TableContents"/>
              <w:bidi w:val="0"/>
              <w:spacing w:before="0" w:after="0"/>
              <w:ind w:left="0" w:right="0" w:hanging="0"/>
              <w:jc w:val="left"/>
              <w:rPr/>
            </w:pPr>
            <w:r>
              <w:rPr/>
              <w:t>​</w:t>
            </w:r>
          </w:p>
        </w:tc>
        <w:tc>
          <w:tcPr>
            <w:tcW w:w="2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5,126</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6,008</w:t>
            </w:r>
          </w:p>
        </w:tc>
      </w:tr>
      <w:tr>
        <w:trPr/>
        <w:tc>
          <w:tcPr>
            <w:tcW w:w="4119"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311" w:type="dxa"/>
            <w:tcBorders/>
            <w:vAlign w:val="center"/>
          </w:tcPr>
          <w:p>
            <w:pPr>
              <w:pStyle w:val="TableContents"/>
              <w:bidi w:val="0"/>
              <w:spacing w:before="0" w:after="0"/>
              <w:ind w:left="0" w:right="0" w:hanging="0"/>
              <w:jc w:val="left"/>
              <w:rPr/>
            </w:pPr>
            <w:r>
              <w:rPr/>
              <w:t>​</w:t>
            </w:r>
          </w:p>
        </w:tc>
        <w:tc>
          <w:tcPr>
            <w:tcW w:w="93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75" w:type="dxa"/>
            <w:tcBorders/>
            <w:vAlign w:val="center"/>
          </w:tcPr>
          <w:p>
            <w:pPr>
              <w:pStyle w:val="TableContents"/>
              <w:bidi w:val="0"/>
              <w:spacing w:before="0" w:after="0"/>
              <w:ind w:left="0" w:right="0" w:hanging="0"/>
              <w:jc w:val="left"/>
              <w:rPr/>
            </w:pPr>
            <w:r>
              <w:rPr/>
              <w:t>​</w:t>
            </w:r>
          </w:p>
        </w:tc>
        <w:tc>
          <w:tcPr>
            <w:tcW w:w="968"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75" w:type="dxa"/>
            <w:tcBorders/>
            <w:vAlign w:val="center"/>
          </w:tcPr>
          <w:p>
            <w:pPr>
              <w:pStyle w:val="TableContents"/>
              <w:bidi w:val="0"/>
              <w:spacing w:before="0" w:after="0"/>
              <w:ind w:left="0" w:right="0" w:hanging="0"/>
              <w:jc w:val="left"/>
              <w:rPr/>
            </w:pPr>
            <w:r>
              <w:rPr/>
              <w:t>​</w:t>
            </w:r>
          </w:p>
        </w:tc>
        <w:tc>
          <w:tcPr>
            <w:tcW w:w="96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pPr>
            <w:r>
              <w:rPr/>
              <w:t>​</w:t>
            </w:r>
          </w:p>
        </w:tc>
        <w:tc>
          <w:tcPr>
            <w:tcW w:w="1019" w:type="dxa"/>
            <w:tcBorders/>
            <w:vAlign w:val="center"/>
          </w:tcPr>
          <w:p>
            <w:pPr>
              <w:pStyle w:val="TableContents"/>
              <w:bidi w:val="0"/>
              <w:spacing w:before="0" w:after="0"/>
              <w:ind w:left="0" w:right="0" w:hanging="0"/>
              <w:jc w:val="right"/>
              <w:rPr/>
            </w:pPr>
            <w:r>
              <w:rPr/>
              <w:t>​</w:t>
            </w:r>
          </w:p>
        </w:tc>
      </w:tr>
      <w:tr>
        <w:trPr/>
        <w:tc>
          <w:tcPr>
            <w:tcW w:w="41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cost</w:t>
            </w:r>
          </w:p>
        </w:tc>
        <w:tc>
          <w:tcPr>
            <w:tcW w:w="206" w:type="dxa"/>
            <w:tcBorders/>
            <w:shd w:fill="CCEEFF" w:val="clear"/>
            <w:vAlign w:val="center"/>
          </w:tcPr>
          <w:p>
            <w:pPr>
              <w:pStyle w:val="TableContents"/>
              <w:bidi w:val="0"/>
              <w:spacing w:before="0" w:after="0"/>
              <w:ind w:left="0" w:right="0" w:hanging="0"/>
              <w:jc w:val="left"/>
              <w:rPr/>
            </w:pPr>
            <w:r>
              <w:rPr/>
              <w:t>​</w:t>
            </w:r>
          </w:p>
        </w:tc>
        <w:tc>
          <w:tcPr>
            <w:tcW w:w="311" w:type="dxa"/>
            <w:tcBorders/>
            <w:shd w:fill="CCEEFF" w:val="clear"/>
            <w:vAlign w:val="center"/>
          </w:tcPr>
          <w:p>
            <w:pPr>
              <w:pStyle w:val="TableContents"/>
              <w:bidi w:val="0"/>
              <w:spacing w:before="0" w:after="0"/>
              <w:ind w:left="0" w:right="0" w:hanging="0"/>
              <w:jc w:val="right"/>
              <w:rPr/>
            </w:pPr>
            <w:r>
              <w:rPr/>
              <w:t> </w:t>
            </w:r>
          </w:p>
        </w:tc>
        <w:tc>
          <w:tcPr>
            <w:tcW w:w="9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6,144</w:t>
            </w:r>
          </w:p>
        </w:tc>
        <w:tc>
          <w:tcPr>
            <w:tcW w:w="326" w:type="dxa"/>
            <w:tcBorders/>
            <w:shd w:fill="CCEEFF" w:val="clear"/>
            <w:vAlign w:val="center"/>
          </w:tcPr>
          <w:p>
            <w:pPr>
              <w:pStyle w:val="TableContents"/>
              <w:bidi w:val="0"/>
              <w:spacing w:before="0" w:after="0"/>
              <w:ind w:left="0" w:right="0" w:hanging="0"/>
              <w:jc w:val="left"/>
              <w:rPr/>
            </w:pPr>
            <w:r>
              <w:rPr/>
              <w:t>​</w:t>
            </w:r>
          </w:p>
        </w:tc>
        <w:tc>
          <w:tcPr>
            <w:tcW w:w="275" w:type="dxa"/>
            <w:tcBorders/>
            <w:shd w:fill="CCEEFF" w:val="clear"/>
            <w:vAlign w:val="center"/>
          </w:tcPr>
          <w:p>
            <w:pPr>
              <w:pStyle w:val="TableContents"/>
              <w:bidi w:val="0"/>
              <w:spacing w:before="0" w:after="0"/>
              <w:ind w:left="0" w:right="0" w:hanging="0"/>
              <w:jc w:val="right"/>
              <w:rPr/>
            </w:pPr>
            <w:r>
              <w:rPr/>
              <w:t> </w:t>
            </w:r>
          </w:p>
        </w:tc>
        <w:tc>
          <w:tcPr>
            <w:tcW w:w="9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6,683</w:t>
            </w:r>
          </w:p>
        </w:tc>
        <w:tc>
          <w:tcPr>
            <w:tcW w:w="206" w:type="dxa"/>
            <w:tcBorders/>
            <w:shd w:fill="CCEEFF" w:val="clear"/>
            <w:vAlign w:val="center"/>
          </w:tcPr>
          <w:p>
            <w:pPr>
              <w:pStyle w:val="TableContents"/>
              <w:bidi w:val="0"/>
              <w:spacing w:before="0" w:after="0"/>
              <w:ind w:left="0" w:right="0" w:hanging="0"/>
              <w:jc w:val="left"/>
              <w:rPr/>
            </w:pPr>
            <w:r>
              <w:rPr/>
              <w:t>​</w:t>
            </w:r>
          </w:p>
        </w:tc>
        <w:tc>
          <w:tcPr>
            <w:tcW w:w="275" w:type="dxa"/>
            <w:tcBorders/>
            <w:shd w:fill="CCEEFF" w:val="clear"/>
            <w:vAlign w:val="center"/>
          </w:tcPr>
          <w:p>
            <w:pPr>
              <w:pStyle w:val="TableContents"/>
              <w:bidi w:val="0"/>
              <w:spacing w:before="0" w:after="0"/>
              <w:ind w:left="0" w:right="0" w:hanging="0"/>
              <w:jc w:val="right"/>
              <w:rPr/>
            </w:pPr>
            <w:r>
              <w:rPr/>
              <w:t> </w:t>
            </w:r>
          </w:p>
        </w:tc>
        <w:tc>
          <w:tcPr>
            <w:tcW w:w="9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12,289</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right"/>
              <w:rPr/>
            </w:pPr>
            <w:r>
              <w:rPr/>
              <w:t> </w:t>
            </w:r>
          </w:p>
        </w:tc>
        <w:tc>
          <w:tcPr>
            <w:tcW w:w="101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13,365</w:t>
            </w:r>
          </w:p>
        </w:tc>
      </w:tr>
      <w:tr>
        <w:trPr/>
        <w:tc>
          <w:tcPr>
            <w:tcW w:w="41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return on plan assets</w:t>
            </w:r>
          </w:p>
        </w:tc>
        <w:tc>
          <w:tcPr>
            <w:tcW w:w="206" w:type="dxa"/>
            <w:tcBorders/>
            <w:vAlign w:val="center"/>
          </w:tcPr>
          <w:p>
            <w:pPr>
              <w:pStyle w:val="TableContents"/>
              <w:bidi w:val="0"/>
              <w:spacing w:before="0" w:after="0"/>
              <w:ind w:left="0" w:right="0" w:hanging="0"/>
              <w:jc w:val="left"/>
              <w:rPr/>
            </w:pPr>
            <w:r>
              <w:rPr/>
              <w:t>​</w:t>
            </w:r>
          </w:p>
        </w:tc>
        <w:tc>
          <w:tcPr>
            <w:tcW w:w="311" w:type="dxa"/>
            <w:tcBorders/>
            <w:vAlign w:val="center"/>
          </w:tcPr>
          <w:p>
            <w:pPr>
              <w:pStyle w:val="TableContents"/>
              <w:bidi w:val="0"/>
              <w:spacing w:before="0" w:after="0"/>
              <w:ind w:left="0" w:right="0" w:hanging="0"/>
              <w:jc w:val="right"/>
              <w:rPr/>
            </w:pPr>
            <w:r>
              <w:rPr/>
              <w:t> </w:t>
            </w:r>
          </w:p>
        </w:tc>
        <w:tc>
          <w:tcPr>
            <w:tcW w:w="9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(9,985)</w:t>
            </w:r>
          </w:p>
        </w:tc>
        <w:tc>
          <w:tcPr>
            <w:tcW w:w="326" w:type="dxa"/>
            <w:tcBorders/>
            <w:vAlign w:val="center"/>
          </w:tcPr>
          <w:p>
            <w:pPr>
              <w:pStyle w:val="TableContents"/>
              <w:bidi w:val="0"/>
              <w:spacing w:before="0" w:after="0"/>
              <w:ind w:left="0" w:right="0" w:hanging="0"/>
              <w:jc w:val="left"/>
              <w:rPr/>
            </w:pPr>
            <w:r>
              <w:rPr/>
              <w:t>​</w:t>
            </w:r>
          </w:p>
        </w:tc>
        <w:tc>
          <w:tcPr>
            <w:tcW w:w="275" w:type="dxa"/>
            <w:tcBorders/>
            <w:vAlign w:val="center"/>
          </w:tcPr>
          <w:p>
            <w:pPr>
              <w:pStyle w:val="TableContents"/>
              <w:bidi w:val="0"/>
              <w:spacing w:before="0" w:after="0"/>
              <w:ind w:left="0" w:right="0" w:hanging="0"/>
              <w:jc w:val="right"/>
              <w:rPr/>
            </w:pPr>
            <w:r>
              <w:rPr/>
              <w:t> </w:t>
            </w:r>
          </w:p>
        </w:tc>
        <w:tc>
          <w:tcPr>
            <w:tcW w:w="96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(12,215)</w:t>
            </w:r>
          </w:p>
        </w:tc>
        <w:tc>
          <w:tcPr>
            <w:tcW w:w="206" w:type="dxa"/>
            <w:tcBorders/>
            <w:vAlign w:val="center"/>
          </w:tcPr>
          <w:p>
            <w:pPr>
              <w:pStyle w:val="TableContents"/>
              <w:bidi w:val="0"/>
              <w:spacing w:before="0" w:after="0"/>
              <w:ind w:left="0" w:right="0" w:hanging="0"/>
              <w:jc w:val="left"/>
              <w:rPr/>
            </w:pPr>
            <w:r>
              <w:rPr/>
              <w:t>​</w:t>
            </w:r>
          </w:p>
        </w:tc>
        <w:tc>
          <w:tcPr>
            <w:tcW w:w="275" w:type="dxa"/>
            <w:tcBorders/>
            <w:vAlign w:val="center"/>
          </w:tcPr>
          <w:p>
            <w:pPr>
              <w:pStyle w:val="TableContents"/>
              <w:bidi w:val="0"/>
              <w:spacing w:before="0" w:after="0"/>
              <w:ind w:left="0" w:right="0" w:hanging="0"/>
              <w:jc w:val="right"/>
              <w:rPr/>
            </w:pPr>
            <w:r>
              <w:rPr/>
              <w:t> </w:t>
            </w:r>
          </w:p>
        </w:tc>
        <w:tc>
          <w:tcPr>
            <w:tcW w:w="96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(19,970)</w:t>
            </w:r>
          </w:p>
        </w:tc>
        <w:tc>
          <w:tcPr>
            <w:tcW w:w="32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right"/>
              <w:rPr/>
            </w:pPr>
            <w:r>
              <w:rPr/>
              <w:t> </w:t>
            </w:r>
          </w:p>
        </w:tc>
        <w:tc>
          <w:tcPr>
            <w:tcW w:w="10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(24,430)</w:t>
            </w:r>
          </w:p>
        </w:tc>
      </w:tr>
      <w:tr>
        <w:trPr/>
        <w:tc>
          <w:tcPr>
            <w:tcW w:w="41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prior service cost</w:t>
            </w:r>
          </w:p>
        </w:tc>
        <w:tc>
          <w:tcPr>
            <w:tcW w:w="206" w:type="dxa"/>
            <w:tcBorders/>
            <w:shd w:fill="CCEEFF" w:val="clear"/>
            <w:vAlign w:val="center"/>
          </w:tcPr>
          <w:p>
            <w:pPr>
              <w:pStyle w:val="TableContents"/>
              <w:bidi w:val="0"/>
              <w:spacing w:before="0" w:after="0"/>
              <w:ind w:left="0" w:right="0" w:hanging="0"/>
              <w:jc w:val="left"/>
              <w:rPr/>
            </w:pPr>
            <w:r>
              <w:rPr/>
              <w:t>​</w:t>
            </w:r>
          </w:p>
        </w:tc>
        <w:tc>
          <w:tcPr>
            <w:tcW w:w="311" w:type="dxa"/>
            <w:tcBorders/>
            <w:shd w:fill="CCEEFF" w:val="clear"/>
            <w:vAlign w:val="center"/>
          </w:tcPr>
          <w:p>
            <w:pPr>
              <w:pStyle w:val="TableContents"/>
              <w:bidi w:val="0"/>
              <w:spacing w:before="0" w:after="0"/>
              <w:ind w:left="0" w:right="0" w:hanging="0"/>
              <w:jc w:val="right"/>
              <w:rPr/>
            </w:pPr>
            <w:r>
              <w:rPr/>
              <w:t> </w:t>
            </w:r>
          </w:p>
        </w:tc>
        <w:tc>
          <w:tcPr>
            <w:tcW w:w="9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275" w:type="dxa"/>
            <w:tcBorders/>
            <w:shd w:fill="CCEEFF" w:val="clear"/>
            <w:vAlign w:val="center"/>
          </w:tcPr>
          <w:p>
            <w:pPr>
              <w:pStyle w:val="TableContents"/>
              <w:bidi w:val="0"/>
              <w:spacing w:before="0" w:after="0"/>
              <w:ind w:left="0" w:right="0" w:hanging="0"/>
              <w:jc w:val="right"/>
              <w:rPr/>
            </w:pPr>
            <w:r>
              <w:rPr/>
              <w:t> </w:t>
            </w:r>
          </w:p>
        </w:tc>
        <w:tc>
          <w:tcPr>
            <w:tcW w:w="9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206" w:type="dxa"/>
            <w:tcBorders/>
            <w:shd w:fill="CCEEFF" w:val="clear"/>
            <w:vAlign w:val="center"/>
          </w:tcPr>
          <w:p>
            <w:pPr>
              <w:pStyle w:val="TableContents"/>
              <w:bidi w:val="0"/>
              <w:spacing w:before="0" w:after="0"/>
              <w:ind w:left="0" w:right="0" w:hanging="0"/>
              <w:jc w:val="left"/>
              <w:rPr/>
            </w:pPr>
            <w:r>
              <w:rPr/>
              <w:t>​</w:t>
            </w:r>
          </w:p>
        </w:tc>
        <w:tc>
          <w:tcPr>
            <w:tcW w:w="275" w:type="dxa"/>
            <w:tcBorders/>
            <w:shd w:fill="CCEEFF" w:val="clear"/>
            <w:vAlign w:val="center"/>
          </w:tcPr>
          <w:p>
            <w:pPr>
              <w:pStyle w:val="TableContents"/>
              <w:bidi w:val="0"/>
              <w:spacing w:before="0" w:after="0"/>
              <w:ind w:left="0" w:right="0" w:hanging="0"/>
              <w:jc w:val="right"/>
              <w:rPr/>
            </w:pPr>
            <w:r>
              <w:rPr/>
              <w:t> </w:t>
            </w:r>
          </w:p>
        </w:tc>
        <w:tc>
          <w:tcPr>
            <w:tcW w:w="9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right"/>
              <w:rPr/>
            </w:pPr>
            <w:r>
              <w:rPr/>
              <w:t> </w:t>
            </w:r>
          </w:p>
        </w:tc>
        <w:tc>
          <w:tcPr>
            <w:tcW w:w="101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41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Recognized net actuarial loss</w:t>
            </w:r>
          </w:p>
        </w:tc>
        <w:tc>
          <w:tcPr>
            <w:tcW w:w="206" w:type="dxa"/>
            <w:tcBorders/>
            <w:vAlign w:val="center"/>
          </w:tcPr>
          <w:p>
            <w:pPr>
              <w:pStyle w:val="TableContents"/>
              <w:bidi w:val="0"/>
              <w:spacing w:before="0" w:after="0"/>
              <w:ind w:left="0" w:right="0" w:hanging="0"/>
              <w:jc w:val="left"/>
              <w:rPr/>
            </w:pPr>
            <w:r>
              <w:rPr/>
              <w:t>​</w:t>
            </w:r>
          </w:p>
        </w:tc>
        <w:tc>
          <w:tcPr>
            <w:tcW w:w="311"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c>
          <w:tcPr>
            <w:tcW w:w="933"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c>
          <w:tcPr>
            <w:tcW w:w="326" w:type="dxa"/>
            <w:tcBorders/>
            <w:vAlign w:val="center"/>
          </w:tcPr>
          <w:p>
            <w:pPr>
              <w:pStyle w:val="TableContents"/>
              <w:bidi w:val="0"/>
              <w:spacing w:before="0" w:after="0"/>
              <w:ind w:left="0" w:right="0" w:hanging="0"/>
              <w:jc w:val="left"/>
              <w:rPr/>
            </w:pPr>
            <w:r>
              <w:rPr/>
              <w:t>​</w:t>
            </w:r>
          </w:p>
        </w:tc>
        <w:tc>
          <w:tcPr>
            <w:tcW w:w="275"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c>
          <w:tcPr>
            <w:tcW w:w="968"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618</w:t>
            </w:r>
          </w:p>
        </w:tc>
        <w:tc>
          <w:tcPr>
            <w:tcW w:w="206" w:type="dxa"/>
            <w:tcBorders/>
            <w:vAlign w:val="center"/>
          </w:tcPr>
          <w:p>
            <w:pPr>
              <w:pStyle w:val="TableContents"/>
              <w:bidi w:val="0"/>
              <w:spacing w:before="0" w:after="0"/>
              <w:ind w:left="0" w:right="0" w:hanging="0"/>
              <w:jc w:val="left"/>
              <w:rPr/>
            </w:pPr>
            <w:r>
              <w:rPr/>
              <w:t>​</w:t>
            </w:r>
          </w:p>
        </w:tc>
        <w:tc>
          <w:tcPr>
            <w:tcW w:w="275"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c>
          <w:tcPr>
            <w:tcW w:w="968"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w:t>
            </w:r>
          </w:p>
        </w:tc>
        <w:tc>
          <w:tcPr>
            <w:tcW w:w="326" w:type="dxa"/>
            <w:tcBorders/>
            <w:vAlign w:val="center"/>
          </w:tcPr>
          <w:p>
            <w:pPr>
              <w:pStyle w:val="TableContents"/>
              <w:bidi w:val="0"/>
              <w:spacing w:before="0" w:after="0"/>
              <w:ind w:left="0" w:right="0" w:hanging="0"/>
              <w:jc w:val="right"/>
              <w:rPr/>
            </w:pPr>
            <w:r>
              <w:rPr/>
              <w:t>​</w:t>
            </w:r>
          </w:p>
        </w:tc>
        <w:tc>
          <w:tcPr>
            <w:tcW w:w="273" w:type="dxa"/>
            <w:tcBorders>
              <w:bottom w:val="single" w:sz="12" w:space="0" w:color="000000"/>
            </w:tcBorders>
            <w:tcMar>
              <w:bottom w:w="28" w:type="dxa"/>
            </w:tcMar>
            <w:vAlign w:val="center"/>
          </w:tcPr>
          <w:p>
            <w:pPr>
              <w:pStyle w:val="TableContents"/>
              <w:bidi w:val="0"/>
              <w:spacing w:before="0" w:after="0"/>
              <w:ind w:left="0" w:right="0" w:hanging="0"/>
              <w:jc w:val="left"/>
              <w:rPr/>
            </w:pPr>
            <w:r>
              <w:rPr/>
              <w:t> </w:t>
            </w:r>
          </w:p>
        </w:tc>
        <w:tc>
          <w:tcPr>
            <w:tcW w:w="1019"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1,235</w:t>
            </w:r>
          </w:p>
        </w:tc>
      </w:tr>
      <w:tr>
        <w:trPr/>
        <w:tc>
          <w:tcPr>
            <w:tcW w:w="411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net periodic pension benefit within other (expense) income, net</w:t>
            </w:r>
          </w:p>
        </w:tc>
        <w:tc>
          <w:tcPr>
            <w:tcW w:w="206" w:type="dxa"/>
            <w:tcBorders/>
            <w:shd w:fill="CCEEFF" w:val="clear"/>
            <w:vAlign w:val="center"/>
          </w:tcPr>
          <w:p>
            <w:pPr>
              <w:pStyle w:val="TableContents"/>
              <w:bidi w:val="0"/>
              <w:spacing w:before="0" w:after="0"/>
              <w:ind w:left="0" w:right="0" w:hanging="0"/>
              <w:jc w:val="left"/>
              <w:rPr/>
            </w:pPr>
            <w:r>
              <w:rPr/>
              <w:t>​</w:t>
            </w:r>
          </w:p>
        </w:tc>
        <w:tc>
          <w:tcPr>
            <w:tcW w:w="311" w:type="dxa"/>
            <w:tcBorders/>
            <w:shd w:fill="CCEEFF" w:val="clear"/>
            <w:vAlign w:val="center"/>
          </w:tcPr>
          <w:p>
            <w:pPr>
              <w:pStyle w:val="TableContents"/>
              <w:bidi w:val="0"/>
              <w:spacing w:before="0" w:after="0"/>
              <w:ind w:left="0" w:right="0" w:hanging="0"/>
              <w:jc w:val="right"/>
              <w:rPr/>
            </w:pPr>
            <w:r>
              <w:rPr/>
              <w:t>​</w:t>
            </w:r>
          </w:p>
        </w:tc>
        <w:tc>
          <w:tcPr>
            <w:tcW w:w="9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(3,785)</w:t>
            </w:r>
          </w:p>
        </w:tc>
        <w:tc>
          <w:tcPr>
            <w:tcW w:w="326" w:type="dxa"/>
            <w:tcBorders/>
            <w:shd w:fill="CCEEFF" w:val="clear"/>
            <w:vAlign w:val="center"/>
          </w:tcPr>
          <w:p>
            <w:pPr>
              <w:pStyle w:val="TableContents"/>
              <w:bidi w:val="0"/>
              <w:spacing w:before="0" w:after="0"/>
              <w:ind w:left="0" w:right="0" w:hanging="0"/>
              <w:jc w:val="left"/>
              <w:rPr/>
            </w:pPr>
            <w:r>
              <w:rPr/>
              <w:t>​</w:t>
            </w:r>
          </w:p>
        </w:tc>
        <w:tc>
          <w:tcPr>
            <w:tcW w:w="275" w:type="dxa"/>
            <w:tcBorders/>
            <w:shd w:fill="CCEEFF" w:val="clear"/>
            <w:vAlign w:val="center"/>
          </w:tcPr>
          <w:p>
            <w:pPr>
              <w:pStyle w:val="TableContents"/>
              <w:bidi w:val="0"/>
              <w:spacing w:before="0" w:after="0"/>
              <w:ind w:left="0" w:right="0" w:hanging="0"/>
              <w:jc w:val="right"/>
              <w:rPr/>
            </w:pPr>
            <w:r>
              <w:rPr/>
              <w:t>​</w:t>
            </w:r>
          </w:p>
        </w:tc>
        <w:tc>
          <w:tcPr>
            <w:tcW w:w="9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(4,913)</w:t>
            </w:r>
          </w:p>
        </w:tc>
        <w:tc>
          <w:tcPr>
            <w:tcW w:w="206" w:type="dxa"/>
            <w:tcBorders/>
            <w:shd w:fill="CCEEFF" w:val="clear"/>
            <w:vAlign w:val="center"/>
          </w:tcPr>
          <w:p>
            <w:pPr>
              <w:pStyle w:val="TableContents"/>
              <w:bidi w:val="0"/>
              <w:spacing w:before="0" w:after="0"/>
              <w:ind w:left="0" w:right="0" w:hanging="0"/>
              <w:jc w:val="left"/>
              <w:rPr/>
            </w:pPr>
            <w:r>
              <w:rPr/>
              <w:t>​</w:t>
            </w:r>
          </w:p>
        </w:tc>
        <w:tc>
          <w:tcPr>
            <w:tcW w:w="275" w:type="dxa"/>
            <w:tcBorders/>
            <w:shd w:fill="CCEEFF" w:val="clear"/>
            <w:vAlign w:val="center"/>
          </w:tcPr>
          <w:p>
            <w:pPr>
              <w:pStyle w:val="TableContents"/>
              <w:bidi w:val="0"/>
              <w:spacing w:before="0" w:after="0"/>
              <w:ind w:left="0" w:right="0" w:hanging="0"/>
              <w:jc w:val="right"/>
              <w:rPr/>
            </w:pPr>
            <w:r>
              <w:rPr/>
              <w:t>​</w:t>
            </w:r>
          </w:p>
        </w:tc>
        <w:tc>
          <w:tcPr>
            <w:tcW w:w="9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(7,568)</w:t>
            </w:r>
          </w:p>
        </w:tc>
        <w:tc>
          <w:tcPr>
            <w:tcW w:w="326" w:type="dxa"/>
            <w:tcBorders/>
            <w:shd w:fill="CCEEFF" w:val="clear"/>
            <w:vAlign w:val="center"/>
          </w:tcPr>
          <w:p>
            <w:pPr>
              <w:pStyle w:val="TableContents"/>
              <w:bidi w:val="0"/>
              <w:spacing w:before="0" w:after="0"/>
              <w:ind w:left="0" w:right="0" w:hanging="0"/>
              <w:jc w:val="right"/>
              <w:rPr/>
            </w:pPr>
            <w:r>
              <w:rPr/>
              <w:t>​</w:t>
            </w:r>
          </w:p>
        </w:tc>
        <w:tc>
          <w:tcPr>
            <w:tcW w:w="273" w:type="dxa"/>
            <w:tcBorders/>
            <w:shd w:fill="CCEEFF" w:val="clear"/>
            <w:vAlign w:val="center"/>
          </w:tcPr>
          <w:p>
            <w:pPr>
              <w:pStyle w:val="TableContents"/>
              <w:bidi w:val="0"/>
              <w:spacing w:before="0" w:after="0"/>
              <w:ind w:left="0" w:right="0" w:hanging="0"/>
              <w:jc w:val="left"/>
              <w:rPr/>
            </w:pPr>
            <w:r>
              <w:rPr/>
              <w:t>​</w:t>
            </w:r>
          </w:p>
        </w:tc>
        <w:tc>
          <w:tcPr>
            <w:tcW w:w="101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(9,828)</w:t>
            </w:r>
          </w:p>
        </w:tc>
      </w:tr>
      <w:tr>
        <w:trPr/>
        <w:tc>
          <w:tcPr>
            <w:tcW w:w="4119"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311" w:type="dxa"/>
            <w:tcBorders>
              <w:bottom w:val="single" w:sz="12" w:space="0" w:color="000000"/>
            </w:tcBorders>
            <w:tcMar>
              <w:bottom w:w="28" w:type="dxa"/>
            </w:tcMar>
            <w:vAlign w:val="center"/>
          </w:tcPr>
          <w:p>
            <w:pPr>
              <w:pStyle w:val="TableContents"/>
              <w:bidi w:val="0"/>
              <w:spacing w:before="0" w:after="0"/>
              <w:ind w:left="0" w:right="0" w:hanging="0"/>
              <w:jc w:val="right"/>
              <w:rPr/>
            </w:pPr>
            <w:r>
              <w:rPr/>
              <w:t>​</w:t>
            </w:r>
          </w:p>
        </w:tc>
        <w:tc>
          <w:tcPr>
            <w:tcW w:w="933" w:type="dxa"/>
            <w:tcBorders>
              <w:bottom w:val="single" w:sz="1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75" w:type="dxa"/>
            <w:tcBorders>
              <w:bottom w:val="single" w:sz="12" w:space="0" w:color="000000"/>
            </w:tcBorders>
            <w:tcMar>
              <w:bottom w:w="28" w:type="dxa"/>
            </w:tcMar>
            <w:vAlign w:val="center"/>
          </w:tcPr>
          <w:p>
            <w:pPr>
              <w:pStyle w:val="TableContents"/>
              <w:bidi w:val="0"/>
              <w:spacing w:before="0" w:after="0"/>
              <w:ind w:left="0" w:right="0" w:hanging="0"/>
              <w:jc w:val="right"/>
              <w:rPr/>
            </w:pPr>
            <w:r>
              <w:rPr/>
              <w:t>​</w:t>
            </w:r>
          </w:p>
        </w:tc>
        <w:tc>
          <w:tcPr>
            <w:tcW w:w="968" w:type="dxa"/>
            <w:tcBorders>
              <w:bottom w:val="single" w:sz="1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75" w:type="dxa"/>
            <w:tcBorders>
              <w:bottom w:val="single" w:sz="12" w:space="0" w:color="000000"/>
            </w:tcBorders>
            <w:tcMar>
              <w:bottom w:w="28" w:type="dxa"/>
            </w:tcMar>
            <w:vAlign w:val="center"/>
          </w:tcPr>
          <w:p>
            <w:pPr>
              <w:pStyle w:val="TableContents"/>
              <w:bidi w:val="0"/>
              <w:spacing w:before="0" w:after="0"/>
              <w:ind w:left="0" w:right="0" w:hanging="0"/>
              <w:jc w:val="right"/>
              <w:rPr/>
            </w:pPr>
            <w:r>
              <w:rPr/>
              <w:t>​</w:t>
            </w:r>
          </w:p>
        </w:tc>
        <w:tc>
          <w:tcPr>
            <w:tcW w:w="968" w:type="dxa"/>
            <w:tcBorders>
              <w:bottom w:val="single" w:sz="1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73" w:type="dxa"/>
            <w:tcBorders>
              <w:bottom w:val="single" w:sz="12" w:space="0" w:color="000000"/>
            </w:tcBorders>
            <w:tcMar>
              <w:bottom w:w="28" w:type="dxa"/>
            </w:tcMar>
            <w:vAlign w:val="center"/>
          </w:tcPr>
          <w:p>
            <w:pPr>
              <w:pStyle w:val="TableContents"/>
              <w:bidi w:val="0"/>
              <w:spacing w:before="0" w:after="0"/>
              <w:ind w:left="0" w:right="0" w:hanging="0"/>
              <w:jc w:val="left"/>
              <w:rPr/>
            </w:pPr>
            <w:r>
              <w:rPr/>
              <w:t>​</w:t>
            </w:r>
          </w:p>
        </w:tc>
        <w:tc>
          <w:tcPr>
            <w:tcW w:w="1019" w:type="dxa"/>
            <w:tcBorders>
              <w:bottom w:val="single" w:sz="12" w:space="0" w:color="000000"/>
            </w:tcBorders>
            <w:tcMar>
              <w:bottom w:w="28" w:type="dxa"/>
            </w:tcMar>
            <w:vAlign w:val="center"/>
          </w:tcPr>
          <w:p>
            <w:pPr>
              <w:pStyle w:val="TableContents"/>
              <w:bidi w:val="0"/>
              <w:spacing w:before="0" w:after="0"/>
              <w:ind w:left="0" w:right="0" w:hanging="0"/>
              <w:jc w:val="right"/>
              <w:rPr/>
            </w:pPr>
            <w:r>
              <w:rPr/>
              <w:t>​</w:t>
            </w:r>
          </w:p>
        </w:tc>
      </w:tr>
      <w:tr>
        <w:trPr/>
        <w:tc>
          <w:tcPr>
            <w:tcW w:w="41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periodic pension benefit</w:t>
            </w:r>
          </w:p>
        </w:tc>
        <w:tc>
          <w:tcPr>
            <w:tcW w:w="206" w:type="dxa"/>
            <w:tcBorders/>
            <w:shd w:fill="CCEEFF" w:val="clear"/>
            <w:vAlign w:val="center"/>
          </w:tcPr>
          <w:p>
            <w:pPr>
              <w:pStyle w:val="TableContents"/>
              <w:bidi w:val="0"/>
              <w:spacing w:before="0" w:after="0"/>
              <w:ind w:left="0" w:right="0" w:hanging="0"/>
              <w:jc w:val="left"/>
              <w:rPr/>
            </w:pPr>
            <w:r>
              <w:rPr/>
              <w:t>​</w:t>
            </w:r>
          </w:p>
        </w:tc>
        <w:tc>
          <w:tcPr>
            <w:tcW w:w="3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(1,222)</w:t>
            </w:r>
          </w:p>
        </w:tc>
        <w:tc>
          <w:tcPr>
            <w:tcW w:w="326" w:type="dxa"/>
            <w:tcBorders/>
            <w:shd w:fill="CCEEFF" w:val="clear"/>
            <w:vAlign w:val="center"/>
          </w:tcPr>
          <w:p>
            <w:pPr>
              <w:pStyle w:val="TableContents"/>
              <w:bidi w:val="0"/>
              <w:spacing w:before="0" w:after="0"/>
              <w:ind w:left="0" w:right="0" w:hanging="0"/>
              <w:jc w:val="left"/>
              <w:rPr/>
            </w:pPr>
            <w:r>
              <w:rPr/>
              <w:t>​</w:t>
            </w:r>
          </w:p>
        </w:tc>
        <w:tc>
          <w:tcPr>
            <w:tcW w:w="27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(1,909)</w:t>
            </w:r>
          </w:p>
        </w:tc>
        <w:tc>
          <w:tcPr>
            <w:tcW w:w="206" w:type="dxa"/>
            <w:tcBorders/>
            <w:shd w:fill="CCEEFF" w:val="clear"/>
            <w:vAlign w:val="center"/>
          </w:tcPr>
          <w:p>
            <w:pPr>
              <w:pStyle w:val="TableContents"/>
              <w:bidi w:val="0"/>
              <w:spacing w:before="0" w:after="0"/>
              <w:ind w:left="0" w:right="0" w:hanging="0"/>
              <w:jc w:val="left"/>
              <w:rPr/>
            </w:pPr>
            <w:r>
              <w:rPr/>
              <w:t>​</w:t>
            </w:r>
          </w:p>
        </w:tc>
        <w:tc>
          <w:tcPr>
            <w:tcW w:w="27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(2,442)</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(3,820)</w:t>
            </w:r>
          </w:p>
        </w:tc>
      </w:tr>
    </w:tbl>
    <w:p>
      <w:pPr>
        <w:pStyle w:val="TextBody"/>
        <w:bidi w:val="0"/>
        <w:spacing w:before="0" w:after="0"/>
        <w:ind w:left="0" w:right="0" w:hanging="0"/>
        <w:jc w:val="left"/>
        <w:rPr/>
      </w:pPr>
      <w:r>
        <w:rPr/>
        <w:t>​</w:t>
      </w:r>
    </w:p>
    <w:p>
      <w:pPr>
        <w:pStyle w:val="TextBody"/>
        <w:bidi w:val="0"/>
        <w:spacing w:before="0" w:after="0"/>
        <w:ind w:left="0" w:right="0" w:firstLine="480"/>
        <w:jc w:val="both"/>
        <w:rPr/>
      </w:pPr>
      <w:r>
        <w:rPr/>
        <w:t>​</w:t>
      </w:r>
    </w:p>
    <w:p>
      <w:pPr>
        <w:pStyle w:val="TextBody"/>
        <w:bidi w:val="0"/>
        <w:spacing w:before="0" w:after="0"/>
        <w:ind w:left="0" w:right="0" w:firstLine="475"/>
        <w:jc w:val="left"/>
        <w:rPr>
          <w:rFonts w:ascii="Times New Roman;Times;serif" w:hAnsi="Times New Roman;Times;serif"/>
          <w:sz w:val="20"/>
        </w:rPr>
      </w:pPr>
      <w:r>
        <w:rPr>
          <w:rFonts w:ascii="Times New Roman;Times;serif" w:hAnsi="Times New Roman;Times;serif"/>
          <w:sz w:val="20"/>
        </w:rPr>
        <w:t>The Company made $4.0 million of contributions during the first six months of fiscal 2024 and expects to make additional contributions to the Plan of $4.0 million in the remainder of fiscal 2024.</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bookmarkStart w:id="944" w:name="bm_9_Shareholders_equity"/>
      <w:bookmarkEnd w:id="944"/>
      <w:r>
        <w:rPr>
          <w:rFonts w:ascii="Times New Roman;Times;serif" w:hAnsi="Times New Roman;Times;serif"/>
          <w:b/>
          <w:sz w:val="20"/>
        </w:rPr>
        <w:t>10. Shareholders’ equity</w:t>
      </w:r>
    </w:p>
    <w:p>
      <w:pPr>
        <w:pStyle w:val="TextBody"/>
        <w:bidi w:val="0"/>
        <w:spacing w:before="0" w:after="0"/>
        <w:ind w:left="0" w:right="0" w:hanging="0"/>
        <w:jc w:val="both"/>
        <w:rPr/>
      </w:pPr>
      <w:r>
        <w:rPr/>
        <w:t>​</w:t>
      </w:r>
    </w:p>
    <w:p>
      <w:pPr>
        <w:pStyle w:val="TextBody"/>
        <w:bidi w:val="0"/>
        <w:spacing w:before="0" w:after="0"/>
        <w:ind w:left="0" w:right="0" w:firstLine="475"/>
        <w:jc w:val="both"/>
        <w:rPr>
          <w:rFonts w:ascii="Times New Roman;Times;serif" w:hAnsi="Times New Roman;Times;serif"/>
          <w:i/>
          <w:sz w:val="20"/>
        </w:rPr>
      </w:pPr>
      <w:r>
        <w:rPr>
          <w:rFonts w:ascii="Times New Roman;Times;serif" w:hAnsi="Times New Roman;Times;serif"/>
          <w:i/>
          <w:sz w:val="20"/>
        </w:rPr>
        <w:t>Share repurchase program</w:t>
      </w:r>
    </w:p>
    <w:p>
      <w:pPr>
        <w:pStyle w:val="TextBody"/>
        <w:bidi w:val="0"/>
        <w:spacing w:before="0" w:after="0"/>
        <w:ind w:left="0" w:right="0" w:hanging="0"/>
        <w:jc w:val="both"/>
        <w:rPr/>
      </w:pPr>
      <w:r>
        <w:rPr/>
        <w:t>​</w:t>
      </w:r>
    </w:p>
    <w:p>
      <w:pPr>
        <w:pStyle w:val="TextBody"/>
        <w:bidi w:val="0"/>
        <w:spacing w:before="0" w:after="0"/>
        <w:ind w:left="0" w:right="0" w:firstLine="475"/>
        <w:jc w:val="left"/>
        <w:rPr>
          <w:rFonts w:ascii="Times New Roman;Times;serif" w:hAnsi="Times New Roman;Times;serif"/>
          <w:sz w:val="20"/>
        </w:rPr>
      </w:pPr>
      <w:r>
        <w:rPr>
          <w:rFonts w:ascii="Times New Roman;Times;serif" w:hAnsi="Times New Roman;Times;serif"/>
          <w:sz w:val="20"/>
        </w:rPr>
        <w:t>During the second quarter of fiscal 2024, the Company repurchased 1.3 million shares under existing programs for a total cost of $59.9 million. As of December 30, 2023, the Company had $232.5 million remaining under its share repurchase authorization.</w:t>
      </w:r>
    </w:p>
    <w:p>
      <w:pPr>
        <w:pStyle w:val="TextBody"/>
        <w:bidi w:val="0"/>
        <w:spacing w:before="0" w:after="0"/>
        <w:ind w:left="0" w:right="0" w:firstLine="475"/>
        <w:jc w:val="both"/>
        <w:rPr/>
      </w:pPr>
      <w:r>
        <w:rPr/>
        <w:t>​</w:t>
      </w:r>
    </w:p>
    <w:p>
      <w:pPr>
        <w:pStyle w:val="TextBody"/>
        <w:bidi w:val="0"/>
        <w:spacing w:before="0" w:after="0"/>
        <w:ind w:left="0" w:right="0" w:firstLine="475"/>
        <w:jc w:val="both"/>
        <w:rPr>
          <w:rFonts w:ascii="Times New Roman;Times;serif" w:hAnsi="Times New Roman;Times;serif"/>
          <w:i/>
          <w:sz w:val="20"/>
        </w:rPr>
      </w:pPr>
      <w:r>
        <w:rPr>
          <w:rFonts w:ascii="Times New Roman;Times;serif" w:hAnsi="Times New Roman;Times;serif"/>
          <w:i/>
          <w:sz w:val="20"/>
        </w:rPr>
        <w:t>Common stock dividend</w:t>
      </w:r>
    </w:p>
    <w:p>
      <w:pPr>
        <w:pStyle w:val="TextBody"/>
        <w:bidi w:val="0"/>
        <w:spacing w:before="0" w:after="0"/>
        <w:ind w:left="0" w:right="0" w:firstLine="180"/>
        <w:jc w:val="both"/>
        <w:rPr/>
      </w:pPr>
      <w:r>
        <w:rPr/>
        <w:t>​</w:t>
      </w:r>
    </w:p>
    <w:p>
      <w:pPr>
        <w:pStyle w:val="TextBody"/>
        <w:bidi w:val="0"/>
        <w:spacing w:before="0" w:after="0"/>
        <w:ind w:left="0" w:right="0" w:firstLine="480"/>
        <w:jc w:val="left"/>
        <w:rPr>
          <w:rFonts w:ascii="Times New Roman;Times;serif" w:hAnsi="Times New Roman;Times;serif"/>
          <w:sz w:val="20"/>
        </w:rPr>
      </w:pPr>
      <w:r>
        <w:rPr>
          <w:rFonts w:ascii="Times New Roman;Times;serif" w:hAnsi="Times New Roman;Times;serif"/>
          <w:sz w:val="20"/>
        </w:rPr>
        <w:t>In November 2023, the Company’s Board of Directors approved a dividend of $0.31 per common share and dividend payments of $27.8 million were made in December 2023.</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lineRule="auto" w:line="343"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43" w:before="0" w:after="0"/>
        <w:ind w:left="0" w:right="0" w:hanging="0"/>
        <w:jc w:val="center"/>
        <w:rPr>
          <w:rFonts w:ascii="Times New Roman;Times;serif" w:hAnsi="Times New Roman;Times;serif"/>
          <w:b/>
          <w:sz w:val="20"/>
        </w:rPr>
      </w:pPr>
      <w:r>
        <w:rPr>
          <w:rFonts w:ascii="Times New Roman;Times;serif" w:hAnsi="Times New Roman;Times;serif"/>
          <w:b/>
          <w:sz w:val="20"/>
        </w:rPr>
        <w:t>AVNET, INC. AND SUBSIDIARIES</w:t>
      </w:r>
    </w:p>
    <w:p>
      <w:pPr>
        <w:pStyle w:val="TextBody"/>
        <w:bidi w:val="0"/>
        <w:spacing w:lineRule="auto" w:line="343"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hanging="0"/>
        <w:jc w:val="both"/>
        <w:rPr>
          <w:rFonts w:ascii="Times New Roman;Times;serif" w:hAnsi="Times New Roman;Times;serif"/>
          <w:b/>
          <w:sz w:val="20"/>
        </w:rPr>
      </w:pPr>
      <w:bookmarkStart w:id="945" w:name="Tc_UnfkcoelYke2Yk4UG0YX4w_14_0"/>
      <w:bookmarkStart w:id="946" w:name="Tc_hT2wd-igC0CWBxugGooLRA_13_11"/>
      <w:bookmarkStart w:id="947" w:name="Tc_m_NDGvKhpkOl-tGsUwe6NA_13_8"/>
      <w:bookmarkStart w:id="948" w:name="Tc_-MVokXkIiUWxkBTAkU6GbA_13_5"/>
      <w:bookmarkStart w:id="949" w:name="Tc_FOPuTnlqAEur1hTyQKRy6w_13_2"/>
      <w:bookmarkStart w:id="950" w:name="Tc_39GgN_KTzEqnlgFFUHTshQ_13_0"/>
      <w:bookmarkStart w:id="951" w:name="Tc_Vpnw8WJzx0GjgN4ypLu9Jg_12_11"/>
      <w:bookmarkStart w:id="952" w:name="Tc_wxxSiGZcXUact-Z_-XH6kw_12_8"/>
      <w:bookmarkStart w:id="953" w:name="Tc_Kr6SMwezy0-qPMvwTnCTDA_12_5"/>
      <w:bookmarkStart w:id="954" w:name="Tc_DA_UgItSQ0Ss75cJvo8Rnw_12_2"/>
      <w:bookmarkStart w:id="955" w:name="Tc_yeiEAX7kDU6RN8-taNtpFg_12_0"/>
      <w:bookmarkStart w:id="956" w:name="Tc_IR7d0kG2y0O7YU2N_XXL6A_11_0"/>
      <w:bookmarkStart w:id="957" w:name="Tc_T8ZRUoomAE-wWLaqhLfuVw_10_0"/>
      <w:bookmarkStart w:id="958" w:name="Tc_P_Z0mIGqakaDNJ8iEC6NRg_9_0"/>
      <w:bookmarkStart w:id="959" w:name="Tc_bP-jwoHASEK8zDDuxNYTyQ_8_0"/>
      <w:bookmarkStart w:id="960" w:name="Tc_YJ4jN77OF0mpkiEmKE-kSA_6_11"/>
      <w:bookmarkStart w:id="961" w:name="Tc_YKE3JT_7A0uF2jNtBt6RwQ_6_8"/>
      <w:bookmarkStart w:id="962" w:name="Tc_W11fpgqnPEmw9meVIbtxjw_6_5"/>
      <w:bookmarkStart w:id="963" w:name="Tc_HPp_UHpplkOF4WiEG-6N0Q_6_2"/>
      <w:bookmarkStart w:id="964" w:name="Tc_YJmpSvS47EKb4FIwXOYQ3Q_6_0"/>
      <w:bookmarkStart w:id="965" w:name="Tc_GfItcYYTUkO2sXxEsFsPwQ_5_0"/>
      <w:bookmarkStart w:id="966" w:name="Tc_CeqpCDouJUerl7m3dsG6Fw_4_2"/>
      <w:bookmarkStart w:id="967" w:name="Tc_jqUadyHs_EeiIP9cGZ7umQ_3_11"/>
      <w:bookmarkStart w:id="968" w:name="Tc_2wlJUXGs-EatEo9j23gc1g_3_8"/>
      <w:bookmarkStart w:id="969" w:name="Tc_o8CwC5w_dES6LJjHDQjYww_3_5"/>
      <w:bookmarkStart w:id="970" w:name="Tc_dISbbdgG20GSHacEHXGnBw_3_2"/>
      <w:bookmarkStart w:id="971" w:name="Tc_INb92mIxd0KX63zIPaQANA_2_11"/>
      <w:bookmarkStart w:id="972" w:name="Tc_Qk-MvIy8HEqx76FzdpILFA_2_8"/>
      <w:bookmarkStart w:id="973" w:name="Tc_CsloB1bVmEel_P8oYt4whA_2_5"/>
      <w:bookmarkStart w:id="974" w:name="Tc_U1bes58-fUCTn8lZw6aVcQ_2_2"/>
      <w:bookmarkStart w:id="975" w:name="Tc_wr5WBcaqtEK_CoSikdsx2Q_1_8"/>
      <w:bookmarkStart w:id="976" w:name="Tc_mPDzXEGMaU2JmOEkBNAHSw_1_2"/>
      <w:bookmarkStart w:id="977" w:name="bm_10_Earnings_per_share"/>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r>
        <w:rPr>
          <w:rFonts w:ascii="Times New Roman;Times;serif" w:hAnsi="Times New Roman;Times;serif"/>
          <w:b/>
          <w:sz w:val="20"/>
        </w:rPr>
        <w:t>11. Earnings per share</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4380"/>
        <w:gridCol w:w="146"/>
        <w:gridCol w:w="262"/>
        <w:gridCol w:w="976"/>
        <w:gridCol w:w="266"/>
        <w:gridCol w:w="262"/>
        <w:gridCol w:w="976"/>
        <w:gridCol w:w="206"/>
        <w:gridCol w:w="262"/>
        <w:gridCol w:w="976"/>
        <w:gridCol w:w="206"/>
        <w:gridCol w:w="260"/>
        <w:gridCol w:w="1027"/>
      </w:tblGrid>
      <w:tr>
        <w:trPr/>
        <w:tc>
          <w:tcPr>
            <w:tcW w:w="43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781300" cy="175260"/>
                      <wp:effectExtent l="0" t="0" r="0" b="0"/>
                      <wp:wrapNone/>
                      <wp:docPr id="180" name="Frame180"/>
                      <a:graphic xmlns:a="http://schemas.openxmlformats.org/drawingml/2006/main">
                        <a:graphicData uri="http://schemas.microsoft.com/office/word/2010/wordprocessingShape">
                          <wps:wsp>
                            <wps:cNvSpPr txBox="1"/>
                            <wps:spPr>
                              <a:xfrm>
                                <a:off x="0" y="0"/>
                                <a:ext cx="27813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92710" cy="175260"/>
                      <wp:effectExtent l="0" t="0" r="0" b="0"/>
                      <wp:wrapNone/>
                      <wp:docPr id="181" name="Frame181"/>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166370" cy="175260"/>
                      <wp:effectExtent l="0" t="0" r="0" b="0"/>
                      <wp:wrapNone/>
                      <wp:docPr id="182" name="Frame182"/>
                      <a:graphic xmlns:a="http://schemas.openxmlformats.org/drawingml/2006/main">
                        <a:graphicData uri="http://schemas.microsoft.com/office/word/2010/wordprocessingShape">
                          <wps:wsp>
                            <wps:cNvSpPr txBox="1"/>
                            <wps:spPr>
                              <a:xfrm>
                                <a:off x="0" y="0"/>
                                <a:ext cx="166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19760" cy="175260"/>
                      <wp:effectExtent l="0" t="0" r="0" b="0"/>
                      <wp:wrapNone/>
                      <wp:docPr id="183" name="Frame183"/>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168910" cy="175260"/>
                      <wp:effectExtent l="0" t="0" r="0" b="0"/>
                      <wp:wrapNone/>
                      <wp:docPr id="184" name="Frame184"/>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166370" cy="175260"/>
                      <wp:effectExtent l="0" t="0" r="0" b="0"/>
                      <wp:wrapNone/>
                      <wp:docPr id="185" name="Frame185"/>
                      <a:graphic xmlns:a="http://schemas.openxmlformats.org/drawingml/2006/main">
                        <a:graphicData uri="http://schemas.microsoft.com/office/word/2010/wordprocessingShape">
                          <wps:wsp>
                            <wps:cNvSpPr txBox="1"/>
                            <wps:spPr>
                              <a:xfrm>
                                <a:off x="0" y="0"/>
                                <a:ext cx="166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19760" cy="175260"/>
                      <wp:effectExtent l="0" t="0" r="0" b="0"/>
                      <wp:wrapNone/>
                      <wp:docPr id="186" name="Frame186"/>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130810" cy="175260"/>
                      <wp:effectExtent l="0" t="0" r="0" b="0"/>
                      <wp:wrapNone/>
                      <wp:docPr id="187" name="Frame187"/>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166370" cy="175260"/>
                      <wp:effectExtent l="0" t="0" r="0" b="0"/>
                      <wp:wrapNone/>
                      <wp:docPr id="188" name="Frame188"/>
                      <a:graphic xmlns:a="http://schemas.openxmlformats.org/drawingml/2006/main">
                        <a:graphicData uri="http://schemas.microsoft.com/office/word/2010/wordprocessingShape">
                          <wps:wsp>
                            <wps:cNvSpPr txBox="1"/>
                            <wps:spPr>
                              <a:xfrm>
                                <a:off x="0" y="0"/>
                                <a:ext cx="166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19760" cy="175260"/>
                      <wp:effectExtent l="0" t="0" r="0" b="0"/>
                      <wp:wrapNone/>
                      <wp:docPr id="189" name="Frame189"/>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130810" cy="175260"/>
                      <wp:effectExtent l="0" t="0" r="0" b="0"/>
                      <wp:wrapNone/>
                      <wp:docPr id="190" name="Frame190"/>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165100" cy="175260"/>
                      <wp:effectExtent l="0" t="0" r="0" b="0"/>
                      <wp:wrapNone/>
                      <wp:docPr id="191" name="Frame191"/>
                      <a:graphic xmlns:a="http://schemas.openxmlformats.org/drawingml/2006/main">
                        <a:graphicData uri="http://schemas.microsoft.com/office/word/2010/wordprocessingShape">
                          <wps:wsp>
                            <wps:cNvSpPr txBox="1"/>
                            <wps:spPr>
                              <a:xfrm>
                                <a:off x="0" y="0"/>
                                <a:ext cx="165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52145" cy="175260"/>
                      <wp:effectExtent l="0" t="0" r="0" b="0"/>
                      <wp:wrapNone/>
                      <wp:docPr id="192" name="Frame192"/>
                      <a:graphic xmlns:a="http://schemas.openxmlformats.org/drawingml/2006/main">
                        <a:graphicData uri="http://schemas.microsoft.com/office/word/2010/wordprocessingShape">
                          <wps:wsp>
                            <wps:cNvSpPr txBox="1"/>
                            <wps:spPr>
                              <a:xfrm>
                                <a:off x="0" y="0"/>
                                <a:ext cx="652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80"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742"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Second Quarters Ended</w:t>
            </w:r>
          </w:p>
        </w:tc>
        <w:tc>
          <w:tcPr>
            <w:tcW w:w="206" w:type="dxa"/>
            <w:tcBorders/>
            <w:vAlign w:val="center"/>
          </w:tcPr>
          <w:p>
            <w:pPr>
              <w:pStyle w:val="TableContents"/>
              <w:bidi w:val="0"/>
              <w:spacing w:before="0" w:after="0"/>
              <w:ind w:left="0" w:right="0" w:hanging="0"/>
              <w:jc w:val="left"/>
              <w:rPr/>
            </w:pPr>
            <w:r>
              <w:rPr/>
              <w:t>​</w:t>
            </w:r>
          </w:p>
        </w:tc>
        <w:tc>
          <w:tcPr>
            <w:tcW w:w="2731"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Six Months Ended</w:t>
            </w:r>
          </w:p>
        </w:tc>
      </w:tr>
      <w:tr>
        <w:trPr/>
        <w:tc>
          <w:tcPr>
            <w:tcW w:w="4380"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1238"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30,</w:t>
            </w:r>
          </w:p>
        </w:tc>
        <w:tc>
          <w:tcPr>
            <w:tcW w:w="266" w:type="dxa"/>
            <w:tcBorders/>
            <w:vAlign w:val="center"/>
          </w:tcPr>
          <w:p>
            <w:pPr>
              <w:pStyle w:val="TableContents"/>
              <w:bidi w:val="0"/>
              <w:spacing w:before="0" w:after="0"/>
              <w:ind w:left="0" w:right="0" w:hanging="0"/>
              <w:jc w:val="center"/>
              <w:rPr/>
            </w:pPr>
            <w:r>
              <w:rPr/>
              <w:t>​</w:t>
            </w:r>
          </w:p>
        </w:tc>
        <w:tc>
          <w:tcPr>
            <w:tcW w:w="1238"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w:t>
            </w:r>
          </w:p>
        </w:tc>
        <w:tc>
          <w:tcPr>
            <w:tcW w:w="206" w:type="dxa"/>
            <w:tcBorders/>
            <w:vAlign w:val="center"/>
          </w:tcPr>
          <w:p>
            <w:pPr>
              <w:pStyle w:val="TableContents"/>
              <w:bidi w:val="0"/>
              <w:spacing w:before="0" w:after="0"/>
              <w:ind w:left="0" w:right="0" w:hanging="0"/>
              <w:jc w:val="left"/>
              <w:rPr/>
            </w:pPr>
            <w:r>
              <w:rPr/>
              <w:t>​</w:t>
            </w:r>
          </w:p>
        </w:tc>
        <w:tc>
          <w:tcPr>
            <w:tcW w:w="1238"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30,</w:t>
            </w:r>
          </w:p>
        </w:tc>
        <w:tc>
          <w:tcPr>
            <w:tcW w:w="206" w:type="dxa"/>
            <w:tcBorders/>
            <w:vAlign w:val="center"/>
          </w:tcPr>
          <w:p>
            <w:pPr>
              <w:pStyle w:val="TableContents"/>
              <w:bidi w:val="0"/>
              <w:spacing w:before="0" w:after="0"/>
              <w:ind w:left="0" w:right="0" w:hanging="0"/>
              <w:jc w:val="center"/>
              <w:rPr/>
            </w:pPr>
            <w:r>
              <w:rPr/>
              <w:t>​</w:t>
            </w:r>
          </w:p>
        </w:tc>
        <w:tc>
          <w:tcPr>
            <w:tcW w:w="1287"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w:t>
            </w:r>
          </w:p>
        </w:tc>
      </w:tr>
      <w:tr>
        <w:trPr/>
        <w:tc>
          <w:tcPr>
            <w:tcW w:w="4380"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238"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266" w:type="dxa"/>
            <w:tcBorders/>
            <w:vAlign w:val="center"/>
          </w:tcPr>
          <w:p>
            <w:pPr>
              <w:pStyle w:val="TableContents"/>
              <w:bidi w:val="0"/>
              <w:spacing w:before="0" w:after="0"/>
              <w:ind w:left="0" w:right="0" w:hanging="0"/>
              <w:jc w:val="center"/>
              <w:rPr/>
            </w:pPr>
            <w:r>
              <w:rPr/>
              <w:t>  </w:t>
            </w:r>
          </w:p>
        </w:tc>
        <w:tc>
          <w:tcPr>
            <w:tcW w:w="1238"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206" w:type="dxa"/>
            <w:tcBorders/>
            <w:vAlign w:val="center"/>
          </w:tcPr>
          <w:p>
            <w:pPr>
              <w:pStyle w:val="TableContents"/>
              <w:bidi w:val="0"/>
              <w:spacing w:before="0" w:after="0"/>
              <w:ind w:left="0" w:right="0" w:hanging="0"/>
              <w:jc w:val="left"/>
              <w:rPr/>
            </w:pPr>
            <w:r>
              <w:rPr/>
              <w:t>  </w:t>
            </w:r>
          </w:p>
        </w:tc>
        <w:tc>
          <w:tcPr>
            <w:tcW w:w="1238"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206" w:type="dxa"/>
            <w:tcBorders/>
            <w:vAlign w:val="center"/>
          </w:tcPr>
          <w:p>
            <w:pPr>
              <w:pStyle w:val="TableContents"/>
              <w:bidi w:val="0"/>
              <w:spacing w:before="0" w:after="0"/>
              <w:ind w:left="0" w:right="0" w:hanging="0"/>
              <w:jc w:val="center"/>
              <w:rPr/>
            </w:pPr>
            <w:r>
              <w:rPr/>
              <w:t>  </w:t>
            </w:r>
          </w:p>
        </w:tc>
        <w:tc>
          <w:tcPr>
            <w:tcW w:w="1287"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r>
      <w:tr>
        <w:trPr/>
        <w:tc>
          <w:tcPr>
            <w:tcW w:w="102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4380"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5679" w:type="dxa"/>
            <w:gridSpan w:val="11"/>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(Thousands, except per share data)</w:t>
            </w:r>
          </w:p>
        </w:tc>
      </w:tr>
      <w:tr>
        <w:trPr/>
        <w:tc>
          <w:tcPr>
            <w:tcW w:w="43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Numerator:</w:t>
            </w:r>
          </w:p>
        </w:tc>
        <w:tc>
          <w:tcPr>
            <w:tcW w:w="146"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left"/>
              <w:rPr/>
            </w:pPr>
            <w:r>
              <w:rPr/>
              <w:t>​</w:t>
            </w:r>
          </w:p>
        </w:tc>
        <w:tc>
          <w:tcPr>
            <w:tcW w:w="266" w:type="dxa"/>
            <w:tcBorders/>
            <w:shd w:fill="CCEEFF" w:val="clear"/>
            <w:vAlign w:val="center"/>
          </w:tcPr>
          <w:p>
            <w:pPr>
              <w:pStyle w:val="TableContents"/>
              <w:bidi w:val="0"/>
              <w:spacing w:before="0" w:after="0"/>
              <w:ind w:left="0" w:right="0" w:hanging="0"/>
              <w:jc w:val="center"/>
              <w:rPr/>
            </w:pPr>
            <w:r>
              <w:rPr/>
              <w:t>   </w:t>
            </w:r>
          </w:p>
        </w:tc>
        <w:tc>
          <w:tcPr>
            <w:tcW w:w="262"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1027" w:type="dxa"/>
            <w:tcBorders/>
            <w:shd w:fill="CCEEFF" w:val="clear"/>
            <w:vAlign w:val="center"/>
          </w:tcPr>
          <w:p>
            <w:pPr>
              <w:pStyle w:val="TableContents"/>
              <w:bidi w:val="0"/>
              <w:spacing w:before="0" w:after="0"/>
              <w:ind w:left="0" w:right="0" w:hanging="0"/>
              <w:jc w:val="left"/>
              <w:rPr/>
            </w:pPr>
            <w:r>
              <w:rPr/>
              <w:t>​</w:t>
            </w:r>
          </w:p>
        </w:tc>
      </w:tr>
      <w:tr>
        <w:trPr/>
        <w:tc>
          <w:tcPr>
            <w:tcW w:w="43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146" w:type="dxa"/>
            <w:tcBorders/>
            <w:vAlign w:val="center"/>
          </w:tcPr>
          <w:p>
            <w:pPr>
              <w:pStyle w:val="TableContents"/>
              <w:bidi w:val="0"/>
              <w:spacing w:before="0" w:after="0"/>
              <w:ind w:left="0" w:right="0" w:hanging="0"/>
              <w:jc w:val="left"/>
              <w:rPr/>
            </w:pPr>
            <w:r>
              <w:rPr/>
              <w:t>​</w:t>
            </w:r>
          </w:p>
        </w:tc>
        <w:tc>
          <w:tcPr>
            <w:tcW w:w="26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117,931</w:t>
            </w:r>
          </w:p>
        </w:tc>
        <w:tc>
          <w:tcPr>
            <w:tcW w:w="266" w:type="dxa"/>
            <w:tcBorders/>
            <w:vAlign w:val="center"/>
          </w:tcPr>
          <w:p>
            <w:pPr>
              <w:pStyle w:val="TableContents"/>
              <w:bidi w:val="0"/>
              <w:spacing w:before="0" w:after="0"/>
              <w:ind w:left="0" w:right="0" w:hanging="0"/>
              <w:jc w:val="center"/>
              <w:rPr/>
            </w:pPr>
            <w:r>
              <w:rPr/>
              <w:t>​</w:t>
            </w:r>
          </w:p>
        </w:tc>
        <w:tc>
          <w:tcPr>
            <w:tcW w:w="26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243,886</w:t>
            </w:r>
          </w:p>
        </w:tc>
        <w:tc>
          <w:tcPr>
            <w:tcW w:w="206" w:type="dxa"/>
            <w:tcBorders/>
            <w:vAlign w:val="center"/>
          </w:tcPr>
          <w:p>
            <w:pPr>
              <w:pStyle w:val="TableContents"/>
              <w:bidi w:val="0"/>
              <w:spacing w:before="0" w:after="0"/>
              <w:ind w:left="0" w:right="0" w:hanging="0"/>
              <w:jc w:val="left"/>
              <w:rPr/>
            </w:pPr>
            <w:r>
              <w:rPr/>
              <w:t>​</w:t>
            </w:r>
          </w:p>
        </w:tc>
        <w:tc>
          <w:tcPr>
            <w:tcW w:w="26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327,199</w:t>
            </w:r>
          </w:p>
        </w:tc>
        <w:tc>
          <w:tcPr>
            <w:tcW w:w="206" w:type="dxa"/>
            <w:tcBorders/>
            <w:vAlign w:val="center"/>
          </w:tcPr>
          <w:p>
            <w:pPr>
              <w:pStyle w:val="TableContents"/>
              <w:bidi w:val="0"/>
              <w:spacing w:before="0" w:after="0"/>
              <w:ind w:left="0" w:right="0" w:hanging="0"/>
              <w:jc w:val="center"/>
              <w:rPr/>
            </w:pPr>
            <w:r>
              <w:rPr/>
              <w:t>​</w:t>
            </w:r>
          </w:p>
        </w:tc>
        <w:tc>
          <w:tcPr>
            <w:tcW w:w="26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428,147</w:t>
            </w:r>
          </w:p>
        </w:tc>
      </w:tr>
      <w:tr>
        <w:trPr/>
        <w:tc>
          <w:tcPr>
            <w:tcW w:w="4380"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266" w:type="dxa"/>
            <w:tcBorders/>
            <w:shd w:fill="CCEEFF" w:val="clear"/>
            <w:vAlign w:val="center"/>
          </w:tcPr>
          <w:p>
            <w:pPr>
              <w:pStyle w:val="TableContents"/>
              <w:bidi w:val="0"/>
              <w:spacing w:before="0" w:after="0"/>
              <w:ind w:left="0" w:right="0" w:hanging="0"/>
              <w:jc w:val="center"/>
              <w:rPr/>
            </w:pPr>
            <w:r>
              <w:rPr/>
              <w:t>​</w:t>
            </w:r>
          </w:p>
        </w:tc>
        <w:tc>
          <w:tcPr>
            <w:tcW w:w="262"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center"/>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1027" w:type="dxa"/>
            <w:tcBorders/>
            <w:shd w:fill="CCEEFF" w:val="clear"/>
            <w:vAlign w:val="center"/>
          </w:tcPr>
          <w:p>
            <w:pPr>
              <w:pStyle w:val="TableContents"/>
              <w:bidi w:val="0"/>
              <w:spacing w:before="0" w:after="0"/>
              <w:ind w:left="0" w:right="0" w:hanging="0"/>
              <w:jc w:val="right"/>
              <w:rPr/>
            </w:pPr>
            <w:r>
              <w:rPr/>
              <w:t>​</w:t>
            </w:r>
          </w:p>
        </w:tc>
      </w:tr>
      <w:tr>
        <w:trPr/>
        <w:tc>
          <w:tcPr>
            <w:tcW w:w="43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Denominator:</w:t>
            </w:r>
          </w:p>
        </w:tc>
        <w:tc>
          <w:tcPr>
            <w:tcW w:w="14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right"/>
              <w:rPr/>
            </w:pPr>
            <w:r>
              <w:rPr/>
              <w:t>​</w:t>
            </w:r>
          </w:p>
        </w:tc>
        <w:tc>
          <w:tcPr>
            <w:tcW w:w="976" w:type="dxa"/>
            <w:tcBorders/>
            <w:vAlign w:val="center"/>
          </w:tcPr>
          <w:p>
            <w:pPr>
              <w:pStyle w:val="TableContents"/>
              <w:bidi w:val="0"/>
              <w:spacing w:before="0" w:after="0"/>
              <w:ind w:left="0" w:right="0" w:hanging="0"/>
              <w:jc w:val="right"/>
              <w:rPr/>
            </w:pPr>
            <w:r>
              <w:rPr/>
              <w:t>​</w:t>
            </w:r>
          </w:p>
        </w:tc>
        <w:tc>
          <w:tcPr>
            <w:tcW w:w="26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right"/>
              <w:rPr/>
            </w:pPr>
            <w:r>
              <w:rPr/>
              <w:t>​</w:t>
            </w:r>
          </w:p>
        </w:tc>
        <w:tc>
          <w:tcPr>
            <w:tcW w:w="97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right"/>
              <w:rPr/>
            </w:pPr>
            <w:r>
              <w:rPr/>
              <w:t>​</w:t>
            </w:r>
          </w:p>
        </w:tc>
        <w:tc>
          <w:tcPr>
            <w:tcW w:w="97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right"/>
              <w:rPr/>
            </w:pPr>
            <w:r>
              <w:rPr/>
              <w:t>​</w:t>
            </w:r>
          </w:p>
        </w:tc>
        <w:tc>
          <w:tcPr>
            <w:tcW w:w="1027" w:type="dxa"/>
            <w:tcBorders/>
            <w:vAlign w:val="center"/>
          </w:tcPr>
          <w:p>
            <w:pPr>
              <w:pStyle w:val="TableContents"/>
              <w:bidi w:val="0"/>
              <w:spacing w:before="0" w:after="0"/>
              <w:ind w:left="0" w:right="0" w:hanging="0"/>
              <w:jc w:val="right"/>
              <w:rPr/>
            </w:pPr>
            <w:r>
              <w:rPr/>
              <w:t>​</w:t>
            </w:r>
          </w:p>
        </w:tc>
      </w:tr>
      <w:tr>
        <w:trPr/>
        <w:tc>
          <w:tcPr>
            <w:tcW w:w="438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common shares for basic earnings per share</w:t>
            </w:r>
          </w:p>
        </w:tc>
        <w:tc>
          <w:tcPr>
            <w:tcW w:w="146"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righ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90,253</w:t>
            </w:r>
          </w:p>
        </w:tc>
        <w:tc>
          <w:tcPr>
            <w:tcW w:w="266"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righ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91,192</w:t>
            </w:r>
          </w:p>
        </w:tc>
        <w:tc>
          <w:tcPr>
            <w:tcW w:w="206"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righ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90,874</w:t>
            </w:r>
          </w:p>
        </w:tc>
        <w:tc>
          <w:tcPr>
            <w:tcW w:w="20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right"/>
              <w:rPr/>
            </w:pPr>
            <w:r>
              <w:rPr/>
              <w:t> </w:t>
            </w:r>
          </w:p>
        </w:tc>
        <w:tc>
          <w:tcPr>
            <w:tcW w:w="10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92,621</w:t>
            </w:r>
          </w:p>
        </w:tc>
      </w:tr>
      <w:tr>
        <w:trPr/>
        <w:tc>
          <w:tcPr>
            <w:tcW w:w="43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effect of dilutive stock-based compensation awards</w:t>
            </w:r>
          </w:p>
        </w:tc>
        <w:tc>
          <w:tcPr>
            <w:tcW w:w="146" w:type="dxa"/>
            <w:tcBorders/>
            <w:vAlign w:val="center"/>
          </w:tcPr>
          <w:p>
            <w:pPr>
              <w:pStyle w:val="TableContents"/>
              <w:bidi w:val="0"/>
              <w:spacing w:before="0" w:after="0"/>
              <w:ind w:left="0" w:right="0" w:hanging="0"/>
              <w:jc w:val="left"/>
              <w:rPr/>
            </w:pPr>
            <w:r>
              <w:rPr/>
              <w:t>​</w:t>
            </w:r>
          </w:p>
        </w:tc>
        <w:tc>
          <w:tcPr>
            <w:tcW w:w="262"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c>
          <w:tcPr>
            <w:tcW w:w="976"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1,539</w:t>
            </w:r>
          </w:p>
        </w:tc>
        <w:tc>
          <w:tcPr>
            <w:tcW w:w="266" w:type="dxa"/>
            <w:tcBorders/>
            <w:vAlign w:val="center"/>
          </w:tcPr>
          <w:p>
            <w:pPr>
              <w:pStyle w:val="TableContents"/>
              <w:bidi w:val="0"/>
              <w:spacing w:before="0" w:after="0"/>
              <w:ind w:left="0" w:right="0" w:hanging="0"/>
              <w:jc w:val="left"/>
              <w:rPr/>
            </w:pPr>
            <w:r>
              <w:rPr/>
              <w:t>​</w:t>
            </w:r>
          </w:p>
        </w:tc>
        <w:tc>
          <w:tcPr>
            <w:tcW w:w="262"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c>
          <w:tcPr>
            <w:tcW w:w="976"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1,563</w:t>
            </w:r>
          </w:p>
        </w:tc>
        <w:tc>
          <w:tcPr>
            <w:tcW w:w="206" w:type="dxa"/>
            <w:tcBorders/>
            <w:vAlign w:val="center"/>
          </w:tcPr>
          <w:p>
            <w:pPr>
              <w:pStyle w:val="TableContents"/>
              <w:bidi w:val="0"/>
              <w:spacing w:before="0" w:after="0"/>
              <w:ind w:left="0" w:right="0" w:hanging="0"/>
              <w:jc w:val="left"/>
              <w:rPr/>
            </w:pPr>
            <w:r>
              <w:rPr/>
              <w:t>​</w:t>
            </w:r>
          </w:p>
        </w:tc>
        <w:tc>
          <w:tcPr>
            <w:tcW w:w="262"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c>
          <w:tcPr>
            <w:tcW w:w="976"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1,611</w:t>
            </w:r>
          </w:p>
        </w:tc>
        <w:tc>
          <w:tcPr>
            <w:tcW w:w="206" w:type="dxa"/>
            <w:tcBorders/>
            <w:vAlign w:val="center"/>
          </w:tcPr>
          <w:p>
            <w:pPr>
              <w:pStyle w:val="TableContents"/>
              <w:bidi w:val="0"/>
              <w:spacing w:before="0" w:after="0"/>
              <w:ind w:left="0" w:right="0" w:hanging="0"/>
              <w:jc w:val="left"/>
              <w:rPr/>
            </w:pPr>
            <w:r>
              <w:rPr/>
              <w:t>​</w:t>
            </w:r>
          </w:p>
        </w:tc>
        <w:tc>
          <w:tcPr>
            <w:tcW w:w="260"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c>
          <w:tcPr>
            <w:tcW w:w="1027"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1,574</w:t>
            </w:r>
          </w:p>
        </w:tc>
      </w:tr>
      <w:tr>
        <w:trPr/>
        <w:tc>
          <w:tcPr>
            <w:tcW w:w="438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common shares for diluted earnings per share</w:t>
            </w:r>
          </w:p>
        </w:tc>
        <w:tc>
          <w:tcPr>
            <w:tcW w:w="146" w:type="dxa"/>
            <w:tcBorders/>
            <w:shd w:fill="CCEEFF" w:val="clear"/>
            <w:vAlign w:val="center"/>
          </w:tcPr>
          <w:p>
            <w:pPr>
              <w:pStyle w:val="TableContents"/>
              <w:bidi w:val="0"/>
              <w:spacing w:before="0" w:after="0"/>
              <w:ind w:left="0" w:right="0" w:hanging="0"/>
              <w:jc w:val="left"/>
              <w:rPr/>
            </w:pPr>
            <w:r>
              <w:rPr/>
              <w:t>​</w:t>
            </w:r>
          </w:p>
        </w:tc>
        <w:tc>
          <w:tcPr>
            <w:tcW w:w="26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9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91,792</w:t>
            </w:r>
          </w:p>
        </w:tc>
        <w:tc>
          <w:tcPr>
            <w:tcW w:w="266" w:type="dxa"/>
            <w:tcBorders/>
            <w:shd w:fill="CCEEFF" w:val="clear"/>
            <w:vAlign w:val="center"/>
          </w:tcPr>
          <w:p>
            <w:pPr>
              <w:pStyle w:val="TableContents"/>
              <w:bidi w:val="0"/>
              <w:spacing w:before="0" w:after="0"/>
              <w:ind w:left="0" w:right="0" w:hanging="0"/>
              <w:jc w:val="left"/>
              <w:rPr/>
            </w:pPr>
            <w:r>
              <w:rPr/>
              <w:t>​</w:t>
            </w:r>
          </w:p>
        </w:tc>
        <w:tc>
          <w:tcPr>
            <w:tcW w:w="26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9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92,755</w:t>
            </w:r>
          </w:p>
        </w:tc>
        <w:tc>
          <w:tcPr>
            <w:tcW w:w="206" w:type="dxa"/>
            <w:tcBorders/>
            <w:shd w:fill="CCEEFF" w:val="clear"/>
            <w:vAlign w:val="center"/>
          </w:tcPr>
          <w:p>
            <w:pPr>
              <w:pStyle w:val="TableContents"/>
              <w:bidi w:val="0"/>
              <w:spacing w:before="0" w:after="0"/>
              <w:ind w:left="0" w:right="0" w:hanging="0"/>
              <w:jc w:val="left"/>
              <w:rPr/>
            </w:pPr>
            <w:r>
              <w:rPr/>
              <w:t>​</w:t>
            </w:r>
          </w:p>
        </w:tc>
        <w:tc>
          <w:tcPr>
            <w:tcW w:w="26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9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92,485</w:t>
            </w:r>
          </w:p>
        </w:tc>
        <w:tc>
          <w:tcPr>
            <w:tcW w:w="206" w:type="dxa"/>
            <w:tcBorders/>
            <w:shd w:fill="CCEEFF" w:val="clear"/>
            <w:vAlign w:val="center"/>
          </w:tcPr>
          <w:p>
            <w:pPr>
              <w:pStyle w:val="TableContents"/>
              <w:bidi w:val="0"/>
              <w:spacing w:before="0" w:after="0"/>
              <w:ind w:left="0" w:right="0" w:hanging="0"/>
              <w:jc w:val="left"/>
              <w:rPr/>
            </w:pPr>
            <w:r>
              <w:rPr/>
              <w:t>​</w:t>
            </w:r>
          </w:p>
        </w:tc>
        <w:tc>
          <w:tcPr>
            <w:tcW w:w="26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102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94,195</w:t>
            </w:r>
          </w:p>
        </w:tc>
      </w:tr>
      <w:tr>
        <w:trPr/>
        <w:tc>
          <w:tcPr>
            <w:tcW w:w="43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earnings per share</w:t>
            </w:r>
          </w:p>
        </w:tc>
        <w:tc>
          <w:tcPr>
            <w:tcW w:w="146" w:type="dxa"/>
            <w:tcBorders/>
            <w:vAlign w:val="center"/>
          </w:tcPr>
          <w:p>
            <w:pPr>
              <w:pStyle w:val="TableContents"/>
              <w:bidi w:val="0"/>
              <w:spacing w:before="0" w:after="0"/>
              <w:ind w:left="0" w:right="0" w:hanging="0"/>
              <w:jc w:val="left"/>
              <w:rPr/>
            </w:pPr>
            <w:r>
              <w:rPr/>
              <w:t>​</w:t>
            </w:r>
          </w:p>
        </w:tc>
        <w:tc>
          <w:tcPr>
            <w:tcW w:w="26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w:t>
            </w:r>
          </w:p>
        </w:tc>
        <w:tc>
          <w:tcPr>
            <w:tcW w:w="266" w:type="dxa"/>
            <w:tcBorders/>
            <w:vAlign w:val="center"/>
          </w:tcPr>
          <w:p>
            <w:pPr>
              <w:pStyle w:val="TableContents"/>
              <w:bidi w:val="0"/>
              <w:spacing w:before="0" w:after="0"/>
              <w:ind w:left="0" w:right="0" w:hanging="0"/>
              <w:jc w:val="left"/>
              <w:rPr/>
            </w:pPr>
            <w:r>
              <w:rPr/>
              <w:t>​</w:t>
            </w:r>
          </w:p>
        </w:tc>
        <w:tc>
          <w:tcPr>
            <w:tcW w:w="26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w:t>
            </w:r>
          </w:p>
        </w:tc>
        <w:tc>
          <w:tcPr>
            <w:tcW w:w="206" w:type="dxa"/>
            <w:tcBorders/>
            <w:vAlign w:val="center"/>
          </w:tcPr>
          <w:p>
            <w:pPr>
              <w:pStyle w:val="TableContents"/>
              <w:bidi w:val="0"/>
              <w:spacing w:before="0" w:after="0"/>
              <w:ind w:left="0" w:right="0" w:hanging="0"/>
              <w:jc w:val="left"/>
              <w:rPr/>
            </w:pPr>
            <w:r>
              <w:rPr/>
              <w:t>​</w:t>
            </w:r>
          </w:p>
        </w:tc>
        <w:tc>
          <w:tcPr>
            <w:tcW w:w="26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3.60</w:t>
            </w:r>
          </w:p>
        </w:tc>
        <w:tc>
          <w:tcPr>
            <w:tcW w:w="206" w:type="dxa"/>
            <w:tcBorders/>
            <w:vAlign w:val="center"/>
          </w:tcPr>
          <w:p>
            <w:pPr>
              <w:pStyle w:val="TableContents"/>
              <w:bidi w:val="0"/>
              <w:spacing w:before="0" w:after="0"/>
              <w:ind w:left="0" w:right="0" w:hanging="0"/>
              <w:jc w:val="left"/>
              <w:rPr/>
            </w:pPr>
            <w:r>
              <w:rPr/>
              <w:t>​</w:t>
            </w:r>
          </w:p>
        </w:tc>
        <w:tc>
          <w:tcPr>
            <w:tcW w:w="26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4.62</w:t>
            </w:r>
          </w:p>
        </w:tc>
      </w:tr>
      <w:tr>
        <w:trPr/>
        <w:tc>
          <w:tcPr>
            <w:tcW w:w="43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 earnings per share</w:t>
            </w:r>
          </w:p>
        </w:tc>
        <w:tc>
          <w:tcPr>
            <w:tcW w:w="146" w:type="dxa"/>
            <w:tcBorders/>
            <w:shd w:fill="CCEEFF" w:val="clear"/>
            <w:vAlign w:val="center"/>
          </w:tcPr>
          <w:p>
            <w:pPr>
              <w:pStyle w:val="TableContents"/>
              <w:bidi w:val="0"/>
              <w:spacing w:before="0" w:after="0"/>
              <w:ind w:left="0" w:right="0" w:hanging="0"/>
              <w:jc w:val="left"/>
              <w:rPr/>
            </w:pPr>
            <w:r>
              <w:rPr/>
              <w:t>​</w:t>
            </w:r>
          </w:p>
        </w:tc>
        <w:tc>
          <w:tcPr>
            <w:tcW w:w="26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w:t>
            </w:r>
          </w:p>
        </w:tc>
        <w:tc>
          <w:tcPr>
            <w:tcW w:w="266" w:type="dxa"/>
            <w:tcBorders/>
            <w:shd w:fill="CCEEFF" w:val="clear"/>
            <w:vAlign w:val="center"/>
          </w:tcPr>
          <w:p>
            <w:pPr>
              <w:pStyle w:val="TableContents"/>
              <w:bidi w:val="0"/>
              <w:spacing w:before="0" w:after="0"/>
              <w:ind w:left="0" w:right="0" w:hanging="0"/>
              <w:jc w:val="left"/>
              <w:rPr/>
            </w:pPr>
            <w:r>
              <w:rPr/>
              <w:t>​</w:t>
            </w:r>
          </w:p>
        </w:tc>
        <w:tc>
          <w:tcPr>
            <w:tcW w:w="26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w:t>
            </w:r>
          </w:p>
        </w:tc>
        <w:tc>
          <w:tcPr>
            <w:tcW w:w="206" w:type="dxa"/>
            <w:tcBorders/>
            <w:shd w:fill="CCEEFF" w:val="clear"/>
            <w:vAlign w:val="center"/>
          </w:tcPr>
          <w:p>
            <w:pPr>
              <w:pStyle w:val="TableContents"/>
              <w:bidi w:val="0"/>
              <w:spacing w:before="0" w:after="0"/>
              <w:ind w:left="0" w:right="0" w:hanging="0"/>
              <w:jc w:val="left"/>
              <w:rPr/>
            </w:pPr>
            <w:r>
              <w:rPr/>
              <w:t>​</w:t>
            </w:r>
          </w:p>
        </w:tc>
        <w:tc>
          <w:tcPr>
            <w:tcW w:w="26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3.54</w:t>
            </w:r>
          </w:p>
        </w:tc>
        <w:tc>
          <w:tcPr>
            <w:tcW w:w="206" w:type="dxa"/>
            <w:tcBorders/>
            <w:shd w:fill="CCEEFF" w:val="clear"/>
            <w:vAlign w:val="center"/>
          </w:tcPr>
          <w:p>
            <w:pPr>
              <w:pStyle w:val="TableContents"/>
              <w:bidi w:val="0"/>
              <w:spacing w:before="0" w:after="0"/>
              <w:ind w:left="0" w:right="0" w:hanging="0"/>
              <w:jc w:val="left"/>
              <w:rPr/>
            </w:pPr>
            <w:r>
              <w:rPr/>
              <w:t>​</w:t>
            </w:r>
          </w:p>
        </w:tc>
        <w:tc>
          <w:tcPr>
            <w:tcW w:w="2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4.55</w:t>
            </w:r>
          </w:p>
        </w:tc>
      </w:tr>
      <w:tr>
        <w:trPr/>
        <w:tc>
          <w:tcPr>
            <w:tcW w:w="4380"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 options excluded from earnings per share calculation due to an anti-dilutive effect</w:t>
            </w:r>
          </w:p>
        </w:tc>
        <w:tc>
          <w:tcPr>
            <w:tcW w:w="14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w:t>
            </w:r>
          </w:p>
        </w:tc>
        <w:tc>
          <w:tcPr>
            <w:tcW w:w="26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w:t>
            </w:r>
          </w:p>
        </w:tc>
        <w:tc>
          <w:tcPr>
            <w:tcW w:w="20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w:t>
            </w:r>
          </w:p>
        </w:tc>
        <w:tc>
          <w:tcPr>
            <w:tcW w:w="20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w:t>
            </w:r>
          </w:p>
        </w:tc>
        <w:tc>
          <w:tcPr>
            <w:tcW w:w="1027"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174</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firstLine="475"/>
        <w:jc w:val="left"/>
        <w:rPr/>
      </w:pPr>
      <w:r>
        <w:rPr/>
        <w:t>​</w:t>
      </w:r>
    </w:p>
    <w:p>
      <w:pPr>
        <w:pStyle w:val="TextBody"/>
        <w:bidi w:val="0"/>
        <w:spacing w:before="0" w:after="0"/>
        <w:ind w:left="0" w:right="0" w:hanging="0"/>
        <w:jc w:val="both"/>
        <w:rPr/>
      </w:pPr>
      <w:bookmarkStart w:id="978" w:name="Tc_7ORTChZzDECoytd8-d85PA_9_5"/>
      <w:bookmarkStart w:id="979" w:name="Tc_oQikuGFuEUWbjeiYTfvXig_9_2"/>
      <w:bookmarkStart w:id="980" w:name="Tc_o0ipOX9-0EyxJrE2I3xZBg_9_0"/>
      <w:bookmarkStart w:id="981" w:name="Tc_DfveBNCkTUm0yZbRq1thfg_8_5"/>
      <w:bookmarkStart w:id="982" w:name="Tc_ag-95BTl4k6a39_jf79e5w_8_2"/>
      <w:bookmarkStart w:id="983" w:name="Tc_7jtIQcwFq0Cv2h5Ur_mkQQ_8_0"/>
      <w:bookmarkStart w:id="984" w:name="Tc_C9Nl3WBKcUOIk0165z-4uw_7_0"/>
      <w:bookmarkStart w:id="985" w:name="Tc_o2ob5LG9zU6xTeaOYDJaKw_6_5"/>
      <w:bookmarkStart w:id="986" w:name="Tc_2Bw3UUZpKUOLgaEgHV_2FA_6_2"/>
      <w:bookmarkStart w:id="987" w:name="Tc_Q2Jl6EXvk0Gbvt2izBvW6A_6_0"/>
      <w:bookmarkStart w:id="988" w:name="Tc_MtYiWrdTmkud--qbGeg9sA_5_0"/>
      <w:bookmarkStart w:id="989" w:name="Tc_yoE0H8gx3k--jcAANXeoCA_4_2"/>
      <w:bookmarkStart w:id="990" w:name="Tc_f__Dq3KRUkSXiDXItBo-xw_3_5"/>
      <w:bookmarkStart w:id="991" w:name="Tc_TvehF0_XZkqOXT_P_9eBFA_3_2"/>
      <w:bookmarkStart w:id="992" w:name="Tc_ugPZHHYNBEKmAKEhelPdcg_2_5"/>
      <w:bookmarkStart w:id="993" w:name="Tc_eKrhuUkxfkah5DoJkGjauQ_2_2"/>
      <w:bookmarkStart w:id="994" w:name="Tc_0CscX_KCc0mA4d1ZCz7_BA_1_2"/>
      <w:bookmarkStart w:id="995" w:name="bm_11_Additional_cash_flow_information"/>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12. Additional cash flow information</w:t>
      </w:r>
    </w:p>
    <w:p>
      <w:pPr>
        <w:pStyle w:val="TextBody"/>
        <w:bidi w:val="0"/>
        <w:spacing w:before="0" w:after="0"/>
        <w:ind w:left="0" w:right="0" w:firstLine="480"/>
        <w:jc w:val="both"/>
        <w:rPr/>
      </w:pPr>
      <w:r>
        <w:rPr/>
        <w:t>​</w:t>
      </w:r>
    </w:p>
    <w:p>
      <w:pPr>
        <w:pStyle w:val="TextBody"/>
        <w:bidi w:val="0"/>
        <w:spacing w:before="0" w:after="0"/>
        <w:ind w:left="0" w:right="0" w:firstLine="480"/>
        <w:jc w:val="left"/>
        <w:rPr>
          <w:rFonts w:ascii="Times New Roman;Times;serif" w:hAnsi="Times New Roman;Times;serif"/>
          <w:sz w:val="20"/>
        </w:rPr>
      </w:pPr>
      <w:r>
        <w:rPr>
          <w:rFonts w:ascii="Times New Roman;Times;serif" w:hAnsi="Times New Roman;Times;serif"/>
          <w:sz w:val="20"/>
        </w:rPr>
        <w:t>Non-cash investing and financing activities and supplemental cash flow information were as follows:</w:t>
      </w:r>
    </w:p>
    <w:p>
      <w:pPr>
        <w:pStyle w:val="TextBody"/>
        <w:bidi w:val="0"/>
        <w:spacing w:before="0" w:after="0"/>
        <w:ind w:left="0" w:right="0" w:firstLine="480"/>
        <w:jc w:val="left"/>
        <w:rPr/>
      </w:pPr>
      <w:r>
        <w:rPr/>
        <w:t>​</w:t>
      </w:r>
    </w:p>
    <w:tbl>
      <w:tblPr>
        <w:tblW w:w="6788" w:type="dxa"/>
        <w:jc w:val="left"/>
        <w:tblInd w:w="0" w:type="dxa"/>
        <w:tblLayout w:type="fixed"/>
        <w:tblCellMar>
          <w:top w:w="0" w:type="dxa"/>
          <w:left w:w="0" w:type="dxa"/>
          <w:bottom w:w="0" w:type="dxa"/>
          <w:right w:w="0" w:type="dxa"/>
        </w:tblCellMar>
      </w:tblPr>
      <w:tblGrid>
        <w:gridCol w:w="3571"/>
        <w:gridCol w:w="326"/>
        <w:gridCol w:w="267"/>
        <w:gridCol w:w="993"/>
        <w:gridCol w:w="326"/>
        <w:gridCol w:w="250"/>
        <w:gridCol w:w="1055"/>
      </w:tblGrid>
      <w:tr>
        <w:trPr/>
        <w:tc>
          <w:tcPr>
            <w:tcW w:w="3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2267585" cy="175260"/>
                      <wp:effectExtent l="0" t="0" r="0" b="0"/>
                      <wp:wrapNone/>
                      <wp:docPr id="193" name="Frame193"/>
                      <a:graphic xmlns:a="http://schemas.openxmlformats.org/drawingml/2006/main">
                        <a:graphicData uri="http://schemas.microsoft.com/office/word/2010/wordprocessingShape">
                          <wps:wsp>
                            <wps:cNvSpPr txBox="1"/>
                            <wps:spPr>
                              <a:xfrm>
                                <a:off x="0" y="0"/>
                                <a:ext cx="2267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207010" cy="175260"/>
                      <wp:effectExtent l="0" t="0" r="0" b="0"/>
                      <wp:wrapNone/>
                      <wp:docPr id="194" name="Frame1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169545" cy="175260"/>
                      <wp:effectExtent l="0" t="0" r="0" b="0"/>
                      <wp:wrapNone/>
                      <wp:docPr id="195" name="Frame195"/>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30555" cy="175260"/>
                      <wp:effectExtent l="0" t="0" r="0" b="0"/>
                      <wp:wrapNone/>
                      <wp:docPr id="196" name="Frame196"/>
                      <a:graphic xmlns:a="http://schemas.openxmlformats.org/drawingml/2006/main">
                        <a:graphicData uri="http://schemas.microsoft.com/office/word/2010/wordprocessingShape">
                          <wps:wsp>
                            <wps:cNvSpPr txBox="1"/>
                            <wps:spPr>
                              <a:xfrm>
                                <a:off x="0" y="0"/>
                                <a:ext cx="630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207010" cy="175260"/>
                      <wp:effectExtent l="0" t="0" r="0" b="0"/>
                      <wp:wrapNone/>
                      <wp:docPr id="197" name="Frame19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158750" cy="175260"/>
                      <wp:effectExtent l="0" t="0" r="0" b="0"/>
                      <wp:wrapNone/>
                      <wp:docPr id="198" name="Frame198"/>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69925" cy="175260"/>
                      <wp:effectExtent l="0" t="0" r="0" b="0"/>
                      <wp:wrapNone/>
                      <wp:docPr id="199" name="Frame199"/>
                      <a:graphic xmlns:a="http://schemas.openxmlformats.org/drawingml/2006/main">
                        <a:graphicData uri="http://schemas.microsoft.com/office/word/2010/wordprocessingShape">
                          <wps:wsp>
                            <wps:cNvSpPr txBox="1"/>
                            <wps:spPr>
                              <a:xfrm>
                                <a:off x="0" y="0"/>
                                <a:ext cx="669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891"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Six Months Ended</w:t>
            </w:r>
          </w:p>
        </w:tc>
      </w:tr>
      <w:tr>
        <w:trPr/>
        <w:tc>
          <w:tcPr>
            <w:tcW w:w="35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260"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30,</w:t>
            </w:r>
          </w:p>
        </w:tc>
        <w:tc>
          <w:tcPr>
            <w:tcW w:w="326" w:type="dxa"/>
            <w:tcBorders/>
            <w:vAlign w:val="center"/>
          </w:tcPr>
          <w:p>
            <w:pPr>
              <w:pStyle w:val="TableContents"/>
              <w:bidi w:val="0"/>
              <w:spacing w:before="0" w:after="0"/>
              <w:ind w:left="0" w:right="0" w:hanging="0"/>
              <w:jc w:val="center"/>
              <w:rPr/>
            </w:pPr>
            <w:r>
              <w:rPr/>
              <w:t>    </w:t>
            </w:r>
          </w:p>
        </w:tc>
        <w:tc>
          <w:tcPr>
            <w:tcW w:w="130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w:t>
            </w:r>
          </w:p>
        </w:tc>
      </w:tr>
      <w:tr>
        <w:trPr/>
        <w:tc>
          <w:tcPr>
            <w:tcW w:w="35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26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6" w:type="dxa"/>
            <w:tcBorders/>
            <w:vAlign w:val="center"/>
          </w:tcPr>
          <w:p>
            <w:pPr>
              <w:pStyle w:val="TableContents"/>
              <w:bidi w:val="0"/>
              <w:spacing w:before="0" w:after="0"/>
              <w:ind w:left="0" w:right="0" w:hanging="0"/>
              <w:jc w:val="center"/>
              <w:rPr/>
            </w:pPr>
            <w:r>
              <w:rPr/>
              <w:t>​</w:t>
            </w:r>
          </w:p>
        </w:tc>
        <w:tc>
          <w:tcPr>
            <w:tcW w:w="1305"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r>
      <w:tr>
        <w:trPr/>
        <w:tc>
          <w:tcPr>
            <w:tcW w:w="6788"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35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891"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(Thousands)</w:t>
            </w:r>
          </w:p>
        </w:tc>
      </w:tr>
      <w:tr>
        <w:trPr/>
        <w:tc>
          <w:tcPr>
            <w:tcW w:w="35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Non-cash Investing Activities:</w:t>
            </w:r>
          </w:p>
        </w:tc>
        <w:tc>
          <w:tcPr>
            <w:tcW w:w="326" w:type="dxa"/>
            <w:tcBorders/>
            <w:shd w:fill="CCEEFF" w:val="clear"/>
            <w:vAlign w:val="center"/>
          </w:tcPr>
          <w:p>
            <w:pPr>
              <w:pStyle w:val="TableContents"/>
              <w:bidi w:val="0"/>
              <w:spacing w:before="0" w:after="0"/>
              <w:ind w:left="0" w:right="0" w:hanging="0"/>
              <w:jc w:val="center"/>
              <w:rPr/>
            </w:pPr>
            <w:r>
              <w:rPr/>
              <w:t>​</w:t>
            </w:r>
          </w:p>
        </w:tc>
        <w:tc>
          <w:tcPr>
            <w:tcW w:w="267" w:type="dxa"/>
            <w:tcBorders/>
            <w:shd w:fill="CCEEFF" w:val="clear"/>
            <w:vAlign w:val="center"/>
          </w:tcPr>
          <w:p>
            <w:pPr>
              <w:pStyle w:val="TableContents"/>
              <w:bidi w:val="0"/>
              <w:spacing w:before="0" w:after="0"/>
              <w:ind w:left="0" w:right="0" w:hanging="0"/>
              <w:jc w:val="left"/>
              <w:rPr/>
            </w:pPr>
            <w:r>
              <w:rPr/>
              <w:t>​</w:t>
            </w:r>
          </w:p>
        </w:tc>
        <w:tc>
          <w:tcPr>
            <w:tcW w:w="99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250" w:type="dxa"/>
            <w:tcBorders/>
            <w:shd w:fill="CCEEFF" w:val="clear"/>
            <w:vAlign w:val="center"/>
          </w:tcPr>
          <w:p>
            <w:pPr>
              <w:pStyle w:val="TableContents"/>
              <w:bidi w:val="0"/>
              <w:spacing w:before="0" w:after="0"/>
              <w:ind w:left="0" w:right="0" w:hanging="0"/>
              <w:jc w:val="left"/>
              <w:rPr/>
            </w:pPr>
            <w:r>
              <w:rPr/>
              <w:t>​</w:t>
            </w:r>
          </w:p>
        </w:tc>
        <w:tc>
          <w:tcPr>
            <w:tcW w:w="1055" w:type="dxa"/>
            <w:tcBorders/>
            <w:shd w:fill="CCEEFF" w:val="clear"/>
            <w:vAlign w:val="center"/>
          </w:tcPr>
          <w:p>
            <w:pPr>
              <w:pStyle w:val="TableContents"/>
              <w:bidi w:val="0"/>
              <w:spacing w:before="0" w:after="0"/>
              <w:ind w:left="0" w:right="0" w:hanging="0"/>
              <w:jc w:val="right"/>
              <w:rPr/>
            </w:pPr>
            <w:r>
              <w:rPr/>
              <w:t>​</w:t>
            </w:r>
          </w:p>
        </w:tc>
      </w:tr>
      <w:tr>
        <w:trPr/>
        <w:tc>
          <w:tcPr>
            <w:tcW w:w="3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 expenditures incurred but not paid</w:t>
            </w:r>
          </w:p>
        </w:tc>
        <w:tc>
          <w:tcPr>
            <w:tcW w:w="326" w:type="dxa"/>
            <w:tcBorders/>
            <w:vAlign w:val="center"/>
          </w:tcPr>
          <w:p>
            <w:pPr>
              <w:pStyle w:val="TableContents"/>
              <w:bidi w:val="0"/>
              <w:spacing w:before="0" w:after="0"/>
              <w:ind w:left="0" w:right="0" w:hanging="0"/>
              <w:jc w:val="center"/>
              <w:rPr/>
            </w:pPr>
            <w:r>
              <w:rPr/>
              <w:t>​</w:t>
            </w:r>
          </w:p>
        </w:tc>
        <w:tc>
          <w:tcPr>
            <w:tcW w:w="2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27,049</w:t>
            </w:r>
          </w:p>
        </w:tc>
        <w:tc>
          <w:tcPr>
            <w:tcW w:w="326" w:type="dxa"/>
            <w:tcBorders/>
            <w:vAlign w:val="center"/>
          </w:tcPr>
          <w:p>
            <w:pPr>
              <w:pStyle w:val="TableContents"/>
              <w:bidi w:val="0"/>
              <w:spacing w:before="0" w:after="0"/>
              <w:ind w:left="0" w:right="0" w:hanging="0"/>
              <w:jc w:val="left"/>
              <w:rPr>
                <w:color w:val="575757"/>
              </w:rPr>
            </w:pPr>
            <w:r>
              <w:rPr>
                <w:color w:val="575757"/>
              </w:rPr>
              <w:t>​</w:t>
            </w:r>
          </w:p>
        </w:tc>
        <w:tc>
          <w:tcPr>
            <w:tcW w:w="2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11,086</w:t>
            </w:r>
          </w:p>
        </w:tc>
      </w:tr>
      <w:tr>
        <w:trPr/>
        <w:tc>
          <w:tcPr>
            <w:tcW w:w="35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Supplemental Cash Flow Information:</w:t>
            </w:r>
          </w:p>
        </w:tc>
        <w:tc>
          <w:tcPr>
            <w:tcW w:w="326" w:type="dxa"/>
            <w:tcBorders/>
            <w:shd w:fill="CCEEFF" w:val="clear"/>
            <w:vAlign w:val="center"/>
          </w:tcPr>
          <w:p>
            <w:pPr>
              <w:pStyle w:val="TableContents"/>
              <w:bidi w:val="0"/>
              <w:spacing w:before="0" w:after="0"/>
              <w:ind w:left="0" w:right="0" w:hanging="0"/>
              <w:jc w:val="center"/>
              <w:rPr/>
            </w:pPr>
            <w:r>
              <w:rPr/>
              <w:t>​</w:t>
            </w:r>
          </w:p>
        </w:tc>
        <w:tc>
          <w:tcPr>
            <w:tcW w:w="267" w:type="dxa"/>
            <w:tcBorders/>
            <w:shd w:fill="CCEEFF" w:val="clear"/>
            <w:vAlign w:val="center"/>
          </w:tcPr>
          <w:p>
            <w:pPr>
              <w:pStyle w:val="TableContents"/>
              <w:bidi w:val="0"/>
              <w:spacing w:before="0" w:after="0"/>
              <w:ind w:left="0" w:right="0" w:hanging="0"/>
              <w:jc w:val="center"/>
              <w:rPr/>
            </w:pPr>
            <w:r>
              <w:rPr/>
              <w:t>​</w:t>
            </w:r>
          </w:p>
        </w:tc>
        <w:tc>
          <w:tcPr>
            <w:tcW w:w="993"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250" w:type="dxa"/>
            <w:tcBorders/>
            <w:shd w:fill="CCEEFF" w:val="clear"/>
            <w:vAlign w:val="center"/>
          </w:tcPr>
          <w:p>
            <w:pPr>
              <w:pStyle w:val="TableContents"/>
              <w:bidi w:val="0"/>
              <w:spacing w:before="0" w:after="0"/>
              <w:ind w:left="0" w:right="0" w:hanging="0"/>
              <w:jc w:val="center"/>
              <w:rPr/>
            </w:pPr>
            <w:r>
              <w:rPr/>
              <w:t>​</w:t>
            </w:r>
          </w:p>
        </w:tc>
        <w:tc>
          <w:tcPr>
            <w:tcW w:w="1055" w:type="dxa"/>
            <w:tcBorders/>
            <w:shd w:fill="CCEEFF" w:val="clear"/>
            <w:vAlign w:val="center"/>
          </w:tcPr>
          <w:p>
            <w:pPr>
              <w:pStyle w:val="TableContents"/>
              <w:bidi w:val="0"/>
              <w:spacing w:before="0" w:after="0"/>
              <w:ind w:left="0" w:right="0" w:hanging="0"/>
              <w:jc w:val="center"/>
              <w:rPr/>
            </w:pPr>
            <w:r>
              <w:rPr/>
              <w:t>​</w:t>
            </w:r>
          </w:p>
        </w:tc>
      </w:tr>
      <w:tr>
        <w:trPr/>
        <w:tc>
          <w:tcPr>
            <w:tcW w:w="3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w:t>
            </w:r>
          </w:p>
        </w:tc>
        <w:tc>
          <w:tcPr>
            <w:tcW w:w="326" w:type="dxa"/>
            <w:tcBorders/>
            <w:vAlign w:val="center"/>
          </w:tcPr>
          <w:p>
            <w:pPr>
              <w:pStyle w:val="TableContents"/>
              <w:bidi w:val="0"/>
              <w:spacing w:before="0" w:after="0"/>
              <w:ind w:left="0" w:right="0" w:hanging="0"/>
              <w:jc w:val="left"/>
              <w:rPr>
                <w:color w:val="575757"/>
              </w:rPr>
            </w:pPr>
            <w:r>
              <w:rPr>
                <w:color w:val="575757"/>
              </w:rPr>
              <w:t>​</w:t>
            </w:r>
          </w:p>
        </w:tc>
        <w:tc>
          <w:tcPr>
            <w:tcW w:w="2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175,701</w:t>
            </w:r>
          </w:p>
        </w:tc>
        <w:tc>
          <w:tcPr>
            <w:tcW w:w="326" w:type="dxa"/>
            <w:tcBorders/>
            <w:vAlign w:val="center"/>
          </w:tcPr>
          <w:p>
            <w:pPr>
              <w:pStyle w:val="TableContents"/>
              <w:bidi w:val="0"/>
              <w:spacing w:before="0" w:after="0"/>
              <w:ind w:left="0" w:right="0" w:hanging="0"/>
              <w:jc w:val="left"/>
              <w:rPr>
                <w:color w:val="575757"/>
              </w:rPr>
            </w:pPr>
            <w:r>
              <w:rPr>
                <w:color w:val="575757"/>
              </w:rPr>
              <w:t>​</w:t>
            </w:r>
          </w:p>
        </w:tc>
        <w:tc>
          <w:tcPr>
            <w:tcW w:w="2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110,167</w:t>
            </w:r>
          </w:p>
        </w:tc>
      </w:tr>
      <w:tr>
        <w:trPr/>
        <w:tc>
          <w:tcPr>
            <w:tcW w:w="35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payments, net</w:t>
            </w:r>
          </w:p>
        </w:tc>
        <w:tc>
          <w:tcPr>
            <w:tcW w:w="326"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2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128,843</w:t>
            </w:r>
          </w:p>
        </w:tc>
        <w:tc>
          <w:tcPr>
            <w:tcW w:w="326"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2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110,401</w:t>
            </w:r>
          </w:p>
        </w:tc>
      </w:tr>
    </w:tbl>
    <w:p>
      <w:pPr>
        <w:pStyle w:val="TextBody"/>
        <w:bidi w:val="0"/>
        <w:spacing w:before="0" w:after="0"/>
        <w:ind w:left="0" w:right="0" w:hanging="0"/>
        <w:jc w:val="left"/>
        <w:rPr/>
      </w:pPr>
      <w:r>
        <w:rPr/>
        <w:t>​</w:t>
      </w:r>
    </w:p>
    <w:p>
      <w:pPr>
        <w:pStyle w:val="TextBody"/>
        <w:bidi w:val="0"/>
        <w:spacing w:before="0" w:after="0"/>
        <w:ind w:left="0" w:right="0" w:firstLine="480"/>
        <w:jc w:val="left"/>
        <w:rPr>
          <w:rFonts w:ascii="Times New Roman;Times;serif" w:hAnsi="Times New Roman;Times;serif"/>
          <w:sz w:val="20"/>
        </w:rPr>
      </w:pPr>
      <w:r>
        <w:rPr>
          <w:rFonts w:ascii="Times New Roman;Times;serif" w:hAnsi="Times New Roman;Times;serif"/>
          <w:sz w:val="20"/>
        </w:rPr>
        <w:t>Included in cash and cash equivalents as of December 30, 2023, and July 1, 2023, was $16.7 million and $3.7 million, respectively, of cash equivalents, which was primarily comprised of investment grade money market funds and overnight time deposits.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sz w:val="20"/>
        </w:rPr>
      </w:pPr>
      <w:bookmarkStart w:id="996" w:name="bm_12_Segment_information"/>
      <w:bookmarkEnd w:id="996"/>
      <w:r>
        <w:rPr>
          <w:rFonts w:ascii="Times New Roman;Times;serif" w:hAnsi="Times New Roman;Times;serif"/>
          <w:b/>
          <w:sz w:val="20"/>
        </w:rPr>
        <w:t>13. Segment information</w:t>
      </w:r>
    </w:p>
    <w:p>
      <w:pPr>
        <w:pStyle w:val="TextBody"/>
        <w:bidi w:val="0"/>
        <w:spacing w:before="0" w:after="0"/>
        <w:ind w:left="0" w:right="0" w:hanging="0"/>
        <w:jc w:val="both"/>
        <w:rPr/>
      </w:pPr>
      <w:r>
        <w:rPr/>
        <w:t>​</w:t>
      </w:r>
    </w:p>
    <w:p>
      <w:pPr>
        <w:pStyle w:val="TextBody"/>
        <w:bidi w:val="0"/>
        <w:spacing w:before="0" w:after="0"/>
        <w:ind w:left="0" w:right="0" w:firstLine="475"/>
        <w:jc w:val="left"/>
        <w:rPr>
          <w:rFonts w:ascii="Times New Roman;Times;serif" w:hAnsi="Times New Roman;Times;serif"/>
          <w:sz w:val="20"/>
        </w:rPr>
      </w:pPr>
      <w:r>
        <w:rPr>
          <w:rFonts w:ascii="Times New Roman;Times;serif" w:hAnsi="Times New Roman;Times;serif"/>
          <w:sz w:val="20"/>
        </w:rPr>
        <w:t xml:space="preserve">Electronic Components (“EC”) and Farnell (“Farnell”) are the Company’s reportable segments (“operating groups”). </w:t>
      </w:r>
    </w:p>
    <w:p>
      <w:pPr>
        <w:pStyle w:val="TextBody"/>
        <w:bidi w:val="0"/>
        <w:spacing w:before="0" w:after="0"/>
        <w:ind w:left="0" w:right="0" w:firstLine="475"/>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lineRule="auto" w:line="343"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43" w:before="0" w:after="0"/>
        <w:ind w:left="0" w:right="0" w:hanging="0"/>
        <w:jc w:val="center"/>
        <w:rPr>
          <w:rFonts w:ascii="Times New Roman;Times;serif" w:hAnsi="Times New Roman;Times;serif"/>
          <w:b/>
          <w:sz w:val="20"/>
        </w:rPr>
      </w:pPr>
      <w:r>
        <w:rPr>
          <w:rFonts w:ascii="Times New Roman;Times;serif" w:hAnsi="Times New Roman;Times;serif"/>
          <w:b/>
          <w:sz w:val="20"/>
        </w:rPr>
        <w:t>AVNET, INC. AND SUBSIDIARIES</w:t>
      </w:r>
    </w:p>
    <w:p>
      <w:pPr>
        <w:pStyle w:val="TextBody"/>
        <w:bidi w:val="0"/>
        <w:spacing w:lineRule="auto" w:line="343"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Normal"/>
        <w:bidi w:val="0"/>
        <w:spacing w:before="0" w:after="0"/>
        <w:jc w:val="left"/>
        <w:rPr>
          <w:sz w:val="4"/>
          <w:szCs w:val="4"/>
        </w:rPr>
      </w:pPr>
      <w:r>
        <w:rPr>
          <w:sz w:val="4"/>
          <w:szCs w:val="4"/>
        </w:rPr>
      </w:r>
      <w:bookmarkStart w:id="997" w:name="Tc_IUt5z4Wad0itgou7AStncg_22_11"/>
      <w:bookmarkStart w:id="998" w:name="Tc_wLBG0zfLM0WqxQtUMX5wjg_22_8"/>
      <w:bookmarkStart w:id="999" w:name="Tc_76mvevuIbkOE4QXHt7eQjA_22_5"/>
      <w:bookmarkStart w:id="1000" w:name="Tc_1OunoJloE061MeouWj_8hw_22_2"/>
      <w:bookmarkStart w:id="1001" w:name="Tc_-1t3HKLebkmqQBIuYc30HQ_22_0"/>
      <w:bookmarkStart w:id="1002" w:name="Tc_sapVhf2g0EKa74TdcGphPg_21_0"/>
      <w:bookmarkStart w:id="1003" w:name="Tc_Jf-TN1dtZ0uYrQxNNULODg_20_0"/>
      <w:bookmarkStart w:id="1004" w:name="Tc_f3Wnp0K9qkednRXymda-cw_19_11"/>
      <w:bookmarkStart w:id="1005" w:name="Tc_UxqjznstGUeQJtQl4lOMXg_19_8"/>
      <w:bookmarkStart w:id="1006" w:name="Tc_L1_yCopBE0qUxN6e7TzkmQ_19_5"/>
      <w:bookmarkStart w:id="1007" w:name="Tc_OBWnQJGlykSrfMm_vtF15g_19_2"/>
      <w:bookmarkStart w:id="1008" w:name="Tc_t0ZKy6-41UWWC14ew9IpiA_19_0"/>
      <w:bookmarkStart w:id="1009" w:name="Tc_SCL5gEb8VU-qZIrHLoCxwA_18_0"/>
      <w:bookmarkStart w:id="1010" w:name="Tc_aPcaw6h7VU6JObp2ErN2zA_16_11"/>
      <w:bookmarkStart w:id="1011" w:name="Tc_pxYea262-023CcStrJpP5Q_16_8"/>
      <w:bookmarkStart w:id="1012" w:name="Tc_Hqj7n3WsnUKPTJJx-dLnQQ_16_5"/>
      <w:bookmarkStart w:id="1013" w:name="Tc_j99HmaZnm0mnj4iJ1pTOsA_16_2"/>
      <w:bookmarkStart w:id="1014" w:name="Tc_iUWlbh8EOEWGq91SyLzCbg_16_0"/>
      <w:bookmarkStart w:id="1015" w:name="Tc_15xVgWE-bUyd9GSaC7qzUg_15_0"/>
      <w:bookmarkStart w:id="1016" w:name="Tc_CbqaY3iz9kmZFxSTOpNhEQ_14_12"/>
      <w:bookmarkStart w:id="1017" w:name="Tc_Gl0Oyc0uIEiJhoPuGEnLOA_14_6"/>
      <w:bookmarkStart w:id="1018" w:name="Tc_i2JqYfgyLEmlVu2W2h-BvQ_14_0"/>
      <w:bookmarkStart w:id="1019" w:name="Tc_yJhFvGq1pEmU_rDHS7ZXoQ_13_0"/>
      <w:bookmarkStart w:id="1020" w:name="Tc_1RtzDCiLgUSr8bmdDSlSQQ_11_0"/>
      <w:bookmarkStart w:id="1021" w:name="Tc_OdZv-KnT506kMzpuWKWfEw_10_11"/>
      <w:bookmarkStart w:id="1022" w:name="Tc_xoTjHMTwMECbh_om8uN9AQ_10_8"/>
      <w:bookmarkStart w:id="1023" w:name="Tc_c-DVPyHB6E6SXS_N6Psa5Q_10_5"/>
      <w:bookmarkStart w:id="1024" w:name="Tc_CA-PZXvxoEqSdzlDC7diKA_10_2"/>
      <w:bookmarkStart w:id="1025" w:name="Tc_d9Ym6IdZkEatRMkFC_FCow_10_0"/>
      <w:bookmarkStart w:id="1026" w:name="Tc_YT3vqZCYsEW13UXPfmiSLw_9_0"/>
      <w:bookmarkStart w:id="1027" w:name="Tc_ZUYMnIJ0_UKxcsTyOSd_Kw_7_0"/>
      <w:bookmarkStart w:id="1028" w:name="Tc_A2dcEVe_1Eq_dN9r-JYDzw_6_11"/>
      <w:bookmarkStart w:id="1029" w:name="Tc_rU1QQNyXPkuwn27iBLEfxA_6_8"/>
      <w:bookmarkStart w:id="1030" w:name="Tc_1-LnORuzj06SucaOtg6IyQ_6_5"/>
      <w:bookmarkStart w:id="1031" w:name="Tc_pPjMVZq430enzvvfr_8b9Q_6_2"/>
      <w:bookmarkStart w:id="1032" w:name="Tc_FGb0_4PJY0qrYxtkQcW9fQ_6_0"/>
      <w:bookmarkStart w:id="1033" w:name="Tc_1C0sYj9h9ku6ePL7MbI9SQ_5_0"/>
      <w:bookmarkStart w:id="1034" w:name="Tc_nFmmjoXDI02I678EOWocNQ_4_2"/>
      <w:bookmarkStart w:id="1035" w:name="Tc_ow7oylx300-Yt_P6_nqz3A_3_11"/>
      <w:bookmarkStart w:id="1036" w:name="Tc_SM4FQN8apUi_RZnNM1cYfA_3_8"/>
      <w:bookmarkStart w:id="1037" w:name="Tc_7j9KewQNDk-20DLeVr5YtA_3_5"/>
      <w:bookmarkStart w:id="1038" w:name="Tc_UZk68wZI90exEQ_hvIEinQ_3_2"/>
      <w:bookmarkStart w:id="1039" w:name="Tc_CIws1fNpQEyueXCHJt_S7w_2_11"/>
      <w:bookmarkStart w:id="1040" w:name="Tc_V2bV758HsEy9XiviugZDYA_2_8"/>
      <w:bookmarkStart w:id="1041" w:name="Tc_LPb2YGoaBUWIVfAsF_0aww_2_5"/>
      <w:bookmarkStart w:id="1042" w:name="Tc_HFwZQky8LUeasGhJqXjfLg_2_2"/>
      <w:bookmarkStart w:id="1043" w:name="Tc_hWa8hPlH-kCLlJ31ZnDpJw_1_8"/>
      <w:bookmarkStart w:id="1044" w:name="Tc_sBll-D404k-YHiCAY6nkNw_1_2"/>
      <w:bookmarkStart w:id="1045" w:name="Tc_IUt5z4Wad0itgou7AStncg_22_11"/>
      <w:bookmarkStart w:id="1046" w:name="Tc_wLBG0zfLM0WqxQtUMX5wjg_22_8"/>
      <w:bookmarkStart w:id="1047" w:name="Tc_76mvevuIbkOE4QXHt7eQjA_22_5"/>
      <w:bookmarkStart w:id="1048" w:name="Tc_1OunoJloE061MeouWj_8hw_22_2"/>
      <w:bookmarkStart w:id="1049" w:name="Tc_-1t3HKLebkmqQBIuYc30HQ_22_0"/>
      <w:bookmarkStart w:id="1050" w:name="Tc_sapVhf2g0EKa74TdcGphPg_21_0"/>
      <w:bookmarkStart w:id="1051" w:name="Tc_Jf-TN1dtZ0uYrQxNNULODg_20_0"/>
      <w:bookmarkStart w:id="1052" w:name="Tc_f3Wnp0K9qkednRXymda-cw_19_11"/>
      <w:bookmarkStart w:id="1053" w:name="Tc_UxqjznstGUeQJtQl4lOMXg_19_8"/>
      <w:bookmarkStart w:id="1054" w:name="Tc_L1_yCopBE0qUxN6e7TzkmQ_19_5"/>
      <w:bookmarkStart w:id="1055" w:name="Tc_OBWnQJGlykSrfMm_vtF15g_19_2"/>
      <w:bookmarkStart w:id="1056" w:name="Tc_t0ZKy6-41UWWC14ew9IpiA_19_0"/>
      <w:bookmarkStart w:id="1057" w:name="Tc_SCL5gEb8VU-qZIrHLoCxwA_18_0"/>
      <w:bookmarkStart w:id="1058" w:name="Tc_aPcaw6h7VU6JObp2ErN2zA_16_11"/>
      <w:bookmarkStart w:id="1059" w:name="Tc_pxYea262-023CcStrJpP5Q_16_8"/>
      <w:bookmarkStart w:id="1060" w:name="Tc_Hqj7n3WsnUKPTJJx-dLnQQ_16_5"/>
      <w:bookmarkStart w:id="1061" w:name="Tc_j99HmaZnm0mnj4iJ1pTOsA_16_2"/>
      <w:bookmarkStart w:id="1062" w:name="Tc_iUWlbh8EOEWGq91SyLzCbg_16_0"/>
      <w:bookmarkStart w:id="1063" w:name="Tc_15xVgWE-bUyd9GSaC7qzUg_15_0"/>
      <w:bookmarkStart w:id="1064" w:name="Tc_CbqaY3iz9kmZFxSTOpNhEQ_14_12"/>
      <w:bookmarkStart w:id="1065" w:name="Tc_Gl0Oyc0uIEiJhoPuGEnLOA_14_6"/>
      <w:bookmarkStart w:id="1066" w:name="Tc_i2JqYfgyLEmlVu2W2h-BvQ_14_0"/>
      <w:bookmarkStart w:id="1067" w:name="Tc_yJhFvGq1pEmU_rDHS7ZXoQ_13_0"/>
      <w:bookmarkStart w:id="1068" w:name="Tc_1RtzDCiLgUSr8bmdDSlSQQ_11_0"/>
      <w:bookmarkStart w:id="1069" w:name="Tc_OdZv-KnT506kMzpuWKWfEw_10_11"/>
      <w:bookmarkStart w:id="1070" w:name="Tc_xoTjHMTwMECbh_om8uN9AQ_10_8"/>
      <w:bookmarkStart w:id="1071" w:name="Tc_c-DVPyHB6E6SXS_N6Psa5Q_10_5"/>
      <w:bookmarkStart w:id="1072" w:name="Tc_CA-PZXvxoEqSdzlDC7diKA_10_2"/>
      <w:bookmarkStart w:id="1073" w:name="Tc_d9Ym6IdZkEatRMkFC_FCow_10_0"/>
      <w:bookmarkStart w:id="1074" w:name="Tc_YT3vqZCYsEW13UXPfmiSLw_9_0"/>
      <w:bookmarkStart w:id="1075" w:name="Tc_ZUYMnIJ0_UKxcsTyOSd_Kw_7_0"/>
      <w:bookmarkStart w:id="1076" w:name="Tc_A2dcEVe_1Eq_dN9r-JYDzw_6_11"/>
      <w:bookmarkStart w:id="1077" w:name="Tc_rU1QQNyXPkuwn27iBLEfxA_6_8"/>
      <w:bookmarkStart w:id="1078" w:name="Tc_1-LnORuzj06SucaOtg6IyQ_6_5"/>
      <w:bookmarkStart w:id="1079" w:name="Tc_pPjMVZq430enzvvfr_8b9Q_6_2"/>
      <w:bookmarkStart w:id="1080" w:name="Tc_FGb0_4PJY0qrYxtkQcW9fQ_6_0"/>
      <w:bookmarkStart w:id="1081" w:name="Tc_1C0sYj9h9ku6ePL7MbI9SQ_5_0"/>
      <w:bookmarkStart w:id="1082" w:name="Tc_nFmmjoXDI02I678EOWocNQ_4_2"/>
      <w:bookmarkStart w:id="1083" w:name="Tc_ow7oylx300-Yt_P6_nqz3A_3_11"/>
      <w:bookmarkStart w:id="1084" w:name="Tc_SM4FQN8apUi_RZnNM1cYfA_3_8"/>
      <w:bookmarkStart w:id="1085" w:name="Tc_7j9KewQNDk-20DLeVr5YtA_3_5"/>
      <w:bookmarkStart w:id="1086" w:name="Tc_UZk68wZI90exEQ_hvIEinQ_3_2"/>
      <w:bookmarkStart w:id="1087" w:name="Tc_CIws1fNpQEyueXCHJt_S7w_2_11"/>
      <w:bookmarkStart w:id="1088" w:name="Tc_V2bV758HsEy9XiviugZDYA_2_8"/>
      <w:bookmarkStart w:id="1089" w:name="Tc_LPb2YGoaBUWIVfAsF_0aww_2_5"/>
      <w:bookmarkStart w:id="1090" w:name="Tc_HFwZQky8LUeasGhJqXjfLg_2_2"/>
      <w:bookmarkStart w:id="1091" w:name="Tc_hWa8hPlH-kCLlJ31ZnDpJw_1_8"/>
      <w:bookmarkStart w:id="1092" w:name="Tc_sBll-D404k-YHiCAY6nkNw_1_2"/>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p>
    <w:tbl>
      <w:tblPr>
        <w:tblW w:w="10205" w:type="dxa"/>
        <w:jc w:val="left"/>
        <w:tblInd w:w="0" w:type="dxa"/>
        <w:tblLayout w:type="fixed"/>
        <w:tblCellMar>
          <w:top w:w="0" w:type="dxa"/>
          <w:left w:w="0" w:type="dxa"/>
          <w:bottom w:w="0" w:type="dxa"/>
          <w:right w:w="0" w:type="dxa"/>
        </w:tblCellMar>
      </w:tblPr>
      <w:tblGrid>
        <w:gridCol w:w="3770"/>
        <w:gridCol w:w="326"/>
        <w:gridCol w:w="231"/>
        <w:gridCol w:w="1027"/>
        <w:gridCol w:w="326"/>
        <w:gridCol w:w="231"/>
        <w:gridCol w:w="1027"/>
        <w:gridCol w:w="326"/>
        <w:gridCol w:w="212"/>
        <w:gridCol w:w="1046"/>
        <w:gridCol w:w="326"/>
        <w:gridCol w:w="211"/>
        <w:gridCol w:w="1146"/>
      </w:tblGrid>
      <w:tr>
        <w:trPr/>
        <w:tc>
          <w:tcPr>
            <w:tcW w:w="37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393950" cy="175260"/>
                      <wp:effectExtent l="0" t="0" r="0" b="0"/>
                      <wp:wrapNone/>
                      <wp:docPr id="200" name="Frame200"/>
                      <a:graphic xmlns:a="http://schemas.openxmlformats.org/drawingml/2006/main">
                        <a:graphicData uri="http://schemas.microsoft.com/office/word/2010/wordprocessingShape">
                          <wps:wsp>
                            <wps:cNvSpPr txBox="1"/>
                            <wps:spPr>
                              <a:xfrm>
                                <a:off x="0" y="0"/>
                                <a:ext cx="23939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207010" cy="175260"/>
                      <wp:effectExtent l="0" t="0" r="0" b="0"/>
                      <wp:wrapNone/>
                      <wp:docPr id="201" name="Frame2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146685" cy="175260"/>
                      <wp:effectExtent l="0" t="0" r="0" b="0"/>
                      <wp:wrapNone/>
                      <wp:docPr id="202" name="Frame202"/>
                      <a:graphic xmlns:a="http://schemas.openxmlformats.org/drawingml/2006/main">
                        <a:graphicData uri="http://schemas.microsoft.com/office/word/2010/wordprocessingShape">
                          <wps:wsp>
                            <wps:cNvSpPr txBox="1"/>
                            <wps:spPr>
                              <a:xfrm>
                                <a:off x="0" y="0"/>
                                <a:ext cx="146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52145" cy="175260"/>
                      <wp:effectExtent l="0" t="0" r="0" b="0"/>
                      <wp:wrapNone/>
                      <wp:docPr id="203" name="Frame203"/>
                      <a:graphic xmlns:a="http://schemas.openxmlformats.org/drawingml/2006/main">
                        <a:graphicData uri="http://schemas.microsoft.com/office/word/2010/wordprocessingShape">
                          <wps:wsp>
                            <wps:cNvSpPr txBox="1"/>
                            <wps:spPr>
                              <a:xfrm>
                                <a:off x="0" y="0"/>
                                <a:ext cx="652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207010" cy="175260"/>
                      <wp:effectExtent l="0" t="0" r="0" b="0"/>
                      <wp:wrapNone/>
                      <wp:docPr id="204" name="Frame2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146685" cy="175260"/>
                      <wp:effectExtent l="0" t="0" r="0" b="0"/>
                      <wp:wrapNone/>
                      <wp:docPr id="205" name="Frame205"/>
                      <a:graphic xmlns:a="http://schemas.openxmlformats.org/drawingml/2006/main">
                        <a:graphicData uri="http://schemas.microsoft.com/office/word/2010/wordprocessingShape">
                          <wps:wsp>
                            <wps:cNvSpPr txBox="1"/>
                            <wps:spPr>
                              <a:xfrm>
                                <a:off x="0" y="0"/>
                                <a:ext cx="146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52145" cy="175260"/>
                      <wp:effectExtent l="0" t="0" r="0" b="0"/>
                      <wp:wrapNone/>
                      <wp:docPr id="206" name="Frame206"/>
                      <a:graphic xmlns:a="http://schemas.openxmlformats.org/drawingml/2006/main">
                        <a:graphicData uri="http://schemas.microsoft.com/office/word/2010/wordprocessingShape">
                          <wps:wsp>
                            <wps:cNvSpPr txBox="1"/>
                            <wps:spPr>
                              <a:xfrm>
                                <a:off x="0" y="0"/>
                                <a:ext cx="652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207010" cy="175260"/>
                      <wp:effectExtent l="0" t="0" r="0" b="0"/>
                      <wp:wrapNone/>
                      <wp:docPr id="207" name="Frame20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134620" cy="175260"/>
                      <wp:effectExtent l="0" t="0" r="0" b="0"/>
                      <wp:wrapNone/>
                      <wp:docPr id="208" name="Frame208"/>
                      <a:graphic xmlns:a="http://schemas.openxmlformats.org/drawingml/2006/main">
                        <a:graphicData uri="http://schemas.microsoft.com/office/word/2010/wordprocessingShape">
                          <wps:wsp>
                            <wps:cNvSpPr txBox="1"/>
                            <wps:spPr>
                              <a:xfrm>
                                <a:off x="0" y="0"/>
                                <a:ext cx="134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64210" cy="175260"/>
                      <wp:effectExtent l="0" t="0" r="0" b="0"/>
                      <wp:wrapNone/>
                      <wp:docPr id="209" name="Frame209"/>
                      <a:graphic xmlns:a="http://schemas.openxmlformats.org/drawingml/2006/main">
                        <a:graphicData uri="http://schemas.microsoft.com/office/word/2010/wordprocessingShape">
                          <wps:wsp>
                            <wps:cNvSpPr txBox="1"/>
                            <wps:spPr>
                              <a:xfrm>
                                <a:off x="0" y="0"/>
                                <a:ext cx="664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207010" cy="175260"/>
                      <wp:effectExtent l="0" t="0" r="0" b="0"/>
                      <wp:wrapNone/>
                      <wp:docPr id="210" name="Frame2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133985" cy="175260"/>
                      <wp:effectExtent l="0" t="0" r="0" b="0"/>
                      <wp:wrapNone/>
                      <wp:docPr id="211" name="Frame2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727710" cy="175260"/>
                      <wp:effectExtent l="0" t="0" r="0" b="0"/>
                      <wp:wrapNone/>
                      <wp:docPr id="212" name="Frame212"/>
                      <a:graphic xmlns:a="http://schemas.openxmlformats.org/drawingml/2006/main">
                        <a:graphicData uri="http://schemas.microsoft.com/office/word/2010/wordprocessingShape">
                          <wps:wsp>
                            <wps:cNvSpPr txBox="1"/>
                            <wps:spPr>
                              <a:xfrm>
                                <a:off x="0" y="0"/>
                                <a:ext cx="727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7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842"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Second Quarters Ended</w:t>
            </w:r>
          </w:p>
        </w:tc>
        <w:tc>
          <w:tcPr>
            <w:tcW w:w="326" w:type="dxa"/>
            <w:tcBorders/>
            <w:vAlign w:val="center"/>
          </w:tcPr>
          <w:p>
            <w:pPr>
              <w:pStyle w:val="TableContents"/>
              <w:bidi w:val="0"/>
              <w:spacing w:before="0" w:after="0"/>
              <w:ind w:left="0" w:right="0" w:hanging="0"/>
              <w:jc w:val="center"/>
              <w:rPr/>
            </w:pPr>
            <w:r>
              <w:rPr/>
              <w:t>​</w:t>
            </w:r>
          </w:p>
        </w:tc>
        <w:tc>
          <w:tcPr>
            <w:tcW w:w="2941"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Six Months Ended</w:t>
            </w:r>
          </w:p>
        </w:tc>
      </w:tr>
      <w:tr>
        <w:trPr/>
        <w:tc>
          <w:tcPr>
            <w:tcW w:w="377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258"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30,</w:t>
            </w:r>
          </w:p>
        </w:tc>
        <w:tc>
          <w:tcPr>
            <w:tcW w:w="326" w:type="dxa"/>
            <w:tcBorders/>
            <w:vAlign w:val="center"/>
          </w:tcPr>
          <w:p>
            <w:pPr>
              <w:pStyle w:val="TableContents"/>
              <w:bidi w:val="0"/>
              <w:spacing w:before="0" w:after="0"/>
              <w:ind w:left="0" w:right="0" w:hanging="0"/>
              <w:jc w:val="center"/>
              <w:rPr/>
            </w:pPr>
            <w:r>
              <w:rPr/>
              <w:t>​</w:t>
            </w:r>
          </w:p>
        </w:tc>
        <w:tc>
          <w:tcPr>
            <w:tcW w:w="1258"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w:t>
            </w:r>
          </w:p>
        </w:tc>
        <w:tc>
          <w:tcPr>
            <w:tcW w:w="326" w:type="dxa"/>
            <w:tcBorders/>
            <w:vAlign w:val="center"/>
          </w:tcPr>
          <w:p>
            <w:pPr>
              <w:pStyle w:val="TableContents"/>
              <w:bidi w:val="0"/>
              <w:spacing w:before="0" w:after="0"/>
              <w:ind w:left="0" w:right="0" w:hanging="0"/>
              <w:jc w:val="center"/>
              <w:rPr/>
            </w:pPr>
            <w:r>
              <w:rPr/>
              <w:t>​</w:t>
            </w:r>
          </w:p>
        </w:tc>
        <w:tc>
          <w:tcPr>
            <w:tcW w:w="1258"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30,</w:t>
            </w:r>
          </w:p>
        </w:tc>
        <w:tc>
          <w:tcPr>
            <w:tcW w:w="326" w:type="dxa"/>
            <w:tcBorders/>
            <w:vAlign w:val="center"/>
          </w:tcPr>
          <w:p>
            <w:pPr>
              <w:pStyle w:val="TableContents"/>
              <w:bidi w:val="0"/>
              <w:spacing w:before="0" w:after="0"/>
              <w:ind w:left="0" w:right="0" w:hanging="0"/>
              <w:jc w:val="center"/>
              <w:rPr/>
            </w:pPr>
            <w:r>
              <w:rPr/>
              <w:t>​</w:t>
            </w:r>
          </w:p>
        </w:tc>
        <w:tc>
          <w:tcPr>
            <w:tcW w:w="1357"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w:t>
            </w:r>
          </w:p>
        </w:tc>
      </w:tr>
      <w:tr>
        <w:trPr/>
        <w:tc>
          <w:tcPr>
            <w:tcW w:w="377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258"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6" w:type="dxa"/>
            <w:tcBorders/>
            <w:vAlign w:val="center"/>
          </w:tcPr>
          <w:p>
            <w:pPr>
              <w:pStyle w:val="TableContents"/>
              <w:bidi w:val="0"/>
              <w:spacing w:before="0" w:after="0"/>
              <w:ind w:left="0" w:right="0" w:hanging="0"/>
              <w:jc w:val="center"/>
              <w:rPr/>
            </w:pPr>
            <w:r>
              <w:rPr/>
              <w:t>    </w:t>
            </w:r>
          </w:p>
        </w:tc>
        <w:tc>
          <w:tcPr>
            <w:tcW w:w="1258"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326" w:type="dxa"/>
            <w:tcBorders/>
            <w:vAlign w:val="center"/>
          </w:tcPr>
          <w:p>
            <w:pPr>
              <w:pStyle w:val="TableContents"/>
              <w:bidi w:val="0"/>
              <w:spacing w:before="0" w:after="0"/>
              <w:ind w:left="0" w:right="0" w:hanging="0"/>
              <w:jc w:val="center"/>
              <w:rPr/>
            </w:pPr>
            <w:r>
              <w:rPr/>
              <w:t>​</w:t>
            </w:r>
          </w:p>
        </w:tc>
        <w:tc>
          <w:tcPr>
            <w:tcW w:w="1258"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6" w:type="dxa"/>
            <w:tcBorders/>
            <w:vAlign w:val="center"/>
          </w:tcPr>
          <w:p>
            <w:pPr>
              <w:pStyle w:val="TableContents"/>
              <w:bidi w:val="0"/>
              <w:spacing w:before="0" w:after="0"/>
              <w:ind w:left="0" w:right="0" w:hanging="0"/>
              <w:jc w:val="center"/>
              <w:rPr/>
            </w:pPr>
            <w:r>
              <w:rPr/>
              <w:t>​</w:t>
            </w:r>
          </w:p>
        </w:tc>
        <w:tc>
          <w:tcPr>
            <w:tcW w:w="1357"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r>
      <w:tr>
        <w:trPr/>
        <w:tc>
          <w:tcPr>
            <w:tcW w:w="102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3770"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6109" w:type="dxa"/>
            <w:gridSpan w:val="11"/>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(Thousands)</w:t>
            </w:r>
          </w:p>
        </w:tc>
      </w:tr>
      <w:tr>
        <w:trPr/>
        <w:tc>
          <w:tcPr>
            <w:tcW w:w="37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w:t>
            </w:r>
          </w:p>
        </w:tc>
        <w:tc>
          <w:tcPr>
            <w:tcW w:w="326" w:type="dxa"/>
            <w:tcBorders/>
            <w:shd w:fill="CCEEFF" w:val="clear"/>
            <w:vAlign w:val="center"/>
          </w:tcPr>
          <w:p>
            <w:pPr>
              <w:pStyle w:val="TableContents"/>
              <w:bidi w:val="0"/>
              <w:spacing w:before="0" w:after="0"/>
              <w:ind w:left="0" w:right="0" w:hanging="0"/>
              <w:jc w:val="left"/>
              <w:rPr/>
            </w:pPr>
            <w:r>
              <w:rPr/>
              <w:t>    </w:t>
            </w:r>
          </w:p>
        </w:tc>
        <w:tc>
          <w:tcPr>
            <w:tcW w:w="231" w:type="dxa"/>
            <w:tcBorders/>
            <w:shd w:fill="CCEEFF" w:val="clear"/>
            <w:vAlign w:val="center"/>
          </w:tcPr>
          <w:p>
            <w:pPr>
              <w:pStyle w:val="TableContents"/>
              <w:bidi w:val="0"/>
              <w:spacing w:before="0" w:after="0"/>
              <w:ind w:left="0" w:right="0" w:hanging="0"/>
              <w:jc w:val="left"/>
              <w:rPr/>
            </w:pPr>
            <w:r>
              <w:rPr/>
              <w:t>​</w:t>
            </w:r>
          </w:p>
        </w:tc>
        <w:tc>
          <w:tcPr>
            <w:tcW w:w="1027" w:type="dxa"/>
            <w:tcBorders/>
            <w:shd w:fill="CCEEFF" w:val="clear"/>
            <w:vAlign w:val="center"/>
          </w:tcPr>
          <w:p>
            <w:pPr>
              <w:pStyle w:val="TableContents"/>
              <w:bidi w:val="0"/>
              <w:spacing w:before="0" w:after="0"/>
              <w:ind w:left="0" w:right="0" w:hanging="0"/>
              <w:jc w:val="lef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31" w:type="dxa"/>
            <w:tcBorders/>
            <w:shd w:fill="CCEEFF" w:val="clear"/>
            <w:vAlign w:val="center"/>
          </w:tcPr>
          <w:p>
            <w:pPr>
              <w:pStyle w:val="TableContents"/>
              <w:bidi w:val="0"/>
              <w:spacing w:before="0" w:after="0"/>
              <w:ind w:left="0" w:right="0" w:hanging="0"/>
              <w:jc w:val="left"/>
              <w:rPr/>
            </w:pPr>
            <w:r>
              <w:rPr/>
              <w:t>​</w:t>
            </w:r>
          </w:p>
        </w:tc>
        <w:tc>
          <w:tcPr>
            <w:tcW w:w="1027" w:type="dxa"/>
            <w:tcBorders/>
            <w:shd w:fill="CCEEFF" w:val="clear"/>
            <w:vAlign w:val="center"/>
          </w:tcPr>
          <w:p>
            <w:pPr>
              <w:pStyle w:val="TableContents"/>
              <w:bidi w:val="0"/>
              <w:spacing w:before="0" w:after="0"/>
              <w:ind w:left="0" w:right="0" w:hanging="0"/>
              <w:jc w:val="lef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2" w:type="dxa"/>
            <w:tcBorders/>
            <w:shd w:fill="CCEEFF" w:val="clear"/>
            <w:vAlign w:val="center"/>
          </w:tcPr>
          <w:p>
            <w:pPr>
              <w:pStyle w:val="TableContents"/>
              <w:bidi w:val="0"/>
              <w:spacing w:before="0" w:after="0"/>
              <w:ind w:left="0" w:right="0" w:hanging="0"/>
              <w:jc w:val="left"/>
              <w:rPr/>
            </w:pPr>
            <w:r>
              <w:rPr/>
              <w:t>​</w:t>
            </w:r>
          </w:p>
        </w:tc>
        <w:tc>
          <w:tcPr>
            <w:tcW w:w="1046" w:type="dxa"/>
            <w:tcBorders/>
            <w:shd w:fill="CCEEFF" w:val="clear"/>
            <w:vAlign w:val="center"/>
          </w:tcPr>
          <w:p>
            <w:pPr>
              <w:pStyle w:val="TableContents"/>
              <w:bidi w:val="0"/>
              <w:spacing w:before="0" w:after="0"/>
              <w:ind w:left="0" w:right="0" w:hanging="0"/>
              <w:jc w:val="lef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146" w:type="dxa"/>
            <w:tcBorders/>
            <w:shd w:fill="CCEEFF" w:val="clear"/>
            <w:vAlign w:val="center"/>
          </w:tcPr>
          <w:p>
            <w:pPr>
              <w:pStyle w:val="TableContents"/>
              <w:bidi w:val="0"/>
              <w:spacing w:before="0" w:after="0"/>
              <w:ind w:left="0" w:right="0" w:hanging="0"/>
              <w:jc w:val="left"/>
              <w:rPr/>
            </w:pPr>
            <w:r>
              <w:rPr/>
              <w:t>    </w:t>
            </w:r>
          </w:p>
        </w:tc>
      </w:tr>
      <w:tr>
        <w:trPr/>
        <w:tc>
          <w:tcPr>
            <w:tcW w:w="37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Electronic Components</w:t>
            </w:r>
          </w:p>
        </w:tc>
        <w:tc>
          <w:tcPr>
            <w:tcW w:w="32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5,812,118</w:t>
            </w:r>
          </w:p>
        </w:tc>
        <w:tc>
          <w:tcPr>
            <w:tcW w:w="32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6,309,494</w:t>
            </w:r>
          </w:p>
        </w:tc>
        <w:tc>
          <w:tcPr>
            <w:tcW w:w="32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11,726,523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12,633,717</w:t>
            </w:r>
          </w:p>
        </w:tc>
      </w:tr>
      <w:tr>
        <w:trPr/>
        <w:tc>
          <w:tcPr>
            <w:tcW w:w="37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Farnell</w:t>
            </w:r>
          </w:p>
        </w:tc>
        <w:tc>
          <w:tcPr>
            <w:tcW w:w="326" w:type="dxa"/>
            <w:tcBorders/>
            <w:shd w:fill="CCEEFF" w:val="clear"/>
            <w:vAlign w:val="center"/>
          </w:tcPr>
          <w:p>
            <w:pPr>
              <w:pStyle w:val="TableContents"/>
              <w:bidi w:val="0"/>
              <w:spacing w:before="0" w:after="0"/>
              <w:ind w:left="0" w:right="0" w:hanging="0"/>
              <w:jc w:val="left"/>
              <w:rPr/>
            </w:pPr>
            <w:r>
              <w:rPr/>
              <w:t>​</w:t>
            </w:r>
          </w:p>
        </w:tc>
        <w:tc>
          <w:tcPr>
            <w:tcW w:w="231"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27"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392,796</w:t>
            </w:r>
          </w:p>
        </w:tc>
        <w:tc>
          <w:tcPr>
            <w:tcW w:w="326" w:type="dxa"/>
            <w:tcBorders/>
            <w:shd w:fill="CCEEFF" w:val="clear"/>
            <w:vAlign w:val="center"/>
          </w:tcPr>
          <w:p>
            <w:pPr>
              <w:pStyle w:val="TableContents"/>
              <w:bidi w:val="0"/>
              <w:spacing w:before="0" w:after="0"/>
              <w:ind w:left="0" w:right="0" w:hanging="0"/>
              <w:jc w:val="left"/>
              <w:rPr/>
            </w:pPr>
            <w:r>
              <w:rPr/>
              <w:t>​</w:t>
            </w:r>
          </w:p>
        </w:tc>
        <w:tc>
          <w:tcPr>
            <w:tcW w:w="231"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27"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408,027</w:t>
            </w:r>
          </w:p>
        </w:tc>
        <w:tc>
          <w:tcPr>
            <w:tcW w:w="326" w:type="dxa"/>
            <w:tcBorders/>
            <w:shd w:fill="CCEEFF" w:val="clear"/>
            <w:vAlign w:val="center"/>
          </w:tcPr>
          <w:p>
            <w:pPr>
              <w:pStyle w:val="TableContents"/>
              <w:bidi w:val="0"/>
              <w:spacing w:before="0" w:after="0"/>
              <w:ind w:left="0" w:right="0" w:hanging="0"/>
              <w:jc w:val="left"/>
              <w:rPr/>
            </w:pPr>
            <w:r>
              <w:rPr/>
              <w:t>​</w:t>
            </w:r>
          </w:p>
        </w:tc>
        <w:tc>
          <w:tcPr>
            <w:tcW w:w="212"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46"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814,039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146"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833,937</w:t>
            </w:r>
          </w:p>
        </w:tc>
      </w:tr>
      <w:tr>
        <w:trPr/>
        <w:tc>
          <w:tcPr>
            <w:tcW w:w="377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c>
          <w:tcPr>
            <w:tcW w:w="10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6,204,914</w:t>
            </w:r>
          </w:p>
        </w:tc>
        <w:tc>
          <w:tcPr>
            <w:tcW w:w="32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c>
          <w:tcPr>
            <w:tcW w:w="10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6,717,521</w:t>
            </w:r>
          </w:p>
        </w:tc>
        <w:tc>
          <w:tcPr>
            <w:tcW w:w="32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10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12,540,562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13,467,654</w:t>
            </w:r>
          </w:p>
        </w:tc>
      </w:tr>
      <w:tr>
        <w:trPr/>
        <w:tc>
          <w:tcPr>
            <w:tcW w:w="37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2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1027"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1027"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104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6" w:type="dxa"/>
            <w:tcBorders/>
            <w:shd w:fill="CCEEFF" w:val="clear"/>
            <w:vAlign w:val="center"/>
          </w:tcPr>
          <w:p>
            <w:pPr>
              <w:pStyle w:val="TableContents"/>
              <w:bidi w:val="0"/>
              <w:spacing w:before="0" w:after="0"/>
              <w:ind w:left="0" w:right="0" w:hanging="0"/>
              <w:jc w:val="left"/>
              <w:rPr/>
            </w:pPr>
            <w:r>
              <w:rPr/>
              <w:t>​</w:t>
            </w:r>
          </w:p>
        </w:tc>
      </w:tr>
      <w:tr>
        <w:trPr/>
        <w:tc>
          <w:tcPr>
            <w:tcW w:w="37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Electronic Components</w:t>
            </w:r>
          </w:p>
        </w:tc>
        <w:tc>
          <w:tcPr>
            <w:tcW w:w="32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247,899</w:t>
            </w:r>
          </w:p>
        </w:tc>
        <w:tc>
          <w:tcPr>
            <w:tcW w:w="32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296,709</w:t>
            </w:r>
          </w:p>
        </w:tc>
        <w:tc>
          <w:tcPr>
            <w:tcW w:w="32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520,650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563,962</w:t>
            </w:r>
          </w:p>
        </w:tc>
      </w:tr>
      <w:tr>
        <w:trPr/>
        <w:tc>
          <w:tcPr>
            <w:tcW w:w="37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Farnell</w:t>
            </w:r>
          </w:p>
        </w:tc>
        <w:tc>
          <w:tcPr>
            <w:tcW w:w="326" w:type="dxa"/>
            <w:tcBorders/>
            <w:shd w:fill="CCEEFF" w:val="clear"/>
            <w:vAlign w:val="center"/>
          </w:tcPr>
          <w:p>
            <w:pPr>
              <w:pStyle w:val="TableContents"/>
              <w:bidi w:val="0"/>
              <w:spacing w:before="0" w:after="0"/>
              <w:ind w:left="0" w:right="0" w:hanging="0"/>
              <w:jc w:val="left"/>
              <w:rPr/>
            </w:pPr>
            <w:r>
              <w:rPr/>
              <w:t>​</w:t>
            </w:r>
          </w:p>
        </w:tc>
        <w:tc>
          <w:tcPr>
            <w:tcW w:w="231"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27"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15,710</w:t>
            </w:r>
          </w:p>
        </w:tc>
        <w:tc>
          <w:tcPr>
            <w:tcW w:w="326" w:type="dxa"/>
            <w:tcBorders/>
            <w:shd w:fill="CCEEFF" w:val="clear"/>
            <w:vAlign w:val="center"/>
          </w:tcPr>
          <w:p>
            <w:pPr>
              <w:pStyle w:val="TableContents"/>
              <w:bidi w:val="0"/>
              <w:spacing w:before="0" w:after="0"/>
              <w:ind w:left="0" w:right="0" w:hanging="0"/>
              <w:jc w:val="left"/>
              <w:rPr/>
            </w:pPr>
            <w:r>
              <w:rPr/>
              <w:t>​</w:t>
            </w:r>
          </w:p>
        </w:tc>
        <w:tc>
          <w:tcPr>
            <w:tcW w:w="231"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27"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36,905</w:t>
            </w:r>
          </w:p>
        </w:tc>
        <w:tc>
          <w:tcPr>
            <w:tcW w:w="326" w:type="dxa"/>
            <w:tcBorders/>
            <w:shd w:fill="CCEEFF" w:val="clear"/>
            <w:vAlign w:val="center"/>
          </w:tcPr>
          <w:p>
            <w:pPr>
              <w:pStyle w:val="TableContents"/>
              <w:bidi w:val="0"/>
              <w:spacing w:before="0" w:after="0"/>
              <w:ind w:left="0" w:right="0" w:hanging="0"/>
              <w:jc w:val="left"/>
              <w:rPr/>
            </w:pPr>
            <w:r>
              <w:rPr/>
              <w:t>​</w:t>
            </w:r>
          </w:p>
        </w:tc>
        <w:tc>
          <w:tcPr>
            <w:tcW w:w="212"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46"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33,382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146"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88,516</w:t>
            </w:r>
          </w:p>
        </w:tc>
      </w:tr>
      <w:tr>
        <w:trPr/>
        <w:tc>
          <w:tcPr>
            <w:tcW w:w="377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right"/>
              <w:rPr/>
            </w:pPr>
            <w:r>
              <w:rPr/>
              <w:t>​</w:t>
            </w:r>
          </w:p>
        </w:tc>
        <w:tc>
          <w:tcPr>
            <w:tcW w:w="10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263,609</w:t>
            </w:r>
          </w:p>
        </w:tc>
        <w:tc>
          <w:tcPr>
            <w:tcW w:w="32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right"/>
              <w:rPr/>
            </w:pPr>
            <w:r>
              <w:rPr/>
              <w:t>​</w:t>
            </w:r>
          </w:p>
        </w:tc>
        <w:tc>
          <w:tcPr>
            <w:tcW w:w="10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333,614</w:t>
            </w:r>
          </w:p>
        </w:tc>
        <w:tc>
          <w:tcPr>
            <w:tcW w:w="32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right"/>
              <w:rPr/>
            </w:pPr>
            <w:r>
              <w:rPr/>
              <w:t>​</w:t>
            </w:r>
          </w:p>
        </w:tc>
        <w:tc>
          <w:tcPr>
            <w:tcW w:w="10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554,032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11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652,478</w:t>
            </w:r>
          </w:p>
        </w:tc>
      </w:tr>
      <w:tr>
        <w:trPr/>
        <w:tc>
          <w:tcPr>
            <w:tcW w:w="37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right"/>
              <w:rPr/>
            </w:pPr>
            <w:r>
              <w:rPr/>
              <w:t>​</w:t>
            </w:r>
          </w:p>
        </w:tc>
        <w:tc>
          <w:tcPr>
            <w:tcW w:w="10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(21,405)</w:t>
            </w:r>
          </w:p>
        </w:tc>
        <w:tc>
          <w:tcPr>
            <w:tcW w:w="32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right"/>
              <w:rPr/>
            </w:pPr>
            <w:r>
              <w:rPr/>
              <w:t>​</w:t>
            </w:r>
          </w:p>
        </w:tc>
        <w:tc>
          <w:tcPr>
            <w:tcW w:w="10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(33,100)</w:t>
            </w:r>
          </w:p>
        </w:tc>
        <w:tc>
          <w:tcPr>
            <w:tcW w:w="32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right"/>
              <w:rPr/>
            </w:pPr>
            <w:r>
              <w:rPr/>
              <w:t>​</w:t>
            </w:r>
          </w:p>
        </w:tc>
        <w:tc>
          <w:tcPr>
            <w:tcW w:w="10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(50,130)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11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(58,669)</w:t>
            </w:r>
          </w:p>
        </w:tc>
      </w:tr>
      <w:tr>
        <w:trPr/>
        <w:tc>
          <w:tcPr>
            <w:tcW w:w="37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Restructuring, integration and other expenses</w:t>
            </w:r>
          </w:p>
        </w:tc>
        <w:tc>
          <w:tcPr>
            <w:tcW w:w="32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right"/>
              <w:rPr/>
            </w:pPr>
            <w:r>
              <w:rPr/>
              <w:t> </w:t>
            </w:r>
          </w:p>
        </w:tc>
        <w:tc>
          <w:tcPr>
            <w:tcW w:w="10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(5,235)</w:t>
            </w:r>
          </w:p>
        </w:tc>
        <w:tc>
          <w:tcPr>
            <w:tcW w:w="32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right"/>
              <w:rPr/>
            </w:pPr>
            <w:r>
              <w:rPr/>
              <w:t> </w:t>
            </w:r>
          </w:p>
        </w:tc>
        <w:tc>
          <w:tcPr>
            <w:tcW w:w="102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right"/>
              <w:rPr/>
            </w:pPr>
            <w:r>
              <w:rPr/>
              <w:t> </w:t>
            </w:r>
          </w:p>
        </w:tc>
        <w:tc>
          <w:tcPr>
            <w:tcW w:w="10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(12,286)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1146" w:type="dxa"/>
            <w:tcBorders/>
            <w:vAlign w:val="center"/>
          </w:tcPr>
          <w:p>
            <w:pPr>
              <w:pStyle w:val="TableContents"/>
              <w:bidi w:val="0"/>
              <w:spacing w:before="0" w:after="0"/>
              <w:ind w:left="0" w:right="0" w:hanging="0"/>
              <w:jc w:val="right"/>
              <w:rPr/>
            </w:pPr>
            <w:r>
              <w:rPr/>
              <w:t>—</w:t>
            </w:r>
          </w:p>
        </w:tc>
      </w:tr>
      <w:tr>
        <w:trPr/>
        <w:tc>
          <w:tcPr>
            <w:tcW w:w="37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acquired intangible assets</w:t>
            </w:r>
          </w:p>
        </w:tc>
        <w:tc>
          <w:tcPr>
            <w:tcW w:w="326" w:type="dxa"/>
            <w:tcBorders/>
            <w:shd w:fill="CCEEFF" w:val="clear"/>
            <w:vAlign w:val="center"/>
          </w:tcPr>
          <w:p>
            <w:pPr>
              <w:pStyle w:val="TableContents"/>
              <w:bidi w:val="0"/>
              <w:spacing w:before="0" w:after="0"/>
              <w:ind w:left="0" w:right="0" w:hanging="0"/>
              <w:jc w:val="left"/>
              <w:rPr/>
            </w:pPr>
            <w:r>
              <w:rPr/>
              <w:t>​</w:t>
            </w:r>
          </w:p>
        </w:tc>
        <w:tc>
          <w:tcPr>
            <w:tcW w:w="231"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27"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(712)</w:t>
            </w:r>
          </w:p>
        </w:tc>
        <w:tc>
          <w:tcPr>
            <w:tcW w:w="326" w:type="dxa"/>
            <w:tcBorders/>
            <w:shd w:fill="CCEEFF" w:val="clear"/>
            <w:vAlign w:val="center"/>
          </w:tcPr>
          <w:p>
            <w:pPr>
              <w:pStyle w:val="TableContents"/>
              <w:bidi w:val="0"/>
              <w:spacing w:before="0" w:after="0"/>
              <w:ind w:left="0" w:right="0" w:hanging="0"/>
              <w:jc w:val="left"/>
              <w:rPr/>
            </w:pPr>
            <w:r>
              <w:rPr/>
              <w:t>​</w:t>
            </w:r>
          </w:p>
        </w:tc>
        <w:tc>
          <w:tcPr>
            <w:tcW w:w="231"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27"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(1,541)</w:t>
            </w:r>
          </w:p>
        </w:tc>
        <w:tc>
          <w:tcPr>
            <w:tcW w:w="326" w:type="dxa"/>
            <w:tcBorders/>
            <w:shd w:fill="CCEEFF" w:val="clear"/>
            <w:vAlign w:val="center"/>
          </w:tcPr>
          <w:p>
            <w:pPr>
              <w:pStyle w:val="TableContents"/>
              <w:bidi w:val="0"/>
              <w:spacing w:before="0" w:after="0"/>
              <w:ind w:left="0" w:right="0" w:hanging="0"/>
              <w:jc w:val="left"/>
              <w:rPr/>
            </w:pPr>
            <w:r>
              <w:rPr/>
              <w:t>​</w:t>
            </w:r>
          </w:p>
        </w:tc>
        <w:tc>
          <w:tcPr>
            <w:tcW w:w="212"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46"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146"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(4,300)</w:t>
            </w:r>
          </w:p>
        </w:tc>
      </w:tr>
      <w:tr>
        <w:trPr/>
        <w:tc>
          <w:tcPr>
            <w:tcW w:w="37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26" w:type="dxa"/>
            <w:tcBorders/>
            <w:vAlign w:val="center"/>
          </w:tcPr>
          <w:p>
            <w:pPr>
              <w:pStyle w:val="TableContents"/>
              <w:bidi w:val="0"/>
              <w:spacing w:before="0" w:after="0"/>
              <w:ind w:left="0" w:right="0" w:hanging="0"/>
              <w:jc w:val="left"/>
              <w:rPr/>
            </w:pPr>
            <w:r>
              <w:rPr/>
              <w:t>​</w:t>
            </w:r>
          </w:p>
        </w:tc>
        <w:tc>
          <w:tcPr>
            <w:tcW w:w="23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236,257</w:t>
            </w:r>
          </w:p>
        </w:tc>
        <w:tc>
          <w:tcPr>
            <w:tcW w:w="326" w:type="dxa"/>
            <w:tcBorders/>
            <w:vAlign w:val="center"/>
          </w:tcPr>
          <w:p>
            <w:pPr>
              <w:pStyle w:val="TableContents"/>
              <w:bidi w:val="0"/>
              <w:spacing w:before="0" w:after="0"/>
              <w:ind w:left="0" w:right="0" w:hanging="0"/>
              <w:jc w:val="left"/>
              <w:rPr/>
            </w:pPr>
            <w:r>
              <w:rPr/>
              <w:t>​</w:t>
            </w:r>
          </w:p>
        </w:tc>
        <w:tc>
          <w:tcPr>
            <w:tcW w:w="23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298,973</w:t>
            </w:r>
          </w:p>
        </w:tc>
        <w:tc>
          <w:tcPr>
            <w:tcW w:w="326" w:type="dxa"/>
            <w:tcBorders/>
            <w:vAlign w:val="center"/>
          </w:tcPr>
          <w:p>
            <w:pPr>
              <w:pStyle w:val="TableContents"/>
              <w:bidi w:val="0"/>
              <w:spacing w:before="0" w:after="0"/>
              <w:ind w:left="0" w:right="0" w:hanging="0"/>
              <w:jc w:val="left"/>
              <w:rPr/>
            </w:pPr>
            <w:r>
              <w:rPr/>
              <w:t>​</w:t>
            </w:r>
          </w:p>
        </w:tc>
        <w:tc>
          <w:tcPr>
            <w:tcW w:w="21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490,026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589,509</w:t>
            </w:r>
          </w:p>
        </w:tc>
      </w:tr>
      <w:tr>
        <w:trPr/>
        <w:tc>
          <w:tcPr>
            <w:tcW w:w="3770"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102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102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10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6" w:type="dxa"/>
            <w:tcBorders/>
            <w:shd w:fill="CCEEFF" w:val="clear"/>
            <w:vAlign w:val="center"/>
          </w:tcPr>
          <w:p>
            <w:pPr>
              <w:pStyle w:val="TableContents"/>
              <w:bidi w:val="0"/>
              <w:spacing w:before="0" w:after="0"/>
              <w:ind w:left="0" w:right="0" w:hanging="0"/>
              <w:jc w:val="right"/>
              <w:rPr/>
            </w:pPr>
            <w:r>
              <w:rPr/>
              <w:t>​</w:t>
            </w:r>
          </w:p>
        </w:tc>
      </w:tr>
      <w:tr>
        <w:trPr/>
        <w:tc>
          <w:tcPr>
            <w:tcW w:w="37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by geographic area:</w:t>
            </w:r>
          </w:p>
        </w:tc>
        <w:tc>
          <w:tcPr>
            <w:tcW w:w="32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c>
          <w:tcPr>
            <w:tcW w:w="102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c>
          <w:tcPr>
            <w:tcW w:w="102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10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6" w:type="dxa"/>
            <w:tcBorders/>
            <w:vAlign w:val="center"/>
          </w:tcPr>
          <w:p>
            <w:pPr>
              <w:pStyle w:val="TableContents"/>
              <w:bidi w:val="0"/>
              <w:spacing w:before="0" w:after="0"/>
              <w:ind w:left="0" w:right="0" w:hanging="0"/>
              <w:jc w:val="left"/>
              <w:rPr/>
            </w:pPr>
            <w:r>
              <w:rPr/>
              <w:t>​</w:t>
            </w:r>
          </w:p>
        </w:tc>
      </w:tr>
      <w:tr>
        <w:trPr/>
        <w:tc>
          <w:tcPr>
            <w:tcW w:w="37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Americas</w:t>
            </w:r>
          </w:p>
        </w:tc>
        <w:tc>
          <w:tcPr>
            <w:tcW w:w="32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1,588,508</w:t>
            </w:r>
          </w:p>
        </w:tc>
        <w:tc>
          <w:tcPr>
            <w:tcW w:w="32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1,681,177</w:t>
            </w:r>
          </w:p>
        </w:tc>
        <w:tc>
          <w:tcPr>
            <w:tcW w:w="32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3,162,029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3,360,079</w:t>
            </w:r>
          </w:p>
        </w:tc>
      </w:tr>
      <w:tr>
        <w:trPr/>
        <w:tc>
          <w:tcPr>
            <w:tcW w:w="37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EMEA</w:t>
            </w:r>
          </w:p>
        </w:tc>
        <w:tc>
          <w:tcPr>
            <w:tcW w:w="32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right"/>
              <w:rPr/>
            </w:pPr>
            <w:r>
              <w:rPr/>
              <w:t> </w:t>
            </w:r>
          </w:p>
        </w:tc>
        <w:tc>
          <w:tcPr>
            <w:tcW w:w="10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2,113,550</w:t>
            </w:r>
          </w:p>
        </w:tc>
        <w:tc>
          <w:tcPr>
            <w:tcW w:w="32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right"/>
              <w:rPr/>
            </w:pPr>
            <w:r>
              <w:rPr/>
              <w:t> </w:t>
            </w:r>
          </w:p>
        </w:tc>
        <w:tc>
          <w:tcPr>
            <w:tcW w:w="10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2,255,878</w:t>
            </w:r>
          </w:p>
        </w:tc>
        <w:tc>
          <w:tcPr>
            <w:tcW w:w="32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right"/>
              <w:rPr/>
            </w:pPr>
            <w:r>
              <w:rPr/>
              <w:t> </w:t>
            </w:r>
          </w:p>
        </w:tc>
        <w:tc>
          <w:tcPr>
            <w:tcW w:w="10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4,421,601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11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4,385,418</w:t>
            </w:r>
          </w:p>
        </w:tc>
      </w:tr>
      <w:tr>
        <w:trPr/>
        <w:tc>
          <w:tcPr>
            <w:tcW w:w="37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Asia</w:t>
            </w:r>
          </w:p>
        </w:tc>
        <w:tc>
          <w:tcPr>
            <w:tcW w:w="326" w:type="dxa"/>
            <w:tcBorders/>
            <w:shd w:fill="CCEEFF" w:val="clear"/>
            <w:vAlign w:val="center"/>
          </w:tcPr>
          <w:p>
            <w:pPr>
              <w:pStyle w:val="TableContents"/>
              <w:bidi w:val="0"/>
              <w:spacing w:before="0" w:after="0"/>
              <w:ind w:left="0" w:right="0" w:hanging="0"/>
              <w:jc w:val="left"/>
              <w:rPr/>
            </w:pPr>
            <w:r>
              <w:rPr/>
              <w:t>​</w:t>
            </w:r>
          </w:p>
        </w:tc>
        <w:tc>
          <w:tcPr>
            <w:tcW w:w="231" w:type="dxa"/>
            <w:tcBorders>
              <w:bottom w:val="single" w:sz="1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27"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2,502,856</w:t>
            </w:r>
          </w:p>
        </w:tc>
        <w:tc>
          <w:tcPr>
            <w:tcW w:w="326" w:type="dxa"/>
            <w:tcBorders/>
            <w:shd w:fill="CCEEFF" w:val="clear"/>
            <w:vAlign w:val="center"/>
          </w:tcPr>
          <w:p>
            <w:pPr>
              <w:pStyle w:val="TableContents"/>
              <w:bidi w:val="0"/>
              <w:spacing w:before="0" w:after="0"/>
              <w:ind w:left="0" w:right="0" w:hanging="0"/>
              <w:jc w:val="left"/>
              <w:rPr/>
            </w:pPr>
            <w:r>
              <w:rPr/>
              <w:t>​</w:t>
            </w:r>
          </w:p>
        </w:tc>
        <w:tc>
          <w:tcPr>
            <w:tcW w:w="231" w:type="dxa"/>
            <w:tcBorders>
              <w:bottom w:val="single" w:sz="1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27"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2,780,466</w:t>
            </w:r>
          </w:p>
        </w:tc>
        <w:tc>
          <w:tcPr>
            <w:tcW w:w="326" w:type="dxa"/>
            <w:tcBorders/>
            <w:shd w:fill="CCEEFF" w:val="clear"/>
            <w:vAlign w:val="center"/>
          </w:tcPr>
          <w:p>
            <w:pPr>
              <w:pStyle w:val="TableContents"/>
              <w:bidi w:val="0"/>
              <w:spacing w:before="0" w:after="0"/>
              <w:ind w:left="0" w:right="0" w:hanging="0"/>
              <w:jc w:val="left"/>
              <w:rPr/>
            </w:pPr>
            <w:r>
              <w:rPr/>
              <w:t>​</w:t>
            </w:r>
          </w:p>
        </w:tc>
        <w:tc>
          <w:tcPr>
            <w:tcW w:w="212" w:type="dxa"/>
            <w:tcBorders>
              <w:bottom w:val="single" w:sz="1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46"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4,956,932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6"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5,722,157</w:t>
            </w:r>
          </w:p>
        </w:tc>
      </w:tr>
      <w:tr>
        <w:trPr/>
        <w:tc>
          <w:tcPr>
            <w:tcW w:w="37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w:t>
            </w:r>
          </w:p>
        </w:tc>
        <w:tc>
          <w:tcPr>
            <w:tcW w:w="326" w:type="dxa"/>
            <w:tcBorders/>
            <w:vAlign w:val="center"/>
          </w:tcPr>
          <w:p>
            <w:pPr>
              <w:pStyle w:val="TableContents"/>
              <w:bidi w:val="0"/>
              <w:spacing w:before="0" w:after="0"/>
              <w:ind w:left="0" w:right="0" w:hanging="0"/>
              <w:jc w:val="left"/>
              <w:rPr>
                <w:color w:val="575757"/>
              </w:rPr>
            </w:pPr>
            <w:r>
              <w:rPr>
                <w:color w:val="575757"/>
              </w:rPr>
              <w:t>​</w:t>
            </w:r>
          </w:p>
        </w:tc>
        <w:tc>
          <w:tcPr>
            <w:tcW w:w="23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6,204,914</w:t>
            </w:r>
          </w:p>
        </w:tc>
        <w:tc>
          <w:tcPr>
            <w:tcW w:w="326" w:type="dxa"/>
            <w:tcBorders/>
            <w:vAlign w:val="center"/>
          </w:tcPr>
          <w:p>
            <w:pPr>
              <w:pStyle w:val="TableContents"/>
              <w:bidi w:val="0"/>
              <w:spacing w:before="0" w:after="0"/>
              <w:ind w:left="0" w:right="0" w:hanging="0"/>
              <w:jc w:val="left"/>
              <w:rPr/>
            </w:pPr>
            <w:r>
              <w:rPr/>
              <w:t>​</w:t>
            </w:r>
          </w:p>
        </w:tc>
        <w:tc>
          <w:tcPr>
            <w:tcW w:w="23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6,717,521</w:t>
            </w:r>
          </w:p>
        </w:tc>
        <w:tc>
          <w:tcPr>
            <w:tcW w:w="326" w:type="dxa"/>
            <w:tcBorders/>
            <w:vAlign w:val="center"/>
          </w:tcPr>
          <w:p>
            <w:pPr>
              <w:pStyle w:val="TableContents"/>
              <w:bidi w:val="0"/>
              <w:spacing w:before="0" w:after="0"/>
              <w:ind w:left="0" w:right="0" w:hanging="0"/>
              <w:jc w:val="left"/>
              <w:rPr>
                <w:color w:val="575757"/>
              </w:rPr>
            </w:pPr>
            <w:r>
              <w:rPr>
                <w:color w:val="575757"/>
              </w:rPr>
              <w:t>​</w:t>
            </w:r>
          </w:p>
        </w:tc>
        <w:tc>
          <w:tcPr>
            <w:tcW w:w="21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12,540,562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13,467,654</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sz w:val="20"/>
        </w:rPr>
      </w:pPr>
      <w:bookmarkStart w:id="1093" w:name="Tc_8kVnEo1CdUKS0jCkGUwtsA_8_8"/>
      <w:bookmarkStart w:id="1094" w:name="Tc_fLx6b6ncfUOQ1_sN7PTRbg_8_5"/>
      <w:bookmarkStart w:id="1095" w:name="Tc_wljlOeylx0mNIX2Fzs3GLw_8_2"/>
      <w:bookmarkStart w:id="1096" w:name="Tc_ajDVFPgxIEiOWHF3tliOQA_8_0"/>
      <w:bookmarkStart w:id="1097" w:name="Tc_5Z3hoYsFsUuSo5E0F8hS5g_7_0"/>
      <w:bookmarkStart w:id="1098" w:name="Tc_TnR0D-zfPEO0wtoMOUIHvw_6_6"/>
      <w:bookmarkStart w:id="1099" w:name="Tc_eYjHipM_wEKXjweJDDKJJQ_6_0"/>
      <w:bookmarkStart w:id="1100" w:name="Tc_C9ANHS1M7kKE9uAzVxMp_g_5_6"/>
      <w:bookmarkStart w:id="1101" w:name="Tc_tDitQ7lQX0KesLlnTu2mNA_5_0"/>
      <w:bookmarkStart w:id="1102" w:name="Tc_m6wxso3X8UCxvVClwKytLA_4_8"/>
      <w:bookmarkStart w:id="1103" w:name="Tc_t-iY9kuqtke4vKAyFpVRPA_4_5"/>
      <w:bookmarkStart w:id="1104" w:name="Tc_4Jkbt0VaJ0WLze3G_CuUeQ_4_2"/>
      <w:bookmarkStart w:id="1105" w:name="Tc_CJ23Mim5hEOHl3zkjXkCbg_4_0"/>
      <w:bookmarkStart w:id="1106" w:name="Tc_wG9bt76cdUSZhDl-3rI8lQ_3_2"/>
      <w:bookmarkStart w:id="1107" w:name="Tc_qokgmx68X0uo-McplRtYkA_2_8"/>
      <w:bookmarkStart w:id="1108" w:name="Tc_fbHJ3N5liUuNgqjc7arGTw_2_5"/>
      <w:bookmarkStart w:id="1109" w:name="Tc_dlXDvGWV_ku8vdA1XJ_YMA_2_2"/>
      <w:bookmarkStart w:id="1110" w:name="Tc_dliy223wo0qOpR1SBAWIqw_1_5"/>
      <w:bookmarkStart w:id="1111" w:name="_e8ed3cf1_5499_44e9_b3e4_f2ef670caa28"/>
      <w:bookmarkStart w:id="1112" w:name="bm_13_Restructuring_integration_and_othe"/>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r>
        <w:rPr>
          <w:rFonts w:ascii="Times New Roman;Times;serif" w:hAnsi="Times New Roman;Times;serif"/>
          <w:b/>
          <w:sz w:val="20"/>
        </w:rPr>
        <w:t>14. Restructuring expenses</w:t>
      </w:r>
    </w:p>
    <w:p>
      <w:pPr>
        <w:pStyle w:val="TextBody"/>
        <w:bidi w:val="0"/>
        <w:spacing w:before="0" w:after="0"/>
        <w:ind w:left="0" w:right="0" w:hanging="0"/>
        <w:jc w:val="both"/>
        <w:rPr/>
      </w:pPr>
      <w:r>
        <w:rPr/>
        <w:t>​</w:t>
      </w:r>
    </w:p>
    <w:p>
      <w:pPr>
        <w:pStyle w:val="TextBody"/>
        <w:bidi w:val="0"/>
        <w:spacing w:before="0" w:after="0"/>
        <w:ind w:left="0" w:right="0" w:firstLine="480"/>
        <w:jc w:val="left"/>
        <w:rPr>
          <w:rFonts w:ascii="Times New Roman;Times;serif" w:hAnsi="Times New Roman;Times;serif"/>
          <w:sz w:val="20"/>
        </w:rPr>
      </w:pPr>
      <w:r>
        <w:rPr>
          <w:rFonts w:ascii="Times New Roman;Times;serif" w:hAnsi="Times New Roman;Times;serif"/>
          <w:sz w:val="20"/>
        </w:rPr>
        <w:t>During fiscal 2023, the Company incurred restructuring expenses primarily related to the planned closure of a Farnell distribution center intended to reduce future operating expenses. The following table presents the activity during the first six months of fiscal 2024 related to the restructuring liabilities established during fiscal 2024 and the remaining restructuring liabilities established during fiscal 2023:</w:t>
      </w:r>
    </w:p>
    <w:p>
      <w:pPr>
        <w:pStyle w:val="TextBody"/>
        <w:bidi w:val="0"/>
        <w:spacing w:before="0" w:after="0"/>
        <w:ind w:left="0" w:right="0" w:firstLine="480"/>
        <w:jc w:val="left"/>
        <w:rPr/>
      </w:pPr>
      <w:r>
        <w:rPr/>
        <w:t>​</w:t>
      </w:r>
    </w:p>
    <w:tbl>
      <w:tblPr>
        <w:tblW w:w="7763" w:type="dxa"/>
        <w:jc w:val="left"/>
        <w:tblInd w:w="0" w:type="dxa"/>
        <w:tblLayout w:type="fixed"/>
        <w:tblCellMar>
          <w:top w:w="0" w:type="dxa"/>
          <w:left w:w="0" w:type="dxa"/>
          <w:bottom w:w="0" w:type="dxa"/>
          <w:right w:w="0" w:type="dxa"/>
        </w:tblCellMar>
      </w:tblPr>
      <w:tblGrid>
        <w:gridCol w:w="3856"/>
        <w:gridCol w:w="326"/>
        <w:gridCol w:w="232"/>
        <w:gridCol w:w="744"/>
        <w:gridCol w:w="326"/>
        <w:gridCol w:w="319"/>
        <w:gridCol w:w="642"/>
        <w:gridCol w:w="326"/>
        <w:gridCol w:w="211"/>
        <w:gridCol w:w="781"/>
      </w:tblGrid>
      <w:tr>
        <w:trPr/>
        <w:tc>
          <w:tcPr>
            <w:tcW w:w="3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2448560" cy="175260"/>
                      <wp:effectExtent l="0" t="0" r="0" b="0"/>
                      <wp:wrapNone/>
                      <wp:docPr id="213" name="Frame213"/>
                      <a:graphic xmlns:a="http://schemas.openxmlformats.org/drawingml/2006/main">
                        <a:graphicData uri="http://schemas.microsoft.com/office/word/2010/wordprocessingShape">
                          <wps:wsp>
                            <wps:cNvSpPr txBox="1"/>
                            <wps:spPr>
                              <a:xfrm>
                                <a:off x="0" y="0"/>
                                <a:ext cx="2448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207010" cy="175260"/>
                      <wp:effectExtent l="0" t="0" r="0" b="0"/>
                      <wp:wrapNone/>
                      <wp:docPr id="214" name="Frame2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147320" cy="175260"/>
                      <wp:effectExtent l="0" t="0" r="0" b="0"/>
                      <wp:wrapNone/>
                      <wp:docPr id="215" name="Frame215"/>
                      <a:graphic xmlns:a="http://schemas.openxmlformats.org/drawingml/2006/main">
                        <a:graphicData uri="http://schemas.microsoft.com/office/word/2010/wordprocessingShape">
                          <wps:wsp>
                            <wps:cNvSpPr txBox="1"/>
                            <wps:spPr>
                              <a:xfrm>
                                <a:off x="0" y="0"/>
                                <a:ext cx="147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472440" cy="175260"/>
                      <wp:effectExtent l="0" t="0" r="0" b="0"/>
                      <wp:wrapNone/>
                      <wp:docPr id="216" name="Frame216"/>
                      <a:graphic xmlns:a="http://schemas.openxmlformats.org/drawingml/2006/main">
                        <a:graphicData uri="http://schemas.microsoft.com/office/word/2010/wordprocessingShape">
                          <wps:wsp>
                            <wps:cNvSpPr txBox="1"/>
                            <wps:spPr>
                              <a:xfrm>
                                <a:off x="0" y="0"/>
                                <a:ext cx="4724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207010" cy="175260"/>
                      <wp:effectExtent l="0" t="0" r="0" b="0"/>
                      <wp:wrapNone/>
                      <wp:docPr id="217" name="Frame2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202565" cy="175260"/>
                      <wp:effectExtent l="0" t="0" r="0" b="0"/>
                      <wp:wrapNone/>
                      <wp:docPr id="218" name="Frame218"/>
                      <a:graphic xmlns:a="http://schemas.openxmlformats.org/drawingml/2006/main">
                        <a:graphicData uri="http://schemas.microsoft.com/office/word/2010/wordprocessingShape">
                          <wps:wsp>
                            <wps:cNvSpPr txBox="1"/>
                            <wps:spPr>
                              <a:xfrm>
                                <a:off x="0" y="0"/>
                                <a:ext cx="202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407670" cy="175260"/>
                      <wp:effectExtent l="0" t="0" r="0" b="0"/>
                      <wp:wrapNone/>
                      <wp:docPr id="219" name="Frame219"/>
                      <a:graphic xmlns:a="http://schemas.openxmlformats.org/drawingml/2006/main">
                        <a:graphicData uri="http://schemas.microsoft.com/office/word/2010/wordprocessingShape">
                          <wps:wsp>
                            <wps:cNvSpPr txBox="1"/>
                            <wps:spPr>
                              <a:xfrm>
                                <a:off x="0" y="0"/>
                                <a:ext cx="407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207010" cy="175260"/>
                      <wp:effectExtent l="0" t="0" r="0" b="0"/>
                      <wp:wrapNone/>
                      <wp:docPr id="220" name="Frame2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133985" cy="175260"/>
                      <wp:effectExtent l="0" t="0" r="0" b="0"/>
                      <wp:wrapNone/>
                      <wp:docPr id="221" name="Frame2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495935" cy="175260"/>
                      <wp:effectExtent l="0" t="0" r="0" b="0"/>
                      <wp:wrapNone/>
                      <wp:docPr id="222" name="Frame22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56" w:type="dxa"/>
            <w:tcBorders/>
            <w:vAlign w:val="center"/>
          </w:tcPr>
          <w:p>
            <w:pPr>
              <w:pStyle w:val="TableContents"/>
              <w:bidi w:val="0"/>
              <w:spacing w:before="0" w:after="0"/>
              <w:ind w:left="0" w:right="0" w:hanging="0"/>
              <w:jc w:val="left"/>
              <w:rPr>
                <w:color w:val="B2B2B2"/>
              </w:rPr>
            </w:pPr>
            <w:r>
              <w:rPr>
                <w:color w:val="B2B2B2"/>
              </w:rPr>
              <w:t>​</w:t>
            </w:r>
          </w:p>
        </w:tc>
        <w:tc>
          <w:tcPr>
            <w:tcW w:w="326" w:type="dxa"/>
            <w:tcBorders/>
            <w:vAlign w:val="center"/>
          </w:tcPr>
          <w:p>
            <w:pPr>
              <w:pStyle w:val="TableContents"/>
              <w:bidi w:val="0"/>
              <w:spacing w:before="0" w:after="0"/>
              <w:ind w:left="0" w:right="0" w:hanging="0"/>
              <w:jc w:val="center"/>
              <w:rPr>
                <w:color w:val="B2B2B2"/>
              </w:rPr>
            </w:pPr>
            <w:r>
              <w:rPr>
                <w:color w:val="B2B2B2"/>
              </w:rPr>
              <w:t>    </w:t>
            </w:r>
          </w:p>
        </w:tc>
        <w:tc>
          <w:tcPr>
            <w:tcW w:w="232" w:type="dxa"/>
            <w:tcBorders/>
            <w:vAlign w:val="center"/>
          </w:tcPr>
          <w:p>
            <w:pPr>
              <w:pStyle w:val="TableContents"/>
              <w:bidi w:val="0"/>
              <w:spacing w:before="0" w:after="0"/>
              <w:ind w:left="0" w:right="0" w:hanging="0"/>
              <w:jc w:val="center"/>
              <w:rPr>
                <w:color w:val="B2B2B2"/>
              </w:rPr>
            </w:pPr>
            <w:r>
              <w:rPr>
                <w:color w:val="B2B2B2"/>
              </w:rPr>
              <w:t>​</w:t>
            </w:r>
          </w:p>
        </w:tc>
        <w:tc>
          <w:tcPr>
            <w:tcW w:w="744" w:type="dxa"/>
            <w:tcBorders/>
            <w:vAlign w:val="center"/>
          </w:tcPr>
          <w:p>
            <w:pPr>
              <w:pStyle w:val="TableContents"/>
              <w:bidi w:val="0"/>
              <w:spacing w:before="0" w:after="0"/>
              <w:ind w:left="0" w:right="0" w:hanging="0"/>
              <w:jc w:val="center"/>
              <w:rPr>
                <w:color w:val="B2B2B2"/>
              </w:rPr>
            </w:pPr>
            <w:r>
              <w:rPr>
                <w:color w:val="B2B2B2"/>
              </w:rPr>
              <w:t>​</w:t>
            </w:r>
          </w:p>
        </w:tc>
        <w:tc>
          <w:tcPr>
            <w:tcW w:w="326" w:type="dxa"/>
            <w:tcBorders/>
            <w:vAlign w:val="center"/>
          </w:tcPr>
          <w:p>
            <w:pPr>
              <w:pStyle w:val="TableContents"/>
              <w:bidi w:val="0"/>
              <w:spacing w:before="0" w:after="0"/>
              <w:ind w:left="0" w:right="0" w:hanging="0"/>
              <w:jc w:val="center"/>
              <w:rPr>
                <w:color w:val="B2B2B2"/>
              </w:rPr>
            </w:pPr>
            <w:r>
              <w:rPr>
                <w:color w:val="B2B2B2"/>
              </w:rPr>
              <w:t>    </w:t>
            </w:r>
          </w:p>
        </w:tc>
        <w:tc>
          <w:tcPr>
            <w:tcW w:w="961"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Facility</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center"/>
              <w:rPr/>
            </w:pPr>
            <w:r>
              <w:rPr/>
              <w:t>​</w:t>
            </w:r>
          </w:p>
        </w:tc>
      </w:tr>
      <w:tr>
        <w:trPr/>
        <w:tc>
          <w:tcPr>
            <w:tcW w:w="38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76"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Severance</w:t>
            </w:r>
          </w:p>
        </w:tc>
        <w:tc>
          <w:tcPr>
            <w:tcW w:w="326" w:type="dxa"/>
            <w:tcBorders/>
            <w:vAlign w:val="center"/>
          </w:tcPr>
          <w:p>
            <w:pPr>
              <w:pStyle w:val="TableContents"/>
              <w:bidi w:val="0"/>
              <w:spacing w:before="0" w:after="0"/>
              <w:ind w:left="0" w:right="0" w:hanging="0"/>
              <w:jc w:val="center"/>
              <w:rPr/>
            </w:pPr>
            <w:r>
              <w:rPr/>
              <w:t>    </w:t>
            </w:r>
          </w:p>
        </w:tc>
        <w:tc>
          <w:tcPr>
            <w:tcW w:w="961"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Exit Costs</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w:t>
            </w:r>
          </w:p>
        </w:tc>
      </w:tr>
      <w:tr>
        <w:trPr/>
        <w:tc>
          <w:tcPr>
            <w:tcW w:w="7763"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38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3581" w:type="dxa"/>
            <w:gridSpan w:val="8"/>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(Thousands)</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July 1, 2023</w:t>
            </w:r>
          </w:p>
        </w:tc>
        <w:tc>
          <w:tcPr>
            <w:tcW w:w="32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15,507</w:t>
            </w:r>
          </w:p>
        </w:tc>
        <w:tc>
          <w:tcPr>
            <w:tcW w:w="326"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16,011</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Fiscal 2024 restructuring expenses</w:t>
            </w:r>
          </w:p>
        </w:tc>
        <w:tc>
          <w:tcPr>
            <w:tcW w:w="32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7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2,790</w:t>
            </w:r>
          </w:p>
        </w:tc>
        <w:tc>
          <w:tcPr>
            <w:tcW w:w="326"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pPr>
            <w:r>
              <w:rPr/>
              <w:t>​</w:t>
            </w:r>
          </w:p>
        </w:tc>
        <w:tc>
          <w:tcPr>
            <w:tcW w:w="64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2,790</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payments</w:t>
            </w:r>
          </w:p>
        </w:tc>
        <w:tc>
          <w:tcPr>
            <w:tcW w:w="32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right"/>
              <w:rPr/>
            </w:pPr>
            <w:r>
              <w:rPr/>
              <w:t> </w:t>
            </w:r>
          </w:p>
        </w:tc>
        <w:tc>
          <w:tcPr>
            <w:tcW w:w="7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(1,928)</w:t>
            </w:r>
          </w:p>
        </w:tc>
        <w:tc>
          <w:tcPr>
            <w:tcW w:w="326"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right"/>
              <w:rPr/>
            </w:pPr>
            <w:r>
              <w:rPr/>
              <w:t>​</w:t>
            </w:r>
          </w:p>
        </w:tc>
        <w:tc>
          <w:tcPr>
            <w:tcW w:w="64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(1,928)</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principally foreign currency translation</w:t>
            </w:r>
          </w:p>
        </w:tc>
        <w:tc>
          <w:tcPr>
            <w:tcW w:w="326" w:type="dxa"/>
            <w:tcBorders/>
            <w:vAlign w:val="center"/>
          </w:tcPr>
          <w:p>
            <w:pPr>
              <w:pStyle w:val="TableContents"/>
              <w:bidi w:val="0"/>
              <w:spacing w:before="0" w:after="0"/>
              <w:ind w:left="0" w:right="0" w:hanging="0"/>
              <w:jc w:val="left"/>
              <w:rPr/>
            </w:pPr>
            <w:r>
              <w:rPr/>
              <w:t>​</w:t>
            </w:r>
          </w:p>
        </w:tc>
        <w:tc>
          <w:tcPr>
            <w:tcW w:w="232"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c>
          <w:tcPr>
            <w:tcW w:w="744"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w:t>
            </w:r>
          </w:p>
        </w:tc>
        <w:tc>
          <w:tcPr>
            <w:tcW w:w="326" w:type="dxa"/>
            <w:tcBorders/>
            <w:vAlign w:val="center"/>
          </w:tcPr>
          <w:p>
            <w:pPr>
              <w:pStyle w:val="TableContents"/>
              <w:bidi w:val="0"/>
              <w:spacing w:before="0" w:after="0"/>
              <w:ind w:left="0" w:right="0" w:hanging="0"/>
              <w:jc w:val="left"/>
              <w:rPr/>
            </w:pPr>
            <w:r>
              <w:rPr/>
              <w:t>​</w:t>
            </w:r>
          </w:p>
        </w:tc>
        <w:tc>
          <w:tcPr>
            <w:tcW w:w="319" w:type="dxa"/>
            <w:tcBorders>
              <w:bottom w:val="single" w:sz="12" w:space="0" w:color="000000"/>
            </w:tcBorders>
            <w:tcMar>
              <w:bottom w:w="28" w:type="dxa"/>
            </w:tcMar>
            <w:vAlign w:val="center"/>
          </w:tcPr>
          <w:p>
            <w:pPr>
              <w:pStyle w:val="TableContents"/>
              <w:bidi w:val="0"/>
              <w:spacing w:before="0" w:after="0"/>
              <w:ind w:left="0" w:right="0" w:hanging="0"/>
              <w:jc w:val="right"/>
              <w:rPr/>
            </w:pPr>
            <w:r>
              <w:rPr/>
              <w:t>​</w:t>
            </w:r>
          </w:p>
        </w:tc>
        <w:tc>
          <w:tcPr>
            <w:tcW w:w="642"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right"/>
              <w:rPr/>
            </w:pPr>
            <w:r>
              <w:rPr/>
              <w:t>​</w:t>
            </w:r>
          </w:p>
        </w:tc>
        <w:tc>
          <w:tcPr>
            <w:tcW w:w="781"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30, 2023</w:t>
            </w:r>
          </w:p>
        </w:tc>
        <w:tc>
          <w:tcPr>
            <w:tcW w:w="326" w:type="dxa"/>
            <w:tcBorders/>
            <w:shd w:fill="CCEEFF" w:val="clear"/>
            <w:vAlign w:val="center"/>
          </w:tcPr>
          <w:p>
            <w:pPr>
              <w:pStyle w:val="TableContents"/>
              <w:bidi w:val="0"/>
              <w:spacing w:before="0" w:after="0"/>
              <w:ind w:left="0" w:right="0" w:hanging="0"/>
              <w:jc w:val="left"/>
              <w:rPr/>
            </w:pPr>
            <w:r>
              <w:rPr/>
              <w:t>​</w:t>
            </w:r>
          </w:p>
        </w:tc>
        <w:tc>
          <w:tcPr>
            <w:tcW w:w="23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16,484</w:t>
            </w:r>
          </w:p>
        </w:tc>
        <w:tc>
          <w:tcPr>
            <w:tcW w:w="326" w:type="dxa"/>
            <w:tcBorders/>
            <w:shd w:fill="CCEEFF" w:val="clear"/>
            <w:vAlign w:val="center"/>
          </w:tcPr>
          <w:p>
            <w:pPr>
              <w:pStyle w:val="TableContents"/>
              <w:bidi w:val="0"/>
              <w:spacing w:before="0" w:after="0"/>
              <w:ind w:left="0" w:right="0" w:hanging="0"/>
              <w:jc w:val="left"/>
              <w:rPr/>
            </w:pPr>
            <w:r>
              <w:rPr/>
              <w:t>​</w:t>
            </w:r>
          </w:p>
        </w:tc>
        <w:tc>
          <w:tcPr>
            <w:tcW w:w="31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16,990</w:t>
            </w:r>
          </w:p>
        </w:tc>
      </w:tr>
    </w:tbl>
    <w:p>
      <w:pPr>
        <w:pStyle w:val="TextBody"/>
        <w:bidi w:val="0"/>
        <w:spacing w:before="0" w:after="0"/>
        <w:ind w:left="0" w:right="0" w:firstLine="480"/>
        <w:jc w:val="left"/>
        <w:rPr/>
      </w:pPr>
      <w:r>
        <w:rPr/>
        <w:t>​</w:t>
      </w:r>
    </w:p>
    <w:p>
      <w:pPr>
        <w:pStyle w:val="TextBody"/>
        <w:bidi w:val="0"/>
        <w:spacing w:before="0" w:after="0"/>
        <w:ind w:left="0" w:right="0" w:firstLine="475"/>
        <w:jc w:val="left"/>
        <w:rPr/>
      </w:pPr>
      <w:r>
        <w:rPr/>
        <w:t>​</w:t>
      </w:r>
    </w:p>
    <w:p>
      <w:pPr>
        <w:pStyle w:val="TextBody"/>
        <w:bidi w:val="0"/>
        <w:spacing w:before="0" w:after="0"/>
        <w:ind w:left="0" w:right="0" w:firstLine="475"/>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lineRule="auto" w:line="343"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240" w:after="0"/>
        <w:ind w:left="0" w:right="0" w:firstLine="450"/>
        <w:jc w:val="left"/>
        <w:rPr>
          <w:rFonts w:ascii="Times New Roman;Times;serif" w:hAnsi="Times New Roman;Times;serif"/>
          <w:sz w:val="20"/>
        </w:rPr>
      </w:pPr>
      <w:bookmarkStart w:id="1113" w:name="_7dc5ffc4_f547_48fb_9092_8362e60d1f07"/>
      <w:bookmarkEnd w:id="1113"/>
      <w:r>
        <w:rPr>
          <w:rFonts w:ascii="Times New Roman;Times;serif" w:hAnsi="Times New Roman;Times;serif"/>
          <w:sz w:val="20"/>
        </w:rPr>
        <w:t>This Quarterly Report contains forward-looking statements within the meaning of Section 27A of the Securities Act of 1933, as amended (“Securities Act”), and Section 21E of the Securities Exchange Act of 1934, as amended (the “Exchange Act”) with respect to the financial condition, results of operations, and business of the Company. Many of these statements can be found by looking for words like “continue,” “believes,” “projected,” “plans,” “expects,” “anticipates,” “should,” “will,” “may,” “estimates,” or similar expressions in this Quarterly Report or in documents incorporated by reference in this Quarterly Report. These forward-looking statements are subject to numerous assumptions, risks, and uncertainties. The following important factors, in addition to those discussed elsewhere in this Quarterly Report, and the Company’s Annual Report on Form 10-K for the fiscal year ended July 1, 2023, and subsequent Quarterly Reports on Form 10-Q and Current Reports on Form 8-K, could affect the Company’s future results of operations, and could cause those results or other outcomes to differ materially from those expressed or implied in the forward-looking statements: geopolitical events and military conflicts; pandemics and other health-related crises; competitive pressures among distributors of electronic components; an industry down-cycle in semiconductors, including supply shortages; relationships with key suppliers and allocations of products by suppliers, including increased non-cancellable/non-returnable orders; accounts receivable defaults; risks relating to the Company’s international sales and operations, including risks relating to repatriating cash, foreign currency fluctuations, inflation, duties and taxes, sanctions and trade restrictions, and compliance with international and U.S. laws; risks relating to acquisitions, divestitures and investments; adverse effects on the Company’s supply chain, operations of its distribution centers, shipping costs, third-party service providers, customers and suppliers, including as a result of issues caused by military conflicts, terrorist attacks, natural and weather-related disasters, pandemics and health related crises, warehouse modernization, and relocation efforts; risks related to cyber security attacks, other privacy and security incidents, and information systems failures, including related to current or future implementations, integrations, and upgrades; general economic and business conditions (domestic, foreign and global) affecting the Company’s operations and financial performance and, indirectly, the Company’s credit ratings, debt covenant compliance, liquidity, and access to financing; constraints on employee retention and hiring; and legislative or regulatory changes.</w:t>
      </w:r>
    </w:p>
    <w:p>
      <w:pPr>
        <w:pStyle w:val="TextBody"/>
        <w:bidi w:val="0"/>
        <w:spacing w:before="0" w:after="0"/>
        <w:ind w:left="0" w:right="0" w:firstLine="450"/>
        <w:jc w:val="left"/>
        <w:rPr/>
      </w:pPr>
      <w:r>
        <w:rPr/>
        <w:t>​</w:t>
      </w:r>
    </w:p>
    <w:p>
      <w:pPr>
        <w:pStyle w:val="TextBody"/>
        <w:bidi w:val="0"/>
        <w:spacing w:before="0" w:after="0"/>
        <w:ind w:left="0" w:right="0" w:firstLine="450"/>
        <w:jc w:val="left"/>
        <w:rPr>
          <w:rFonts w:ascii="Times New Roman;Times;serif" w:hAnsi="Times New Roman;Times;serif"/>
          <w:sz w:val="20"/>
        </w:rPr>
      </w:pPr>
      <w:r>
        <w:rPr>
          <w:rFonts w:ascii="Times New Roman;Times;serif" w:hAnsi="Times New Roman;Times;serif"/>
          <w:sz w:val="20"/>
        </w:rPr>
        <w:t>Any forward-looking statement speaks only as of the date on which that statement is made. Except as required by law, the Company assumes no obligation to update any forward-looking statement to reflect events or circumstances that occur after the date on which the statement is made.</w:t>
      </w:r>
    </w:p>
    <w:p>
      <w:pPr>
        <w:pStyle w:val="TextBody"/>
        <w:bidi w:val="0"/>
        <w:spacing w:before="0" w:after="0"/>
        <w:ind w:left="0" w:right="0" w:firstLine="450"/>
        <w:jc w:val="both"/>
        <w:rPr/>
      </w:pPr>
      <w:r>
        <w:rPr/>
        <w:t>​</w:t>
      </w:r>
    </w:p>
    <w:p>
      <w:pPr>
        <w:pStyle w:val="Normal"/>
        <w:bidi w:val="0"/>
        <w:spacing w:before="0" w:after="0"/>
        <w:jc w:val="left"/>
        <w:rPr>
          <w:sz w:val="4"/>
          <w:szCs w:val="4"/>
        </w:rPr>
      </w:pPr>
      <w:r>
        <w:rPr>
          <w:sz w:val="4"/>
          <w:szCs w:val="4"/>
        </w:rPr>
      </w:r>
      <w:bookmarkStart w:id="1114" w:name="Item_2"/>
      <w:bookmarkStart w:id="1115" w:name="Item_2_Managements_Discussion_and_Analy"/>
      <w:bookmarkStart w:id="1116" w:name="Item_2"/>
      <w:bookmarkStart w:id="1117" w:name="Item_2_Managements_Discussion_and_Analy"/>
      <w:bookmarkEnd w:id="1116"/>
      <w:bookmarkEnd w:id="1117"/>
    </w:p>
    <w:tbl>
      <w:tblPr>
        <w:tblW w:w="8267" w:type="dxa"/>
        <w:jc w:val="left"/>
        <w:tblInd w:w="0" w:type="dxa"/>
        <w:tblLayout w:type="fixed"/>
        <w:tblCellMar>
          <w:top w:w="0" w:type="dxa"/>
          <w:left w:w="0" w:type="dxa"/>
          <w:bottom w:w="0" w:type="dxa"/>
          <w:right w:w="0" w:type="dxa"/>
        </w:tblCellMar>
      </w:tblPr>
      <w:tblGrid>
        <w:gridCol w:w="706"/>
        <w:gridCol w:w="7561"/>
      </w:tblGrid>
      <w:tr>
        <w:trPr/>
        <w:tc>
          <w:tcPr>
            <w:tcW w:w="706"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Item 2.</w:t>
            </w:r>
          </w:p>
        </w:tc>
        <w:tc>
          <w:tcPr>
            <w:tcW w:w="7561" w:type="dxa"/>
            <w:tcBorders/>
            <w:vAlign w:val="center"/>
          </w:tcPr>
          <w:p>
            <w:pPr>
              <w:pStyle w:val="TableContents"/>
              <w:bidi w:val="0"/>
              <w:spacing w:before="0" w:after="0"/>
              <w:jc w:val="left"/>
              <w:rPr>
                <w:rFonts w:ascii="Times New Roman;Times;serif" w:hAnsi="Times New Roman;Times;serif"/>
                <w:b/>
                <w:i/>
                <w:sz w:val="20"/>
              </w:rPr>
            </w:pPr>
            <w:r>
              <w:rPr>
                <w:rFonts w:ascii="Times New Roman;Times;serif" w:hAnsi="Times New Roman;Times;serif"/>
                <w:b/>
                <w:i/>
                <w:sz w:val="20"/>
              </w:rPr>
              <w:t>Management’s Discussion and Analysis of Financial Condition and Results of Operations</w:t>
            </w:r>
          </w:p>
        </w:tc>
      </w:tr>
    </w:tbl>
    <w:p>
      <w:pPr>
        <w:pStyle w:val="TextBody"/>
        <w:bidi w:val="0"/>
        <w:spacing w:before="0" w:after="0"/>
        <w:ind w:left="1080" w:right="0" w:hanging="0"/>
        <w:jc w:val="left"/>
        <w:rPr/>
      </w:pPr>
      <w:r>
        <w:rPr/>
        <w:t>​</w:t>
      </w:r>
    </w:p>
    <w:p>
      <w:pPr>
        <w:pStyle w:val="TextBody"/>
        <w:bidi w:val="0"/>
        <w:spacing w:before="0" w:after="0"/>
        <w:ind w:left="0" w:right="0" w:firstLine="480"/>
        <w:jc w:val="left"/>
        <w:rPr>
          <w:rFonts w:ascii="Times New Roman;Times;serif" w:hAnsi="Times New Roman;Times;serif"/>
          <w:sz w:val="20"/>
        </w:rPr>
      </w:pPr>
      <w:r>
        <w:rPr>
          <w:rFonts w:ascii="Times New Roman;Times;serif" w:hAnsi="Times New Roman;Times;serif"/>
          <w:sz w:val="20"/>
        </w:rPr>
        <w:t xml:space="preserve">For a description of the Company’s critical accounting policies and an understanding of Avnet and the significant factors that influenced the Company’s performance during the quarter ended December 30, 2023, this </w:t>
      </w:r>
      <w:r>
        <w:rPr>
          <w:rFonts w:ascii="Times New Roman;Times;serif" w:hAnsi="Times New Roman;Times;serif"/>
          <w:i/>
          <w:sz w:val="20"/>
        </w:rPr>
        <w:t>Management’s Discussion and Analysis of Financial Condition and Results of Operations</w:t>
      </w:r>
      <w:r>
        <w:rPr>
          <w:rFonts w:ascii="Times New Roman;Times;serif" w:hAnsi="Times New Roman;Times;serif"/>
          <w:sz w:val="20"/>
        </w:rPr>
        <w:t xml:space="preserve"> (“MD&amp;A”) should be read in conjunction with the consolidated financial statements, including the related notes, appearing in Item 1 of this Quarterly Report on Form 10-Q, as well as the Company’s Annual Report on Form 10-K for the fiscal year ended July 1, 2023.</w:t>
      </w:r>
    </w:p>
    <w:p>
      <w:pPr>
        <w:pStyle w:val="TextBody"/>
        <w:bidi w:val="0"/>
        <w:spacing w:before="240" w:after="0"/>
        <w:ind w:left="0" w:right="0" w:firstLine="480"/>
        <w:jc w:val="left"/>
        <w:rPr>
          <w:rFonts w:ascii="Times New Roman;Times;serif" w:hAnsi="Times New Roman;Times;serif"/>
          <w:sz w:val="20"/>
        </w:rPr>
      </w:pPr>
      <w:bookmarkStart w:id="1118" w:name="_Hlk85693413"/>
      <w:bookmarkEnd w:id="1118"/>
      <w:r>
        <w:rPr>
          <w:rFonts w:ascii="Times New Roman;Times;serif" w:hAnsi="Times New Roman;Times;serif"/>
          <w:sz w:val="20"/>
        </w:rPr>
        <w:t>The discussion of the Company’s results of operations includes references to the impact of foreign currency translation. When the U.S. Dollar strengthens and the stronger exchange rates are used to translate the results of operations of Avnet’s subsidiaries denominated in foreign currencies, the result is a decrease in U.S. Dollars of reported results. Conversely, when the U.S. Dollar weakens, the weaker exchange rates result in an increase in U.S. Dollars of reported results. In the discussion that follows, results excluding this impact, primarily for subsidiaries in Europe, the Middle East and Africa (“EMEA”) and Asia/Pacific (“Asia”), are referred to as “constant currency.”</w:t>
      </w:r>
    </w:p>
    <w:p>
      <w:pPr>
        <w:pStyle w:val="TextBody"/>
        <w:bidi w:val="0"/>
        <w:spacing w:before="0" w:after="0"/>
        <w:ind w:left="0" w:right="0" w:hanging="0"/>
        <w:jc w:val="left"/>
        <w:rPr/>
      </w:pPr>
      <w:r>
        <w:rPr/>
        <w:t>​</w:t>
      </w:r>
    </w:p>
    <w:p>
      <w:pPr>
        <w:pStyle w:val="TextBody"/>
        <w:bidi w:val="0"/>
        <w:spacing w:before="0" w:after="0"/>
        <w:ind w:left="0" w:right="0" w:firstLine="480"/>
        <w:jc w:val="left"/>
        <w:rPr>
          <w:rFonts w:ascii="Times New Roman;Times;serif" w:hAnsi="Times New Roman;Times;serif"/>
          <w:sz w:val="20"/>
        </w:rPr>
      </w:pPr>
      <w:r>
        <w:rPr>
          <w:rFonts w:ascii="Times New Roman;Times;serif" w:hAnsi="Times New Roman;Times;serif"/>
          <w:sz w:val="20"/>
        </w:rPr>
        <w:t>In addition to disclosing financial results that are determined in accordance with generally accepted accounting principles in the U.S. (“GAAP”), the Company also discloses certain non-GAAP financial information, including:</w:t>
      </w:r>
    </w:p>
    <w:p>
      <w:pPr>
        <w:pStyle w:val="TextBody"/>
        <w:bidi w:val="0"/>
        <w:spacing w:before="0" w:after="0"/>
        <w:ind w:left="0" w:right="0" w:firstLine="48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income excluding (i) restructuring, integration, and other expenses, and (ii) amortization of acquired intangible assets is referred to as “adjusted operating income.”</w:t>
            </w:r>
          </w:p>
        </w:tc>
      </w:tr>
    </w:tbl>
    <w:p>
      <w:pPr>
        <w:pStyle w:val="TextBody"/>
        <w:bidi w:val="0"/>
        <w:spacing w:before="0" w:after="0"/>
        <w:ind w:left="72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lineRule="auto" w:line="343"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480"/>
        <w:jc w:val="left"/>
        <w:rPr>
          <w:rFonts w:ascii="Times New Roman;Times;serif" w:hAnsi="Times New Roman;Times;serif"/>
          <w:sz w:val="20"/>
        </w:rPr>
      </w:pPr>
      <w:r>
        <w:rPr>
          <w:rFonts w:ascii="Times New Roman;Times;serif" w:hAnsi="Times New Roman;Times;serif"/>
          <w:sz w:val="20"/>
        </w:rPr>
        <w:t>The reconciliation of operating income to adjusted operating income is presented in the following table:</w:t>
      </w:r>
    </w:p>
    <w:p>
      <w:pPr>
        <w:pStyle w:val="TextBody"/>
        <w:bidi w:val="0"/>
        <w:spacing w:before="0" w:after="0"/>
        <w:ind w:left="0" w:right="0" w:firstLine="480"/>
        <w:jc w:val="both"/>
        <w:rPr/>
      </w:pPr>
      <w:r>
        <w:rPr/>
        <w:t>​</w:t>
      </w:r>
    </w:p>
    <w:p>
      <w:pPr>
        <w:pStyle w:val="TextBody"/>
        <w:bidi w:val="0"/>
        <w:spacing w:before="0" w:after="0"/>
        <w:ind w:left="0" w:right="0" w:hanging="0"/>
        <w:jc w:val="left"/>
        <w:rPr/>
      </w:pPr>
      <w:r>
        <w:rPr/>
        <w:t>​</w:t>
      </w:r>
    </w:p>
    <w:tbl>
      <w:tblPr>
        <w:tblW w:w="10200" w:type="dxa"/>
        <w:jc w:val="left"/>
        <w:tblInd w:w="0" w:type="dxa"/>
        <w:tblLayout w:type="fixed"/>
        <w:tblCellMar>
          <w:top w:w="0" w:type="dxa"/>
          <w:left w:w="0" w:type="dxa"/>
          <w:bottom w:w="0" w:type="dxa"/>
          <w:right w:w="0" w:type="dxa"/>
        </w:tblCellMar>
      </w:tblPr>
      <w:tblGrid>
        <w:gridCol w:w="3811"/>
        <w:gridCol w:w="326"/>
        <w:gridCol w:w="267"/>
        <w:gridCol w:w="993"/>
        <w:gridCol w:w="326"/>
        <w:gridCol w:w="267"/>
        <w:gridCol w:w="993"/>
        <w:gridCol w:w="326"/>
        <w:gridCol w:w="267"/>
        <w:gridCol w:w="993"/>
        <w:gridCol w:w="326"/>
        <w:gridCol w:w="250"/>
        <w:gridCol w:w="1055"/>
      </w:tblGrid>
      <w:tr>
        <w:trPr/>
        <w:tc>
          <w:tcPr>
            <w:tcW w:w="3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2419985" cy="175260"/>
                      <wp:effectExtent l="0" t="0" r="0" b="0"/>
                      <wp:wrapNone/>
                      <wp:docPr id="223" name="Frame223"/>
                      <a:graphic xmlns:a="http://schemas.openxmlformats.org/drawingml/2006/main">
                        <a:graphicData uri="http://schemas.microsoft.com/office/word/2010/wordprocessingShape">
                          <wps:wsp>
                            <wps:cNvSpPr txBox="1"/>
                            <wps:spPr>
                              <a:xfrm>
                                <a:off x="0" y="0"/>
                                <a:ext cx="2419985"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207010" cy="175260"/>
                      <wp:effectExtent l="0" t="0" r="0" b="0"/>
                      <wp:wrapNone/>
                      <wp:docPr id="224" name="Frame2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169545" cy="175260"/>
                      <wp:effectExtent l="0" t="0" r="0" b="0"/>
                      <wp:wrapNone/>
                      <wp:docPr id="225" name="Frame225"/>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9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30555" cy="175260"/>
                      <wp:effectExtent l="0" t="0" r="0" b="0"/>
                      <wp:wrapNone/>
                      <wp:docPr id="226" name="Frame226"/>
                      <a:graphic xmlns:a="http://schemas.openxmlformats.org/drawingml/2006/main">
                        <a:graphicData uri="http://schemas.microsoft.com/office/word/2010/wordprocessingShape">
                          <wps:wsp>
                            <wps:cNvSpPr txBox="1"/>
                            <wps:spPr>
                              <a:xfrm>
                                <a:off x="0" y="0"/>
                                <a:ext cx="630555"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207010" cy="175260"/>
                      <wp:effectExtent l="0" t="0" r="0" b="0"/>
                      <wp:wrapNone/>
                      <wp:docPr id="227" name="Frame2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169545" cy="175260"/>
                      <wp:effectExtent l="0" t="0" r="0" b="0"/>
                      <wp:wrapNone/>
                      <wp:docPr id="228" name="Frame228"/>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9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30555" cy="175260"/>
                      <wp:effectExtent l="0" t="0" r="0" b="0"/>
                      <wp:wrapNone/>
                      <wp:docPr id="229" name="Frame229"/>
                      <a:graphic xmlns:a="http://schemas.openxmlformats.org/drawingml/2006/main">
                        <a:graphicData uri="http://schemas.microsoft.com/office/word/2010/wordprocessingShape">
                          <wps:wsp>
                            <wps:cNvSpPr txBox="1"/>
                            <wps:spPr>
                              <a:xfrm>
                                <a:off x="0" y="0"/>
                                <a:ext cx="630555"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207010" cy="175260"/>
                      <wp:effectExtent l="0" t="0" r="0" b="0"/>
                      <wp:wrapNone/>
                      <wp:docPr id="230" name="Frame2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169545" cy="175260"/>
                      <wp:effectExtent l="0" t="0" r="0" b="0"/>
                      <wp:wrapNone/>
                      <wp:docPr id="231" name="Frame231"/>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9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30555" cy="175260"/>
                      <wp:effectExtent l="0" t="0" r="0" b="0"/>
                      <wp:wrapNone/>
                      <wp:docPr id="232" name="Frame232"/>
                      <a:graphic xmlns:a="http://schemas.openxmlformats.org/drawingml/2006/main">
                        <a:graphicData uri="http://schemas.microsoft.com/office/word/2010/wordprocessingShape">
                          <wps:wsp>
                            <wps:cNvSpPr txBox="1"/>
                            <wps:spPr>
                              <a:xfrm>
                                <a:off x="0" y="0"/>
                                <a:ext cx="630555"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207010" cy="175260"/>
                      <wp:effectExtent l="0" t="0" r="0" b="0"/>
                      <wp:wrapNone/>
                      <wp:docPr id="233" name="Frame2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158750" cy="175260"/>
                      <wp:effectExtent l="0" t="0" r="0" b="0"/>
                      <wp:wrapNone/>
                      <wp:docPr id="234" name="Frame234"/>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10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69925" cy="175260"/>
                      <wp:effectExtent l="0" t="0" r="0" b="0"/>
                      <wp:wrapNone/>
                      <wp:docPr id="235" name="Frame235"/>
                      <a:graphic xmlns:a="http://schemas.openxmlformats.org/drawingml/2006/main">
                        <a:graphicData uri="http://schemas.microsoft.com/office/word/2010/wordprocessingShape">
                          <wps:wsp>
                            <wps:cNvSpPr txBox="1"/>
                            <wps:spPr>
                              <a:xfrm>
                                <a:off x="0" y="0"/>
                                <a:ext cx="669925"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r>
      <w:tr>
        <w:trPr/>
        <w:tc>
          <w:tcPr>
            <w:tcW w:w="3811" w:type="dxa"/>
            <w:tcBorders/>
            <w:vAlign w:val="center"/>
          </w:tcPr>
          <w:p>
            <w:pPr>
              <w:pStyle w:val="TableContents"/>
              <w:bidi w:val="0"/>
              <w:spacing w:lineRule="atLeast" w:line="240" w:before="0" w:after="0"/>
              <w:ind w:left="0" w:right="0" w:hanging="0"/>
              <w:jc w:val="left"/>
              <w:rPr/>
            </w:pPr>
            <w:r>
              <w:rPr/>
              <w:t>​</w:t>
            </w:r>
          </w:p>
        </w:tc>
        <w:tc>
          <w:tcPr>
            <w:tcW w:w="326" w:type="dxa"/>
            <w:tcBorders/>
            <w:vAlign w:val="center"/>
          </w:tcPr>
          <w:p>
            <w:pPr>
              <w:pStyle w:val="TableContents"/>
              <w:bidi w:val="0"/>
              <w:spacing w:lineRule="atLeast" w:line="240" w:before="0" w:after="0"/>
              <w:ind w:left="0" w:right="0" w:hanging="0"/>
              <w:jc w:val="center"/>
              <w:rPr/>
            </w:pPr>
            <w:r>
              <w:rPr/>
              <w:t>​</w:t>
            </w:r>
          </w:p>
        </w:tc>
        <w:tc>
          <w:tcPr>
            <w:tcW w:w="2846" w:type="dxa"/>
            <w:gridSpan w:val="5"/>
            <w:tcBorders>
              <w:bottom w:val="single" w:sz="12" w:space="0" w:color="000000"/>
            </w:tcBorders>
            <w:tcMar>
              <w:bottom w:w="28" w:type="dxa"/>
            </w:tcMar>
            <w:vAlign w:val="center"/>
          </w:tcPr>
          <w:p>
            <w:pPr>
              <w:pStyle w:val="TableContents"/>
              <w:bidi w:val="0"/>
              <w:spacing w:lineRule="atLeast" w:line="240" w:before="0" w:after="0"/>
              <w:ind w:left="0" w:right="0" w:hanging="0"/>
              <w:jc w:val="center"/>
              <w:rPr>
                <w:rFonts w:ascii="Times New Roman;Times;serif" w:hAnsi="Times New Roman;Times;serif"/>
                <w:b/>
                <w:sz w:val="20"/>
              </w:rPr>
            </w:pPr>
            <w:r>
              <w:rPr>
                <w:rFonts w:ascii="Times New Roman;Times;serif" w:hAnsi="Times New Roman;Times;serif"/>
                <w:b/>
                <w:sz w:val="20"/>
              </w:rPr>
              <w:t>Second Quarters Ended</w:t>
            </w:r>
          </w:p>
        </w:tc>
        <w:tc>
          <w:tcPr>
            <w:tcW w:w="326" w:type="dxa"/>
            <w:tcBorders/>
            <w:vAlign w:val="center"/>
          </w:tcPr>
          <w:p>
            <w:pPr>
              <w:pStyle w:val="TableContents"/>
              <w:bidi w:val="0"/>
              <w:spacing w:lineRule="atLeast" w:line="240" w:before="0" w:after="0"/>
              <w:ind w:left="0" w:right="0" w:hanging="0"/>
              <w:jc w:val="left"/>
              <w:rPr/>
            </w:pPr>
            <w:r>
              <w:rPr/>
              <w:t>​</w:t>
            </w:r>
          </w:p>
        </w:tc>
        <w:tc>
          <w:tcPr>
            <w:tcW w:w="2891" w:type="dxa"/>
            <w:gridSpan w:val="5"/>
            <w:tcBorders>
              <w:bottom w:val="single" w:sz="12" w:space="0" w:color="000000"/>
            </w:tcBorders>
            <w:tcMar>
              <w:bottom w:w="28" w:type="dxa"/>
            </w:tcMar>
            <w:vAlign w:val="center"/>
          </w:tcPr>
          <w:p>
            <w:pPr>
              <w:pStyle w:val="TableContents"/>
              <w:bidi w:val="0"/>
              <w:spacing w:lineRule="atLeast" w:line="240" w:before="0" w:after="0"/>
              <w:ind w:left="0" w:right="0" w:hanging="0"/>
              <w:jc w:val="center"/>
              <w:rPr>
                <w:rFonts w:ascii="Times New Roman;Times;serif" w:hAnsi="Times New Roman;Times;serif"/>
                <w:b/>
                <w:sz w:val="20"/>
              </w:rPr>
            </w:pPr>
            <w:r>
              <w:rPr>
                <w:rFonts w:ascii="Times New Roman;Times;serif" w:hAnsi="Times New Roman;Times;serif"/>
                <w:b/>
                <w:sz w:val="20"/>
              </w:rPr>
              <w:t>Six Months Ended</w:t>
            </w:r>
          </w:p>
        </w:tc>
      </w:tr>
      <w:tr>
        <w:trPr/>
        <w:tc>
          <w:tcPr>
            <w:tcW w:w="3811" w:type="dxa"/>
            <w:tcBorders/>
            <w:vAlign w:val="center"/>
          </w:tcPr>
          <w:p>
            <w:pPr>
              <w:pStyle w:val="TableContents"/>
              <w:bidi w:val="0"/>
              <w:spacing w:lineRule="atLeast" w:line="240" w:before="0" w:after="0"/>
              <w:ind w:left="0" w:right="0" w:hanging="0"/>
              <w:jc w:val="left"/>
              <w:rPr/>
            </w:pPr>
            <w:r>
              <w:rPr/>
              <w:t>​</w:t>
            </w:r>
          </w:p>
        </w:tc>
        <w:tc>
          <w:tcPr>
            <w:tcW w:w="326" w:type="dxa"/>
            <w:tcBorders/>
            <w:vAlign w:val="center"/>
          </w:tcPr>
          <w:p>
            <w:pPr>
              <w:pStyle w:val="TableContents"/>
              <w:bidi w:val="0"/>
              <w:spacing w:lineRule="atLeast" w:line="240" w:before="0" w:after="0"/>
              <w:ind w:left="0" w:right="0" w:hanging="0"/>
              <w:jc w:val="center"/>
              <w:rPr/>
            </w:pPr>
            <w:r>
              <w:rPr/>
              <w:t>    </w:t>
            </w:r>
          </w:p>
        </w:tc>
        <w:tc>
          <w:tcPr>
            <w:tcW w:w="1260" w:type="dxa"/>
            <w:gridSpan w:val="2"/>
            <w:tcBorders/>
            <w:vAlign w:val="center"/>
          </w:tcPr>
          <w:p>
            <w:pPr>
              <w:pStyle w:val="TableContents"/>
              <w:bidi w:val="0"/>
              <w:spacing w:lineRule="atLeast" w:line="240" w:before="0" w:after="0"/>
              <w:ind w:left="0" w:right="0" w:hanging="0"/>
              <w:jc w:val="center"/>
              <w:rPr>
                <w:rFonts w:ascii="Times New Roman;Times;serif" w:hAnsi="Times New Roman;Times;serif"/>
                <w:b/>
                <w:sz w:val="20"/>
              </w:rPr>
            </w:pPr>
            <w:r>
              <w:rPr>
                <w:rFonts w:ascii="Times New Roman;Times;serif" w:hAnsi="Times New Roman;Times;serif"/>
                <w:b/>
                <w:sz w:val="20"/>
              </w:rPr>
              <w:t>December 30,</w:t>
            </w:r>
          </w:p>
        </w:tc>
        <w:tc>
          <w:tcPr>
            <w:tcW w:w="326" w:type="dxa"/>
            <w:tcBorders/>
            <w:vAlign w:val="center"/>
          </w:tcPr>
          <w:p>
            <w:pPr>
              <w:pStyle w:val="TableContents"/>
              <w:bidi w:val="0"/>
              <w:spacing w:lineRule="atLeast" w:line="240" w:before="0" w:after="0"/>
              <w:ind w:left="0" w:right="0" w:hanging="0"/>
              <w:jc w:val="center"/>
              <w:rPr/>
            </w:pPr>
            <w:r>
              <w:rPr/>
              <w:t>    </w:t>
            </w:r>
          </w:p>
        </w:tc>
        <w:tc>
          <w:tcPr>
            <w:tcW w:w="1260" w:type="dxa"/>
            <w:gridSpan w:val="2"/>
            <w:tcBorders/>
            <w:vAlign w:val="center"/>
          </w:tcPr>
          <w:p>
            <w:pPr>
              <w:pStyle w:val="TableContents"/>
              <w:bidi w:val="0"/>
              <w:spacing w:lineRule="atLeast" w:line="240" w:before="0" w:after="0"/>
              <w:ind w:left="0" w:right="0" w:hanging="0"/>
              <w:jc w:val="center"/>
              <w:rPr>
                <w:rFonts w:ascii="Times New Roman;Times;serif" w:hAnsi="Times New Roman;Times;serif"/>
                <w:b/>
                <w:sz w:val="20"/>
              </w:rPr>
            </w:pPr>
            <w:r>
              <w:rPr>
                <w:rFonts w:ascii="Times New Roman;Times;serif" w:hAnsi="Times New Roman;Times;serif"/>
                <w:b/>
                <w:sz w:val="20"/>
              </w:rPr>
              <w:t>December 31,</w:t>
            </w:r>
          </w:p>
        </w:tc>
        <w:tc>
          <w:tcPr>
            <w:tcW w:w="326" w:type="dxa"/>
            <w:tcBorders/>
            <w:vAlign w:val="center"/>
          </w:tcPr>
          <w:p>
            <w:pPr>
              <w:pStyle w:val="TableContents"/>
              <w:bidi w:val="0"/>
              <w:spacing w:lineRule="atLeast" w:line="240" w:before="0" w:after="0"/>
              <w:ind w:left="0" w:right="0" w:hanging="0"/>
              <w:jc w:val="center"/>
              <w:rPr/>
            </w:pPr>
            <w:r>
              <w:rPr/>
              <w:t>    </w:t>
            </w:r>
          </w:p>
        </w:tc>
        <w:tc>
          <w:tcPr>
            <w:tcW w:w="1260" w:type="dxa"/>
            <w:gridSpan w:val="2"/>
            <w:tcBorders/>
            <w:vAlign w:val="center"/>
          </w:tcPr>
          <w:p>
            <w:pPr>
              <w:pStyle w:val="TableContents"/>
              <w:bidi w:val="0"/>
              <w:spacing w:lineRule="atLeast" w:line="240" w:before="0" w:after="0"/>
              <w:ind w:left="0" w:right="0" w:hanging="0"/>
              <w:jc w:val="center"/>
              <w:rPr>
                <w:rFonts w:ascii="Times New Roman;Times;serif" w:hAnsi="Times New Roman;Times;serif"/>
                <w:b/>
                <w:sz w:val="20"/>
              </w:rPr>
            </w:pPr>
            <w:r>
              <w:rPr>
                <w:rFonts w:ascii="Times New Roman;Times;serif" w:hAnsi="Times New Roman;Times;serif"/>
                <w:b/>
                <w:sz w:val="20"/>
              </w:rPr>
              <w:t>December 30,</w:t>
            </w:r>
          </w:p>
        </w:tc>
        <w:tc>
          <w:tcPr>
            <w:tcW w:w="326" w:type="dxa"/>
            <w:tcBorders/>
            <w:vAlign w:val="center"/>
          </w:tcPr>
          <w:p>
            <w:pPr>
              <w:pStyle w:val="TableContents"/>
              <w:bidi w:val="0"/>
              <w:spacing w:lineRule="atLeast" w:line="240" w:before="0" w:after="0"/>
              <w:ind w:left="0" w:right="0" w:hanging="0"/>
              <w:jc w:val="center"/>
              <w:rPr/>
            </w:pPr>
            <w:r>
              <w:rPr/>
              <w:t>    </w:t>
            </w:r>
          </w:p>
        </w:tc>
        <w:tc>
          <w:tcPr>
            <w:tcW w:w="1305" w:type="dxa"/>
            <w:gridSpan w:val="2"/>
            <w:tcBorders/>
            <w:vAlign w:val="center"/>
          </w:tcPr>
          <w:p>
            <w:pPr>
              <w:pStyle w:val="TableContents"/>
              <w:bidi w:val="0"/>
              <w:spacing w:lineRule="atLeast" w:line="240" w:before="0" w:after="0"/>
              <w:ind w:left="0" w:right="0" w:hanging="0"/>
              <w:jc w:val="center"/>
              <w:rPr>
                <w:rFonts w:ascii="Times New Roman;Times;serif" w:hAnsi="Times New Roman;Times;serif"/>
                <w:b/>
                <w:sz w:val="20"/>
              </w:rPr>
            </w:pPr>
            <w:r>
              <w:rPr>
                <w:rFonts w:ascii="Times New Roman;Times;serif" w:hAnsi="Times New Roman;Times;serif"/>
                <w:b/>
                <w:sz w:val="20"/>
              </w:rPr>
              <w:t>December 31,</w:t>
            </w:r>
          </w:p>
        </w:tc>
      </w:tr>
      <w:tr>
        <w:trPr/>
        <w:tc>
          <w:tcPr>
            <w:tcW w:w="3811" w:type="dxa"/>
            <w:tcBorders/>
            <w:vAlign w:val="center"/>
          </w:tcPr>
          <w:p>
            <w:pPr>
              <w:pStyle w:val="TableContents"/>
              <w:bidi w:val="0"/>
              <w:spacing w:lineRule="atLeast" w:line="240" w:before="0" w:after="0"/>
              <w:ind w:left="0" w:right="0" w:hanging="0"/>
              <w:jc w:val="left"/>
              <w:rPr/>
            </w:pPr>
            <w:r>
              <w:rPr/>
              <w:t>​</w:t>
            </w:r>
          </w:p>
        </w:tc>
        <w:tc>
          <w:tcPr>
            <w:tcW w:w="326" w:type="dxa"/>
            <w:tcBorders/>
            <w:vAlign w:val="center"/>
          </w:tcPr>
          <w:p>
            <w:pPr>
              <w:pStyle w:val="TableContents"/>
              <w:bidi w:val="0"/>
              <w:spacing w:lineRule="atLeast" w:line="240" w:before="0" w:after="0"/>
              <w:ind w:left="0" w:right="0" w:hanging="0"/>
              <w:jc w:val="center"/>
              <w:rPr/>
            </w:pPr>
            <w:r>
              <w:rPr/>
              <w:t>​</w:t>
            </w:r>
          </w:p>
        </w:tc>
        <w:tc>
          <w:tcPr>
            <w:tcW w:w="1260" w:type="dxa"/>
            <w:gridSpan w:val="2"/>
            <w:tcBorders>
              <w:bottom w:val="single" w:sz="12" w:space="0" w:color="000000"/>
            </w:tcBorders>
            <w:tcMar>
              <w:bottom w:w="28" w:type="dxa"/>
            </w:tcMar>
            <w:vAlign w:val="center"/>
          </w:tcPr>
          <w:p>
            <w:pPr>
              <w:pStyle w:val="TableContents"/>
              <w:bidi w:val="0"/>
              <w:spacing w:lineRule="atLeast" w:line="240"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6" w:type="dxa"/>
            <w:tcBorders/>
            <w:vAlign w:val="center"/>
          </w:tcPr>
          <w:p>
            <w:pPr>
              <w:pStyle w:val="TableContents"/>
              <w:bidi w:val="0"/>
              <w:spacing w:lineRule="atLeast" w:line="240" w:before="0" w:after="0"/>
              <w:ind w:left="0" w:right="0" w:hanging="0"/>
              <w:jc w:val="center"/>
              <w:rPr/>
            </w:pPr>
            <w:r>
              <w:rPr/>
              <w:t>    </w:t>
            </w:r>
          </w:p>
        </w:tc>
        <w:tc>
          <w:tcPr>
            <w:tcW w:w="1260" w:type="dxa"/>
            <w:gridSpan w:val="2"/>
            <w:tcBorders>
              <w:bottom w:val="single" w:sz="12" w:space="0" w:color="000000"/>
            </w:tcBorders>
            <w:tcMar>
              <w:bottom w:w="28" w:type="dxa"/>
            </w:tcMar>
            <w:vAlign w:val="center"/>
          </w:tcPr>
          <w:p>
            <w:pPr>
              <w:pStyle w:val="TableContents"/>
              <w:bidi w:val="0"/>
              <w:spacing w:lineRule="atLeast" w:line="240"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326" w:type="dxa"/>
            <w:tcBorders/>
            <w:vAlign w:val="center"/>
          </w:tcPr>
          <w:p>
            <w:pPr>
              <w:pStyle w:val="TableContents"/>
              <w:bidi w:val="0"/>
              <w:spacing w:lineRule="atLeast" w:line="240" w:before="0" w:after="0"/>
              <w:ind w:left="0" w:right="0" w:hanging="0"/>
              <w:jc w:val="center"/>
              <w:rPr/>
            </w:pPr>
            <w:r>
              <w:rPr/>
              <w:t>​</w:t>
            </w:r>
          </w:p>
        </w:tc>
        <w:tc>
          <w:tcPr>
            <w:tcW w:w="1260" w:type="dxa"/>
            <w:gridSpan w:val="2"/>
            <w:tcBorders>
              <w:bottom w:val="single" w:sz="12" w:space="0" w:color="000000"/>
            </w:tcBorders>
            <w:tcMar>
              <w:bottom w:w="28" w:type="dxa"/>
            </w:tcMar>
            <w:vAlign w:val="center"/>
          </w:tcPr>
          <w:p>
            <w:pPr>
              <w:pStyle w:val="TableContents"/>
              <w:bidi w:val="0"/>
              <w:spacing w:lineRule="atLeast" w:line="240"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6" w:type="dxa"/>
            <w:tcBorders/>
            <w:vAlign w:val="center"/>
          </w:tcPr>
          <w:p>
            <w:pPr>
              <w:pStyle w:val="TableContents"/>
              <w:bidi w:val="0"/>
              <w:spacing w:lineRule="atLeast" w:line="240" w:before="0" w:after="0"/>
              <w:ind w:left="0" w:right="0" w:hanging="0"/>
              <w:jc w:val="center"/>
              <w:rPr/>
            </w:pPr>
            <w:r>
              <w:rPr/>
              <w:t>​</w:t>
            </w:r>
          </w:p>
        </w:tc>
        <w:tc>
          <w:tcPr>
            <w:tcW w:w="1305" w:type="dxa"/>
            <w:gridSpan w:val="2"/>
            <w:tcBorders>
              <w:bottom w:val="single" w:sz="12" w:space="0" w:color="000000"/>
            </w:tcBorders>
            <w:tcMar>
              <w:bottom w:w="28" w:type="dxa"/>
            </w:tcMar>
            <w:vAlign w:val="center"/>
          </w:tcPr>
          <w:p>
            <w:pPr>
              <w:pStyle w:val="TableContents"/>
              <w:bidi w:val="0"/>
              <w:spacing w:lineRule="atLeast" w:line="240"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r>
      <w:tr>
        <w:trPr/>
        <w:tc>
          <w:tcPr>
            <w:tcW w:w="10200"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3811" w:type="dxa"/>
            <w:tcBorders/>
            <w:vAlign w:val="center"/>
          </w:tcPr>
          <w:p>
            <w:pPr>
              <w:pStyle w:val="TableContents"/>
              <w:bidi w:val="0"/>
              <w:spacing w:lineRule="atLeast" w:line="240" w:before="0" w:after="0"/>
              <w:ind w:left="0" w:right="0" w:hanging="0"/>
              <w:jc w:val="left"/>
              <w:rPr/>
            </w:pPr>
            <w:r>
              <w:rPr/>
              <w:t>​</w:t>
            </w:r>
          </w:p>
        </w:tc>
        <w:tc>
          <w:tcPr>
            <w:tcW w:w="326" w:type="dxa"/>
            <w:tcBorders/>
            <w:vAlign w:val="center"/>
          </w:tcPr>
          <w:p>
            <w:pPr>
              <w:pStyle w:val="TableContents"/>
              <w:bidi w:val="0"/>
              <w:spacing w:lineRule="atLeast" w:line="240" w:before="0" w:after="0"/>
              <w:ind w:left="0" w:right="0" w:hanging="0"/>
              <w:jc w:val="center"/>
              <w:rPr/>
            </w:pPr>
            <w:r>
              <w:rPr/>
              <w:t>​</w:t>
            </w:r>
          </w:p>
        </w:tc>
        <w:tc>
          <w:tcPr>
            <w:tcW w:w="6063" w:type="dxa"/>
            <w:gridSpan w:val="11"/>
            <w:tcBorders/>
            <w:vAlign w:val="center"/>
          </w:tcPr>
          <w:p>
            <w:pPr>
              <w:pStyle w:val="TableContents"/>
              <w:bidi w:val="0"/>
              <w:spacing w:lineRule="atLeast" w:line="240" w:before="0" w:after="0"/>
              <w:ind w:left="0" w:right="0" w:hanging="0"/>
              <w:jc w:val="center"/>
              <w:rPr>
                <w:rFonts w:ascii="Times New Roman;Times;serif" w:hAnsi="Times New Roman;Times;serif"/>
                <w:b/>
                <w:sz w:val="20"/>
              </w:rPr>
            </w:pPr>
            <w:r>
              <w:rPr>
                <w:rFonts w:ascii="Times New Roman;Times;serif" w:hAnsi="Times New Roman;Times;serif"/>
                <w:b/>
                <w:sz w:val="20"/>
              </w:rPr>
              <w:t>(Thousands)</w:t>
            </w:r>
          </w:p>
        </w:tc>
      </w:tr>
      <w:tr>
        <w:trPr/>
        <w:tc>
          <w:tcPr>
            <w:tcW w:w="3811" w:type="dxa"/>
            <w:tcBorders/>
            <w:shd w:fill="CCEEFF" w:val="clear"/>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26" w:type="dxa"/>
            <w:tcBorders/>
            <w:shd w:fill="CCEEFF" w:val="clear"/>
            <w:vAlign w:val="center"/>
          </w:tcPr>
          <w:p>
            <w:pPr>
              <w:pStyle w:val="TableContents"/>
              <w:bidi w:val="0"/>
              <w:spacing w:lineRule="atLeast" w:line="240" w:before="0" w:after="0"/>
              <w:ind w:left="0" w:right="0" w:hanging="0"/>
              <w:jc w:val="left"/>
              <w:rPr/>
            </w:pPr>
            <w:r>
              <w:rPr/>
              <w:t>​</w:t>
            </w:r>
          </w:p>
        </w:tc>
        <w:tc>
          <w:tcPr>
            <w:tcW w:w="267" w:type="dxa"/>
            <w:tcBorders/>
            <w:shd w:fill="CCEEFF" w:val="clear"/>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3" w:type="dxa"/>
            <w:tcBorders/>
            <w:shd w:fill="CCEEFF" w:val="cle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236,257</w:t>
            </w:r>
          </w:p>
        </w:tc>
        <w:tc>
          <w:tcPr>
            <w:tcW w:w="326" w:type="dxa"/>
            <w:tcBorders/>
            <w:shd w:fill="CCEEFF" w:val="clear"/>
            <w:vAlign w:val="center"/>
          </w:tcPr>
          <w:p>
            <w:pPr>
              <w:pStyle w:val="TableContents"/>
              <w:bidi w:val="0"/>
              <w:spacing w:lineRule="atLeast" w:line="240" w:before="0" w:after="0"/>
              <w:ind w:left="0" w:right="0" w:hanging="0"/>
              <w:jc w:val="left"/>
              <w:rPr/>
            </w:pPr>
            <w:r>
              <w:rPr/>
              <w:t>​</w:t>
            </w:r>
          </w:p>
        </w:tc>
        <w:tc>
          <w:tcPr>
            <w:tcW w:w="267" w:type="dxa"/>
            <w:tcBorders/>
            <w:shd w:fill="CCEEFF" w:val="clear"/>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3" w:type="dxa"/>
            <w:tcBorders/>
            <w:shd w:fill="CCEEFF" w:val="cle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298,973</w:t>
            </w:r>
          </w:p>
        </w:tc>
        <w:tc>
          <w:tcPr>
            <w:tcW w:w="326" w:type="dxa"/>
            <w:tcBorders/>
            <w:shd w:fill="CCEEFF" w:val="clear"/>
            <w:vAlign w:val="center"/>
          </w:tcPr>
          <w:p>
            <w:pPr>
              <w:pStyle w:val="TableContents"/>
              <w:bidi w:val="0"/>
              <w:spacing w:lineRule="atLeast" w:line="240" w:before="0" w:after="0"/>
              <w:ind w:left="0" w:right="0" w:hanging="0"/>
              <w:jc w:val="left"/>
              <w:rPr/>
            </w:pPr>
            <w:r>
              <w:rPr/>
              <w:t>​</w:t>
            </w:r>
          </w:p>
        </w:tc>
        <w:tc>
          <w:tcPr>
            <w:tcW w:w="267" w:type="dxa"/>
            <w:tcBorders/>
            <w:shd w:fill="CCEEFF" w:val="clear"/>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3" w:type="dxa"/>
            <w:tcBorders/>
            <w:shd w:fill="CCEEFF" w:val="cle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490,026</w:t>
            </w:r>
          </w:p>
        </w:tc>
        <w:tc>
          <w:tcPr>
            <w:tcW w:w="326" w:type="dxa"/>
            <w:tcBorders/>
            <w:shd w:fill="CCEEFF" w:val="clear"/>
            <w:vAlign w:val="center"/>
          </w:tcPr>
          <w:p>
            <w:pPr>
              <w:pStyle w:val="TableContents"/>
              <w:bidi w:val="0"/>
              <w:spacing w:lineRule="atLeast" w:line="240" w:before="0" w:after="0"/>
              <w:ind w:left="0" w:right="0" w:hanging="0"/>
              <w:jc w:val="left"/>
              <w:rPr/>
            </w:pPr>
            <w:r>
              <w:rPr/>
              <w:t>​</w:t>
            </w:r>
          </w:p>
        </w:tc>
        <w:tc>
          <w:tcPr>
            <w:tcW w:w="250" w:type="dxa"/>
            <w:tcBorders/>
            <w:shd w:fill="CCEEFF" w:val="clear"/>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shd w:fill="CCEEFF" w:val="cle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589,509</w:t>
            </w:r>
          </w:p>
        </w:tc>
      </w:tr>
      <w:tr>
        <w:trPr/>
        <w:tc>
          <w:tcPr>
            <w:tcW w:w="3811" w:type="dxa"/>
            <w:tcBorders/>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Restructuring, integration and other expenses</w:t>
            </w:r>
          </w:p>
        </w:tc>
        <w:tc>
          <w:tcPr>
            <w:tcW w:w="326" w:type="dxa"/>
            <w:tcBorders/>
            <w:vAlign w:val="center"/>
          </w:tcPr>
          <w:p>
            <w:pPr>
              <w:pStyle w:val="TableContents"/>
              <w:bidi w:val="0"/>
              <w:spacing w:lineRule="atLeast" w:line="240" w:before="0" w:after="0"/>
              <w:ind w:left="0" w:right="0" w:hanging="0"/>
              <w:jc w:val="left"/>
              <w:rPr/>
            </w:pPr>
            <w:r>
              <w:rPr/>
              <w:t>​</w:t>
            </w:r>
          </w:p>
        </w:tc>
        <w:tc>
          <w:tcPr>
            <w:tcW w:w="267" w:type="dxa"/>
            <w:tcBorders/>
            <w:vAlign w:val="center"/>
          </w:tcPr>
          <w:p>
            <w:pPr>
              <w:pStyle w:val="TableContents"/>
              <w:bidi w:val="0"/>
              <w:spacing w:lineRule="atLeast" w:line="240" w:before="0" w:after="0"/>
              <w:ind w:left="0" w:right="0" w:hanging="0"/>
              <w:jc w:val="right"/>
              <w:rPr/>
            </w:pPr>
            <w:r>
              <w:rPr/>
              <w:t> </w:t>
            </w:r>
          </w:p>
        </w:tc>
        <w:tc>
          <w:tcPr>
            <w:tcW w:w="993" w:type="dxa"/>
            <w:tcBorders/>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5,235</w:t>
            </w:r>
          </w:p>
        </w:tc>
        <w:tc>
          <w:tcPr>
            <w:tcW w:w="326" w:type="dxa"/>
            <w:tcBorders/>
            <w:vAlign w:val="center"/>
          </w:tcPr>
          <w:p>
            <w:pPr>
              <w:pStyle w:val="TableContents"/>
              <w:bidi w:val="0"/>
              <w:spacing w:lineRule="atLeast" w:line="240" w:before="0" w:after="0"/>
              <w:ind w:left="0" w:right="0" w:hanging="0"/>
              <w:jc w:val="left"/>
              <w:rPr/>
            </w:pPr>
            <w:r>
              <w:rPr/>
              <w:t>​</w:t>
            </w:r>
          </w:p>
        </w:tc>
        <w:tc>
          <w:tcPr>
            <w:tcW w:w="267" w:type="dxa"/>
            <w:tcBorders/>
            <w:vAlign w:val="center"/>
          </w:tcPr>
          <w:p>
            <w:pPr>
              <w:pStyle w:val="TableContents"/>
              <w:bidi w:val="0"/>
              <w:spacing w:lineRule="atLeast" w:line="240" w:before="0" w:after="0"/>
              <w:ind w:left="0" w:right="0" w:hanging="0"/>
              <w:jc w:val="right"/>
              <w:rPr/>
            </w:pPr>
            <w:r>
              <w:rPr/>
              <w:t> </w:t>
            </w:r>
          </w:p>
        </w:tc>
        <w:tc>
          <w:tcPr>
            <w:tcW w:w="993" w:type="dxa"/>
            <w:tcBorders/>
            <w:vAlign w:val="center"/>
          </w:tcPr>
          <w:p>
            <w:pPr>
              <w:pStyle w:val="TableContents"/>
              <w:bidi w:val="0"/>
              <w:spacing w:lineRule="atLeast" w:line="240" w:before="0" w:after="0"/>
              <w:ind w:left="0" w:right="0" w:hanging="0"/>
              <w:jc w:val="right"/>
              <w:rPr/>
            </w:pPr>
            <w:r>
              <w:rPr/>
              <w:t>—</w:t>
            </w:r>
          </w:p>
        </w:tc>
        <w:tc>
          <w:tcPr>
            <w:tcW w:w="326" w:type="dxa"/>
            <w:tcBorders/>
            <w:vAlign w:val="center"/>
          </w:tcPr>
          <w:p>
            <w:pPr>
              <w:pStyle w:val="TableContents"/>
              <w:bidi w:val="0"/>
              <w:spacing w:lineRule="atLeast" w:line="240" w:before="0" w:after="0"/>
              <w:ind w:left="0" w:right="0" w:hanging="0"/>
              <w:jc w:val="left"/>
              <w:rPr/>
            </w:pPr>
            <w:r>
              <w:rPr/>
              <w:t>​</w:t>
            </w:r>
          </w:p>
        </w:tc>
        <w:tc>
          <w:tcPr>
            <w:tcW w:w="267" w:type="dxa"/>
            <w:tcBorders/>
            <w:vAlign w:val="center"/>
          </w:tcPr>
          <w:p>
            <w:pPr>
              <w:pStyle w:val="TableContents"/>
              <w:bidi w:val="0"/>
              <w:spacing w:lineRule="atLeast" w:line="240" w:before="0" w:after="0"/>
              <w:ind w:left="0" w:right="0" w:hanging="0"/>
              <w:jc w:val="right"/>
              <w:rPr/>
            </w:pPr>
            <w:r>
              <w:rPr/>
              <w:t> </w:t>
            </w:r>
          </w:p>
        </w:tc>
        <w:tc>
          <w:tcPr>
            <w:tcW w:w="993" w:type="dxa"/>
            <w:tcBorders/>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12,286</w:t>
            </w:r>
          </w:p>
        </w:tc>
        <w:tc>
          <w:tcPr>
            <w:tcW w:w="326" w:type="dxa"/>
            <w:tcBorders/>
            <w:vAlign w:val="center"/>
          </w:tcPr>
          <w:p>
            <w:pPr>
              <w:pStyle w:val="TableContents"/>
              <w:bidi w:val="0"/>
              <w:spacing w:lineRule="atLeast" w:line="240" w:before="0" w:after="0"/>
              <w:ind w:left="0" w:right="0" w:hanging="0"/>
              <w:jc w:val="left"/>
              <w:rPr/>
            </w:pPr>
            <w:r>
              <w:rPr/>
              <w:t>​</w:t>
            </w:r>
          </w:p>
        </w:tc>
        <w:tc>
          <w:tcPr>
            <w:tcW w:w="250" w:type="dxa"/>
            <w:tcBorders/>
            <w:vAlign w:val="center"/>
          </w:tcPr>
          <w:p>
            <w:pPr>
              <w:pStyle w:val="TableContents"/>
              <w:bidi w:val="0"/>
              <w:spacing w:lineRule="atLeast" w:line="240" w:before="0" w:after="0"/>
              <w:ind w:left="0" w:right="0" w:hanging="0"/>
              <w:jc w:val="right"/>
              <w:rPr/>
            </w:pPr>
            <w:r>
              <w:rPr/>
              <w:t> </w:t>
            </w:r>
          </w:p>
        </w:tc>
        <w:tc>
          <w:tcPr>
            <w:tcW w:w="1055" w:type="dxa"/>
            <w:tcBorders/>
            <w:vAlign w:val="center"/>
          </w:tcPr>
          <w:p>
            <w:pPr>
              <w:pStyle w:val="TableContents"/>
              <w:bidi w:val="0"/>
              <w:spacing w:lineRule="atLeast" w:line="240" w:before="0" w:after="0"/>
              <w:ind w:left="0" w:right="0" w:hanging="0"/>
              <w:jc w:val="right"/>
              <w:rPr/>
            </w:pPr>
            <w:r>
              <w:rPr/>
              <w:t>—</w:t>
            </w:r>
          </w:p>
        </w:tc>
      </w:tr>
      <w:tr>
        <w:trPr/>
        <w:tc>
          <w:tcPr>
            <w:tcW w:w="3811" w:type="dxa"/>
            <w:tcBorders/>
            <w:shd w:fill="CCEEFF" w:val="clear"/>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Amortization of acquired intangible assets </w:t>
            </w:r>
          </w:p>
        </w:tc>
        <w:tc>
          <w:tcPr>
            <w:tcW w:w="326" w:type="dxa"/>
            <w:tcBorders/>
            <w:shd w:fill="CCEEFF" w:val="clear"/>
            <w:vAlign w:val="center"/>
          </w:tcPr>
          <w:p>
            <w:pPr>
              <w:pStyle w:val="TableContents"/>
              <w:bidi w:val="0"/>
              <w:spacing w:lineRule="atLeast" w:line="240" w:before="0" w:after="0"/>
              <w:ind w:left="0" w:right="0" w:hanging="0"/>
              <w:jc w:val="left"/>
              <w:rPr/>
            </w:pPr>
            <w:r>
              <w:rPr/>
              <w:t>​</w:t>
            </w:r>
          </w:p>
        </w:tc>
        <w:tc>
          <w:tcPr>
            <w:tcW w:w="267" w:type="dxa"/>
            <w:tcBorders>
              <w:bottom w:val="single" w:sz="12" w:space="0" w:color="000000"/>
            </w:tcBorders>
            <w:shd w:fill="CCEEFF" w:val="clear"/>
            <w:tcMar>
              <w:bottom w:w="28" w:type="dxa"/>
            </w:tcMar>
            <w:vAlign w:val="center"/>
          </w:tcPr>
          <w:p>
            <w:pPr>
              <w:pStyle w:val="TableContents"/>
              <w:bidi w:val="0"/>
              <w:spacing w:lineRule="atLeast" w:line="240" w:before="0" w:after="0"/>
              <w:ind w:left="0" w:right="0" w:hanging="0"/>
              <w:jc w:val="right"/>
              <w:rPr/>
            </w:pPr>
            <w:r>
              <w:rPr/>
              <w:t> </w:t>
            </w:r>
          </w:p>
        </w:tc>
        <w:tc>
          <w:tcPr>
            <w:tcW w:w="993" w:type="dxa"/>
            <w:tcBorders>
              <w:bottom w:val="single" w:sz="12" w:space="0" w:color="000000"/>
            </w:tcBorders>
            <w:shd w:fill="CCEEFF" w:val="clear"/>
            <w:tcMar>
              <w:bottom w:w="28" w:type="dxa"/>
            </w:tcM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712</w:t>
            </w:r>
          </w:p>
        </w:tc>
        <w:tc>
          <w:tcPr>
            <w:tcW w:w="326" w:type="dxa"/>
            <w:tcBorders/>
            <w:shd w:fill="CCEEFF" w:val="clear"/>
            <w:vAlign w:val="center"/>
          </w:tcPr>
          <w:p>
            <w:pPr>
              <w:pStyle w:val="TableContents"/>
              <w:bidi w:val="0"/>
              <w:spacing w:lineRule="atLeast" w:line="240" w:before="0" w:after="0"/>
              <w:ind w:left="0" w:right="0" w:hanging="0"/>
              <w:jc w:val="left"/>
              <w:rPr/>
            </w:pPr>
            <w:r>
              <w:rPr/>
              <w:t>​</w:t>
            </w:r>
          </w:p>
        </w:tc>
        <w:tc>
          <w:tcPr>
            <w:tcW w:w="267" w:type="dxa"/>
            <w:tcBorders>
              <w:bottom w:val="single" w:sz="12" w:space="0" w:color="000000"/>
            </w:tcBorders>
            <w:shd w:fill="CCEEFF" w:val="clear"/>
            <w:tcMar>
              <w:bottom w:w="28" w:type="dxa"/>
            </w:tcMar>
            <w:vAlign w:val="center"/>
          </w:tcPr>
          <w:p>
            <w:pPr>
              <w:pStyle w:val="TableContents"/>
              <w:bidi w:val="0"/>
              <w:spacing w:lineRule="atLeast" w:line="240" w:before="0" w:after="0"/>
              <w:ind w:left="0" w:right="0" w:hanging="0"/>
              <w:jc w:val="right"/>
              <w:rPr/>
            </w:pPr>
            <w:r>
              <w:rPr/>
              <w:t> </w:t>
            </w:r>
          </w:p>
        </w:tc>
        <w:tc>
          <w:tcPr>
            <w:tcW w:w="993" w:type="dxa"/>
            <w:tcBorders>
              <w:bottom w:val="single" w:sz="12" w:space="0" w:color="000000"/>
            </w:tcBorders>
            <w:shd w:fill="CCEEFF" w:val="clear"/>
            <w:tcMar>
              <w:bottom w:w="28" w:type="dxa"/>
            </w:tcM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1,541</w:t>
            </w:r>
          </w:p>
        </w:tc>
        <w:tc>
          <w:tcPr>
            <w:tcW w:w="326" w:type="dxa"/>
            <w:tcBorders/>
            <w:shd w:fill="CCEEFF" w:val="clear"/>
            <w:vAlign w:val="center"/>
          </w:tcPr>
          <w:p>
            <w:pPr>
              <w:pStyle w:val="TableContents"/>
              <w:bidi w:val="0"/>
              <w:spacing w:lineRule="atLeast" w:line="240" w:before="0" w:after="0"/>
              <w:ind w:left="0" w:right="0" w:hanging="0"/>
              <w:jc w:val="left"/>
              <w:rPr/>
            </w:pPr>
            <w:r>
              <w:rPr/>
              <w:t>​</w:t>
            </w:r>
          </w:p>
        </w:tc>
        <w:tc>
          <w:tcPr>
            <w:tcW w:w="267" w:type="dxa"/>
            <w:tcBorders>
              <w:bottom w:val="single" w:sz="12" w:space="0" w:color="000000"/>
            </w:tcBorders>
            <w:shd w:fill="CCEEFF" w:val="clear"/>
            <w:tcMar>
              <w:bottom w:w="28" w:type="dxa"/>
            </w:tcMar>
            <w:vAlign w:val="center"/>
          </w:tcPr>
          <w:p>
            <w:pPr>
              <w:pStyle w:val="TableContents"/>
              <w:bidi w:val="0"/>
              <w:spacing w:lineRule="atLeast" w:line="240" w:before="0" w:after="0"/>
              <w:ind w:left="0" w:right="0" w:hanging="0"/>
              <w:jc w:val="right"/>
              <w:rPr/>
            </w:pPr>
            <w:r>
              <w:rPr/>
              <w:t> </w:t>
            </w:r>
          </w:p>
        </w:tc>
        <w:tc>
          <w:tcPr>
            <w:tcW w:w="993" w:type="dxa"/>
            <w:tcBorders>
              <w:bottom w:val="single" w:sz="12" w:space="0" w:color="000000"/>
            </w:tcBorders>
            <w:shd w:fill="CCEEFF" w:val="clear"/>
            <w:tcMar>
              <w:bottom w:w="28" w:type="dxa"/>
            </w:tcM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1,590</w:t>
            </w:r>
          </w:p>
        </w:tc>
        <w:tc>
          <w:tcPr>
            <w:tcW w:w="326" w:type="dxa"/>
            <w:tcBorders/>
            <w:shd w:fill="CCEEFF" w:val="clear"/>
            <w:vAlign w:val="center"/>
          </w:tcPr>
          <w:p>
            <w:pPr>
              <w:pStyle w:val="TableContents"/>
              <w:bidi w:val="0"/>
              <w:spacing w:lineRule="atLeast" w:line="240" w:before="0" w:after="0"/>
              <w:ind w:left="0" w:right="0" w:hanging="0"/>
              <w:jc w:val="left"/>
              <w:rPr/>
            </w:pPr>
            <w:r>
              <w:rPr/>
              <w:t>​</w:t>
            </w:r>
          </w:p>
        </w:tc>
        <w:tc>
          <w:tcPr>
            <w:tcW w:w="250" w:type="dxa"/>
            <w:tcBorders>
              <w:bottom w:val="single" w:sz="12" w:space="0" w:color="000000"/>
            </w:tcBorders>
            <w:shd w:fill="CCEEFF" w:val="clear"/>
            <w:tcMar>
              <w:bottom w:w="28" w:type="dxa"/>
            </w:tcMar>
            <w:vAlign w:val="center"/>
          </w:tcPr>
          <w:p>
            <w:pPr>
              <w:pStyle w:val="TableContents"/>
              <w:bidi w:val="0"/>
              <w:spacing w:lineRule="atLeast" w:line="240" w:before="0" w:after="0"/>
              <w:ind w:left="0" w:right="0" w:hanging="0"/>
              <w:jc w:val="right"/>
              <w:rPr/>
            </w:pPr>
            <w:r>
              <w:rPr/>
              <w:t> </w:t>
            </w:r>
          </w:p>
        </w:tc>
        <w:tc>
          <w:tcPr>
            <w:tcW w:w="1055" w:type="dxa"/>
            <w:tcBorders>
              <w:bottom w:val="single" w:sz="12" w:space="0" w:color="000000"/>
            </w:tcBorders>
            <w:shd w:fill="CCEEFF" w:val="clear"/>
            <w:tcMar>
              <w:bottom w:w="28" w:type="dxa"/>
            </w:tcM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4,300</w:t>
            </w:r>
          </w:p>
        </w:tc>
      </w:tr>
      <w:tr>
        <w:trPr/>
        <w:tc>
          <w:tcPr>
            <w:tcW w:w="3811" w:type="dxa"/>
            <w:tcBorders/>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Adjusted operating income </w:t>
            </w:r>
          </w:p>
        </w:tc>
        <w:tc>
          <w:tcPr>
            <w:tcW w:w="326" w:type="dxa"/>
            <w:tcBorders/>
            <w:vAlign w:val="center"/>
          </w:tcPr>
          <w:p>
            <w:pPr>
              <w:pStyle w:val="TableContents"/>
              <w:bidi w:val="0"/>
              <w:spacing w:lineRule="atLeast" w:line="240" w:before="0" w:after="0"/>
              <w:ind w:left="0" w:right="0" w:hanging="0"/>
              <w:jc w:val="left"/>
              <w:rPr/>
            </w:pPr>
            <w:r>
              <w:rPr/>
              <w:t>​</w:t>
            </w:r>
          </w:p>
        </w:tc>
        <w:tc>
          <w:tcPr>
            <w:tcW w:w="267" w:type="dxa"/>
            <w:tcBorders>
              <w:bottom w:val="double" w:sz="6" w:space="0" w:color="000000"/>
            </w:tcBorders>
            <w:tcMar>
              <w:bottom w:w="28" w:type="dxa"/>
            </w:tcMar>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3" w:type="dxa"/>
            <w:tcBorders>
              <w:bottom w:val="double" w:sz="6" w:space="0" w:color="000000"/>
            </w:tcBorders>
            <w:tcMar>
              <w:bottom w:w="28" w:type="dxa"/>
            </w:tcM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242,204</w:t>
            </w:r>
          </w:p>
        </w:tc>
        <w:tc>
          <w:tcPr>
            <w:tcW w:w="326" w:type="dxa"/>
            <w:tcBorders/>
            <w:vAlign w:val="center"/>
          </w:tcPr>
          <w:p>
            <w:pPr>
              <w:pStyle w:val="TableContents"/>
              <w:bidi w:val="0"/>
              <w:spacing w:lineRule="atLeast" w:line="240" w:before="0" w:after="0"/>
              <w:ind w:left="0" w:right="0" w:hanging="0"/>
              <w:jc w:val="left"/>
              <w:rPr/>
            </w:pPr>
            <w:r>
              <w:rPr/>
              <w:t>​</w:t>
            </w:r>
          </w:p>
        </w:tc>
        <w:tc>
          <w:tcPr>
            <w:tcW w:w="267" w:type="dxa"/>
            <w:tcBorders>
              <w:bottom w:val="double" w:sz="6" w:space="0" w:color="000000"/>
            </w:tcBorders>
            <w:tcMar>
              <w:bottom w:w="28" w:type="dxa"/>
            </w:tcMar>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3" w:type="dxa"/>
            <w:tcBorders>
              <w:bottom w:val="double" w:sz="6" w:space="0" w:color="000000"/>
            </w:tcBorders>
            <w:tcMar>
              <w:bottom w:w="28" w:type="dxa"/>
            </w:tcM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300,514</w:t>
            </w:r>
          </w:p>
        </w:tc>
        <w:tc>
          <w:tcPr>
            <w:tcW w:w="326" w:type="dxa"/>
            <w:tcBorders/>
            <w:vAlign w:val="center"/>
          </w:tcPr>
          <w:p>
            <w:pPr>
              <w:pStyle w:val="TableContents"/>
              <w:bidi w:val="0"/>
              <w:spacing w:lineRule="atLeast" w:line="240" w:before="0" w:after="0"/>
              <w:ind w:left="0" w:right="0" w:hanging="0"/>
              <w:jc w:val="left"/>
              <w:rPr/>
            </w:pPr>
            <w:r>
              <w:rPr/>
              <w:t>​</w:t>
            </w:r>
          </w:p>
        </w:tc>
        <w:tc>
          <w:tcPr>
            <w:tcW w:w="267" w:type="dxa"/>
            <w:tcBorders>
              <w:bottom w:val="double" w:sz="6" w:space="0" w:color="000000"/>
            </w:tcBorders>
            <w:tcMar>
              <w:bottom w:w="28" w:type="dxa"/>
            </w:tcMar>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3" w:type="dxa"/>
            <w:tcBorders>
              <w:bottom w:val="double" w:sz="6" w:space="0" w:color="000000"/>
            </w:tcBorders>
            <w:tcMar>
              <w:bottom w:w="28" w:type="dxa"/>
            </w:tcM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503,902</w:t>
            </w:r>
          </w:p>
        </w:tc>
        <w:tc>
          <w:tcPr>
            <w:tcW w:w="326" w:type="dxa"/>
            <w:tcBorders/>
            <w:vAlign w:val="center"/>
          </w:tcPr>
          <w:p>
            <w:pPr>
              <w:pStyle w:val="TableContents"/>
              <w:bidi w:val="0"/>
              <w:spacing w:lineRule="atLeast" w:line="240" w:before="0" w:after="0"/>
              <w:ind w:left="0" w:right="0" w:hanging="0"/>
              <w:jc w:val="left"/>
              <w:rPr/>
            </w:pPr>
            <w:r>
              <w:rPr/>
              <w:t>​</w:t>
            </w:r>
          </w:p>
        </w:tc>
        <w:tc>
          <w:tcPr>
            <w:tcW w:w="250" w:type="dxa"/>
            <w:tcBorders>
              <w:bottom w:val="double" w:sz="6" w:space="0" w:color="000000"/>
            </w:tcBorders>
            <w:tcMar>
              <w:bottom w:w="28" w:type="dxa"/>
            </w:tcMar>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bottom w:val="double" w:sz="6" w:space="0" w:color="000000"/>
            </w:tcBorders>
            <w:tcMar>
              <w:bottom w:w="28" w:type="dxa"/>
            </w:tcMar>
            <w:vAlign w:val="center"/>
          </w:tcPr>
          <w:p>
            <w:pPr>
              <w:pStyle w:val="TableContents"/>
              <w:bidi w:val="0"/>
              <w:spacing w:lineRule="atLeast" w:line="240" w:before="0" w:after="0"/>
              <w:ind w:left="0" w:right="60" w:hanging="0"/>
              <w:jc w:val="right"/>
              <w:rPr>
                <w:rFonts w:ascii="Times New Roman;Times;serif" w:hAnsi="Times New Roman;Times;serif"/>
                <w:sz w:val="20"/>
              </w:rPr>
            </w:pPr>
            <w:r>
              <w:rPr>
                <w:rFonts w:ascii="Times New Roman;Times;serif" w:hAnsi="Times New Roman;Times;serif"/>
                <w:sz w:val="20"/>
              </w:rPr>
              <w:t>593,809</w:t>
            </w:r>
          </w:p>
        </w:tc>
      </w:tr>
    </w:tbl>
    <w:p>
      <w:pPr>
        <w:pStyle w:val="TextBody"/>
        <w:bidi w:val="0"/>
        <w:spacing w:before="0" w:after="0"/>
        <w:ind w:left="0" w:right="0" w:firstLine="480"/>
        <w:jc w:val="both"/>
        <w:rPr/>
      </w:pPr>
      <w:r>
        <w:rPr/>
        <w:t>​</w:t>
      </w:r>
    </w:p>
    <w:p>
      <w:pPr>
        <w:pStyle w:val="TextBody"/>
        <w:bidi w:val="0"/>
        <w:spacing w:before="0" w:after="0"/>
        <w:ind w:left="0" w:right="0" w:firstLine="480"/>
        <w:jc w:val="left"/>
        <w:rPr>
          <w:rFonts w:ascii="Times New Roman;Times;serif" w:hAnsi="Times New Roman;Times;serif"/>
          <w:sz w:val="20"/>
        </w:rPr>
      </w:pPr>
      <w:r>
        <w:rPr>
          <w:rFonts w:ascii="Times New Roman;Times;serif" w:hAnsi="Times New Roman;Times;serif"/>
          <w:sz w:val="20"/>
        </w:rPr>
        <w:t>Management believes that providing this additional information is useful to financial statement users to better assess and understand operating performance, especially when comparing results with prior periods or forecasting performance for future periods, primarily because management typically monitors the business both including and excluding these adjustments to GAAP results. Management also uses these non-GAAP measures to establish operational goals and, in many cases, for measuring performance for compensation purposes. However, any analysis of results on a non-GAAP basis should be used as a complement to, and in conjunction with, results presented in accordance with GAAP.</w:t>
      </w:r>
    </w:p>
    <w:p>
      <w:pPr>
        <w:pStyle w:val="TextBody"/>
        <w:bidi w:val="0"/>
        <w:spacing w:before="0" w:after="0"/>
        <w:ind w:left="0" w:right="0" w:hanging="0"/>
        <w:jc w:val="left"/>
        <w:rPr/>
      </w:pPr>
      <w:r>
        <w:rPr/>
        <w:t>​</w:t>
      </w:r>
    </w:p>
    <w:p>
      <w:pPr>
        <w:pStyle w:val="TextBody"/>
        <w:bidi w:val="0"/>
        <w:spacing w:before="120" w:after="0"/>
        <w:ind w:left="0" w:right="0" w:hanging="0"/>
        <w:jc w:val="center"/>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0"/>
        <w:ind w:left="0" w:right="0" w:hanging="0"/>
        <w:jc w:val="center"/>
        <w:rPr/>
      </w:pPr>
      <w:r>
        <w:rPr/>
        <w:t>​</w:t>
      </w:r>
    </w:p>
    <w:p>
      <w:pPr>
        <w:pStyle w:val="TextBody"/>
        <w:bidi w:val="0"/>
        <w:spacing w:before="0" w:after="0"/>
        <w:ind w:left="0" w:right="0" w:firstLine="480"/>
        <w:jc w:val="both"/>
        <w:rPr>
          <w:rFonts w:ascii="Times New Roman;Times;serif" w:hAnsi="Times New Roman;Times;serif"/>
          <w:b/>
          <w:i/>
          <w:sz w:val="20"/>
        </w:rPr>
      </w:pPr>
      <w:r>
        <w:rPr>
          <w:rFonts w:ascii="Times New Roman;Times;serif" w:hAnsi="Times New Roman;Times;serif"/>
          <w:b/>
          <w:i/>
          <w:sz w:val="20"/>
        </w:rPr>
        <w:t>Organization</w:t>
      </w:r>
    </w:p>
    <w:p>
      <w:pPr>
        <w:pStyle w:val="TextBody"/>
        <w:bidi w:val="0"/>
        <w:spacing w:before="0" w:after="0"/>
        <w:ind w:left="0" w:right="0" w:firstLine="480"/>
        <w:jc w:val="both"/>
        <w:rPr/>
      </w:pPr>
      <w:r>
        <w:rPr/>
        <w:t>​</w:t>
      </w:r>
    </w:p>
    <w:p>
      <w:pPr>
        <w:pStyle w:val="TextBody"/>
        <w:bidi w:val="0"/>
        <w:spacing w:before="0" w:after="0"/>
        <w:ind w:left="0" w:right="0" w:firstLine="480"/>
        <w:jc w:val="left"/>
        <w:rPr>
          <w:rFonts w:ascii="Times New Roman;Times;serif" w:hAnsi="Times New Roman;Times;serif"/>
          <w:sz w:val="20"/>
        </w:rPr>
      </w:pPr>
      <w:r>
        <w:rPr>
          <w:rFonts w:ascii="Times New Roman;Times;serif" w:hAnsi="Times New Roman;Times;serif"/>
          <w:sz w:val="20"/>
        </w:rPr>
        <w:t>Avnet, Inc., including its consolidated subsidiaries (collectively, the “Company” or “Avnet”), is a leading global electronic component technology distributor and solutions provider that has served customers’ evolving needs for more than a century. Founded in 1921, the Company works with suppliers in every major technology segment to serve customers in more than 140 countries.</w:t>
      </w:r>
    </w:p>
    <w:p>
      <w:pPr>
        <w:pStyle w:val="TextBody"/>
        <w:bidi w:val="0"/>
        <w:spacing w:before="0" w:after="0"/>
        <w:ind w:left="0" w:right="0" w:hanging="0"/>
        <w:jc w:val="left"/>
        <w:rPr/>
      </w:pPr>
      <w:r>
        <w:rPr/>
        <w:t>​</w:t>
      </w:r>
    </w:p>
    <w:p>
      <w:pPr>
        <w:pStyle w:val="TextBody"/>
        <w:bidi w:val="0"/>
        <w:spacing w:before="0" w:after="0"/>
        <w:ind w:left="0" w:right="0" w:firstLine="475"/>
        <w:jc w:val="left"/>
        <w:rPr>
          <w:rFonts w:ascii="Times New Roman;Times;serif" w:hAnsi="Times New Roman;Times;serif"/>
          <w:sz w:val="20"/>
        </w:rPr>
      </w:pPr>
      <w:r>
        <w:rPr>
          <w:rFonts w:ascii="Times New Roman;Times;serif" w:hAnsi="Times New Roman;Times;serif"/>
          <w:sz w:val="20"/>
        </w:rPr>
        <w:t>Avnet has two primary operating groups — Electronic Components (“EC”) and Farnell (“Farnell”). Both operating groups have operations in each of the three major economic regions of the world: (i) the Americas, (ii) EMEA, and (iii) Asia. EC markets, sells, and distributes (i) semiconductors, (ii) interconnect, passive and electromechanical components, and (iii) other integrated and embedded components, to a diverse customer base serving many end-markets. Farnell distributes electronic components and industrial products to a diverse customer base utilizing multi-channel sales and marketing resources.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sz w:val="20"/>
        </w:rPr>
      </w:pPr>
      <w:bookmarkStart w:id="1119" w:name="Results_of_operations"/>
      <w:bookmarkEnd w:id="1119"/>
      <w:r>
        <w:rPr>
          <w:rFonts w:ascii="Times New Roman;Times;serif" w:hAnsi="Times New Roman;Times;serif"/>
          <w:b/>
          <w:sz w:val="20"/>
        </w:rPr>
        <w:t>Results of Operations</w:t>
      </w:r>
    </w:p>
    <w:p>
      <w:pPr>
        <w:pStyle w:val="TextBody"/>
        <w:bidi w:val="0"/>
        <w:spacing w:before="0" w:after="0"/>
        <w:ind w:left="0" w:right="0" w:firstLine="480"/>
        <w:jc w:val="left"/>
        <w:rPr/>
      </w:pPr>
      <w:r>
        <w:rPr/>
        <w:t>​</w:t>
      </w:r>
    </w:p>
    <w:p>
      <w:pPr>
        <w:pStyle w:val="TextBody"/>
        <w:bidi w:val="0"/>
        <w:spacing w:before="0" w:after="0"/>
        <w:ind w:left="0" w:right="0" w:firstLine="480"/>
        <w:jc w:val="both"/>
        <w:rPr>
          <w:rFonts w:ascii="Times New Roman;Times;serif" w:hAnsi="Times New Roman;Times;serif"/>
          <w:b/>
          <w:i/>
          <w:sz w:val="20"/>
        </w:rPr>
      </w:pPr>
      <w:r>
        <w:rPr>
          <w:rFonts w:ascii="Times New Roman;Times;serif" w:hAnsi="Times New Roman;Times;serif"/>
          <w:b/>
          <w:i/>
          <w:sz w:val="20"/>
        </w:rPr>
        <w:t>Executive Summary</w:t>
      </w:r>
    </w:p>
    <w:p>
      <w:pPr>
        <w:pStyle w:val="TextBody"/>
        <w:bidi w:val="0"/>
        <w:spacing w:before="0" w:after="0"/>
        <w:ind w:left="0" w:right="0" w:firstLine="480"/>
        <w:jc w:val="both"/>
        <w:rPr/>
      </w:pPr>
      <w:r>
        <w:rPr/>
        <w:t>​</w:t>
      </w:r>
    </w:p>
    <w:p>
      <w:pPr>
        <w:pStyle w:val="TextBody"/>
        <w:bidi w:val="0"/>
        <w:spacing w:before="0" w:after="0"/>
        <w:ind w:left="0" w:right="0" w:firstLine="480"/>
        <w:jc w:val="left"/>
        <w:rPr>
          <w:rFonts w:ascii="Times New Roman;Times;serif" w:hAnsi="Times New Roman;Times;serif"/>
          <w:sz w:val="20"/>
        </w:rPr>
      </w:pPr>
      <w:r>
        <w:rPr>
          <w:rFonts w:ascii="Times New Roman;Times;serif" w:hAnsi="Times New Roman;Times;serif"/>
          <w:sz w:val="20"/>
        </w:rPr>
        <w:t>Consolidated sales decreased by $512.6 million or 7.6% to $6.20 billion, from the prior year’s second quarter sales of $6.72 billion. The decrease in sales is primarily due to softening demand for electronic components, driven in part by customers having sufficient inventory on hand to meet their near-term production requirement. The Company expects these market conditions to continue potentially throughout 2024.</w:t>
      </w:r>
    </w:p>
    <w:p>
      <w:pPr>
        <w:pStyle w:val="TextBody"/>
        <w:bidi w:val="0"/>
        <w:spacing w:before="0" w:after="0"/>
        <w:ind w:left="0" w:right="0" w:firstLine="480"/>
        <w:jc w:val="left"/>
        <w:rPr>
          <w:shd w:fill="FFFF00" w:val="clear"/>
        </w:rPr>
      </w:pPr>
      <w:r>
        <w:rPr>
          <w:shd w:fill="FFFF00" w:val="clear"/>
        </w:rPr>
        <w:t>​</w:t>
      </w:r>
    </w:p>
    <w:p>
      <w:pPr>
        <w:pStyle w:val="TextBody"/>
        <w:bidi w:val="0"/>
        <w:spacing w:before="0" w:after="0"/>
        <w:ind w:left="0" w:right="0" w:firstLine="480"/>
        <w:jc w:val="left"/>
        <w:rPr>
          <w:rFonts w:ascii="Times New Roman;Times;serif" w:hAnsi="Times New Roman;Times;serif"/>
          <w:sz w:val="20"/>
        </w:rPr>
      </w:pPr>
      <w:r>
        <w:rPr>
          <w:rFonts w:ascii="Times New Roman;Times;serif" w:hAnsi="Times New Roman;Times;serif"/>
          <w:sz w:val="20"/>
        </w:rPr>
        <w:t>Gross profit of $706.2 million for the second quarter of fiscal 2024 decreased $77.9 million from the second quarter of fiscal 2023 primarily due to the decline in sales and to a lesser extent, unfavorable changes in sales mix.</w:t>
      </w:r>
    </w:p>
    <w:p>
      <w:pPr>
        <w:pStyle w:val="TextBody"/>
        <w:bidi w:val="0"/>
        <w:spacing w:before="0" w:after="0"/>
        <w:ind w:left="0" w:right="0" w:firstLine="480"/>
        <w:jc w:val="left"/>
        <w:rPr/>
      </w:pPr>
      <w:r>
        <w:rPr/>
        <w:t>​</w:t>
      </w:r>
    </w:p>
    <w:p>
      <w:pPr>
        <w:pStyle w:val="TextBody"/>
        <w:bidi w:val="0"/>
        <w:spacing w:before="0" w:after="0"/>
        <w:ind w:left="0" w:right="0" w:firstLine="480"/>
        <w:jc w:val="left"/>
        <w:rPr>
          <w:rFonts w:ascii="Times New Roman;Times;serif" w:hAnsi="Times New Roman;Times;serif"/>
          <w:sz w:val="20"/>
        </w:rPr>
      </w:pPr>
      <w:r>
        <w:rPr>
          <w:rFonts w:ascii="Times New Roman;Times;serif" w:hAnsi="Times New Roman;Times;serif"/>
          <w:sz w:val="20"/>
        </w:rPr>
        <w:t xml:space="preserve">Second-quarter fiscal 2024 operating income was $236.3 million, down $62.7 million or 21.0% from the prior year’s second-quarter operating income of $299.0 million. Operating income margin was 3.8% in the second quarter of fiscal 2024, as compared to 4.5% in the second quarter of fiscal 2023. The year-over-year decrease in operating income and operating income margin is primarily due to lower sales and gross margins, partially offset by lower operating expenses. </w:t>
      </w:r>
    </w:p>
    <w:p>
      <w:pPr>
        <w:pStyle w:val="TextBody"/>
        <w:bidi w:val="0"/>
        <w:spacing w:before="0" w:after="0"/>
        <w:ind w:left="0" w:right="0" w:firstLine="48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lineRule="auto" w:line="343"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Sales</w:t>
      </w:r>
    </w:p>
    <w:p>
      <w:pPr>
        <w:pStyle w:val="TextBody"/>
        <w:bidi w:val="0"/>
        <w:spacing w:before="0" w:after="0"/>
        <w:ind w:left="0" w:right="0" w:hanging="0"/>
        <w:jc w:val="both"/>
        <w:rPr/>
      </w:pPr>
      <w:r>
        <w:rPr/>
        <w:t>​</w:t>
      </w:r>
    </w:p>
    <w:p>
      <w:pPr>
        <w:pStyle w:val="TextBody"/>
        <w:bidi w:val="0"/>
        <w:spacing w:lineRule="atLeast" w:line="220" w:before="0" w:after="0"/>
        <w:ind w:left="0" w:right="0" w:firstLine="475"/>
        <w:jc w:val="left"/>
        <w:rPr>
          <w:rFonts w:ascii="Times New Roman;Times;serif" w:hAnsi="Times New Roman;Times;serif"/>
          <w:sz w:val="20"/>
        </w:rPr>
      </w:pPr>
      <w:r>
        <w:rPr>
          <w:rFonts w:ascii="Times New Roman;Times;serif" w:hAnsi="Times New Roman;Times;serif"/>
          <w:sz w:val="20"/>
        </w:rPr>
        <w:t>The following table presents sales growth rates (declines) for the second quarter and first six months of fiscal 2024 as compared to fiscal 2023 by geographic region and operating group.</w:t>
      </w:r>
    </w:p>
    <w:p>
      <w:pPr>
        <w:pStyle w:val="TextBody"/>
        <w:bidi w:val="0"/>
        <w:spacing w:before="0" w:after="0"/>
        <w:ind w:left="0" w:right="0" w:firstLine="475"/>
        <w:jc w:val="left"/>
        <w:rPr/>
      </w:pPr>
      <w:r>
        <w:rPr/>
        <w:t>​</w:t>
      </w:r>
    </w:p>
    <w:tbl>
      <w:tblPr>
        <w:tblW w:w="8663" w:type="dxa"/>
        <w:jc w:val="left"/>
        <w:tblInd w:w="0" w:type="dxa"/>
        <w:tblLayout w:type="fixed"/>
        <w:tblCellMar>
          <w:top w:w="0" w:type="dxa"/>
          <w:left w:w="0" w:type="dxa"/>
          <w:bottom w:w="0" w:type="dxa"/>
          <w:right w:w="0" w:type="dxa"/>
        </w:tblCellMar>
      </w:tblPr>
      <w:tblGrid>
        <w:gridCol w:w="2221"/>
        <w:gridCol w:w="326"/>
        <w:gridCol w:w="821"/>
        <w:gridCol w:w="424"/>
        <w:gridCol w:w="111"/>
        <w:gridCol w:w="586"/>
        <w:gridCol w:w="889"/>
        <w:gridCol w:w="206"/>
        <w:gridCol w:w="586"/>
        <w:gridCol w:w="774"/>
        <w:gridCol w:w="205"/>
        <w:gridCol w:w="586"/>
        <w:gridCol w:w="774"/>
        <w:gridCol w:w="154"/>
      </w:tblGrid>
      <w:tr>
        <w:trPr/>
        <w:tc>
          <w:tcPr>
            <w:tcW w:w="2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1410335" cy="175260"/>
                      <wp:effectExtent l="0" t="0" r="0" b="0"/>
                      <wp:wrapNone/>
                      <wp:docPr id="236" name="Frame236"/>
                      <a:graphic xmlns:a="http://schemas.openxmlformats.org/drawingml/2006/main">
                        <a:graphicData uri="http://schemas.microsoft.com/office/word/2010/wordprocessingShape">
                          <wps:wsp>
                            <wps:cNvSpPr txBox="1"/>
                            <wps:spPr>
                              <a:xfrm>
                                <a:off x="0" y="0"/>
                                <a:ext cx="1410335"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207010" cy="175260"/>
                      <wp:effectExtent l="0" t="0" r="0" b="0"/>
                      <wp:wrapNone/>
                      <wp:docPr id="237" name="Frame2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8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521335" cy="175260"/>
                      <wp:effectExtent l="0" t="0" r="0" b="0"/>
                      <wp:wrapNone/>
                      <wp:docPr id="238" name="Frame238"/>
                      <a:graphic xmlns:a="http://schemas.openxmlformats.org/drawingml/2006/main">
                        <a:graphicData uri="http://schemas.microsoft.com/office/word/2010/wordprocessingShape">
                          <wps:wsp>
                            <wps:cNvSpPr txBox="1"/>
                            <wps:spPr>
                              <a:xfrm>
                                <a:off x="0" y="0"/>
                                <a:ext cx="521335"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4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269240" cy="175260"/>
                      <wp:effectExtent l="0" t="0" r="0" b="0"/>
                      <wp:wrapNone/>
                      <wp:docPr id="239" name="Frame239"/>
                      <a:graphic xmlns:a="http://schemas.openxmlformats.org/drawingml/2006/main">
                        <a:graphicData uri="http://schemas.microsoft.com/office/word/2010/wordprocessingShape">
                          <wps:wsp>
                            <wps:cNvSpPr txBox="1"/>
                            <wps:spPr>
                              <a:xfrm>
                                <a:off x="0" y="0"/>
                                <a:ext cx="269240"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70485" cy="175260"/>
                      <wp:effectExtent l="0" t="0" r="0" b="0"/>
                      <wp:wrapNone/>
                      <wp:docPr id="240" name="Frame240"/>
                      <a:graphic xmlns:a="http://schemas.openxmlformats.org/drawingml/2006/main">
                        <a:graphicData uri="http://schemas.microsoft.com/office/word/2010/wordprocessingShape">
                          <wps:wsp>
                            <wps:cNvSpPr txBox="1"/>
                            <wps:spPr>
                              <a:xfrm>
                                <a:off x="0" y="0"/>
                                <a:ext cx="70485"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372110" cy="175260"/>
                      <wp:effectExtent l="0" t="0" r="0" b="0"/>
                      <wp:wrapNone/>
                      <wp:docPr id="241" name="Frame241"/>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8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564515" cy="175260"/>
                      <wp:effectExtent l="0" t="0" r="0" b="0"/>
                      <wp:wrapNone/>
                      <wp:docPr id="242" name="Frame242"/>
                      <a:graphic xmlns:a="http://schemas.openxmlformats.org/drawingml/2006/main">
                        <a:graphicData uri="http://schemas.microsoft.com/office/word/2010/wordprocessingShape">
                          <wps:wsp>
                            <wps:cNvSpPr txBox="1"/>
                            <wps:spPr>
                              <a:xfrm>
                                <a:off x="0" y="0"/>
                                <a:ext cx="564515"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130810" cy="175260"/>
                      <wp:effectExtent l="0" t="0" r="0" b="0"/>
                      <wp:wrapNone/>
                      <wp:docPr id="243" name="Frame243"/>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372110" cy="175260"/>
                      <wp:effectExtent l="0" t="0" r="0" b="0"/>
                      <wp:wrapNone/>
                      <wp:docPr id="244" name="Frame244"/>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7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491490" cy="175260"/>
                      <wp:effectExtent l="0" t="0" r="0" b="0"/>
                      <wp:wrapNone/>
                      <wp:docPr id="245" name="Frame245"/>
                      <a:graphic xmlns:a="http://schemas.openxmlformats.org/drawingml/2006/main">
                        <a:graphicData uri="http://schemas.microsoft.com/office/word/2010/wordprocessingShape">
                          <wps:wsp>
                            <wps:cNvSpPr txBox="1"/>
                            <wps:spPr>
                              <a:xfrm>
                                <a:off x="0" y="0"/>
                                <a:ext cx="491490"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2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130175" cy="175260"/>
                      <wp:effectExtent l="0" t="0" r="0" b="0"/>
                      <wp:wrapNone/>
                      <wp:docPr id="246" name="Frame246"/>
                      <a:graphic xmlns:a="http://schemas.openxmlformats.org/drawingml/2006/main">
                        <a:graphicData uri="http://schemas.microsoft.com/office/word/2010/wordprocessingShape">
                          <wps:wsp>
                            <wps:cNvSpPr txBox="1"/>
                            <wps:spPr>
                              <a:xfrm>
                                <a:off x="0" y="0"/>
                                <a:ext cx="130175"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372110" cy="175260"/>
                      <wp:effectExtent l="0" t="0" r="0" b="0"/>
                      <wp:wrapNone/>
                      <wp:docPr id="247" name="Frame247"/>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7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491490" cy="175260"/>
                      <wp:effectExtent l="0" t="0" r="0" b="0"/>
                      <wp:wrapNone/>
                      <wp:docPr id="248" name="Frame248"/>
                      <a:graphic xmlns:a="http://schemas.openxmlformats.org/drawingml/2006/main">
                        <a:graphicData uri="http://schemas.microsoft.com/office/word/2010/wordprocessingShape">
                          <wps:wsp>
                            <wps:cNvSpPr txBox="1"/>
                            <wps:spPr>
                              <a:xfrm>
                                <a:off x="0" y="0"/>
                                <a:ext cx="491490"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221" w:type="dxa"/>
            <w:tcBorders/>
            <w:vAlign w:val="center"/>
          </w:tcPr>
          <w:p>
            <w:pPr>
              <w:pStyle w:val="TableContents"/>
              <w:bidi w:val="0"/>
              <w:spacing w:lineRule="atLeast" w:line="240" w:before="0" w:after="0"/>
              <w:ind w:left="0" w:right="0" w:hanging="0"/>
              <w:jc w:val="left"/>
              <w:rPr/>
            </w:pPr>
            <w:r>
              <w:rPr/>
              <w:t>​</w:t>
            </w:r>
          </w:p>
        </w:tc>
        <w:tc>
          <w:tcPr>
            <w:tcW w:w="326" w:type="dxa"/>
            <w:tcBorders/>
            <w:vAlign w:val="center"/>
          </w:tcPr>
          <w:p>
            <w:pPr>
              <w:pStyle w:val="TableContents"/>
              <w:bidi w:val="0"/>
              <w:spacing w:lineRule="atLeast" w:line="240" w:before="0" w:after="0"/>
              <w:ind w:left="0" w:right="0" w:hanging="0"/>
              <w:jc w:val="center"/>
              <w:rPr/>
            </w:pPr>
            <w:r>
              <w:rPr/>
              <w:t>​</w:t>
            </w:r>
          </w:p>
        </w:tc>
        <w:tc>
          <w:tcPr>
            <w:tcW w:w="2831" w:type="dxa"/>
            <w:gridSpan w:val="5"/>
            <w:tcBorders>
              <w:bottom w:val="single" w:sz="12" w:space="0" w:color="000000"/>
            </w:tcBorders>
            <w:tcMar>
              <w:bottom w:w="28" w:type="dxa"/>
            </w:tcMar>
            <w:vAlign w:val="center"/>
          </w:tcPr>
          <w:p>
            <w:pPr>
              <w:pStyle w:val="TableContents"/>
              <w:bidi w:val="0"/>
              <w:spacing w:lineRule="atLeast" w:line="240" w:before="0" w:after="0"/>
              <w:ind w:left="0" w:right="0" w:hanging="0"/>
              <w:jc w:val="center"/>
              <w:rPr>
                <w:rFonts w:ascii="Times New Roman;Times;serif" w:hAnsi="Times New Roman;Times;serif"/>
                <w:b/>
                <w:sz w:val="20"/>
              </w:rPr>
            </w:pPr>
            <w:r>
              <w:rPr>
                <w:rFonts w:ascii="Times New Roman;Times;serif" w:hAnsi="Times New Roman;Times;serif"/>
                <w:b/>
                <w:sz w:val="20"/>
              </w:rPr>
              <w:t>Quarter Ended</w:t>
            </w:r>
          </w:p>
        </w:tc>
        <w:tc>
          <w:tcPr>
            <w:tcW w:w="206" w:type="dxa"/>
            <w:tcBorders/>
            <w:vAlign w:val="center"/>
          </w:tcPr>
          <w:p>
            <w:pPr>
              <w:pStyle w:val="TableContents"/>
              <w:bidi w:val="0"/>
              <w:spacing w:lineRule="atLeast" w:line="240" w:before="0" w:after="0"/>
              <w:ind w:left="0" w:right="0" w:hanging="0"/>
              <w:jc w:val="left"/>
              <w:rPr/>
            </w:pPr>
            <w:r>
              <w:rPr/>
              <w:t>​</w:t>
            </w:r>
          </w:p>
        </w:tc>
        <w:tc>
          <w:tcPr>
            <w:tcW w:w="2925" w:type="dxa"/>
            <w:gridSpan w:val="5"/>
            <w:tcBorders>
              <w:bottom w:val="single" w:sz="12" w:space="0" w:color="000000"/>
            </w:tcBorders>
            <w:tcMar>
              <w:bottom w:w="28" w:type="dxa"/>
            </w:tcMar>
            <w:vAlign w:val="center"/>
          </w:tcPr>
          <w:p>
            <w:pPr>
              <w:pStyle w:val="TableContents"/>
              <w:bidi w:val="0"/>
              <w:spacing w:lineRule="atLeast" w:line="240" w:before="0" w:after="0"/>
              <w:ind w:left="0" w:right="0" w:hanging="0"/>
              <w:jc w:val="center"/>
              <w:rPr>
                <w:rFonts w:ascii="Times New Roman;Times;serif" w:hAnsi="Times New Roman;Times;serif"/>
                <w:b/>
                <w:sz w:val="20"/>
              </w:rPr>
            </w:pPr>
            <w:r>
              <w:rPr>
                <w:rFonts w:ascii="Times New Roman;Times;serif" w:hAnsi="Times New Roman;Times;serif"/>
                <w:b/>
                <w:sz w:val="20"/>
              </w:rPr>
              <w:t>Six Months Ended</w:t>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221" w:type="dxa"/>
            <w:tcBorders/>
            <w:vAlign w:val="center"/>
          </w:tcPr>
          <w:p>
            <w:pPr>
              <w:pStyle w:val="TableContents"/>
              <w:bidi w:val="0"/>
              <w:spacing w:lineRule="atLeast" w:line="240" w:before="0" w:after="0"/>
              <w:ind w:left="0" w:right="0" w:hanging="0"/>
              <w:jc w:val="left"/>
              <w:rPr/>
            </w:pPr>
            <w:r>
              <w:rPr/>
              <w:t>​</w:t>
            </w:r>
          </w:p>
        </w:tc>
        <w:tc>
          <w:tcPr>
            <w:tcW w:w="326" w:type="dxa"/>
            <w:tcBorders/>
            <w:vAlign w:val="center"/>
          </w:tcPr>
          <w:p>
            <w:pPr>
              <w:pStyle w:val="TableContents"/>
              <w:bidi w:val="0"/>
              <w:spacing w:lineRule="atLeast" w:line="240" w:before="0" w:after="0"/>
              <w:ind w:left="0" w:right="0" w:hanging="0"/>
              <w:jc w:val="center"/>
              <w:rPr/>
            </w:pPr>
            <w:r>
              <w:rPr/>
              <w:t>​</w:t>
            </w:r>
          </w:p>
        </w:tc>
        <w:tc>
          <w:tcPr>
            <w:tcW w:w="6116" w:type="dxa"/>
            <w:gridSpan w:val="12"/>
            <w:tcBorders>
              <w:bottom w:val="single" w:sz="12" w:space="0" w:color="000000"/>
            </w:tcBorders>
            <w:tcMar>
              <w:bottom w:w="28" w:type="dxa"/>
            </w:tcMar>
            <w:vAlign w:val="center"/>
          </w:tcPr>
          <w:p>
            <w:pPr>
              <w:pStyle w:val="TableContents"/>
              <w:bidi w:val="0"/>
              <w:spacing w:lineRule="atLeast" w:line="240" w:before="0" w:after="0"/>
              <w:ind w:left="0" w:right="0" w:hanging="0"/>
              <w:jc w:val="center"/>
              <w:rPr>
                <w:rFonts w:ascii="Times New Roman;Times;serif" w:hAnsi="Times New Roman;Times;serif"/>
                <w:b/>
                <w:sz w:val="20"/>
              </w:rPr>
            </w:pPr>
            <w:r>
              <w:rPr>
                <w:rFonts w:ascii="Times New Roman;Times;serif" w:hAnsi="Times New Roman;Times;serif"/>
                <w:b/>
                <w:sz w:val="20"/>
              </w:rPr>
              <w:t>December 30, 2023</w:t>
            </w:r>
          </w:p>
        </w:tc>
      </w:tr>
      <w:tr>
        <w:trPr/>
        <w:tc>
          <w:tcPr>
            <w:tcW w:w="2221" w:type="dxa"/>
            <w:tcBorders/>
            <w:vAlign w:val="center"/>
          </w:tcPr>
          <w:p>
            <w:pPr>
              <w:pStyle w:val="TableContents"/>
              <w:bidi w:val="0"/>
              <w:spacing w:lineRule="atLeast" w:line="240" w:before="0" w:after="0"/>
              <w:ind w:left="0" w:right="0" w:hanging="0"/>
              <w:jc w:val="left"/>
              <w:rPr/>
            </w:pPr>
            <w:r>
              <w:rPr/>
              <w:t>​</w:t>
            </w:r>
          </w:p>
        </w:tc>
        <w:tc>
          <w:tcPr>
            <w:tcW w:w="326" w:type="dxa"/>
            <w:tcBorders/>
            <w:vAlign w:val="center"/>
          </w:tcPr>
          <w:p>
            <w:pPr>
              <w:pStyle w:val="TableContents"/>
              <w:bidi w:val="0"/>
              <w:spacing w:lineRule="atLeast" w:line="240" w:before="0" w:after="0"/>
              <w:ind w:left="0" w:right="0" w:hanging="0"/>
              <w:jc w:val="center"/>
              <w:rPr/>
            </w:pPr>
            <w:r>
              <w:rPr/>
              <w:t>​</w:t>
            </w:r>
          </w:p>
        </w:tc>
        <w:tc>
          <w:tcPr>
            <w:tcW w:w="1245" w:type="dxa"/>
            <w:gridSpan w:val="2"/>
            <w:tcBorders/>
            <w:vAlign w:val="center"/>
          </w:tcPr>
          <w:p>
            <w:pPr>
              <w:pStyle w:val="TableContents"/>
              <w:bidi w:val="0"/>
              <w:spacing w:lineRule="atLeast" w:line="240" w:before="0" w:after="0"/>
              <w:ind w:left="0" w:right="0" w:hanging="0"/>
              <w:jc w:val="center"/>
              <w:rPr>
                <w:color w:val="575757"/>
              </w:rPr>
            </w:pPr>
            <w:r>
              <w:rPr>
                <w:color w:val="575757"/>
              </w:rPr>
              <w:t>​</w:t>
            </w:r>
          </w:p>
        </w:tc>
        <w:tc>
          <w:tcPr>
            <w:tcW w:w="111" w:type="dxa"/>
            <w:tcBorders/>
            <w:vAlign w:val="center"/>
          </w:tcPr>
          <w:p>
            <w:pPr>
              <w:pStyle w:val="TableContents"/>
              <w:bidi w:val="0"/>
              <w:spacing w:lineRule="atLeast" w:line="240" w:before="0" w:after="0"/>
              <w:ind w:left="0" w:right="0" w:hanging="0"/>
              <w:jc w:val="left"/>
              <w:rPr/>
            </w:pPr>
            <w:r>
              <w:rPr/>
              <w:t>​</w:t>
            </w:r>
          </w:p>
        </w:tc>
        <w:tc>
          <w:tcPr>
            <w:tcW w:w="1475" w:type="dxa"/>
            <w:gridSpan w:val="2"/>
            <w:tcBorders/>
            <w:vAlign w:val="center"/>
          </w:tcPr>
          <w:p>
            <w:pPr>
              <w:pStyle w:val="TableContents"/>
              <w:bidi w:val="0"/>
              <w:spacing w:lineRule="atLeast" w:line="240" w:before="0" w:after="0"/>
              <w:ind w:left="0" w:right="0" w:hanging="0"/>
              <w:jc w:val="center"/>
              <w:rPr>
                <w:rFonts w:ascii="Times New Roman;Times;serif" w:hAnsi="Times New Roman;Times;serif"/>
                <w:b/>
                <w:sz w:val="20"/>
              </w:rPr>
            </w:pPr>
            <w:r>
              <w:rPr>
                <w:rFonts w:ascii="Times New Roman;Times;serif" w:hAnsi="Times New Roman;Times;serif"/>
                <w:b/>
                <w:sz w:val="20"/>
              </w:rPr>
              <w:t>Sales</w:t>
            </w:r>
          </w:p>
        </w:tc>
        <w:tc>
          <w:tcPr>
            <w:tcW w:w="206" w:type="dxa"/>
            <w:tcBorders/>
            <w:vAlign w:val="center"/>
          </w:tcPr>
          <w:p>
            <w:pPr>
              <w:pStyle w:val="TableContents"/>
              <w:bidi w:val="0"/>
              <w:spacing w:lineRule="atLeast" w:line="240" w:before="0" w:after="0"/>
              <w:ind w:left="0" w:right="0" w:hanging="0"/>
              <w:jc w:val="left"/>
              <w:rPr/>
            </w:pPr>
            <w:r>
              <w:rPr/>
              <w:t>​</w:t>
            </w:r>
          </w:p>
        </w:tc>
        <w:tc>
          <w:tcPr>
            <w:tcW w:w="1360" w:type="dxa"/>
            <w:gridSpan w:val="2"/>
            <w:tcBorders/>
            <w:vAlign w:val="center"/>
          </w:tcPr>
          <w:p>
            <w:pPr>
              <w:pStyle w:val="TableContents"/>
              <w:bidi w:val="0"/>
              <w:spacing w:lineRule="atLeast" w:line="240" w:before="0" w:after="0"/>
              <w:ind w:left="0" w:right="0" w:hanging="0"/>
              <w:jc w:val="center"/>
              <w:rPr/>
            </w:pPr>
            <w:r>
              <w:rPr/>
              <w:t>​</w:t>
            </w:r>
          </w:p>
        </w:tc>
        <w:tc>
          <w:tcPr>
            <w:tcW w:w="205" w:type="dxa"/>
            <w:tcBorders/>
            <w:vAlign w:val="center"/>
          </w:tcPr>
          <w:p>
            <w:pPr>
              <w:pStyle w:val="TableContents"/>
              <w:bidi w:val="0"/>
              <w:spacing w:lineRule="atLeast" w:line="240" w:before="0" w:after="0"/>
              <w:ind w:left="0" w:right="0" w:hanging="0"/>
              <w:jc w:val="left"/>
              <w:rPr/>
            </w:pPr>
            <w:r>
              <w:rPr/>
              <w:t>​</w:t>
            </w:r>
          </w:p>
        </w:tc>
        <w:tc>
          <w:tcPr>
            <w:tcW w:w="1360" w:type="dxa"/>
            <w:gridSpan w:val="2"/>
            <w:tcBorders/>
            <w:vAlign w:val="center"/>
          </w:tcPr>
          <w:p>
            <w:pPr>
              <w:pStyle w:val="TableContents"/>
              <w:bidi w:val="0"/>
              <w:spacing w:lineRule="atLeast" w:line="240" w:before="0" w:after="0"/>
              <w:ind w:left="0" w:right="0" w:hanging="0"/>
              <w:jc w:val="center"/>
              <w:rPr>
                <w:rFonts w:ascii="Times New Roman;Times;serif" w:hAnsi="Times New Roman;Times;serif"/>
                <w:b/>
                <w:sz w:val="20"/>
              </w:rPr>
            </w:pPr>
            <w:r>
              <w:rPr>
                <w:rFonts w:ascii="Times New Roman;Times;serif" w:hAnsi="Times New Roman;Times;serif"/>
                <w:b/>
                <w:sz w:val="20"/>
              </w:rPr>
              <w:t>Sales</w:t>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221" w:type="dxa"/>
            <w:tcBorders/>
            <w:vAlign w:val="center"/>
          </w:tcPr>
          <w:p>
            <w:pPr>
              <w:pStyle w:val="TableContents"/>
              <w:bidi w:val="0"/>
              <w:spacing w:lineRule="atLeast" w:line="240" w:before="0" w:after="0"/>
              <w:ind w:left="0" w:right="0" w:hanging="0"/>
              <w:jc w:val="left"/>
              <w:rPr/>
            </w:pPr>
            <w:r>
              <w:rPr/>
              <w:t>​</w:t>
            </w:r>
          </w:p>
        </w:tc>
        <w:tc>
          <w:tcPr>
            <w:tcW w:w="326" w:type="dxa"/>
            <w:tcBorders/>
            <w:vAlign w:val="center"/>
          </w:tcPr>
          <w:p>
            <w:pPr>
              <w:pStyle w:val="TableContents"/>
              <w:bidi w:val="0"/>
              <w:spacing w:lineRule="atLeast" w:line="240" w:before="0" w:after="0"/>
              <w:ind w:left="0" w:right="0" w:hanging="0"/>
              <w:jc w:val="center"/>
              <w:rPr/>
            </w:pPr>
            <w:r>
              <w:rPr/>
              <w:t>​</w:t>
            </w:r>
          </w:p>
        </w:tc>
        <w:tc>
          <w:tcPr>
            <w:tcW w:w="1245" w:type="dxa"/>
            <w:gridSpan w:val="2"/>
            <w:tcBorders/>
            <w:vAlign w:val="center"/>
          </w:tcPr>
          <w:p>
            <w:pPr>
              <w:pStyle w:val="TableContents"/>
              <w:bidi w:val="0"/>
              <w:spacing w:lineRule="atLeast" w:line="240" w:before="0" w:after="0"/>
              <w:ind w:left="0" w:right="0" w:hanging="0"/>
              <w:jc w:val="center"/>
              <w:rPr/>
            </w:pPr>
            <w:r>
              <w:rPr/>
              <w:t>​</w:t>
            </w:r>
          </w:p>
        </w:tc>
        <w:tc>
          <w:tcPr>
            <w:tcW w:w="111" w:type="dxa"/>
            <w:tcBorders/>
            <w:vAlign w:val="center"/>
          </w:tcPr>
          <w:p>
            <w:pPr>
              <w:pStyle w:val="TableContents"/>
              <w:bidi w:val="0"/>
              <w:spacing w:lineRule="atLeast" w:line="240" w:before="0" w:after="0"/>
              <w:ind w:left="0" w:right="0" w:hanging="0"/>
              <w:jc w:val="left"/>
              <w:rPr/>
            </w:pPr>
            <w:r>
              <w:rPr/>
              <w:t>​</w:t>
            </w:r>
          </w:p>
        </w:tc>
        <w:tc>
          <w:tcPr>
            <w:tcW w:w="1475" w:type="dxa"/>
            <w:gridSpan w:val="2"/>
            <w:tcBorders/>
            <w:vAlign w:val="center"/>
          </w:tcPr>
          <w:p>
            <w:pPr>
              <w:pStyle w:val="TableContents"/>
              <w:bidi w:val="0"/>
              <w:spacing w:lineRule="atLeast" w:line="240" w:before="0" w:after="0"/>
              <w:ind w:left="0" w:right="0" w:hanging="0"/>
              <w:jc w:val="center"/>
              <w:rPr>
                <w:rFonts w:ascii="Times New Roman;Times;serif" w:hAnsi="Times New Roman;Times;serif"/>
                <w:b/>
                <w:sz w:val="20"/>
              </w:rPr>
            </w:pPr>
            <w:r>
              <w:rPr>
                <w:rFonts w:ascii="Times New Roman;Times;serif" w:hAnsi="Times New Roman;Times;serif"/>
                <w:b/>
                <w:sz w:val="20"/>
              </w:rPr>
              <w:t>Year-Year %</w:t>
            </w:r>
          </w:p>
        </w:tc>
        <w:tc>
          <w:tcPr>
            <w:tcW w:w="206" w:type="dxa"/>
            <w:tcBorders/>
            <w:vAlign w:val="center"/>
          </w:tcPr>
          <w:p>
            <w:pPr>
              <w:pStyle w:val="TableContents"/>
              <w:bidi w:val="0"/>
              <w:spacing w:lineRule="atLeast" w:line="240" w:before="0" w:after="0"/>
              <w:ind w:left="0" w:right="0" w:hanging="0"/>
              <w:jc w:val="left"/>
              <w:rPr/>
            </w:pPr>
            <w:r>
              <w:rPr/>
              <w:t>​</w:t>
            </w:r>
          </w:p>
        </w:tc>
        <w:tc>
          <w:tcPr>
            <w:tcW w:w="1360" w:type="dxa"/>
            <w:gridSpan w:val="2"/>
            <w:tcBorders/>
            <w:vAlign w:val="center"/>
          </w:tcPr>
          <w:p>
            <w:pPr>
              <w:pStyle w:val="TableContents"/>
              <w:bidi w:val="0"/>
              <w:spacing w:lineRule="atLeast" w:line="240" w:before="0" w:after="0"/>
              <w:ind w:left="0" w:right="0" w:hanging="0"/>
              <w:jc w:val="center"/>
              <w:rPr/>
            </w:pPr>
            <w:r>
              <w:rPr/>
              <w:t>​</w:t>
            </w:r>
          </w:p>
        </w:tc>
        <w:tc>
          <w:tcPr>
            <w:tcW w:w="205" w:type="dxa"/>
            <w:tcBorders/>
            <w:vAlign w:val="center"/>
          </w:tcPr>
          <w:p>
            <w:pPr>
              <w:pStyle w:val="TableContents"/>
              <w:bidi w:val="0"/>
              <w:spacing w:lineRule="atLeast" w:line="240" w:before="0" w:after="0"/>
              <w:ind w:left="0" w:right="0" w:hanging="0"/>
              <w:jc w:val="left"/>
              <w:rPr/>
            </w:pPr>
            <w:r>
              <w:rPr/>
              <w:t>​</w:t>
            </w:r>
          </w:p>
        </w:tc>
        <w:tc>
          <w:tcPr>
            <w:tcW w:w="1360" w:type="dxa"/>
            <w:gridSpan w:val="2"/>
            <w:tcBorders/>
            <w:vAlign w:val="center"/>
          </w:tcPr>
          <w:p>
            <w:pPr>
              <w:pStyle w:val="TableContents"/>
              <w:bidi w:val="0"/>
              <w:spacing w:lineRule="atLeast" w:line="240" w:before="0" w:after="0"/>
              <w:ind w:left="0" w:right="0" w:hanging="0"/>
              <w:jc w:val="center"/>
              <w:rPr>
                <w:rFonts w:ascii="Times New Roman;Times;serif" w:hAnsi="Times New Roman;Times;serif"/>
                <w:b/>
                <w:sz w:val="20"/>
              </w:rPr>
            </w:pPr>
            <w:r>
              <w:rPr>
                <w:rFonts w:ascii="Times New Roman;Times;serif" w:hAnsi="Times New Roman;Times;serif"/>
                <w:b/>
                <w:sz w:val="20"/>
              </w:rPr>
              <w:t>Year-Year %</w:t>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221" w:type="dxa"/>
            <w:tcBorders/>
            <w:vAlign w:val="center"/>
          </w:tcPr>
          <w:p>
            <w:pPr>
              <w:pStyle w:val="TableContents"/>
              <w:bidi w:val="0"/>
              <w:spacing w:lineRule="atLeast" w:line="240" w:before="0" w:after="0"/>
              <w:ind w:left="0" w:right="0" w:hanging="0"/>
              <w:jc w:val="left"/>
              <w:rPr/>
            </w:pPr>
            <w:r>
              <w:rPr/>
              <w:t>​</w:t>
            </w:r>
          </w:p>
        </w:tc>
        <w:tc>
          <w:tcPr>
            <w:tcW w:w="326" w:type="dxa"/>
            <w:tcBorders/>
            <w:vAlign w:val="center"/>
          </w:tcPr>
          <w:p>
            <w:pPr>
              <w:pStyle w:val="TableContents"/>
              <w:bidi w:val="0"/>
              <w:spacing w:lineRule="atLeast" w:line="240" w:before="0" w:after="0"/>
              <w:ind w:left="0" w:right="0" w:hanging="0"/>
              <w:jc w:val="center"/>
              <w:rPr/>
            </w:pPr>
            <w:r>
              <w:rPr/>
              <w:t>​</w:t>
            </w:r>
          </w:p>
        </w:tc>
        <w:tc>
          <w:tcPr>
            <w:tcW w:w="1245" w:type="dxa"/>
            <w:gridSpan w:val="2"/>
            <w:tcBorders/>
            <w:vAlign w:val="center"/>
          </w:tcPr>
          <w:p>
            <w:pPr>
              <w:pStyle w:val="TableContents"/>
              <w:bidi w:val="0"/>
              <w:spacing w:lineRule="atLeast" w:line="240" w:before="0" w:after="0"/>
              <w:ind w:left="0" w:right="0" w:hanging="0"/>
              <w:jc w:val="center"/>
              <w:rPr>
                <w:rFonts w:ascii="Times New Roman;Times;serif" w:hAnsi="Times New Roman;Times;serif"/>
                <w:b/>
                <w:sz w:val="20"/>
              </w:rPr>
            </w:pPr>
            <w:r>
              <w:rPr>
                <w:rFonts w:ascii="Times New Roman;Times;serif" w:hAnsi="Times New Roman;Times;serif"/>
                <w:b/>
                <w:sz w:val="20"/>
              </w:rPr>
              <w:t>Sales</w:t>
            </w:r>
          </w:p>
        </w:tc>
        <w:tc>
          <w:tcPr>
            <w:tcW w:w="111" w:type="dxa"/>
            <w:tcBorders/>
            <w:vAlign w:val="center"/>
          </w:tcPr>
          <w:p>
            <w:pPr>
              <w:pStyle w:val="TableContents"/>
              <w:bidi w:val="0"/>
              <w:spacing w:lineRule="atLeast" w:line="240" w:before="0" w:after="0"/>
              <w:ind w:left="0" w:right="0" w:hanging="0"/>
              <w:jc w:val="left"/>
              <w:rPr/>
            </w:pPr>
            <w:r>
              <w:rPr/>
              <w:t>​</w:t>
            </w:r>
          </w:p>
        </w:tc>
        <w:tc>
          <w:tcPr>
            <w:tcW w:w="1475" w:type="dxa"/>
            <w:gridSpan w:val="2"/>
            <w:tcBorders/>
            <w:vAlign w:val="center"/>
          </w:tcPr>
          <w:p>
            <w:pPr>
              <w:pStyle w:val="TableContents"/>
              <w:bidi w:val="0"/>
              <w:spacing w:lineRule="atLeast" w:line="240" w:before="0" w:after="0"/>
              <w:ind w:left="0" w:right="0" w:hanging="0"/>
              <w:jc w:val="center"/>
              <w:rPr>
                <w:rFonts w:ascii="Times New Roman;Times;serif" w:hAnsi="Times New Roman;Times;serif"/>
                <w:b/>
                <w:sz w:val="20"/>
              </w:rPr>
            </w:pPr>
            <w:r>
              <w:rPr>
                <w:rFonts w:ascii="Times New Roman;Times;serif" w:hAnsi="Times New Roman;Times;serif"/>
                <w:b/>
                <w:sz w:val="20"/>
              </w:rPr>
              <w:t>Change in</w:t>
            </w:r>
          </w:p>
        </w:tc>
        <w:tc>
          <w:tcPr>
            <w:tcW w:w="206" w:type="dxa"/>
            <w:tcBorders/>
            <w:vAlign w:val="center"/>
          </w:tcPr>
          <w:p>
            <w:pPr>
              <w:pStyle w:val="TableContents"/>
              <w:bidi w:val="0"/>
              <w:spacing w:lineRule="atLeast" w:line="240" w:before="0" w:after="0"/>
              <w:ind w:left="0" w:right="0" w:hanging="0"/>
              <w:jc w:val="left"/>
              <w:rPr/>
            </w:pPr>
            <w:r>
              <w:rPr/>
              <w:t>​</w:t>
            </w:r>
          </w:p>
        </w:tc>
        <w:tc>
          <w:tcPr>
            <w:tcW w:w="1360" w:type="dxa"/>
            <w:gridSpan w:val="2"/>
            <w:tcBorders/>
            <w:vAlign w:val="center"/>
          </w:tcPr>
          <w:p>
            <w:pPr>
              <w:pStyle w:val="TableContents"/>
              <w:bidi w:val="0"/>
              <w:spacing w:lineRule="atLeast" w:line="240" w:before="0" w:after="0"/>
              <w:ind w:left="0" w:right="0" w:hanging="0"/>
              <w:jc w:val="center"/>
              <w:rPr>
                <w:rFonts w:ascii="Times New Roman;Times;serif" w:hAnsi="Times New Roman;Times;serif"/>
                <w:b/>
                <w:sz w:val="20"/>
              </w:rPr>
            </w:pPr>
            <w:r>
              <w:rPr>
                <w:rFonts w:ascii="Times New Roman;Times;serif" w:hAnsi="Times New Roman;Times;serif"/>
                <w:b/>
                <w:sz w:val="20"/>
              </w:rPr>
              <w:t>Sales</w:t>
            </w:r>
          </w:p>
        </w:tc>
        <w:tc>
          <w:tcPr>
            <w:tcW w:w="205" w:type="dxa"/>
            <w:tcBorders/>
            <w:vAlign w:val="center"/>
          </w:tcPr>
          <w:p>
            <w:pPr>
              <w:pStyle w:val="TableContents"/>
              <w:bidi w:val="0"/>
              <w:spacing w:lineRule="atLeast" w:line="240" w:before="0" w:after="0"/>
              <w:ind w:left="0" w:right="0" w:hanging="0"/>
              <w:jc w:val="left"/>
              <w:rPr/>
            </w:pPr>
            <w:r>
              <w:rPr/>
              <w:t>​</w:t>
            </w:r>
          </w:p>
        </w:tc>
        <w:tc>
          <w:tcPr>
            <w:tcW w:w="1360" w:type="dxa"/>
            <w:gridSpan w:val="2"/>
            <w:tcBorders/>
            <w:vAlign w:val="center"/>
          </w:tcPr>
          <w:p>
            <w:pPr>
              <w:pStyle w:val="TableContents"/>
              <w:bidi w:val="0"/>
              <w:spacing w:lineRule="atLeast" w:line="240" w:before="0" w:after="0"/>
              <w:ind w:left="0" w:right="0" w:hanging="0"/>
              <w:jc w:val="center"/>
              <w:rPr>
                <w:rFonts w:ascii="Times New Roman;Times;serif" w:hAnsi="Times New Roman;Times;serif"/>
                <w:b/>
                <w:sz w:val="20"/>
              </w:rPr>
            </w:pPr>
            <w:r>
              <w:rPr>
                <w:rFonts w:ascii="Times New Roman;Times;serif" w:hAnsi="Times New Roman;Times;serif"/>
                <w:b/>
                <w:sz w:val="20"/>
              </w:rPr>
              <w:t>Change in</w:t>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221" w:type="dxa"/>
            <w:tcBorders/>
            <w:vAlign w:val="center"/>
          </w:tcPr>
          <w:p>
            <w:pPr>
              <w:pStyle w:val="TableContents"/>
              <w:bidi w:val="0"/>
              <w:spacing w:lineRule="atLeast" w:line="240" w:before="0" w:after="0"/>
              <w:ind w:left="0" w:right="0" w:hanging="0"/>
              <w:jc w:val="left"/>
              <w:rPr/>
            </w:pPr>
            <w:r>
              <w:rPr/>
              <w:t>​</w:t>
            </w:r>
          </w:p>
        </w:tc>
        <w:tc>
          <w:tcPr>
            <w:tcW w:w="326" w:type="dxa"/>
            <w:tcBorders/>
            <w:vAlign w:val="center"/>
          </w:tcPr>
          <w:p>
            <w:pPr>
              <w:pStyle w:val="TableContents"/>
              <w:bidi w:val="0"/>
              <w:spacing w:lineRule="atLeast" w:line="240" w:before="0" w:after="0"/>
              <w:ind w:left="0" w:right="0" w:hanging="0"/>
              <w:jc w:val="center"/>
              <w:rPr/>
            </w:pPr>
            <w:r>
              <w:rPr/>
              <w:t>​</w:t>
            </w:r>
          </w:p>
        </w:tc>
        <w:tc>
          <w:tcPr>
            <w:tcW w:w="1245" w:type="dxa"/>
            <w:gridSpan w:val="2"/>
            <w:tcBorders/>
            <w:vAlign w:val="center"/>
          </w:tcPr>
          <w:p>
            <w:pPr>
              <w:pStyle w:val="TableContents"/>
              <w:bidi w:val="0"/>
              <w:spacing w:lineRule="atLeast" w:line="240" w:before="0" w:after="0"/>
              <w:ind w:left="0" w:right="0" w:hanging="0"/>
              <w:jc w:val="center"/>
              <w:rPr>
                <w:rFonts w:ascii="Times New Roman;Times;serif" w:hAnsi="Times New Roman;Times;serif"/>
                <w:b/>
                <w:sz w:val="20"/>
              </w:rPr>
            </w:pPr>
            <w:r>
              <w:rPr>
                <w:rFonts w:ascii="Times New Roman;Times;serif" w:hAnsi="Times New Roman;Times;serif"/>
                <w:b/>
                <w:sz w:val="20"/>
              </w:rPr>
              <w:t>Year-Year %</w:t>
            </w:r>
          </w:p>
        </w:tc>
        <w:tc>
          <w:tcPr>
            <w:tcW w:w="111" w:type="dxa"/>
            <w:tcBorders/>
            <w:vAlign w:val="center"/>
          </w:tcPr>
          <w:p>
            <w:pPr>
              <w:pStyle w:val="TableContents"/>
              <w:bidi w:val="0"/>
              <w:spacing w:lineRule="atLeast" w:line="240" w:before="0" w:after="0"/>
              <w:ind w:left="0" w:right="0" w:hanging="0"/>
              <w:jc w:val="left"/>
              <w:rPr/>
            </w:pPr>
            <w:r>
              <w:rPr/>
              <w:t>​</w:t>
            </w:r>
          </w:p>
        </w:tc>
        <w:tc>
          <w:tcPr>
            <w:tcW w:w="1475" w:type="dxa"/>
            <w:gridSpan w:val="2"/>
            <w:tcBorders/>
            <w:vAlign w:val="center"/>
          </w:tcPr>
          <w:p>
            <w:pPr>
              <w:pStyle w:val="TableContents"/>
              <w:bidi w:val="0"/>
              <w:spacing w:lineRule="atLeast" w:line="240" w:before="0" w:after="0"/>
              <w:ind w:left="0" w:right="0" w:hanging="0"/>
              <w:jc w:val="center"/>
              <w:rPr>
                <w:rFonts w:ascii="Times New Roman;Times;serif" w:hAnsi="Times New Roman;Times;serif"/>
                <w:b/>
                <w:sz w:val="20"/>
              </w:rPr>
            </w:pPr>
            <w:r>
              <w:rPr>
                <w:rFonts w:ascii="Times New Roman;Times;serif" w:hAnsi="Times New Roman;Times;serif"/>
                <w:b/>
                <w:sz w:val="20"/>
              </w:rPr>
              <w:t>Constant</w:t>
            </w:r>
          </w:p>
        </w:tc>
        <w:tc>
          <w:tcPr>
            <w:tcW w:w="206" w:type="dxa"/>
            <w:tcBorders/>
            <w:vAlign w:val="center"/>
          </w:tcPr>
          <w:p>
            <w:pPr>
              <w:pStyle w:val="TableContents"/>
              <w:bidi w:val="0"/>
              <w:spacing w:lineRule="atLeast" w:line="240" w:before="0" w:after="0"/>
              <w:ind w:left="0" w:right="0" w:hanging="0"/>
              <w:jc w:val="left"/>
              <w:rPr/>
            </w:pPr>
            <w:r>
              <w:rPr/>
              <w:t>​</w:t>
            </w:r>
          </w:p>
        </w:tc>
        <w:tc>
          <w:tcPr>
            <w:tcW w:w="1360" w:type="dxa"/>
            <w:gridSpan w:val="2"/>
            <w:tcBorders/>
            <w:vAlign w:val="center"/>
          </w:tcPr>
          <w:p>
            <w:pPr>
              <w:pStyle w:val="TableContents"/>
              <w:bidi w:val="0"/>
              <w:spacing w:lineRule="atLeast" w:line="240" w:before="0" w:after="0"/>
              <w:ind w:left="0" w:right="0" w:hanging="0"/>
              <w:jc w:val="center"/>
              <w:rPr>
                <w:rFonts w:ascii="Times New Roman;Times;serif" w:hAnsi="Times New Roman;Times;serif"/>
                <w:b/>
                <w:sz w:val="20"/>
              </w:rPr>
            </w:pPr>
            <w:r>
              <w:rPr>
                <w:rFonts w:ascii="Times New Roman;Times;serif" w:hAnsi="Times New Roman;Times;serif"/>
                <w:b/>
                <w:sz w:val="20"/>
              </w:rPr>
              <w:t>Year-Year %</w:t>
            </w:r>
          </w:p>
        </w:tc>
        <w:tc>
          <w:tcPr>
            <w:tcW w:w="205" w:type="dxa"/>
            <w:tcBorders/>
            <w:vAlign w:val="center"/>
          </w:tcPr>
          <w:p>
            <w:pPr>
              <w:pStyle w:val="TableContents"/>
              <w:bidi w:val="0"/>
              <w:spacing w:lineRule="atLeast" w:line="240" w:before="0" w:after="0"/>
              <w:ind w:left="0" w:right="0" w:hanging="0"/>
              <w:jc w:val="left"/>
              <w:rPr/>
            </w:pPr>
            <w:r>
              <w:rPr/>
              <w:t>​</w:t>
            </w:r>
          </w:p>
        </w:tc>
        <w:tc>
          <w:tcPr>
            <w:tcW w:w="1360" w:type="dxa"/>
            <w:gridSpan w:val="2"/>
            <w:tcBorders/>
            <w:vAlign w:val="center"/>
          </w:tcPr>
          <w:p>
            <w:pPr>
              <w:pStyle w:val="TableContents"/>
              <w:bidi w:val="0"/>
              <w:spacing w:lineRule="atLeast" w:line="240" w:before="0" w:after="0"/>
              <w:ind w:left="0" w:right="0" w:hanging="0"/>
              <w:jc w:val="center"/>
              <w:rPr>
                <w:rFonts w:ascii="Times New Roman;Times;serif" w:hAnsi="Times New Roman;Times;serif"/>
                <w:b/>
                <w:sz w:val="20"/>
              </w:rPr>
            </w:pPr>
            <w:r>
              <w:rPr>
                <w:rFonts w:ascii="Times New Roman;Times;serif" w:hAnsi="Times New Roman;Times;serif"/>
                <w:b/>
                <w:sz w:val="20"/>
              </w:rPr>
              <w:t>Constant</w:t>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221" w:type="dxa"/>
            <w:tcBorders/>
            <w:vAlign w:val="center"/>
          </w:tcPr>
          <w:p>
            <w:pPr>
              <w:pStyle w:val="TableContents"/>
              <w:bidi w:val="0"/>
              <w:spacing w:lineRule="atLeast" w:line="240" w:before="0" w:after="0"/>
              <w:ind w:left="0" w:right="0" w:hanging="0"/>
              <w:jc w:val="left"/>
              <w:rPr/>
            </w:pPr>
            <w:r>
              <w:rPr/>
              <w:t>​</w:t>
            </w:r>
          </w:p>
        </w:tc>
        <w:tc>
          <w:tcPr>
            <w:tcW w:w="326" w:type="dxa"/>
            <w:tcBorders/>
            <w:vAlign w:val="center"/>
          </w:tcPr>
          <w:p>
            <w:pPr>
              <w:pStyle w:val="TableContents"/>
              <w:bidi w:val="0"/>
              <w:spacing w:lineRule="atLeast" w:line="240" w:before="0" w:after="0"/>
              <w:ind w:left="0" w:right="0" w:hanging="0"/>
              <w:jc w:val="center"/>
              <w:rPr/>
            </w:pPr>
            <w:r>
              <w:rPr/>
              <w:t>    </w:t>
            </w:r>
          </w:p>
        </w:tc>
        <w:tc>
          <w:tcPr>
            <w:tcW w:w="1245" w:type="dxa"/>
            <w:gridSpan w:val="2"/>
            <w:tcBorders>
              <w:bottom w:val="single" w:sz="12" w:space="0" w:color="000000"/>
            </w:tcBorders>
            <w:tcMar>
              <w:bottom w:w="28" w:type="dxa"/>
            </w:tcMar>
            <w:vAlign w:val="center"/>
          </w:tcPr>
          <w:p>
            <w:pPr>
              <w:pStyle w:val="TableContents"/>
              <w:bidi w:val="0"/>
              <w:spacing w:lineRule="atLeast" w:line="240" w:before="0" w:after="0"/>
              <w:ind w:left="0" w:right="0" w:hanging="0"/>
              <w:jc w:val="center"/>
              <w:rPr>
                <w:rFonts w:ascii="Times New Roman;Times;serif" w:hAnsi="Times New Roman;Times;serif"/>
                <w:b/>
                <w:sz w:val="20"/>
              </w:rPr>
            </w:pPr>
            <w:r>
              <w:rPr>
                <w:rFonts w:ascii="Times New Roman;Times;serif" w:hAnsi="Times New Roman;Times;serif"/>
                <w:b/>
                <w:sz w:val="20"/>
              </w:rPr>
              <w:t>Change</w:t>
            </w:r>
          </w:p>
        </w:tc>
        <w:tc>
          <w:tcPr>
            <w:tcW w:w="111" w:type="dxa"/>
            <w:tcBorders/>
            <w:vAlign w:val="center"/>
          </w:tcPr>
          <w:p>
            <w:pPr>
              <w:pStyle w:val="TableContents"/>
              <w:bidi w:val="0"/>
              <w:spacing w:lineRule="atLeast" w:line="240" w:before="0" w:after="0"/>
              <w:ind w:left="0" w:right="0" w:hanging="0"/>
              <w:jc w:val="left"/>
              <w:rPr/>
            </w:pPr>
            <w:r>
              <w:rPr/>
              <w:t>​</w:t>
            </w:r>
          </w:p>
        </w:tc>
        <w:tc>
          <w:tcPr>
            <w:tcW w:w="1475" w:type="dxa"/>
            <w:gridSpan w:val="2"/>
            <w:tcBorders>
              <w:bottom w:val="single" w:sz="12" w:space="0" w:color="000000"/>
            </w:tcBorders>
            <w:tcMar>
              <w:bottom w:w="28" w:type="dxa"/>
            </w:tcMar>
            <w:vAlign w:val="center"/>
          </w:tcPr>
          <w:p>
            <w:pPr>
              <w:pStyle w:val="TableContents"/>
              <w:bidi w:val="0"/>
              <w:spacing w:lineRule="atLeast" w:line="240" w:before="0" w:after="0"/>
              <w:ind w:left="0" w:right="0" w:hanging="0"/>
              <w:jc w:val="center"/>
              <w:rPr>
                <w:rFonts w:ascii="Times New Roman;Times;serif" w:hAnsi="Times New Roman;Times;serif"/>
                <w:b/>
                <w:sz w:val="20"/>
              </w:rPr>
            </w:pPr>
            <w:r>
              <w:rPr>
                <w:rFonts w:ascii="Times New Roman;Times;serif" w:hAnsi="Times New Roman;Times;serif"/>
                <w:b/>
                <w:sz w:val="20"/>
              </w:rPr>
              <w:t>Currency</w:t>
            </w:r>
          </w:p>
        </w:tc>
        <w:tc>
          <w:tcPr>
            <w:tcW w:w="206" w:type="dxa"/>
            <w:tcBorders/>
            <w:vAlign w:val="center"/>
          </w:tcPr>
          <w:p>
            <w:pPr>
              <w:pStyle w:val="TableContents"/>
              <w:bidi w:val="0"/>
              <w:spacing w:lineRule="atLeast" w:line="240" w:before="0" w:after="0"/>
              <w:ind w:left="0" w:right="0" w:hanging="0"/>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lineRule="atLeast" w:line="240" w:before="0" w:after="0"/>
              <w:ind w:left="0" w:right="0" w:hanging="0"/>
              <w:jc w:val="center"/>
              <w:rPr>
                <w:rFonts w:ascii="Times New Roman;Times;serif" w:hAnsi="Times New Roman;Times;serif"/>
                <w:b/>
                <w:sz w:val="20"/>
              </w:rPr>
            </w:pPr>
            <w:r>
              <w:rPr>
                <w:rFonts w:ascii="Times New Roman;Times;serif" w:hAnsi="Times New Roman;Times;serif"/>
                <w:b/>
                <w:sz w:val="20"/>
              </w:rPr>
              <w:t>Change</w:t>
            </w:r>
          </w:p>
        </w:tc>
        <w:tc>
          <w:tcPr>
            <w:tcW w:w="205" w:type="dxa"/>
            <w:tcBorders/>
            <w:vAlign w:val="center"/>
          </w:tcPr>
          <w:p>
            <w:pPr>
              <w:pStyle w:val="TableContents"/>
              <w:bidi w:val="0"/>
              <w:spacing w:lineRule="atLeast" w:line="240" w:before="0" w:after="0"/>
              <w:ind w:left="0" w:right="0" w:hanging="0"/>
              <w:jc w:val="left"/>
              <w:rPr/>
            </w:pPr>
            <w:r>
              <w:rPr/>
              <w:t>​</w:t>
            </w:r>
          </w:p>
        </w:tc>
        <w:tc>
          <w:tcPr>
            <w:tcW w:w="1360" w:type="dxa"/>
            <w:gridSpan w:val="2"/>
            <w:tcBorders>
              <w:bottom w:val="single" w:sz="12" w:space="0" w:color="000000"/>
            </w:tcBorders>
            <w:tcMar>
              <w:bottom w:w="28" w:type="dxa"/>
            </w:tcMar>
            <w:vAlign w:val="center"/>
          </w:tcPr>
          <w:p>
            <w:pPr>
              <w:pStyle w:val="TableContents"/>
              <w:bidi w:val="0"/>
              <w:spacing w:lineRule="atLeast" w:line="240" w:before="0" w:after="0"/>
              <w:ind w:left="0" w:right="0" w:hanging="0"/>
              <w:jc w:val="center"/>
              <w:rPr>
                <w:rFonts w:ascii="Times New Roman;Times;serif" w:hAnsi="Times New Roman;Times;serif"/>
                <w:b/>
                <w:sz w:val="20"/>
              </w:rPr>
            </w:pPr>
            <w:r>
              <w:rPr>
                <w:rFonts w:ascii="Times New Roman;Times;serif" w:hAnsi="Times New Roman;Times;serif"/>
                <w:b/>
                <w:sz w:val="20"/>
              </w:rPr>
              <w:t>Currency</w:t>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221" w:type="dxa"/>
            <w:tcBorders/>
            <w:shd w:fill="CCEEFF" w:val="clear"/>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Avnet</w:t>
            </w:r>
          </w:p>
        </w:tc>
        <w:tc>
          <w:tcPr>
            <w:tcW w:w="326" w:type="dxa"/>
            <w:tcBorders/>
            <w:shd w:fill="CCEEFF" w:val="clear"/>
            <w:vAlign w:val="center"/>
          </w:tcPr>
          <w:p>
            <w:pPr>
              <w:pStyle w:val="TableContents"/>
              <w:bidi w:val="0"/>
              <w:spacing w:lineRule="atLeast" w:line="240" w:before="0" w:after="0"/>
              <w:ind w:left="0" w:right="0" w:hanging="0"/>
              <w:jc w:val="left"/>
              <w:rPr/>
            </w:pPr>
            <w:r>
              <w:rPr/>
              <w:t>​</w:t>
            </w:r>
          </w:p>
        </w:tc>
        <w:tc>
          <w:tcPr>
            <w:tcW w:w="821" w:type="dxa"/>
            <w:tcBorders/>
            <w:shd w:fill="CCEEFF" w:val="cle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(7.6)</w:t>
            </w:r>
          </w:p>
        </w:tc>
        <w:tc>
          <w:tcPr>
            <w:tcW w:w="424" w:type="dxa"/>
            <w:tcBorders/>
            <w:shd w:fill="CCEEFF" w:val="clear"/>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 w:type="dxa"/>
            <w:tcBorders/>
            <w:shd w:fill="CCEEFF" w:val="clear"/>
            <w:vAlign w:val="center"/>
          </w:tcPr>
          <w:p>
            <w:pPr>
              <w:pStyle w:val="TableContents"/>
              <w:bidi w:val="0"/>
              <w:spacing w:lineRule="atLeast" w:line="240" w:before="0" w:after="0"/>
              <w:ind w:left="0" w:right="0" w:hanging="0"/>
              <w:jc w:val="left"/>
              <w:rPr/>
            </w:pPr>
            <w:r>
              <w:rPr/>
              <w:t>​</w:t>
            </w:r>
          </w:p>
        </w:tc>
        <w:tc>
          <w:tcPr>
            <w:tcW w:w="586" w:type="dxa"/>
            <w:tcBorders/>
            <w:shd w:fill="CCEEFF" w:val="cle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(8.7)</w:t>
            </w:r>
          </w:p>
        </w:tc>
        <w:tc>
          <w:tcPr>
            <w:tcW w:w="889" w:type="dxa"/>
            <w:tcBorders/>
            <w:shd w:fill="CCEEFF" w:val="clear"/>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06" w:type="dxa"/>
            <w:tcBorders/>
            <w:shd w:fill="CCEEFF" w:val="clear"/>
            <w:vAlign w:val="center"/>
          </w:tcPr>
          <w:p>
            <w:pPr>
              <w:pStyle w:val="TableContents"/>
              <w:bidi w:val="0"/>
              <w:spacing w:lineRule="atLeast" w:line="240" w:before="0" w:after="0"/>
              <w:ind w:left="0" w:right="0" w:hanging="0"/>
              <w:jc w:val="left"/>
              <w:rPr/>
            </w:pPr>
            <w:r>
              <w:rPr/>
              <w:t>​</w:t>
            </w:r>
          </w:p>
        </w:tc>
        <w:tc>
          <w:tcPr>
            <w:tcW w:w="586" w:type="dxa"/>
            <w:tcBorders/>
            <w:shd w:fill="CCEEFF" w:val="cle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(6.9)</w:t>
            </w:r>
          </w:p>
        </w:tc>
        <w:tc>
          <w:tcPr>
            <w:tcW w:w="774" w:type="dxa"/>
            <w:tcBorders/>
            <w:shd w:fill="CCEEFF" w:val="clear"/>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05" w:type="dxa"/>
            <w:tcBorders/>
            <w:shd w:fill="CCEEFF" w:val="clear"/>
            <w:vAlign w:val="center"/>
          </w:tcPr>
          <w:p>
            <w:pPr>
              <w:pStyle w:val="TableContents"/>
              <w:bidi w:val="0"/>
              <w:spacing w:lineRule="atLeast" w:line="240" w:before="0" w:after="0"/>
              <w:ind w:left="0" w:right="0" w:hanging="0"/>
              <w:jc w:val="left"/>
              <w:rPr/>
            </w:pPr>
            <w:r>
              <w:rPr/>
              <w:t>​</w:t>
            </w:r>
          </w:p>
        </w:tc>
        <w:tc>
          <w:tcPr>
            <w:tcW w:w="586" w:type="dxa"/>
            <w:tcBorders/>
            <w:shd w:fill="CCEEFF" w:val="cle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(8.3)</w:t>
            </w:r>
          </w:p>
        </w:tc>
        <w:tc>
          <w:tcPr>
            <w:tcW w:w="774" w:type="dxa"/>
            <w:tcBorders/>
            <w:shd w:fill="CCEEFF" w:val="clear"/>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221" w:type="dxa"/>
            <w:tcBorders/>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Avnet by region</w:t>
            </w:r>
          </w:p>
        </w:tc>
        <w:tc>
          <w:tcPr>
            <w:tcW w:w="326" w:type="dxa"/>
            <w:tcBorders/>
            <w:vAlign w:val="center"/>
          </w:tcPr>
          <w:p>
            <w:pPr>
              <w:pStyle w:val="TableContents"/>
              <w:bidi w:val="0"/>
              <w:spacing w:lineRule="atLeast" w:line="240" w:before="0" w:after="0"/>
              <w:ind w:left="0" w:right="0" w:hanging="0"/>
              <w:jc w:val="left"/>
              <w:rPr/>
            </w:pPr>
            <w:r>
              <w:rPr/>
              <w:t>​</w:t>
            </w:r>
          </w:p>
        </w:tc>
        <w:tc>
          <w:tcPr>
            <w:tcW w:w="821" w:type="dxa"/>
            <w:tcBorders/>
            <w:vAlign w:val="center"/>
          </w:tcPr>
          <w:p>
            <w:pPr>
              <w:pStyle w:val="TableContents"/>
              <w:bidi w:val="0"/>
              <w:spacing w:lineRule="atLeast" w:line="240" w:before="0" w:after="0"/>
              <w:ind w:left="0" w:right="0" w:hanging="0"/>
              <w:jc w:val="right"/>
              <w:rPr/>
            </w:pPr>
            <w:r>
              <w:rPr/>
              <w:t>​</w:t>
            </w:r>
          </w:p>
        </w:tc>
        <w:tc>
          <w:tcPr>
            <w:tcW w:w="424" w:type="dxa"/>
            <w:tcBorders/>
            <w:vAlign w:val="center"/>
          </w:tcPr>
          <w:p>
            <w:pPr>
              <w:pStyle w:val="TableContents"/>
              <w:bidi w:val="0"/>
              <w:spacing w:lineRule="atLeast" w:line="240" w:before="0" w:after="0"/>
              <w:ind w:left="0" w:right="0" w:hanging="0"/>
              <w:jc w:val="left"/>
              <w:rPr/>
            </w:pPr>
            <w:r>
              <w:rPr/>
              <w:t>​</w:t>
            </w:r>
          </w:p>
        </w:tc>
        <w:tc>
          <w:tcPr>
            <w:tcW w:w="111" w:type="dxa"/>
            <w:tcBorders/>
            <w:vAlign w:val="center"/>
          </w:tcPr>
          <w:p>
            <w:pPr>
              <w:pStyle w:val="TableContents"/>
              <w:bidi w:val="0"/>
              <w:spacing w:lineRule="atLeast" w:line="240" w:before="0" w:after="0"/>
              <w:ind w:left="0" w:right="0" w:hanging="0"/>
              <w:jc w:val="right"/>
              <w:rPr/>
            </w:pPr>
            <w:r>
              <w:rPr/>
              <w:t>​</w:t>
            </w:r>
          </w:p>
        </w:tc>
        <w:tc>
          <w:tcPr>
            <w:tcW w:w="586" w:type="dxa"/>
            <w:tcBorders/>
            <w:vAlign w:val="center"/>
          </w:tcPr>
          <w:p>
            <w:pPr>
              <w:pStyle w:val="TableContents"/>
              <w:bidi w:val="0"/>
              <w:spacing w:lineRule="atLeast" w:line="240" w:before="0" w:after="0"/>
              <w:ind w:left="0" w:right="0" w:hanging="0"/>
              <w:jc w:val="right"/>
              <w:rPr/>
            </w:pPr>
            <w:r>
              <w:rPr/>
              <w:t>​</w:t>
            </w:r>
          </w:p>
        </w:tc>
        <w:tc>
          <w:tcPr>
            <w:tcW w:w="889" w:type="dxa"/>
            <w:tcBorders/>
            <w:vAlign w:val="center"/>
          </w:tcPr>
          <w:p>
            <w:pPr>
              <w:pStyle w:val="TableContents"/>
              <w:bidi w:val="0"/>
              <w:spacing w:lineRule="atLeast" w:line="240" w:before="0" w:after="0"/>
              <w:ind w:left="0" w:right="0" w:hanging="0"/>
              <w:jc w:val="left"/>
              <w:rPr/>
            </w:pPr>
            <w:r>
              <w:rPr/>
              <w:t>​</w:t>
            </w:r>
          </w:p>
        </w:tc>
        <w:tc>
          <w:tcPr>
            <w:tcW w:w="206" w:type="dxa"/>
            <w:tcBorders/>
            <w:vAlign w:val="center"/>
          </w:tcPr>
          <w:p>
            <w:pPr>
              <w:pStyle w:val="TableContents"/>
              <w:bidi w:val="0"/>
              <w:spacing w:lineRule="atLeast" w:line="240" w:before="0" w:after="0"/>
              <w:ind w:left="0" w:right="0" w:hanging="0"/>
              <w:jc w:val="right"/>
              <w:rPr/>
            </w:pPr>
            <w:r>
              <w:rPr/>
              <w:t>​</w:t>
            </w:r>
          </w:p>
        </w:tc>
        <w:tc>
          <w:tcPr>
            <w:tcW w:w="586" w:type="dxa"/>
            <w:tcBorders/>
            <w:vAlign w:val="center"/>
          </w:tcPr>
          <w:p>
            <w:pPr>
              <w:pStyle w:val="TableContents"/>
              <w:bidi w:val="0"/>
              <w:spacing w:lineRule="atLeast" w:line="240" w:before="0" w:after="0"/>
              <w:ind w:left="0" w:right="0" w:hanging="0"/>
              <w:jc w:val="right"/>
              <w:rPr/>
            </w:pPr>
            <w:r>
              <w:rPr/>
              <w:t>​</w:t>
            </w:r>
          </w:p>
        </w:tc>
        <w:tc>
          <w:tcPr>
            <w:tcW w:w="774" w:type="dxa"/>
            <w:tcBorders/>
            <w:vAlign w:val="center"/>
          </w:tcPr>
          <w:p>
            <w:pPr>
              <w:pStyle w:val="TableContents"/>
              <w:bidi w:val="0"/>
              <w:spacing w:lineRule="atLeast" w:line="240" w:before="0" w:after="0"/>
              <w:ind w:left="0" w:right="0" w:hanging="0"/>
              <w:jc w:val="left"/>
              <w:rPr/>
            </w:pPr>
            <w:r>
              <w:rPr/>
              <w:t>​</w:t>
            </w:r>
          </w:p>
        </w:tc>
        <w:tc>
          <w:tcPr>
            <w:tcW w:w="205" w:type="dxa"/>
            <w:tcBorders/>
            <w:vAlign w:val="center"/>
          </w:tcPr>
          <w:p>
            <w:pPr>
              <w:pStyle w:val="TableContents"/>
              <w:bidi w:val="0"/>
              <w:spacing w:lineRule="atLeast" w:line="240" w:before="0" w:after="0"/>
              <w:ind w:left="0" w:right="0" w:hanging="0"/>
              <w:jc w:val="right"/>
              <w:rPr/>
            </w:pPr>
            <w:r>
              <w:rPr/>
              <w:t>​</w:t>
            </w:r>
          </w:p>
        </w:tc>
        <w:tc>
          <w:tcPr>
            <w:tcW w:w="586" w:type="dxa"/>
            <w:tcBorders/>
            <w:vAlign w:val="center"/>
          </w:tcPr>
          <w:p>
            <w:pPr>
              <w:pStyle w:val="TableContents"/>
              <w:bidi w:val="0"/>
              <w:spacing w:lineRule="atLeast" w:line="240" w:before="0" w:after="0"/>
              <w:ind w:left="0" w:right="0" w:hanging="0"/>
              <w:jc w:val="right"/>
              <w:rPr/>
            </w:pPr>
            <w:r>
              <w:rPr/>
              <w:t>​</w:t>
            </w:r>
          </w:p>
        </w:tc>
        <w:tc>
          <w:tcPr>
            <w:tcW w:w="774" w:type="dxa"/>
            <w:tcBorders/>
            <w:vAlign w:val="center"/>
          </w:tcPr>
          <w:p>
            <w:pPr>
              <w:pStyle w:val="TableContents"/>
              <w:bidi w:val="0"/>
              <w:spacing w:lineRule="atLeast" w:line="240" w:before="0" w:after="0"/>
              <w:ind w:left="0" w:right="0" w:hanging="0"/>
              <w:jc w:val="left"/>
              <w:rPr/>
            </w:pPr>
            <w:r>
              <w:rPr/>
              <w:t>​</w:t>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221" w:type="dxa"/>
            <w:tcBorders/>
            <w:shd w:fill="CCEEFF" w:val="clear"/>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Americas</w:t>
            </w:r>
          </w:p>
        </w:tc>
        <w:tc>
          <w:tcPr>
            <w:tcW w:w="326" w:type="dxa"/>
            <w:tcBorders/>
            <w:shd w:fill="CCEEFF" w:val="clear"/>
            <w:vAlign w:val="center"/>
          </w:tcPr>
          <w:p>
            <w:pPr>
              <w:pStyle w:val="TableContents"/>
              <w:bidi w:val="0"/>
              <w:spacing w:lineRule="atLeast" w:line="240" w:before="0" w:after="0"/>
              <w:ind w:left="0" w:right="0" w:hanging="0"/>
              <w:jc w:val="left"/>
              <w:rPr/>
            </w:pPr>
            <w:r>
              <w:rPr/>
              <w:t>​</w:t>
            </w:r>
          </w:p>
        </w:tc>
        <w:tc>
          <w:tcPr>
            <w:tcW w:w="821" w:type="dxa"/>
            <w:tcBorders/>
            <w:shd w:fill="CCEEFF" w:val="cle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(5.5)</w:t>
            </w:r>
          </w:p>
        </w:tc>
        <w:tc>
          <w:tcPr>
            <w:tcW w:w="424" w:type="dxa"/>
            <w:tcBorders/>
            <w:shd w:fill="CCEEFF" w:val="clear"/>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 w:type="dxa"/>
            <w:tcBorders/>
            <w:shd w:fill="CCEEFF" w:val="clear"/>
            <w:vAlign w:val="center"/>
          </w:tcPr>
          <w:p>
            <w:pPr>
              <w:pStyle w:val="TableContents"/>
              <w:bidi w:val="0"/>
              <w:spacing w:lineRule="atLeast" w:line="240" w:before="0" w:after="0"/>
              <w:ind w:left="0" w:right="0" w:hanging="0"/>
              <w:jc w:val="left"/>
              <w:rPr/>
            </w:pPr>
            <w:r>
              <w:rPr/>
              <w:t>​</w:t>
            </w:r>
          </w:p>
        </w:tc>
        <w:tc>
          <w:tcPr>
            <w:tcW w:w="586" w:type="dxa"/>
            <w:tcBorders/>
            <w:shd w:fill="CCEEFF" w:val="cle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(5.5)</w:t>
            </w:r>
          </w:p>
        </w:tc>
        <w:tc>
          <w:tcPr>
            <w:tcW w:w="889" w:type="dxa"/>
            <w:tcBorders/>
            <w:shd w:fill="CCEEFF" w:val="clear"/>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06" w:type="dxa"/>
            <w:tcBorders/>
            <w:shd w:fill="CCEEFF" w:val="clear"/>
            <w:vAlign w:val="center"/>
          </w:tcPr>
          <w:p>
            <w:pPr>
              <w:pStyle w:val="TableContents"/>
              <w:bidi w:val="0"/>
              <w:spacing w:lineRule="atLeast" w:line="240" w:before="0" w:after="0"/>
              <w:ind w:left="0" w:right="0" w:hanging="0"/>
              <w:jc w:val="left"/>
              <w:rPr/>
            </w:pPr>
            <w:r>
              <w:rPr/>
              <w:t>​</w:t>
            </w:r>
          </w:p>
        </w:tc>
        <w:tc>
          <w:tcPr>
            <w:tcW w:w="586" w:type="dxa"/>
            <w:tcBorders/>
            <w:shd w:fill="CCEEFF" w:val="cle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(5.9)</w:t>
            </w:r>
          </w:p>
        </w:tc>
        <w:tc>
          <w:tcPr>
            <w:tcW w:w="774" w:type="dxa"/>
            <w:tcBorders/>
            <w:shd w:fill="CCEEFF" w:val="clear"/>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05" w:type="dxa"/>
            <w:tcBorders/>
            <w:shd w:fill="CCEEFF" w:val="clear"/>
            <w:vAlign w:val="center"/>
          </w:tcPr>
          <w:p>
            <w:pPr>
              <w:pStyle w:val="TableContents"/>
              <w:bidi w:val="0"/>
              <w:spacing w:lineRule="atLeast" w:line="240" w:before="0" w:after="0"/>
              <w:ind w:left="0" w:right="0" w:hanging="0"/>
              <w:jc w:val="left"/>
              <w:rPr/>
            </w:pPr>
            <w:r>
              <w:rPr/>
              <w:t>​</w:t>
            </w:r>
          </w:p>
        </w:tc>
        <w:tc>
          <w:tcPr>
            <w:tcW w:w="586" w:type="dxa"/>
            <w:tcBorders/>
            <w:shd w:fill="CCEEFF" w:val="cle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(5.9)</w:t>
            </w:r>
          </w:p>
        </w:tc>
        <w:tc>
          <w:tcPr>
            <w:tcW w:w="774" w:type="dxa"/>
            <w:tcBorders/>
            <w:shd w:fill="CCEEFF" w:val="clear"/>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221" w:type="dxa"/>
            <w:tcBorders/>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EMEA</w:t>
            </w:r>
          </w:p>
        </w:tc>
        <w:tc>
          <w:tcPr>
            <w:tcW w:w="326" w:type="dxa"/>
            <w:tcBorders/>
            <w:vAlign w:val="center"/>
          </w:tcPr>
          <w:p>
            <w:pPr>
              <w:pStyle w:val="TableContents"/>
              <w:bidi w:val="0"/>
              <w:spacing w:lineRule="atLeast" w:line="240" w:before="0" w:after="0"/>
              <w:ind w:left="0" w:right="0" w:hanging="0"/>
              <w:jc w:val="left"/>
              <w:rPr/>
            </w:pPr>
            <w:r>
              <w:rPr/>
              <w:t>​</w:t>
            </w:r>
          </w:p>
        </w:tc>
        <w:tc>
          <w:tcPr>
            <w:tcW w:w="821" w:type="dxa"/>
            <w:tcBorders/>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(6.3)</w:t>
            </w:r>
          </w:p>
        </w:tc>
        <w:tc>
          <w:tcPr>
            <w:tcW w:w="424" w:type="dxa"/>
            <w:tcBorders/>
            <w:vAlign w:val="center"/>
          </w:tcPr>
          <w:p>
            <w:pPr>
              <w:pStyle w:val="TableContents"/>
              <w:bidi w:val="0"/>
              <w:spacing w:lineRule="atLeast" w:line="240" w:before="0" w:after="0"/>
              <w:ind w:left="0" w:right="0" w:hanging="0"/>
              <w:jc w:val="left"/>
              <w:rPr/>
            </w:pPr>
            <w:r>
              <w:rPr/>
              <w:t>​</w:t>
            </w:r>
          </w:p>
        </w:tc>
        <w:tc>
          <w:tcPr>
            <w:tcW w:w="111" w:type="dxa"/>
            <w:tcBorders/>
            <w:vAlign w:val="center"/>
          </w:tcPr>
          <w:p>
            <w:pPr>
              <w:pStyle w:val="TableContents"/>
              <w:bidi w:val="0"/>
              <w:spacing w:lineRule="atLeast" w:line="240" w:before="0" w:after="0"/>
              <w:ind w:left="0" w:right="0" w:hanging="0"/>
              <w:jc w:val="right"/>
              <w:rPr/>
            </w:pPr>
            <w:r>
              <w:rPr/>
              <w:t>​</w:t>
            </w:r>
          </w:p>
        </w:tc>
        <w:tc>
          <w:tcPr>
            <w:tcW w:w="586" w:type="dxa"/>
            <w:tcBorders/>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(10.2)</w:t>
            </w:r>
          </w:p>
        </w:tc>
        <w:tc>
          <w:tcPr>
            <w:tcW w:w="889" w:type="dxa"/>
            <w:tcBorders/>
            <w:vAlign w:val="center"/>
          </w:tcPr>
          <w:p>
            <w:pPr>
              <w:pStyle w:val="TableContents"/>
              <w:bidi w:val="0"/>
              <w:spacing w:lineRule="atLeast" w:line="240" w:before="0" w:after="0"/>
              <w:ind w:left="0" w:right="0" w:hanging="0"/>
              <w:jc w:val="left"/>
              <w:rPr/>
            </w:pPr>
            <w:r>
              <w:rPr/>
              <w:t>​</w:t>
            </w:r>
          </w:p>
        </w:tc>
        <w:tc>
          <w:tcPr>
            <w:tcW w:w="206" w:type="dxa"/>
            <w:tcBorders/>
            <w:vAlign w:val="center"/>
          </w:tcPr>
          <w:p>
            <w:pPr>
              <w:pStyle w:val="TableContents"/>
              <w:bidi w:val="0"/>
              <w:spacing w:lineRule="atLeast" w:line="240" w:before="0" w:after="0"/>
              <w:ind w:left="0" w:right="0" w:hanging="0"/>
              <w:jc w:val="right"/>
              <w:rPr/>
            </w:pPr>
            <w:r>
              <w:rPr/>
              <w:t>​</w:t>
            </w:r>
          </w:p>
        </w:tc>
        <w:tc>
          <w:tcPr>
            <w:tcW w:w="586" w:type="dxa"/>
            <w:tcBorders/>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0.8</w:t>
            </w:r>
          </w:p>
        </w:tc>
        <w:tc>
          <w:tcPr>
            <w:tcW w:w="774" w:type="dxa"/>
            <w:tcBorders/>
            <w:vAlign w:val="center"/>
          </w:tcPr>
          <w:p>
            <w:pPr>
              <w:pStyle w:val="TableContents"/>
              <w:bidi w:val="0"/>
              <w:spacing w:lineRule="atLeast" w:line="240" w:before="0" w:after="0"/>
              <w:ind w:left="0" w:right="0" w:hanging="0"/>
              <w:jc w:val="left"/>
              <w:rPr/>
            </w:pPr>
            <w:r>
              <w:rPr/>
              <w:t>​</w:t>
            </w:r>
          </w:p>
        </w:tc>
        <w:tc>
          <w:tcPr>
            <w:tcW w:w="205" w:type="dxa"/>
            <w:tcBorders/>
            <w:vAlign w:val="center"/>
          </w:tcPr>
          <w:p>
            <w:pPr>
              <w:pStyle w:val="TableContents"/>
              <w:bidi w:val="0"/>
              <w:spacing w:lineRule="atLeast" w:line="240" w:before="0" w:after="0"/>
              <w:ind w:left="0" w:right="0" w:hanging="0"/>
              <w:jc w:val="right"/>
              <w:rPr/>
            </w:pPr>
            <w:r>
              <w:rPr/>
              <w:t>​</w:t>
            </w:r>
          </w:p>
        </w:tc>
        <w:tc>
          <w:tcPr>
            <w:tcW w:w="586" w:type="dxa"/>
            <w:tcBorders/>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774" w:type="dxa"/>
            <w:tcBorders/>
            <w:vAlign w:val="center"/>
          </w:tcPr>
          <w:p>
            <w:pPr>
              <w:pStyle w:val="TableContents"/>
              <w:bidi w:val="0"/>
              <w:spacing w:lineRule="atLeast" w:line="240" w:before="0" w:after="0"/>
              <w:ind w:left="0" w:right="0" w:hanging="0"/>
              <w:jc w:val="left"/>
              <w:rPr/>
            </w:pPr>
            <w:r>
              <w:rPr/>
              <w:t>​</w:t>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221" w:type="dxa"/>
            <w:tcBorders/>
            <w:shd w:fill="CCEEFF" w:val="clear"/>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Asia</w:t>
            </w:r>
          </w:p>
        </w:tc>
        <w:tc>
          <w:tcPr>
            <w:tcW w:w="326" w:type="dxa"/>
            <w:tcBorders/>
            <w:shd w:fill="CCEEFF" w:val="clear"/>
            <w:vAlign w:val="center"/>
          </w:tcPr>
          <w:p>
            <w:pPr>
              <w:pStyle w:val="TableContents"/>
              <w:bidi w:val="0"/>
              <w:spacing w:lineRule="atLeast" w:line="240" w:before="0" w:after="0"/>
              <w:ind w:left="0" w:right="0" w:hanging="0"/>
              <w:jc w:val="left"/>
              <w:rPr/>
            </w:pPr>
            <w:r>
              <w:rPr/>
              <w:t>​</w:t>
            </w:r>
          </w:p>
        </w:tc>
        <w:tc>
          <w:tcPr>
            <w:tcW w:w="821" w:type="dxa"/>
            <w:tcBorders/>
            <w:shd w:fill="CCEEFF" w:val="cle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424" w:type="dxa"/>
            <w:tcBorders/>
            <w:shd w:fill="CCEEFF" w:val="clear"/>
            <w:vAlign w:val="center"/>
          </w:tcPr>
          <w:p>
            <w:pPr>
              <w:pStyle w:val="TableContents"/>
              <w:bidi w:val="0"/>
              <w:spacing w:lineRule="atLeast" w:line="240" w:before="0" w:after="0"/>
              <w:ind w:left="0" w:right="0" w:hanging="0"/>
              <w:jc w:val="left"/>
              <w:rPr/>
            </w:pPr>
            <w:r>
              <w:rPr/>
              <w:t>​</w:t>
            </w:r>
          </w:p>
        </w:tc>
        <w:tc>
          <w:tcPr>
            <w:tcW w:w="111" w:type="dxa"/>
            <w:tcBorders/>
            <w:shd w:fill="CCEEFF" w:val="clear"/>
            <w:vAlign w:val="center"/>
          </w:tcPr>
          <w:p>
            <w:pPr>
              <w:pStyle w:val="TableContents"/>
              <w:bidi w:val="0"/>
              <w:spacing w:lineRule="atLeast" w:line="240" w:before="0" w:after="0"/>
              <w:ind w:left="0" w:right="0" w:hanging="0"/>
              <w:jc w:val="right"/>
              <w:rPr/>
            </w:pPr>
            <w:r>
              <w:rPr/>
              <w:t>​</w:t>
            </w:r>
          </w:p>
        </w:tc>
        <w:tc>
          <w:tcPr>
            <w:tcW w:w="586" w:type="dxa"/>
            <w:tcBorders/>
            <w:shd w:fill="CCEEFF" w:val="cle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(9.4)</w:t>
            </w:r>
          </w:p>
        </w:tc>
        <w:tc>
          <w:tcPr>
            <w:tcW w:w="889" w:type="dxa"/>
            <w:tcBorders/>
            <w:shd w:fill="CCEEFF" w:val="clear"/>
            <w:vAlign w:val="center"/>
          </w:tcPr>
          <w:p>
            <w:pPr>
              <w:pStyle w:val="TableContents"/>
              <w:bidi w:val="0"/>
              <w:spacing w:lineRule="atLeast" w:line="240" w:before="0" w:after="0"/>
              <w:ind w:left="0" w:right="0" w:hanging="0"/>
              <w:jc w:val="left"/>
              <w:rPr/>
            </w:pPr>
            <w:r>
              <w:rPr/>
              <w:t>​</w:t>
            </w:r>
          </w:p>
        </w:tc>
        <w:tc>
          <w:tcPr>
            <w:tcW w:w="206" w:type="dxa"/>
            <w:tcBorders/>
            <w:shd w:fill="CCEEFF" w:val="clear"/>
            <w:vAlign w:val="center"/>
          </w:tcPr>
          <w:p>
            <w:pPr>
              <w:pStyle w:val="TableContents"/>
              <w:bidi w:val="0"/>
              <w:spacing w:lineRule="atLeast" w:line="240" w:before="0" w:after="0"/>
              <w:ind w:left="0" w:right="0" w:hanging="0"/>
              <w:jc w:val="right"/>
              <w:rPr/>
            </w:pPr>
            <w:r>
              <w:rPr/>
              <w:t>​</w:t>
            </w:r>
          </w:p>
        </w:tc>
        <w:tc>
          <w:tcPr>
            <w:tcW w:w="586" w:type="dxa"/>
            <w:tcBorders/>
            <w:shd w:fill="CCEEFF" w:val="cle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(13.4)</w:t>
            </w:r>
          </w:p>
        </w:tc>
        <w:tc>
          <w:tcPr>
            <w:tcW w:w="774" w:type="dxa"/>
            <w:tcBorders/>
            <w:shd w:fill="CCEEFF" w:val="clear"/>
            <w:vAlign w:val="center"/>
          </w:tcPr>
          <w:p>
            <w:pPr>
              <w:pStyle w:val="TableContents"/>
              <w:bidi w:val="0"/>
              <w:spacing w:lineRule="atLeast" w:line="240" w:before="0" w:after="0"/>
              <w:ind w:left="0" w:right="0" w:hanging="0"/>
              <w:jc w:val="left"/>
              <w:rPr/>
            </w:pPr>
            <w:r>
              <w:rPr/>
              <w:t>​</w:t>
            </w:r>
          </w:p>
        </w:tc>
        <w:tc>
          <w:tcPr>
            <w:tcW w:w="205" w:type="dxa"/>
            <w:tcBorders/>
            <w:shd w:fill="CCEEFF" w:val="clear"/>
            <w:vAlign w:val="center"/>
          </w:tcPr>
          <w:p>
            <w:pPr>
              <w:pStyle w:val="TableContents"/>
              <w:bidi w:val="0"/>
              <w:spacing w:lineRule="atLeast" w:line="240" w:before="0" w:after="0"/>
              <w:ind w:left="0" w:right="0" w:hanging="0"/>
              <w:jc w:val="right"/>
              <w:rPr/>
            </w:pPr>
            <w:r>
              <w:rPr/>
              <w:t>​</w:t>
            </w:r>
          </w:p>
        </w:tc>
        <w:tc>
          <w:tcPr>
            <w:tcW w:w="586" w:type="dxa"/>
            <w:tcBorders/>
            <w:shd w:fill="CCEEFF" w:val="cle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(12.7)</w:t>
            </w:r>
          </w:p>
        </w:tc>
        <w:tc>
          <w:tcPr>
            <w:tcW w:w="774" w:type="dxa"/>
            <w:tcBorders/>
            <w:shd w:fill="CCEEFF" w:val="clear"/>
            <w:vAlign w:val="center"/>
          </w:tcPr>
          <w:p>
            <w:pPr>
              <w:pStyle w:val="TableContents"/>
              <w:bidi w:val="0"/>
              <w:spacing w:lineRule="atLeast" w:line="240" w:before="0" w:after="0"/>
              <w:ind w:left="0" w:right="0" w:hanging="0"/>
              <w:jc w:val="left"/>
              <w:rPr/>
            </w:pPr>
            <w:r>
              <w:rPr/>
              <w:t>​</w:t>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221" w:type="dxa"/>
            <w:tcBorders/>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Avnet by operating group</w:t>
            </w:r>
          </w:p>
        </w:tc>
        <w:tc>
          <w:tcPr>
            <w:tcW w:w="326" w:type="dxa"/>
            <w:tcBorders/>
            <w:vAlign w:val="center"/>
          </w:tcPr>
          <w:p>
            <w:pPr>
              <w:pStyle w:val="TableContents"/>
              <w:bidi w:val="0"/>
              <w:spacing w:lineRule="atLeast" w:line="240" w:before="0" w:after="0"/>
              <w:ind w:left="0" w:right="0" w:hanging="0"/>
              <w:jc w:val="left"/>
              <w:rPr/>
            </w:pPr>
            <w:r>
              <w:rPr/>
              <w:t>​</w:t>
            </w:r>
          </w:p>
        </w:tc>
        <w:tc>
          <w:tcPr>
            <w:tcW w:w="821" w:type="dxa"/>
            <w:tcBorders/>
            <w:vAlign w:val="center"/>
          </w:tcPr>
          <w:p>
            <w:pPr>
              <w:pStyle w:val="TableContents"/>
              <w:bidi w:val="0"/>
              <w:spacing w:lineRule="atLeast" w:line="240" w:before="0" w:after="0"/>
              <w:ind w:left="0" w:right="0" w:hanging="0"/>
              <w:jc w:val="left"/>
              <w:rPr/>
            </w:pPr>
            <w:r>
              <w:rPr/>
              <w:t>​</w:t>
            </w:r>
          </w:p>
        </w:tc>
        <w:tc>
          <w:tcPr>
            <w:tcW w:w="424" w:type="dxa"/>
            <w:tcBorders/>
            <w:vAlign w:val="center"/>
          </w:tcPr>
          <w:p>
            <w:pPr>
              <w:pStyle w:val="TableContents"/>
              <w:bidi w:val="0"/>
              <w:spacing w:lineRule="atLeast" w:line="240" w:before="0" w:after="0"/>
              <w:ind w:left="0" w:right="0" w:hanging="0"/>
              <w:jc w:val="left"/>
              <w:rPr/>
            </w:pPr>
            <w:r>
              <w:rPr/>
              <w:t>​</w:t>
            </w:r>
          </w:p>
        </w:tc>
        <w:tc>
          <w:tcPr>
            <w:tcW w:w="111" w:type="dxa"/>
            <w:tcBorders/>
            <w:vAlign w:val="center"/>
          </w:tcPr>
          <w:p>
            <w:pPr>
              <w:pStyle w:val="TableContents"/>
              <w:bidi w:val="0"/>
              <w:spacing w:lineRule="atLeast" w:line="240" w:before="0" w:after="0"/>
              <w:ind w:left="0" w:right="0" w:hanging="0"/>
              <w:jc w:val="right"/>
              <w:rPr/>
            </w:pPr>
            <w:r>
              <w:rPr/>
              <w:t>​</w:t>
            </w:r>
          </w:p>
        </w:tc>
        <w:tc>
          <w:tcPr>
            <w:tcW w:w="586" w:type="dxa"/>
            <w:tcBorders/>
            <w:vAlign w:val="center"/>
          </w:tcPr>
          <w:p>
            <w:pPr>
              <w:pStyle w:val="TableContents"/>
              <w:bidi w:val="0"/>
              <w:spacing w:lineRule="atLeast" w:line="240" w:before="0" w:after="0"/>
              <w:ind w:left="0" w:right="0" w:hanging="0"/>
              <w:jc w:val="right"/>
              <w:rPr/>
            </w:pPr>
            <w:r>
              <w:rPr/>
              <w:t>​</w:t>
            </w:r>
          </w:p>
        </w:tc>
        <w:tc>
          <w:tcPr>
            <w:tcW w:w="889" w:type="dxa"/>
            <w:tcBorders/>
            <w:vAlign w:val="center"/>
          </w:tcPr>
          <w:p>
            <w:pPr>
              <w:pStyle w:val="TableContents"/>
              <w:bidi w:val="0"/>
              <w:spacing w:lineRule="atLeast" w:line="240" w:before="0" w:after="0"/>
              <w:ind w:left="0" w:right="0" w:hanging="0"/>
              <w:jc w:val="left"/>
              <w:rPr/>
            </w:pPr>
            <w:r>
              <w:rPr/>
              <w:t>​</w:t>
            </w:r>
          </w:p>
        </w:tc>
        <w:tc>
          <w:tcPr>
            <w:tcW w:w="206" w:type="dxa"/>
            <w:tcBorders/>
            <w:vAlign w:val="center"/>
          </w:tcPr>
          <w:p>
            <w:pPr>
              <w:pStyle w:val="TableContents"/>
              <w:bidi w:val="0"/>
              <w:spacing w:lineRule="atLeast" w:line="240" w:before="0" w:after="0"/>
              <w:ind w:left="0" w:right="0" w:hanging="0"/>
              <w:jc w:val="right"/>
              <w:rPr/>
            </w:pPr>
            <w:r>
              <w:rPr/>
              <w:t>​</w:t>
            </w:r>
          </w:p>
        </w:tc>
        <w:tc>
          <w:tcPr>
            <w:tcW w:w="586" w:type="dxa"/>
            <w:tcBorders/>
            <w:vAlign w:val="center"/>
          </w:tcPr>
          <w:p>
            <w:pPr>
              <w:pStyle w:val="TableContents"/>
              <w:bidi w:val="0"/>
              <w:spacing w:lineRule="atLeast" w:line="240" w:before="0" w:after="0"/>
              <w:ind w:left="0" w:right="0" w:hanging="0"/>
              <w:jc w:val="right"/>
              <w:rPr/>
            </w:pPr>
            <w:r>
              <w:rPr/>
              <w:t>​</w:t>
            </w:r>
          </w:p>
        </w:tc>
        <w:tc>
          <w:tcPr>
            <w:tcW w:w="774" w:type="dxa"/>
            <w:tcBorders/>
            <w:vAlign w:val="center"/>
          </w:tcPr>
          <w:p>
            <w:pPr>
              <w:pStyle w:val="TableContents"/>
              <w:bidi w:val="0"/>
              <w:spacing w:lineRule="atLeast" w:line="240" w:before="0" w:after="0"/>
              <w:ind w:left="0" w:right="0" w:hanging="0"/>
              <w:jc w:val="left"/>
              <w:rPr/>
            </w:pPr>
            <w:r>
              <w:rPr/>
              <w:t>​</w:t>
            </w:r>
          </w:p>
        </w:tc>
        <w:tc>
          <w:tcPr>
            <w:tcW w:w="205" w:type="dxa"/>
            <w:tcBorders/>
            <w:vAlign w:val="center"/>
          </w:tcPr>
          <w:p>
            <w:pPr>
              <w:pStyle w:val="TableContents"/>
              <w:bidi w:val="0"/>
              <w:spacing w:lineRule="atLeast" w:line="240" w:before="0" w:after="0"/>
              <w:ind w:left="0" w:right="0" w:hanging="0"/>
              <w:jc w:val="right"/>
              <w:rPr/>
            </w:pPr>
            <w:r>
              <w:rPr/>
              <w:t>​</w:t>
            </w:r>
          </w:p>
        </w:tc>
        <w:tc>
          <w:tcPr>
            <w:tcW w:w="586" w:type="dxa"/>
            <w:tcBorders/>
            <w:vAlign w:val="center"/>
          </w:tcPr>
          <w:p>
            <w:pPr>
              <w:pStyle w:val="TableContents"/>
              <w:bidi w:val="0"/>
              <w:spacing w:lineRule="atLeast" w:line="240" w:before="0" w:after="0"/>
              <w:ind w:left="0" w:right="0" w:hanging="0"/>
              <w:jc w:val="right"/>
              <w:rPr/>
            </w:pPr>
            <w:r>
              <w:rPr/>
              <w:t>​</w:t>
            </w:r>
          </w:p>
        </w:tc>
        <w:tc>
          <w:tcPr>
            <w:tcW w:w="774" w:type="dxa"/>
            <w:tcBorders/>
            <w:vAlign w:val="center"/>
          </w:tcPr>
          <w:p>
            <w:pPr>
              <w:pStyle w:val="TableContents"/>
              <w:bidi w:val="0"/>
              <w:spacing w:lineRule="atLeast" w:line="240" w:before="0" w:after="0"/>
              <w:ind w:left="0" w:right="0" w:hanging="0"/>
              <w:jc w:val="left"/>
              <w:rPr/>
            </w:pPr>
            <w:r>
              <w:rPr/>
              <w:t>​</w:t>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221" w:type="dxa"/>
            <w:tcBorders/>
            <w:shd w:fill="CCEEFF" w:val="clear"/>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EC</w:t>
            </w:r>
          </w:p>
        </w:tc>
        <w:tc>
          <w:tcPr>
            <w:tcW w:w="326" w:type="dxa"/>
            <w:tcBorders/>
            <w:shd w:fill="CCEEFF" w:val="clear"/>
            <w:vAlign w:val="center"/>
          </w:tcPr>
          <w:p>
            <w:pPr>
              <w:pStyle w:val="TableContents"/>
              <w:bidi w:val="0"/>
              <w:spacing w:lineRule="atLeast" w:line="240" w:before="0" w:after="0"/>
              <w:ind w:left="0" w:right="0" w:hanging="0"/>
              <w:jc w:val="left"/>
              <w:rPr/>
            </w:pPr>
            <w:r>
              <w:rPr/>
              <w:t>​</w:t>
            </w:r>
          </w:p>
        </w:tc>
        <w:tc>
          <w:tcPr>
            <w:tcW w:w="821" w:type="dxa"/>
            <w:tcBorders/>
            <w:shd w:fill="CCEEFF" w:val="cle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(7.9)</w:t>
            </w:r>
          </w:p>
        </w:tc>
        <w:tc>
          <w:tcPr>
            <w:tcW w:w="424" w:type="dxa"/>
            <w:tcBorders/>
            <w:shd w:fill="CCEEFF" w:val="clear"/>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 w:type="dxa"/>
            <w:tcBorders/>
            <w:shd w:fill="CCEEFF" w:val="clear"/>
            <w:vAlign w:val="center"/>
          </w:tcPr>
          <w:p>
            <w:pPr>
              <w:pStyle w:val="TableContents"/>
              <w:bidi w:val="0"/>
              <w:spacing w:lineRule="atLeast" w:line="240" w:before="0" w:after="0"/>
              <w:ind w:left="0" w:right="0" w:hanging="0"/>
              <w:jc w:val="left"/>
              <w:rPr/>
            </w:pPr>
            <w:r>
              <w:rPr/>
              <w:t>​</w:t>
            </w:r>
          </w:p>
        </w:tc>
        <w:tc>
          <w:tcPr>
            <w:tcW w:w="586" w:type="dxa"/>
            <w:tcBorders/>
            <w:shd w:fill="CCEEFF" w:val="cle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(8.9)</w:t>
            </w:r>
          </w:p>
        </w:tc>
        <w:tc>
          <w:tcPr>
            <w:tcW w:w="889" w:type="dxa"/>
            <w:tcBorders/>
            <w:shd w:fill="CCEEFF" w:val="clear"/>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06" w:type="dxa"/>
            <w:tcBorders/>
            <w:shd w:fill="CCEEFF" w:val="clear"/>
            <w:vAlign w:val="center"/>
          </w:tcPr>
          <w:p>
            <w:pPr>
              <w:pStyle w:val="TableContents"/>
              <w:bidi w:val="0"/>
              <w:spacing w:lineRule="atLeast" w:line="240" w:before="0" w:after="0"/>
              <w:ind w:left="0" w:right="0" w:hanging="0"/>
              <w:jc w:val="left"/>
              <w:rPr/>
            </w:pPr>
            <w:r>
              <w:rPr/>
              <w:t>​</w:t>
            </w:r>
          </w:p>
        </w:tc>
        <w:tc>
          <w:tcPr>
            <w:tcW w:w="586" w:type="dxa"/>
            <w:tcBorders/>
            <w:shd w:fill="CCEEFF" w:val="cle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(7.2)</w:t>
            </w:r>
          </w:p>
        </w:tc>
        <w:tc>
          <w:tcPr>
            <w:tcW w:w="774" w:type="dxa"/>
            <w:tcBorders/>
            <w:shd w:fill="CCEEFF" w:val="clear"/>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05" w:type="dxa"/>
            <w:tcBorders/>
            <w:shd w:fill="CCEEFF" w:val="clear"/>
            <w:vAlign w:val="center"/>
          </w:tcPr>
          <w:p>
            <w:pPr>
              <w:pStyle w:val="TableContents"/>
              <w:bidi w:val="0"/>
              <w:spacing w:lineRule="atLeast" w:line="240" w:before="0" w:after="0"/>
              <w:ind w:left="0" w:right="0" w:hanging="0"/>
              <w:jc w:val="left"/>
              <w:rPr/>
            </w:pPr>
            <w:r>
              <w:rPr/>
              <w:t>​</w:t>
            </w:r>
          </w:p>
        </w:tc>
        <w:tc>
          <w:tcPr>
            <w:tcW w:w="586" w:type="dxa"/>
            <w:tcBorders/>
            <w:shd w:fill="CCEEFF" w:val="cle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(8.5)</w:t>
            </w:r>
          </w:p>
        </w:tc>
        <w:tc>
          <w:tcPr>
            <w:tcW w:w="774" w:type="dxa"/>
            <w:tcBorders/>
            <w:shd w:fill="CCEEFF" w:val="clear"/>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221" w:type="dxa"/>
            <w:tcBorders/>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Farnell</w:t>
            </w:r>
          </w:p>
        </w:tc>
        <w:tc>
          <w:tcPr>
            <w:tcW w:w="326" w:type="dxa"/>
            <w:tcBorders/>
            <w:vAlign w:val="center"/>
          </w:tcPr>
          <w:p>
            <w:pPr>
              <w:pStyle w:val="TableContents"/>
              <w:bidi w:val="0"/>
              <w:spacing w:lineRule="atLeast" w:line="240" w:before="0" w:after="0"/>
              <w:ind w:left="0" w:right="0" w:hanging="0"/>
              <w:jc w:val="left"/>
              <w:rPr/>
            </w:pPr>
            <w:r>
              <w:rPr/>
              <w:t>​</w:t>
            </w:r>
          </w:p>
        </w:tc>
        <w:tc>
          <w:tcPr>
            <w:tcW w:w="821" w:type="dxa"/>
            <w:tcBorders/>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(3.7)</w:t>
            </w:r>
          </w:p>
        </w:tc>
        <w:tc>
          <w:tcPr>
            <w:tcW w:w="424" w:type="dxa"/>
            <w:tcBorders/>
            <w:vAlign w:val="center"/>
          </w:tcPr>
          <w:p>
            <w:pPr>
              <w:pStyle w:val="TableContents"/>
              <w:bidi w:val="0"/>
              <w:spacing w:lineRule="atLeast" w:line="240" w:before="0" w:after="0"/>
              <w:ind w:left="0" w:right="0" w:hanging="0"/>
              <w:jc w:val="right"/>
              <w:rPr/>
            </w:pPr>
            <w:r>
              <w:rPr/>
              <w:t>​</w:t>
            </w:r>
          </w:p>
        </w:tc>
        <w:tc>
          <w:tcPr>
            <w:tcW w:w="111" w:type="dxa"/>
            <w:tcBorders/>
            <w:vAlign w:val="center"/>
          </w:tcPr>
          <w:p>
            <w:pPr>
              <w:pStyle w:val="TableContents"/>
              <w:bidi w:val="0"/>
              <w:spacing w:lineRule="atLeast" w:line="240" w:before="0" w:after="0"/>
              <w:ind w:left="0" w:right="0" w:hanging="0"/>
              <w:jc w:val="right"/>
              <w:rPr/>
            </w:pPr>
            <w:r>
              <w:rPr/>
              <w:t>​</w:t>
            </w:r>
          </w:p>
        </w:tc>
        <w:tc>
          <w:tcPr>
            <w:tcW w:w="586" w:type="dxa"/>
            <w:tcBorders/>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(6.0)</w:t>
            </w:r>
          </w:p>
        </w:tc>
        <w:tc>
          <w:tcPr>
            <w:tcW w:w="889" w:type="dxa"/>
            <w:tcBorders/>
            <w:vAlign w:val="center"/>
          </w:tcPr>
          <w:p>
            <w:pPr>
              <w:pStyle w:val="TableContents"/>
              <w:bidi w:val="0"/>
              <w:spacing w:lineRule="atLeast" w:line="240" w:before="0" w:after="0"/>
              <w:ind w:left="0" w:right="0" w:hanging="0"/>
              <w:jc w:val="right"/>
              <w:rPr/>
            </w:pPr>
            <w:r>
              <w:rPr/>
              <w:t>​</w:t>
            </w:r>
          </w:p>
        </w:tc>
        <w:tc>
          <w:tcPr>
            <w:tcW w:w="206" w:type="dxa"/>
            <w:tcBorders/>
            <w:vAlign w:val="center"/>
          </w:tcPr>
          <w:p>
            <w:pPr>
              <w:pStyle w:val="TableContents"/>
              <w:bidi w:val="0"/>
              <w:spacing w:lineRule="atLeast" w:line="240" w:before="0" w:after="0"/>
              <w:ind w:left="0" w:right="0" w:hanging="0"/>
              <w:jc w:val="right"/>
              <w:rPr/>
            </w:pPr>
            <w:r>
              <w:rPr/>
              <w:t>​</w:t>
            </w:r>
          </w:p>
        </w:tc>
        <w:tc>
          <w:tcPr>
            <w:tcW w:w="586" w:type="dxa"/>
            <w:tcBorders/>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774" w:type="dxa"/>
            <w:tcBorders/>
            <w:vAlign w:val="center"/>
          </w:tcPr>
          <w:p>
            <w:pPr>
              <w:pStyle w:val="TableContents"/>
              <w:bidi w:val="0"/>
              <w:spacing w:lineRule="atLeast" w:line="240" w:before="0" w:after="0"/>
              <w:ind w:left="0" w:right="0" w:hanging="0"/>
              <w:jc w:val="right"/>
              <w:rPr/>
            </w:pPr>
            <w:r>
              <w:rPr/>
              <w:t>​</w:t>
            </w:r>
          </w:p>
        </w:tc>
        <w:tc>
          <w:tcPr>
            <w:tcW w:w="205" w:type="dxa"/>
            <w:tcBorders/>
            <w:vAlign w:val="center"/>
          </w:tcPr>
          <w:p>
            <w:pPr>
              <w:pStyle w:val="TableContents"/>
              <w:bidi w:val="0"/>
              <w:spacing w:lineRule="atLeast" w:line="240" w:before="0" w:after="0"/>
              <w:ind w:left="0" w:right="0" w:hanging="0"/>
              <w:jc w:val="right"/>
              <w:rPr/>
            </w:pPr>
            <w:r>
              <w:rPr/>
              <w:t>​</w:t>
            </w:r>
          </w:p>
        </w:tc>
        <w:tc>
          <w:tcPr>
            <w:tcW w:w="586" w:type="dxa"/>
            <w:tcBorders/>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(4.9)</w:t>
            </w:r>
          </w:p>
        </w:tc>
        <w:tc>
          <w:tcPr>
            <w:tcW w:w="774" w:type="dxa"/>
            <w:tcBorders/>
            <w:vAlign w:val="center"/>
          </w:tcPr>
          <w:p>
            <w:pPr>
              <w:pStyle w:val="TableContents"/>
              <w:bidi w:val="0"/>
              <w:spacing w:lineRule="atLeast" w:line="240" w:before="0" w:after="0"/>
              <w:ind w:left="0" w:right="0" w:hanging="0"/>
              <w:jc w:val="right"/>
              <w:rPr/>
            </w:pPr>
            <w:r>
              <w:rPr/>
              <w:t>​</w:t>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bl>
    <w:p>
      <w:pPr>
        <w:pStyle w:val="TextBody"/>
        <w:bidi w:val="0"/>
        <w:spacing w:before="0" w:after="0"/>
        <w:ind w:left="360" w:right="0" w:hanging="0"/>
        <w:jc w:val="both"/>
        <w:rPr/>
      </w:pPr>
      <w:r>
        <w:rPr/>
        <w:t>​</w:t>
      </w:r>
    </w:p>
    <w:p>
      <w:pPr>
        <w:pStyle w:val="TextBody"/>
        <w:bidi w:val="0"/>
        <w:spacing w:before="0" w:after="0"/>
        <w:ind w:left="0" w:right="0" w:firstLine="475"/>
        <w:jc w:val="left"/>
        <w:rPr>
          <w:rFonts w:ascii="Times New Roman;Times;serif" w:hAnsi="Times New Roman;Times;serif"/>
          <w:sz w:val="20"/>
        </w:rPr>
      </w:pPr>
      <w:bookmarkStart w:id="1120" w:name="_Hlk21930440"/>
      <w:bookmarkStart w:id="1121" w:name="_Hlk69537729"/>
      <w:bookmarkEnd w:id="1120"/>
      <w:bookmarkEnd w:id="1121"/>
      <w:r>
        <w:rPr>
          <w:rFonts w:ascii="Times New Roman;Times;serif" w:hAnsi="Times New Roman;Times;serif"/>
          <w:sz w:val="20"/>
        </w:rPr>
        <w:t xml:space="preserve">Sales of $6.20 billion for the second quarter of fiscal 2024 decreased $512.6 million, or 7.6%, as compared to $6.72 billion for the same quarter last year. The year-over-year decrease in sales is primarily due to the changing market conditions discussed above. Sales in constant currency decreased 8.7% in the second quarter of fiscal 2024 year over year. </w:t>
      </w:r>
    </w:p>
    <w:p>
      <w:pPr>
        <w:pStyle w:val="TextBody"/>
        <w:bidi w:val="0"/>
        <w:spacing w:before="0" w:after="0"/>
        <w:ind w:left="0" w:right="0" w:firstLine="475"/>
        <w:jc w:val="left"/>
        <w:rPr/>
      </w:pPr>
      <w:r>
        <w:rPr/>
        <w:t>​</w:t>
      </w:r>
    </w:p>
    <w:p>
      <w:pPr>
        <w:pStyle w:val="TextBody"/>
        <w:bidi w:val="0"/>
        <w:spacing w:before="0" w:after="0"/>
        <w:ind w:left="0" w:right="0" w:firstLine="475"/>
        <w:jc w:val="left"/>
        <w:rPr>
          <w:rFonts w:ascii="Times New Roman;Times;serif" w:hAnsi="Times New Roman;Times;serif"/>
          <w:sz w:val="20"/>
        </w:rPr>
      </w:pPr>
      <w:r>
        <w:rPr>
          <w:rFonts w:ascii="Times New Roman;Times;serif" w:hAnsi="Times New Roman;Times;serif"/>
          <w:sz w:val="20"/>
        </w:rPr>
        <w:t xml:space="preserve">EC sales of $5.81 billion in the second quarter of fiscal 2024 decreased $497.4 million or 7.9% from the prior year second quarter sales of $6.31 billion with all three regions contributing to the decrease. EC sales decreased 8.9% year over year in constant currency. </w:t>
      </w:r>
    </w:p>
    <w:p>
      <w:pPr>
        <w:pStyle w:val="TextBody"/>
        <w:bidi w:val="0"/>
        <w:spacing w:before="0" w:after="0"/>
        <w:ind w:left="0" w:right="0" w:firstLine="475"/>
        <w:jc w:val="left"/>
        <w:rPr/>
      </w:pPr>
      <w:r>
        <w:rPr/>
        <w:t>​</w:t>
      </w:r>
    </w:p>
    <w:p>
      <w:pPr>
        <w:pStyle w:val="TextBody"/>
        <w:bidi w:val="0"/>
        <w:spacing w:before="0" w:after="0"/>
        <w:ind w:left="0" w:right="0" w:firstLine="475"/>
        <w:jc w:val="left"/>
        <w:rPr>
          <w:rFonts w:ascii="Times New Roman;Times;serif" w:hAnsi="Times New Roman;Times;serif"/>
          <w:sz w:val="20"/>
        </w:rPr>
      </w:pPr>
      <w:r>
        <w:rPr>
          <w:rFonts w:ascii="Times New Roman;Times;serif" w:hAnsi="Times New Roman;Times;serif"/>
          <w:sz w:val="20"/>
        </w:rPr>
        <w:t xml:space="preserve">Farnell sales for the second quarter of fiscal 2024 were $392.8 million, a decrease of $15.2 million or 3.7% from the prior year second quarter sales of $408.0 million. Farnell sales in constant currency in the second quarter of fiscal 2024 decreased by 6.0% year over year primarily due to a decline in demand for on-the-board electronic components from high service distributors and competitive pricing pressures. </w:t>
      </w:r>
    </w:p>
    <w:p>
      <w:pPr>
        <w:pStyle w:val="TextBody"/>
        <w:bidi w:val="0"/>
        <w:spacing w:before="0" w:after="0"/>
        <w:ind w:left="0" w:right="0" w:firstLine="475"/>
        <w:jc w:val="left"/>
        <w:rPr/>
      </w:pPr>
      <w:r>
        <w:rPr/>
        <w:t>​</w:t>
      </w:r>
    </w:p>
    <w:p>
      <w:pPr>
        <w:pStyle w:val="TextBody"/>
        <w:bidi w:val="0"/>
        <w:spacing w:before="0" w:after="0"/>
        <w:ind w:left="0" w:right="0" w:firstLine="475"/>
        <w:jc w:val="left"/>
        <w:rPr>
          <w:rFonts w:ascii="Times New Roman;Times;serif" w:hAnsi="Times New Roman;Times;serif"/>
          <w:sz w:val="20"/>
        </w:rPr>
      </w:pPr>
      <w:r>
        <w:rPr>
          <w:rFonts w:ascii="Times New Roman;Times;serif" w:hAnsi="Times New Roman;Times;serif"/>
          <w:sz w:val="20"/>
        </w:rPr>
        <w:t>Sales for the first six months of fiscal 2024 were $12.54 billion, a decrease of $927.1 million as compared to sales of $13.47 billion for the first six months of fiscal 2023 driven by lower demand across all regions.</w:t>
      </w:r>
    </w:p>
    <w:p>
      <w:pPr>
        <w:pStyle w:val="TextBody"/>
        <w:bidi w:val="0"/>
        <w:spacing w:before="0" w:after="0"/>
        <w:ind w:left="0" w:right="0" w:firstLine="475"/>
        <w:jc w:val="left"/>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Gross Profit</w:t>
      </w:r>
    </w:p>
    <w:p>
      <w:pPr>
        <w:pStyle w:val="TextBody"/>
        <w:bidi w:val="0"/>
        <w:spacing w:before="0" w:after="0"/>
        <w:ind w:left="0" w:right="0" w:hanging="0"/>
        <w:jc w:val="both"/>
        <w:rPr/>
      </w:pPr>
      <w:r>
        <w:rPr/>
        <w:t>​</w:t>
      </w:r>
    </w:p>
    <w:p>
      <w:pPr>
        <w:pStyle w:val="TextBody"/>
        <w:bidi w:val="0"/>
        <w:spacing w:before="0" w:after="0"/>
        <w:ind w:left="0" w:right="0" w:firstLine="480"/>
        <w:jc w:val="left"/>
        <w:rPr>
          <w:rFonts w:ascii="Times New Roman;Times;serif" w:hAnsi="Times New Roman;Times;serif"/>
          <w:sz w:val="20"/>
        </w:rPr>
      </w:pPr>
      <w:r>
        <w:rPr>
          <w:rFonts w:ascii="Times New Roman;Times;serif" w:hAnsi="Times New Roman;Times;serif"/>
          <w:sz w:val="20"/>
        </w:rPr>
        <w:t>Gross profit for the second quarter of fiscal 2024 was $706.2 million, a decrease of $77.9 million or 9.9% from the second quarter of fiscal 2023 gross profit of $784.1 million. Gross profit margin of 11.4% decreased 29 basis points compared to the second quarter of fiscal 2023 gross profit margin of 11.7%. The decreases in gross profit and gross profit margin in the second quarter of fiscal 2024 as compared to fiscal 2023 are primarily due to decreased sales, and unfavorable shifts in product mix, respectively. EC gross profit margin decreased year over year primarily due to unfavorable product mix shifts. Farnell gross profit margin decreased year over year primarily due to the unwinding of component shortage pricing premiums, a lower sales mix of on-the-board electronic components, and from competitive pricing pressures for on-the-board components.</w:t>
      </w:r>
    </w:p>
    <w:p>
      <w:pPr>
        <w:pStyle w:val="TextBody"/>
        <w:bidi w:val="0"/>
        <w:spacing w:before="0" w:after="0"/>
        <w:ind w:left="0" w:right="0" w:firstLine="480"/>
        <w:jc w:val="left"/>
        <w:rPr/>
      </w:pPr>
      <w:r>
        <w:rPr/>
        <w:t>​</w:t>
      </w:r>
    </w:p>
    <w:p>
      <w:pPr>
        <w:pStyle w:val="TextBody"/>
        <w:bidi w:val="0"/>
        <w:spacing w:before="0" w:after="0"/>
        <w:ind w:left="0" w:right="0" w:firstLine="480"/>
        <w:jc w:val="left"/>
        <w:rPr>
          <w:rFonts w:ascii="Times New Roman;Times;serif" w:hAnsi="Times New Roman;Times;serif"/>
          <w:sz w:val="20"/>
        </w:rPr>
      </w:pPr>
      <w:r>
        <w:rPr>
          <w:rFonts w:ascii="Times New Roman;Times;serif" w:hAnsi="Times New Roman;Times;serif"/>
          <w:sz w:val="20"/>
        </w:rPr>
        <w:t>Gross profit and gross profit margin were $1.45 billion and 11.6%, respectively, for the first six months of fiscal 2024 as compared with $1.55 billion and 11.5%, respectively, for the first six months of fiscal 2023.</w:t>
      </w:r>
    </w:p>
    <w:p>
      <w:pPr>
        <w:pStyle w:val="TextBody"/>
        <w:bidi w:val="0"/>
        <w:spacing w:before="0" w:after="0"/>
        <w:ind w:left="0" w:right="0" w:firstLine="48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lineRule="auto" w:line="343"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Selling, General and Administrative Expenses</w:t>
      </w:r>
    </w:p>
    <w:p>
      <w:pPr>
        <w:pStyle w:val="TextBody"/>
        <w:bidi w:val="0"/>
        <w:spacing w:before="0" w:after="0"/>
        <w:ind w:left="0" w:right="0" w:hanging="0"/>
        <w:jc w:val="both"/>
        <w:rPr/>
      </w:pPr>
      <w:r>
        <w:rPr/>
        <w:t>​</w:t>
      </w:r>
    </w:p>
    <w:p>
      <w:pPr>
        <w:pStyle w:val="TextBody"/>
        <w:bidi w:val="0"/>
        <w:spacing w:before="0" w:after="0"/>
        <w:ind w:left="0" w:right="0" w:firstLine="480"/>
        <w:jc w:val="left"/>
        <w:rPr>
          <w:rFonts w:ascii="Times New Roman;Times;serif" w:hAnsi="Times New Roman;Times;serif"/>
          <w:sz w:val="20"/>
        </w:rPr>
      </w:pPr>
      <w:r>
        <w:rPr>
          <w:rFonts w:ascii="Times New Roman;Times;serif" w:hAnsi="Times New Roman;Times;serif"/>
          <w:sz w:val="20"/>
        </w:rPr>
        <w:t>Selling, general and administrative expenses (“SG&amp;A expenses”) were $464.7 million in the second quarter of fiscal 2024, a decrease of $20.4 million or 4.2% from the second quarter of fiscal 2023. The year-over-year decrease in SG&amp;A expenses was primarily a result of declines in sales partially offset by the impact of changes in foreign currency translation rates.</w:t>
      </w:r>
    </w:p>
    <w:p>
      <w:pPr>
        <w:pStyle w:val="TextBody"/>
        <w:bidi w:val="0"/>
        <w:spacing w:before="0" w:after="0"/>
        <w:ind w:left="0" w:right="0" w:firstLine="475"/>
        <w:jc w:val="left"/>
        <w:rPr/>
      </w:pPr>
      <w:r>
        <w:rPr/>
        <w:t>​</w:t>
      </w:r>
    </w:p>
    <w:p>
      <w:pPr>
        <w:pStyle w:val="TextBody"/>
        <w:bidi w:val="0"/>
        <w:spacing w:before="0" w:after="0"/>
        <w:ind w:left="0" w:right="0" w:firstLine="475"/>
        <w:jc w:val="left"/>
        <w:rPr>
          <w:rFonts w:ascii="Times New Roman;Times;serif" w:hAnsi="Times New Roman;Times;serif"/>
          <w:sz w:val="20"/>
        </w:rPr>
      </w:pPr>
      <w:r>
        <w:rPr>
          <w:rFonts w:ascii="Times New Roman;Times;serif" w:hAnsi="Times New Roman;Times;serif"/>
          <w:sz w:val="20"/>
        </w:rPr>
        <w:t>Metrics that management monitors with respect to its operating expenses are SG&amp;A expenses as a percentage of sales and as a percentage of gross profit. In the second quarter of fiscal 2024, SG&amp;A expenses were 7.5% of sales and 65.8% of gross profit, as compared with 7.2% and 61.9%, respectively, in the second quarter of fiscal 2023. The year-over-year increase in SG&amp;A expense as a percentage of both sales and gross profit is primarily due to the decrease in sales and gross profit.</w:t>
      </w:r>
    </w:p>
    <w:p>
      <w:pPr>
        <w:pStyle w:val="TextBody"/>
        <w:bidi w:val="0"/>
        <w:spacing w:before="0" w:after="0"/>
        <w:ind w:left="0" w:right="0" w:firstLine="475"/>
        <w:jc w:val="left"/>
        <w:rPr/>
      </w:pPr>
      <w:r>
        <w:rPr/>
        <w:t>​</w:t>
      </w:r>
    </w:p>
    <w:p>
      <w:pPr>
        <w:pStyle w:val="TextBody"/>
        <w:bidi w:val="0"/>
        <w:spacing w:before="0" w:after="0"/>
        <w:ind w:left="0" w:right="0" w:firstLine="475"/>
        <w:jc w:val="left"/>
        <w:rPr>
          <w:rFonts w:ascii="Times New Roman;Times;serif" w:hAnsi="Times New Roman;Times;serif"/>
          <w:sz w:val="20"/>
        </w:rPr>
      </w:pPr>
      <w:r>
        <w:rPr>
          <w:rFonts w:ascii="Times New Roman;Times;serif" w:hAnsi="Times New Roman;Times;serif"/>
          <w:sz w:val="20"/>
        </w:rPr>
        <w:t>SG&amp;A expenses for the first six months of fiscal 2024 were $952.0 million, or 7.6% of sales, as compared with $962.8 million, or 7.1% of sales, in the first six months of fiscal 2023. SG&amp;A expenses as a percentage of gross profit for the first six months of fiscal 2024 were 65.5% as compared with 62.0% in the first six months of fiscal 2023.</w:t>
      </w:r>
    </w:p>
    <w:p>
      <w:pPr>
        <w:pStyle w:val="TextBody"/>
        <w:bidi w:val="0"/>
        <w:spacing w:before="0" w:after="0"/>
        <w:ind w:left="0" w:right="0" w:firstLine="475"/>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Restructuring, Integration and Other Expenses</w:t>
      </w:r>
    </w:p>
    <w:p>
      <w:pPr>
        <w:pStyle w:val="TextBody"/>
        <w:bidi w:val="0"/>
        <w:spacing w:before="0" w:after="0"/>
        <w:ind w:left="0" w:right="0" w:firstLine="288"/>
        <w:jc w:val="left"/>
        <w:rPr/>
      </w:pPr>
      <w:r>
        <w:rPr/>
        <w:t>​</w:t>
      </w:r>
    </w:p>
    <w:p>
      <w:pPr>
        <w:pStyle w:val="TextBody"/>
        <w:bidi w:val="0"/>
        <w:spacing w:before="0" w:after="0"/>
        <w:ind w:left="0" w:right="0" w:firstLine="475"/>
        <w:jc w:val="left"/>
        <w:rPr>
          <w:rFonts w:ascii="Times New Roman;Times;serif" w:hAnsi="Times New Roman;Times;serif"/>
          <w:sz w:val="20"/>
        </w:rPr>
      </w:pPr>
      <w:r>
        <w:rPr>
          <w:rFonts w:ascii="Times New Roman;Times;serif" w:hAnsi="Times New Roman;Times;serif"/>
          <w:sz w:val="20"/>
        </w:rPr>
        <w:t xml:space="preserve">The Company recorded restructuring, integration, and other expenses of $5.2 million during the second quarter of fiscal 2024. The after-tax impact of restructuring, integration, and other expenses were $4.0 million and $0.04 per share on a diluted basis. </w:t>
      </w:r>
    </w:p>
    <w:p>
      <w:pPr>
        <w:pStyle w:val="TextBody"/>
        <w:bidi w:val="0"/>
        <w:spacing w:before="0" w:after="0"/>
        <w:ind w:left="0" w:right="0" w:firstLine="288"/>
        <w:jc w:val="left"/>
        <w:rPr/>
      </w:pPr>
      <w:r>
        <w:rPr/>
        <w:t>​</w:t>
      </w:r>
    </w:p>
    <w:p>
      <w:pPr>
        <w:pStyle w:val="TextBody"/>
        <w:bidi w:val="0"/>
        <w:spacing w:before="0" w:after="0"/>
        <w:ind w:left="0" w:right="0" w:firstLine="475"/>
        <w:jc w:val="left"/>
        <w:rPr>
          <w:rFonts w:ascii="Times New Roman;Times;serif" w:hAnsi="Times New Roman;Times;serif"/>
          <w:sz w:val="20"/>
        </w:rPr>
      </w:pPr>
      <w:r>
        <w:rPr>
          <w:rFonts w:ascii="Times New Roman;Times;serif" w:hAnsi="Times New Roman;Times;serif"/>
          <w:sz w:val="20"/>
        </w:rPr>
        <w:t xml:space="preserve">During the first six months of fiscal 2024, the Company incurred restructuring costs of $2.8 million and other expenses of $9.5 million. Restructuring expenses consisted of severance costs of $2.8 million related to the reduction, or planned reduction of over 50 employees in the Company’s Farnell operating group. The after-tax impact of restructuring, integration, and other expenses were $9.3 million and $0.09 per share on a diluted basis. </w:t>
      </w:r>
    </w:p>
    <w:p>
      <w:pPr>
        <w:pStyle w:val="TextBody"/>
        <w:bidi w:val="0"/>
        <w:spacing w:before="0" w:after="0"/>
        <w:ind w:left="0" w:right="0" w:firstLine="475"/>
        <w:jc w:val="left"/>
        <w:rPr/>
      </w:pPr>
      <w:r>
        <w:rPr/>
        <w:t>​</w:t>
      </w:r>
    </w:p>
    <w:p>
      <w:pPr>
        <w:pStyle w:val="TextBody"/>
        <w:bidi w:val="0"/>
        <w:spacing w:before="0" w:after="0"/>
        <w:ind w:left="0" w:right="0" w:firstLine="475"/>
        <w:jc w:val="left"/>
        <w:rPr>
          <w:rFonts w:ascii="Times New Roman;Times;serif" w:hAnsi="Times New Roman;Times;serif"/>
          <w:sz w:val="20"/>
        </w:rPr>
      </w:pPr>
      <w:r>
        <w:rPr>
          <w:rFonts w:ascii="Times New Roman;Times;serif" w:hAnsi="Times New Roman;Times;serif"/>
          <w:sz w:val="20"/>
        </w:rPr>
        <w:t>The Company expects to incur approximately $15.0 million to $25.0 million of restructuring, integration and other expenses in the second half of fiscal 2024 primarily related to Farnell. The expected benefits from the Farnell restructuring actions, once completed, are $50.0 million to $70.0 million of annual operating expense reductions.</w:t>
      </w:r>
    </w:p>
    <w:p>
      <w:pPr>
        <w:pStyle w:val="TextBody"/>
        <w:bidi w:val="0"/>
        <w:spacing w:before="0" w:after="0"/>
        <w:ind w:left="0" w:right="0" w:firstLine="475"/>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Income</w:t>
      </w:r>
    </w:p>
    <w:p>
      <w:pPr>
        <w:pStyle w:val="TextBody"/>
        <w:bidi w:val="0"/>
        <w:spacing w:before="0" w:after="0"/>
        <w:ind w:left="0" w:right="0" w:hanging="0"/>
        <w:jc w:val="both"/>
        <w:rPr/>
      </w:pPr>
      <w:r>
        <w:rPr/>
        <w:t>​</w:t>
      </w:r>
    </w:p>
    <w:p>
      <w:pPr>
        <w:pStyle w:val="TextBody"/>
        <w:bidi w:val="0"/>
        <w:spacing w:before="0" w:after="0"/>
        <w:ind w:left="0" w:right="0" w:firstLine="480"/>
        <w:jc w:val="left"/>
        <w:rPr>
          <w:rFonts w:ascii="Times New Roman;Times;serif" w:hAnsi="Times New Roman;Times;serif"/>
          <w:sz w:val="20"/>
        </w:rPr>
      </w:pPr>
      <w:r>
        <w:rPr>
          <w:rFonts w:ascii="Times New Roman;Times;serif" w:hAnsi="Times New Roman;Times;serif"/>
          <w:sz w:val="20"/>
        </w:rPr>
        <w:t>Operating income for the second quarter of fiscal 2024 was $236.3 million, a decrease of $62.7 million or 21.0%, from the second quarter of fiscal 2023 operating income of $299.0 million. The year-over-year decrease in operating income was primarily driven by the decrease in sales, partially offset by the favorable impact from foreign currency exchange rates. Adjusted operating income for the second quarter of fiscal 2024 was $242.2 million, a decrease of $58.3 million or 19.4% from the second quarter of fiscal 2023. Operating income margin was 3.8% in the second quarter of fiscal 2024, a decrease of 64 basis points compared to 4.5% in the prior year second quarter.</w:t>
      </w:r>
    </w:p>
    <w:p>
      <w:pPr>
        <w:pStyle w:val="TextBody"/>
        <w:bidi w:val="0"/>
        <w:spacing w:before="0" w:after="0"/>
        <w:ind w:left="0" w:right="0" w:firstLine="480"/>
        <w:jc w:val="left"/>
        <w:rPr/>
      </w:pPr>
      <w:r>
        <w:rPr/>
        <w:t>​</w:t>
      </w:r>
    </w:p>
    <w:p>
      <w:pPr>
        <w:pStyle w:val="TextBody"/>
        <w:bidi w:val="0"/>
        <w:spacing w:before="0" w:after="0"/>
        <w:ind w:left="0" w:right="0" w:firstLine="475"/>
        <w:jc w:val="left"/>
        <w:rPr>
          <w:rFonts w:ascii="Times New Roman;Times;serif" w:hAnsi="Times New Roman;Times;serif"/>
          <w:sz w:val="20"/>
        </w:rPr>
      </w:pPr>
      <w:r>
        <w:rPr>
          <w:rFonts w:ascii="Times New Roman;Times;serif" w:hAnsi="Times New Roman;Times;serif"/>
          <w:sz w:val="20"/>
        </w:rPr>
        <w:t>EC operating income margin decreased 43 basis points year over year to 4.3% and Farnell operating income margin decreased 504 basis points year over year to 4.0%. The decline in operating income margin in both operating groups was primarily driven by lower sales and declines in gross profit margin as discussed further above.</w:t>
      </w:r>
    </w:p>
    <w:p>
      <w:pPr>
        <w:pStyle w:val="TextBody"/>
        <w:bidi w:val="0"/>
        <w:spacing w:before="0" w:after="0"/>
        <w:ind w:left="0" w:right="0" w:firstLine="475"/>
        <w:jc w:val="left"/>
        <w:rPr/>
      </w:pPr>
      <w:r>
        <w:rPr/>
        <w:t>​</w:t>
      </w:r>
    </w:p>
    <w:p>
      <w:pPr>
        <w:pStyle w:val="TextBody"/>
        <w:bidi w:val="0"/>
        <w:spacing w:before="0" w:after="0"/>
        <w:ind w:left="0" w:right="0" w:firstLine="480"/>
        <w:jc w:val="left"/>
        <w:rPr>
          <w:rFonts w:ascii="Times New Roman;Times;serif" w:hAnsi="Times New Roman;Times;serif"/>
          <w:sz w:val="20"/>
        </w:rPr>
      </w:pPr>
      <w:r>
        <w:rPr>
          <w:rFonts w:ascii="Times New Roman;Times;serif" w:hAnsi="Times New Roman;Times;serif"/>
          <w:sz w:val="20"/>
        </w:rPr>
        <w:t>Operating income for the first six months of fiscal 2024 was $490.0 million, a decrease of $99.5 million, from the first six months of fiscal 2023 operating income of $589.5 million. The year-over-year decrease in operating income was primarily due to the decrease in sales, and lower gross profit margin, partially offset by the favorable impact from foreign currency exchange rates. Adjusted operating income for the first six months of fiscal 2024 was $503.9 million, a decrease of $89.9 million or 15.1% from the first six months of fiscal 2023. Operating income margin was 3.9% in the first six months of fiscal 2024, a decrease of 47 basis points compared to 4.4% in the prior year first six months.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lineRule="auto" w:line="343"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475"/>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Interest and Other Financing Expenses, Net and Other (Expense) Income, Net</w:t>
      </w:r>
    </w:p>
    <w:p>
      <w:pPr>
        <w:pStyle w:val="TextBody"/>
        <w:bidi w:val="0"/>
        <w:spacing w:before="0" w:after="0"/>
        <w:ind w:left="0" w:right="0" w:hanging="0"/>
        <w:jc w:val="left"/>
        <w:rPr/>
      </w:pPr>
      <w:r>
        <w:rPr/>
        <w:t>​</w:t>
      </w:r>
    </w:p>
    <w:p>
      <w:pPr>
        <w:pStyle w:val="TextBody"/>
        <w:bidi w:val="0"/>
        <w:spacing w:before="0" w:after="0"/>
        <w:ind w:left="0" w:right="0" w:firstLine="480"/>
        <w:jc w:val="left"/>
        <w:rPr>
          <w:rFonts w:ascii="Times New Roman;Times;serif" w:hAnsi="Times New Roman;Times;serif"/>
          <w:sz w:val="20"/>
        </w:rPr>
      </w:pPr>
      <w:bookmarkStart w:id="1122" w:name="keyword"/>
      <w:bookmarkEnd w:id="1122"/>
      <w:r>
        <w:rPr>
          <w:rFonts w:ascii="Times New Roman;Times;serif" w:hAnsi="Times New Roman;Times;serif"/>
          <w:sz w:val="20"/>
        </w:rPr>
        <w:t xml:space="preserve">Interest and other financing expenses in the second quarter of fiscal 2024 was $74.3 million, an increase of $15.3 million, as compared with interest and other financing expenses of $59.0 million in the second quarter of fiscal 2023. Interest and other financing expenses in the first six months of fiscal 2024 was $145.1 million, an increase of $41.0 million, as compared with interest and other financing expenses of $104.1 million in the first six months of fiscal 2023. </w:t>
      </w:r>
      <w:r>
        <w:rPr>
          <w:rFonts w:ascii="Times New Roman;Times;serif" w:hAnsi="Times New Roman;Times;serif"/>
          <w:color w:val="252525"/>
          <w:sz w:val="20"/>
        </w:rPr>
        <w:t>The increases in interest and other financing expenses in the second quarter and first six months of fiscal 2024 compared to fiscal 2023 are primarily a result of higher outstanding borrowings and increases in average borrowing rates.</w:t>
      </w:r>
    </w:p>
    <w:p>
      <w:pPr>
        <w:pStyle w:val="TextBody"/>
        <w:bidi w:val="0"/>
        <w:spacing w:before="0" w:after="0"/>
        <w:ind w:left="0" w:right="0" w:firstLine="480"/>
        <w:jc w:val="left"/>
        <w:rPr>
          <w:color w:val="252525"/>
        </w:rPr>
      </w:pPr>
      <w:r>
        <w:rPr>
          <w:color w:val="252525"/>
        </w:rPr>
        <w:t>​</w:t>
      </w:r>
    </w:p>
    <w:p>
      <w:pPr>
        <w:pStyle w:val="TextBody"/>
        <w:bidi w:val="0"/>
        <w:spacing w:before="0" w:after="0"/>
        <w:ind w:left="0" w:right="0" w:firstLine="480"/>
        <w:jc w:val="left"/>
        <w:rPr>
          <w:rFonts w:ascii="Times New Roman;Times;serif" w:hAnsi="Times New Roman;Times;serif"/>
          <w:sz w:val="20"/>
        </w:rPr>
      </w:pPr>
      <w:r>
        <w:rPr>
          <w:rFonts w:ascii="Times New Roman;Times;serif" w:hAnsi="Times New Roman;Times;serif"/>
          <w:sz w:val="20"/>
        </w:rPr>
        <w:t>The Company had other expenses of $8.4 million in the second quarter of fiscal 2024 compared to other income of $1.5 million in the second quarter of fiscal 2023. The $9.9 million increase in other expenses in the second quarter of fiscal 2024 was primarily due to foreign currency translation losses. The Company had other expenses of $2.4 million in the first six months of fiscal 2024, compared to other income of $1.8 million in the first six months of fiscal 2023.</w:t>
      </w:r>
    </w:p>
    <w:p>
      <w:pPr>
        <w:pStyle w:val="TextBody"/>
        <w:bidi w:val="0"/>
        <w:spacing w:before="0" w:after="0"/>
        <w:ind w:left="0" w:right="0" w:firstLine="480"/>
        <w:jc w:val="left"/>
        <w:rPr>
          <w:color w:val="252525"/>
        </w:rPr>
      </w:pPr>
      <w:r>
        <w:rPr>
          <w:color w:val="252525"/>
        </w:rPr>
        <w:t>​</w:t>
      </w:r>
    </w:p>
    <w:p>
      <w:pPr>
        <w:pStyle w:val="TextBody"/>
        <w:bidi w:val="0"/>
        <w:spacing w:before="0" w:after="0"/>
        <w:ind w:left="0" w:right="0" w:hanging="0"/>
        <w:jc w:val="left"/>
        <w:rPr>
          <w:rFonts w:ascii="Times New Roman;Times;serif" w:hAnsi="Times New Roman;Times;serif"/>
          <w:b/>
          <w:color w:val="252525"/>
          <w:sz w:val="20"/>
        </w:rPr>
      </w:pPr>
      <w:bookmarkStart w:id="1123" w:name="_Hlk124836414"/>
      <w:bookmarkEnd w:id="1123"/>
      <w:r>
        <w:rPr>
          <w:rFonts w:ascii="Times New Roman;Times;serif" w:hAnsi="Times New Roman;Times;serif"/>
          <w:b/>
          <w:color w:val="252525"/>
          <w:sz w:val="20"/>
        </w:rPr>
        <w:t>Gain on Legal Settlements and other</w:t>
      </w:r>
    </w:p>
    <w:p>
      <w:pPr>
        <w:pStyle w:val="TextBody"/>
        <w:bidi w:val="0"/>
        <w:spacing w:before="0" w:after="0"/>
        <w:ind w:left="0" w:right="0" w:firstLine="480"/>
        <w:jc w:val="left"/>
        <w:rPr>
          <w:color w:val="252525"/>
        </w:rPr>
      </w:pPr>
      <w:r>
        <w:rPr>
          <w:color w:val="252525"/>
        </w:rPr>
        <w:t>​</w:t>
      </w:r>
    </w:p>
    <w:p>
      <w:pPr>
        <w:pStyle w:val="TextBody"/>
        <w:bidi w:val="0"/>
        <w:spacing w:before="0" w:after="0"/>
        <w:ind w:left="0" w:right="0" w:firstLine="480"/>
        <w:jc w:val="left"/>
        <w:rPr>
          <w:rFonts w:ascii="Times New Roman;Times;serif" w:hAnsi="Times New Roman;Times;serif"/>
          <w:sz w:val="20"/>
        </w:rPr>
      </w:pPr>
      <w:r>
        <w:rPr>
          <w:rFonts w:ascii="Times New Roman;Times;serif" w:hAnsi="Times New Roman;Times;serif"/>
          <w:sz w:val="20"/>
        </w:rPr>
        <w:t>During the first six months of fiscal 2024 and the first six months of fiscal 2023, the Company recorded a gain on legal settlements and other of $86.5 million and $61.7 million, respectively, in connection with the settlements of claims filed against certain manufacturers of capacitors.</w:t>
      </w:r>
    </w:p>
    <w:p>
      <w:pPr>
        <w:pStyle w:val="TextBody"/>
        <w:bidi w:val="0"/>
        <w:spacing w:before="0" w:after="0"/>
        <w:ind w:left="0" w:right="0" w:firstLine="48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Income Tax </w:t>
      </w:r>
    </w:p>
    <w:p>
      <w:pPr>
        <w:pStyle w:val="TextBody"/>
        <w:bidi w:val="0"/>
        <w:spacing w:before="0" w:after="0"/>
        <w:ind w:left="0" w:right="0" w:firstLine="475"/>
        <w:jc w:val="left"/>
        <w:rPr/>
      </w:pPr>
      <w:r>
        <w:rPr/>
        <w:t>​</w:t>
      </w:r>
    </w:p>
    <w:p>
      <w:pPr>
        <w:pStyle w:val="TextBody"/>
        <w:bidi w:val="0"/>
        <w:spacing w:before="0" w:after="0"/>
        <w:ind w:left="0" w:right="0" w:firstLine="475"/>
        <w:jc w:val="left"/>
        <w:rPr>
          <w:rFonts w:ascii="Times New Roman;Times;serif" w:hAnsi="Times New Roman;Times;serif"/>
          <w:sz w:val="20"/>
        </w:rPr>
      </w:pPr>
      <w:r>
        <w:rPr>
          <w:rFonts w:ascii="Times New Roman;Times;serif" w:hAnsi="Times New Roman;Times;serif"/>
          <w:sz w:val="20"/>
        </w:rPr>
        <w:t>The below discussion of the effective tax rate for the periods presented in the consolidated statements of operations is in comparison to the 21% U.S. statutory federal income tax rate.</w:t>
      </w:r>
    </w:p>
    <w:p>
      <w:pPr>
        <w:pStyle w:val="TextBody"/>
        <w:bidi w:val="0"/>
        <w:spacing w:before="0" w:after="0"/>
        <w:ind w:left="0" w:right="0" w:firstLine="475"/>
        <w:jc w:val="left"/>
        <w:rPr/>
      </w:pPr>
      <w:r>
        <w:rPr/>
        <w:t>​</w:t>
      </w:r>
    </w:p>
    <w:p>
      <w:pPr>
        <w:pStyle w:val="TextBody"/>
        <w:bidi w:val="0"/>
        <w:spacing w:before="0" w:after="0"/>
        <w:ind w:left="0" w:right="0" w:firstLine="475"/>
        <w:jc w:val="left"/>
        <w:rPr>
          <w:rFonts w:ascii="Times New Roman;Times;serif" w:hAnsi="Times New Roman;Times;serif"/>
          <w:sz w:val="20"/>
        </w:rPr>
      </w:pPr>
      <w:bookmarkStart w:id="1124" w:name="_Hlk93498460"/>
      <w:bookmarkEnd w:id="1124"/>
      <w:r>
        <w:rPr>
          <w:rFonts w:ascii="Times New Roman;Times;serif" w:hAnsi="Times New Roman;Times;serif"/>
          <w:sz w:val="20"/>
        </w:rPr>
        <w:t>The Company’s effective tax rate on its income before taxes was 23.2% in the second quarter of fiscal 2024. During the second quarter of fiscal 2024, the Company’s effective tax rate was unfavorably impacted primarily by (i) increases to unrecognized tax benefit reserves, (ii) U.S. state taxes, partially offset by (iii) the mix of income in lower tax foreign jurisdictions.</w:t>
      </w:r>
    </w:p>
    <w:p>
      <w:pPr>
        <w:pStyle w:val="TextBody"/>
        <w:bidi w:val="0"/>
        <w:spacing w:before="0" w:after="0"/>
        <w:ind w:left="0" w:right="0" w:firstLine="475"/>
        <w:jc w:val="left"/>
        <w:rPr/>
      </w:pPr>
      <w:r>
        <w:rPr/>
        <w:t>​</w:t>
      </w:r>
    </w:p>
    <w:p>
      <w:pPr>
        <w:pStyle w:val="TextBody"/>
        <w:bidi w:val="0"/>
        <w:spacing w:before="0" w:after="0"/>
        <w:ind w:left="0" w:right="0" w:firstLine="475"/>
        <w:jc w:val="left"/>
        <w:rPr>
          <w:rFonts w:ascii="Times New Roman;Times;serif" w:hAnsi="Times New Roman;Times;serif"/>
          <w:sz w:val="20"/>
        </w:rPr>
      </w:pPr>
      <w:r>
        <w:rPr>
          <w:rFonts w:ascii="Times New Roman;Times;serif" w:hAnsi="Times New Roman;Times;serif"/>
          <w:sz w:val="20"/>
        </w:rPr>
        <w:t>During the second quarter of fiscal 2023, the Company’s effective tax rate on its income before taxes was 19.5%. During the second quarter of fiscal 2023, the Company’s effective tax rate was favorably impacted primarily by (i) increases in unrecognized tax benefit reserves, partially offset by (ii) the mix of income in higher tax foreign jurisdictions.</w:t>
      </w:r>
    </w:p>
    <w:p>
      <w:pPr>
        <w:pStyle w:val="TextBody"/>
        <w:bidi w:val="0"/>
        <w:spacing w:before="0" w:after="0"/>
        <w:ind w:left="0" w:right="0" w:firstLine="475"/>
        <w:jc w:val="left"/>
        <w:rPr/>
      </w:pPr>
      <w:r>
        <w:rPr/>
        <w:t>​</w:t>
      </w:r>
    </w:p>
    <w:p>
      <w:pPr>
        <w:pStyle w:val="TextBody"/>
        <w:bidi w:val="0"/>
        <w:spacing w:before="0" w:after="0"/>
        <w:ind w:left="0" w:right="0" w:firstLine="475"/>
        <w:jc w:val="left"/>
        <w:rPr>
          <w:rFonts w:ascii="Times New Roman;Times;serif" w:hAnsi="Times New Roman;Times;serif"/>
          <w:sz w:val="20"/>
        </w:rPr>
      </w:pPr>
      <w:r>
        <w:rPr>
          <w:rFonts w:ascii="Times New Roman;Times;serif" w:hAnsi="Times New Roman;Times;serif"/>
          <w:sz w:val="20"/>
        </w:rPr>
        <w:t>For the first six months of fiscal 2024, the Company’s effective tax rate on its income before taxes was 23.7%. The effective tax rate for the first six months of fiscal 2024 was unfavorably impacted primarily by (i) increases to unrecognized tax benefit reserves, (ii) U.S. state taxes, and (iii) the mix of income in higher tax foreign jurisdictions.</w:t>
      </w:r>
    </w:p>
    <w:p>
      <w:pPr>
        <w:pStyle w:val="TextBody"/>
        <w:bidi w:val="0"/>
        <w:spacing w:before="0" w:after="0"/>
        <w:ind w:left="0" w:right="0" w:firstLine="475"/>
        <w:jc w:val="left"/>
        <w:rPr/>
      </w:pPr>
      <w:r>
        <w:rPr/>
        <w:t>​</w:t>
      </w:r>
    </w:p>
    <w:p>
      <w:pPr>
        <w:pStyle w:val="TextBody"/>
        <w:bidi w:val="0"/>
        <w:spacing w:before="0" w:after="0"/>
        <w:ind w:left="0" w:right="0" w:firstLine="475"/>
        <w:jc w:val="left"/>
        <w:rPr>
          <w:rFonts w:ascii="Times New Roman;Times;serif" w:hAnsi="Times New Roman;Times;serif"/>
          <w:sz w:val="20"/>
        </w:rPr>
      </w:pPr>
      <w:r>
        <w:rPr>
          <w:rFonts w:ascii="Times New Roman;Times;serif" w:hAnsi="Times New Roman;Times;serif"/>
          <w:sz w:val="20"/>
        </w:rPr>
        <w:t>During the first six months of fiscal 2023, the Company’s effective tax rate on its income before taxes was 22.0%. The effective tax rate for the first six months of fiscal 2023 was unfavorably impacted primarily by (i) the mix of income in higher tax foreign jurisdictions, partially offset by (ii) decreases to unrecognized tax benefit reserves.</w:t>
      </w:r>
    </w:p>
    <w:p>
      <w:pPr>
        <w:pStyle w:val="TextBody"/>
        <w:bidi w:val="0"/>
        <w:spacing w:before="0" w:after="0"/>
        <w:ind w:left="0" w:right="0" w:firstLine="45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Income</w:t>
      </w:r>
    </w:p>
    <w:p>
      <w:pPr>
        <w:pStyle w:val="TextBody"/>
        <w:bidi w:val="0"/>
        <w:spacing w:before="0" w:after="0"/>
        <w:ind w:left="0" w:right="0" w:hanging="0"/>
        <w:jc w:val="left"/>
        <w:rPr/>
      </w:pPr>
      <w:r>
        <w:rPr/>
        <w:t>​</w:t>
      </w:r>
    </w:p>
    <w:p>
      <w:pPr>
        <w:pStyle w:val="TextBody"/>
        <w:bidi w:val="0"/>
        <w:spacing w:before="0" w:after="0"/>
        <w:ind w:left="0" w:right="0" w:firstLine="475"/>
        <w:jc w:val="left"/>
        <w:rPr>
          <w:rFonts w:ascii="Times New Roman;Times;serif" w:hAnsi="Times New Roman;Times;serif"/>
          <w:sz w:val="20"/>
        </w:rPr>
      </w:pPr>
      <w:r>
        <w:rPr>
          <w:rFonts w:ascii="Times New Roman;Times;serif" w:hAnsi="Times New Roman;Times;serif"/>
          <w:sz w:val="20"/>
        </w:rPr>
        <w:t>As a result of the factors described in the preceding sections of this MD&amp;A, the Company’s net income for the second quarter of fiscal 2024 was $117.9 million, or $1.28 per share on a diluted basis, as compared with $243.9 million, or $2.63 per share on a diluted basis, in the second quarter of fiscal 2023.</w:t>
      </w:r>
    </w:p>
    <w:p>
      <w:pPr>
        <w:pStyle w:val="TextBody"/>
        <w:bidi w:val="0"/>
        <w:spacing w:before="0" w:after="0"/>
        <w:ind w:left="0" w:right="0" w:firstLine="475"/>
        <w:jc w:val="left"/>
        <w:rPr/>
      </w:pPr>
      <w:r>
        <w:rPr/>
        <w:t>​</w:t>
      </w:r>
    </w:p>
    <w:p>
      <w:pPr>
        <w:pStyle w:val="TextBody"/>
        <w:bidi w:val="0"/>
        <w:spacing w:before="0" w:after="0"/>
        <w:ind w:left="0" w:right="0" w:firstLine="475"/>
        <w:jc w:val="left"/>
        <w:rPr>
          <w:rFonts w:ascii="Times New Roman;Times;serif" w:hAnsi="Times New Roman;Times;serif"/>
          <w:sz w:val="20"/>
        </w:rPr>
      </w:pPr>
      <w:r>
        <w:rPr>
          <w:rFonts w:ascii="Times New Roman;Times;serif" w:hAnsi="Times New Roman;Times;serif"/>
          <w:sz w:val="20"/>
        </w:rPr>
        <w:t>As a result of the factors described in the preceding sections of this MD&amp;A, the Company’s net income for the first six months of fiscal 2024 was $327.2 million, or $3.54 per share on a diluted basis, as compared with $428.1 million, or $4.55 per share on a diluted basis, in the first six months of fiscal 2023.</w:t>
      </w:r>
    </w:p>
    <w:p>
      <w:pPr>
        <w:pStyle w:val="TextBody"/>
        <w:bidi w:val="0"/>
        <w:spacing w:before="0" w:after="0"/>
        <w:ind w:left="0" w:right="0" w:firstLine="475"/>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lineRule="auto" w:line="343"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120" w:after="0"/>
        <w:ind w:left="0" w:right="0" w:hanging="0"/>
        <w:jc w:val="center"/>
        <w:rPr>
          <w:rFonts w:ascii="Times New Roman;Times;serif" w:hAnsi="Times New Roman;Times;serif"/>
          <w:b/>
          <w:sz w:val="20"/>
        </w:rPr>
      </w:pPr>
      <w:bookmarkStart w:id="1125" w:name="Liquidity_and_Capital_Resources"/>
      <w:bookmarkEnd w:id="1125"/>
      <w:r>
        <w:rPr>
          <w:rFonts w:ascii="Times New Roman;Times;serif" w:hAnsi="Times New Roman;Times;serif"/>
          <w:b/>
          <w:sz w:val="20"/>
        </w:rPr>
        <w:t>LIQUIDITY AND CAPITAL RESOURCES</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w:t>
      </w:r>
    </w:p>
    <w:p>
      <w:pPr>
        <w:pStyle w:val="TextBody"/>
        <w:bidi w:val="0"/>
        <w:spacing w:before="0" w:after="0"/>
        <w:ind w:left="0" w:right="0" w:hanging="0"/>
        <w:jc w:val="left"/>
        <w:rPr/>
      </w:pPr>
      <w:r>
        <w:rPr/>
        <w:t>​</w:t>
      </w:r>
    </w:p>
    <w:p>
      <w:pPr>
        <w:pStyle w:val="TextBody"/>
        <w:bidi w:val="0"/>
        <w:spacing w:before="0" w:after="0"/>
        <w:ind w:left="0" w:right="0" w:firstLine="480"/>
        <w:jc w:val="left"/>
        <w:rPr>
          <w:rFonts w:ascii="Times New Roman;Times;serif" w:hAnsi="Times New Roman;Times;serif"/>
          <w:i/>
          <w:sz w:val="20"/>
        </w:rPr>
      </w:pPr>
      <w:r>
        <w:rPr>
          <w:rFonts w:ascii="Times New Roman;Times;serif" w:hAnsi="Times New Roman;Times;serif"/>
          <w:i/>
          <w:sz w:val="20"/>
        </w:rPr>
        <w:t>Cash Flow from Operating Activities</w:t>
      </w:r>
    </w:p>
    <w:p>
      <w:pPr>
        <w:pStyle w:val="TextBody"/>
        <w:bidi w:val="0"/>
        <w:spacing w:before="0" w:after="0"/>
        <w:ind w:left="0" w:right="0" w:firstLine="480"/>
        <w:jc w:val="left"/>
        <w:rPr/>
      </w:pPr>
      <w:r>
        <w:rPr/>
        <w:t>​</w:t>
      </w:r>
    </w:p>
    <w:p>
      <w:pPr>
        <w:pStyle w:val="TextBody"/>
        <w:bidi w:val="0"/>
        <w:spacing w:before="0" w:after="0"/>
        <w:ind w:left="0" w:right="0" w:firstLine="480"/>
        <w:jc w:val="left"/>
        <w:rPr>
          <w:rFonts w:ascii="Times New Roman;Times;serif" w:hAnsi="Times New Roman;Times;serif"/>
          <w:sz w:val="20"/>
        </w:rPr>
      </w:pPr>
      <w:bookmarkStart w:id="1126" w:name="_Hlk124836429"/>
      <w:bookmarkEnd w:id="1126"/>
      <w:r>
        <w:rPr>
          <w:rFonts w:ascii="Times New Roman;Times;serif" w:hAnsi="Times New Roman;Times;serif"/>
          <w:sz w:val="20"/>
        </w:rPr>
        <w:t>During the first six months of fiscal 2024, the Company used $83.6 million of cash flow for operations compared to $966.5 million of cash used for operations in the first six months of fiscal 2023. These operating cash flows were comprised of: (i) cash flow generated from net income, adjusted for the impact of non-cash and other items, which includes depreciation and amortization expenses, deferred income taxes, stock-based compensation expense, amortization of operating lease assets, and other non-cash items, and (ii) cash flows used for working capital and other, excluding cash and cash equivalents. Cash used for working capital and other was $539.4 million during the first six months of fiscal 2024, including an increase in inventories of $610.0 million, and decreases in accounts payable of $78.1 million, and accrued expenses and other of $138.7 million, partially offset by a decrease in accounts receivable of $287.3 million. Comparatively, cash used for working capital and other was $1.48 billion during the first six months of fiscal 2023, including increases in accounts receivable of $469.7 million, and in inventories of $686.9 million, and a decrease in accounts payable of $341.2 million, partially offset by an increase in accrued expenses and other of $20.0 million.</w:t>
      </w:r>
    </w:p>
    <w:p>
      <w:pPr>
        <w:pStyle w:val="TextBody"/>
        <w:bidi w:val="0"/>
        <w:spacing w:before="0" w:after="0"/>
        <w:ind w:left="0" w:right="0" w:firstLine="480"/>
        <w:jc w:val="both"/>
        <w:rPr/>
      </w:pPr>
      <w:r>
        <w:rPr/>
        <w:t>​</w:t>
      </w:r>
    </w:p>
    <w:p>
      <w:pPr>
        <w:pStyle w:val="TextBody"/>
        <w:bidi w:val="0"/>
        <w:spacing w:before="0" w:after="0"/>
        <w:ind w:left="0" w:right="0" w:firstLine="480"/>
        <w:jc w:val="left"/>
        <w:rPr>
          <w:rFonts w:ascii="Times New Roman;Times;serif" w:hAnsi="Times New Roman;Times;serif"/>
          <w:i/>
          <w:sz w:val="20"/>
        </w:rPr>
      </w:pPr>
      <w:r>
        <w:rPr>
          <w:rFonts w:ascii="Times New Roman;Times;serif" w:hAnsi="Times New Roman;Times;serif"/>
          <w:i/>
          <w:sz w:val="20"/>
        </w:rPr>
        <w:t>Cash Flow from Financing Activities</w:t>
      </w:r>
    </w:p>
    <w:p>
      <w:pPr>
        <w:pStyle w:val="TextBody"/>
        <w:bidi w:val="0"/>
        <w:spacing w:before="0" w:after="0"/>
        <w:ind w:left="0" w:right="0" w:firstLine="480"/>
        <w:jc w:val="left"/>
        <w:rPr/>
      </w:pPr>
      <w:r>
        <w:rPr/>
        <w:t>​</w:t>
      </w:r>
    </w:p>
    <w:p>
      <w:pPr>
        <w:pStyle w:val="TextBody"/>
        <w:bidi w:val="0"/>
        <w:spacing w:before="0" w:after="0"/>
        <w:ind w:left="0" w:right="0" w:firstLine="480"/>
        <w:jc w:val="left"/>
        <w:rPr>
          <w:rFonts w:ascii="Times New Roman;Times;serif" w:hAnsi="Times New Roman;Times;serif"/>
          <w:sz w:val="20"/>
        </w:rPr>
      </w:pPr>
      <w:r>
        <w:rPr>
          <w:rFonts w:ascii="Times New Roman;Times;serif" w:hAnsi="Times New Roman;Times;serif"/>
          <w:sz w:val="20"/>
        </w:rPr>
        <w:t xml:space="preserve">During the first six months of fiscal 2024, the Company received net proceeds of $272.7 million under the Credit Facility, $58.6 million under the Securitization Program, and $30.8 million under other short-term debt. During the first six months of fiscal 2024, the Company paid dividends on common stock of $56.1 million and repurchased $86.0 million of common stock. </w:t>
      </w:r>
    </w:p>
    <w:p>
      <w:pPr>
        <w:pStyle w:val="TextBody"/>
        <w:bidi w:val="0"/>
        <w:spacing w:before="0" w:after="0"/>
        <w:ind w:left="0" w:right="0" w:firstLine="480"/>
        <w:jc w:val="left"/>
        <w:rPr/>
      </w:pPr>
      <w:r>
        <w:rPr/>
        <w:t>​</w:t>
      </w:r>
    </w:p>
    <w:p>
      <w:pPr>
        <w:pStyle w:val="TextBody"/>
        <w:bidi w:val="0"/>
        <w:spacing w:before="0" w:after="0"/>
        <w:ind w:left="0" w:right="0" w:firstLine="480"/>
        <w:jc w:val="left"/>
        <w:rPr>
          <w:rFonts w:ascii="Times New Roman;Times;serif" w:hAnsi="Times New Roman;Times;serif"/>
          <w:sz w:val="20"/>
        </w:rPr>
      </w:pPr>
      <w:bookmarkStart w:id="1127" w:name="_Hlk151992539"/>
      <w:bookmarkEnd w:id="1127"/>
      <w:r>
        <w:rPr>
          <w:rFonts w:ascii="Times New Roman;Times;serif" w:hAnsi="Times New Roman;Times;serif"/>
          <w:sz w:val="20"/>
        </w:rPr>
        <w:t>During the first six months of fiscal 2023, the Company received net proceeds of $1.13 billion and $352.2 million under the Credit Facility and the Securitization Program, respectively, and $47.7 million under other short-term debt. During the first six months of fiscal 2023, the Company paid dividends on common stock of $53.3 million and repurchased $221.3 million of common stock.</w:t>
      </w:r>
    </w:p>
    <w:p>
      <w:pPr>
        <w:pStyle w:val="TextBody"/>
        <w:bidi w:val="0"/>
        <w:spacing w:before="0" w:after="0"/>
        <w:ind w:left="0" w:right="0" w:firstLine="480"/>
        <w:jc w:val="left"/>
        <w:rPr/>
      </w:pPr>
      <w:r>
        <w:rPr/>
        <w:t>​</w:t>
      </w:r>
    </w:p>
    <w:p>
      <w:pPr>
        <w:pStyle w:val="TextBody"/>
        <w:bidi w:val="0"/>
        <w:spacing w:before="0" w:after="0"/>
        <w:ind w:left="0" w:right="0" w:firstLine="480"/>
        <w:jc w:val="left"/>
        <w:rPr>
          <w:rFonts w:ascii="Times New Roman;Times;serif" w:hAnsi="Times New Roman;Times;serif"/>
          <w:i/>
          <w:sz w:val="20"/>
        </w:rPr>
      </w:pPr>
      <w:r>
        <w:rPr>
          <w:rFonts w:ascii="Times New Roman;Times;serif" w:hAnsi="Times New Roman;Times;serif"/>
          <w:i/>
          <w:sz w:val="20"/>
        </w:rPr>
        <w:t>Cash Flow from Investing Activities</w:t>
      </w:r>
    </w:p>
    <w:p>
      <w:pPr>
        <w:pStyle w:val="TextBody"/>
        <w:bidi w:val="0"/>
        <w:spacing w:before="0" w:after="0"/>
        <w:ind w:left="0" w:right="0" w:firstLine="480"/>
        <w:jc w:val="left"/>
        <w:rPr/>
      </w:pPr>
      <w:r>
        <w:rPr/>
        <w:t>​</w:t>
      </w:r>
    </w:p>
    <w:p>
      <w:pPr>
        <w:pStyle w:val="TextBody"/>
        <w:bidi w:val="0"/>
        <w:spacing w:before="0" w:after="0"/>
        <w:ind w:left="0" w:right="0" w:firstLine="480"/>
        <w:jc w:val="left"/>
        <w:rPr>
          <w:rFonts w:ascii="Times New Roman;Times;serif" w:hAnsi="Times New Roman;Times;serif"/>
          <w:sz w:val="20"/>
        </w:rPr>
      </w:pPr>
      <w:r>
        <w:rPr>
          <w:rFonts w:ascii="Times New Roman;Times;serif" w:hAnsi="Times New Roman;Times;serif"/>
          <w:sz w:val="20"/>
        </w:rPr>
        <w:t>During the first six months of fiscal 2024, the Company used $158.1 million for capital expenditures as compared to $111.4 million for capital expenditures in the first six months of fiscal 2023. The increase in capital expenditures is primarily due to distribution center expansions in EMEA.</w:t>
      </w:r>
    </w:p>
    <w:p>
      <w:pPr>
        <w:pStyle w:val="TextBody"/>
        <w:bidi w:val="0"/>
        <w:spacing w:before="0" w:after="0"/>
        <w:ind w:left="0" w:right="0" w:firstLine="48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Contractual Obligations</w:t>
      </w:r>
    </w:p>
    <w:p>
      <w:pPr>
        <w:pStyle w:val="TextBody"/>
        <w:bidi w:val="0"/>
        <w:spacing w:before="0" w:after="0"/>
        <w:ind w:left="0" w:right="0" w:firstLine="480"/>
        <w:jc w:val="left"/>
        <w:rPr/>
      </w:pPr>
      <w:r>
        <w:rPr/>
        <w:t>​</w:t>
      </w:r>
    </w:p>
    <w:p>
      <w:pPr>
        <w:pStyle w:val="TextBody"/>
        <w:bidi w:val="0"/>
        <w:spacing w:before="0" w:after="0"/>
        <w:ind w:left="0" w:right="0" w:firstLine="480"/>
        <w:jc w:val="left"/>
        <w:rPr>
          <w:rFonts w:ascii="Times New Roman;Times;serif" w:hAnsi="Times New Roman;Times;serif"/>
          <w:sz w:val="20"/>
        </w:rPr>
      </w:pPr>
      <w:r>
        <w:rPr>
          <w:rFonts w:ascii="Times New Roman;Times;serif" w:hAnsi="Times New Roman;Times;serif"/>
          <w:sz w:val="20"/>
        </w:rPr>
        <w:t xml:space="preserve">For a detailed description of the Company’s long-term debt and lease commitments for the next five years and thereafter, see </w:t>
      </w:r>
      <w:r>
        <w:rPr>
          <w:rFonts w:ascii="Times New Roman;Times;serif" w:hAnsi="Times New Roman;Times;serif"/>
          <w:i/>
          <w:sz w:val="20"/>
        </w:rPr>
        <w:t>Long-Term Contractual Obligations</w:t>
      </w:r>
      <w:r>
        <w:rPr>
          <w:rFonts w:ascii="Times New Roman;Times;serif" w:hAnsi="Times New Roman;Times;serif"/>
          <w:sz w:val="20"/>
        </w:rPr>
        <w:t xml:space="preserve"> appearing in Item 7 of the Company’s Annual Report on Form 10-K for the fiscal year ended July 1, 2023. There are no material changes to this information outside of normal borrowings and repayments of long-term debt and operating lease payments. The Company does not currently have any material non-cancellable commitments for capital expenditures or inventory purchases outside of the normal course of business.</w:t>
      </w:r>
    </w:p>
    <w:p>
      <w:pPr>
        <w:pStyle w:val="TextBody"/>
        <w:bidi w:val="0"/>
        <w:spacing w:before="0" w:after="0"/>
        <w:ind w:left="0" w:right="0" w:firstLine="48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Financing Transactions</w:t>
      </w:r>
    </w:p>
    <w:p>
      <w:pPr>
        <w:pStyle w:val="TextBody"/>
        <w:bidi w:val="0"/>
        <w:spacing w:before="0" w:after="0"/>
        <w:ind w:left="0" w:right="0" w:hanging="0"/>
        <w:jc w:val="left"/>
        <w:rPr/>
      </w:pPr>
      <w:r>
        <w:rPr/>
        <w:t>​</w:t>
      </w:r>
    </w:p>
    <w:p>
      <w:pPr>
        <w:pStyle w:val="TextBody"/>
        <w:bidi w:val="0"/>
        <w:spacing w:before="0" w:after="0"/>
        <w:ind w:left="0" w:right="0" w:firstLine="480"/>
        <w:jc w:val="left"/>
        <w:rPr>
          <w:rFonts w:ascii="Times New Roman;Times;serif" w:hAnsi="Times New Roman;Times;serif"/>
          <w:sz w:val="20"/>
        </w:rPr>
      </w:pPr>
      <w:r>
        <w:rPr>
          <w:rFonts w:ascii="Times New Roman;Times;serif" w:hAnsi="Times New Roman;Times;serif"/>
          <w:sz w:val="20"/>
        </w:rPr>
        <w:t>See Note 4, “Debt” to the Company’s consolidated financial statements included in this Quarterly Report on Form 10-Q for additional information on financing transactions including the Credit Facility, the Securitization Program, and other outstanding debt as of December 30, 2023. The Company was in compliance with all covenants under the Credit Facility and the Securitization Program as of December 30, 2023, and July 1, 2023.</w:t>
      </w:r>
    </w:p>
    <w:p>
      <w:pPr>
        <w:pStyle w:val="TextBody"/>
        <w:bidi w:val="0"/>
        <w:spacing w:before="0" w:after="0"/>
        <w:ind w:left="0" w:right="0" w:firstLine="48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lineRule="auto" w:line="343"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475"/>
        <w:jc w:val="left"/>
        <w:rPr>
          <w:rFonts w:ascii="Times New Roman;Times;serif" w:hAnsi="Times New Roman;Times;serif"/>
          <w:sz w:val="20"/>
        </w:rPr>
      </w:pPr>
      <w:r>
        <w:rPr>
          <w:rFonts w:ascii="Times New Roman;Times;serif" w:hAnsi="Times New Roman;Times;serif"/>
          <w:sz w:val="20"/>
        </w:rPr>
        <w:t>The Company has various lines of credit, financing arrangements, and other forms of bank debt in the U.S. and various foreign locations to fund the short-term working capital, foreign exchange, overdraft, capital expenditure, and letter of credit needs of its wholly owned subsidiaries. Outstanding borrowings under such forms of debt at the end of second quarter of fiscal 2024 was $105.1 million.</w:t>
      </w:r>
    </w:p>
    <w:p>
      <w:pPr>
        <w:pStyle w:val="TextBody"/>
        <w:bidi w:val="0"/>
        <w:spacing w:before="0" w:after="0"/>
        <w:ind w:left="0" w:right="0" w:firstLine="480"/>
        <w:jc w:val="left"/>
        <w:rPr/>
      </w:pPr>
      <w:r>
        <w:rPr/>
        <w:t>​</w:t>
      </w:r>
    </w:p>
    <w:p>
      <w:pPr>
        <w:pStyle w:val="TextBody"/>
        <w:bidi w:val="0"/>
        <w:spacing w:before="0" w:after="0"/>
        <w:ind w:left="0" w:right="0" w:firstLine="475"/>
        <w:jc w:val="left"/>
        <w:rPr>
          <w:rFonts w:ascii="Times New Roman;Times;serif" w:hAnsi="Times New Roman;Times;serif"/>
          <w:sz w:val="20"/>
        </w:rPr>
      </w:pPr>
      <w:r>
        <w:rPr>
          <w:rFonts w:ascii="Times New Roman;Times;serif" w:hAnsi="Times New Roman;Times;serif"/>
          <w:sz w:val="20"/>
        </w:rPr>
        <w:t>As an alternative form of liquidity outside of the United States, the Company sells certain of its trade accounts receivable on a non-recourse basis to financial institutions pursuant to factoring agreements. The Company accounts for these transactions as sales of receivables and presents cash proceeds as cash provided by operating activities in the consolidated statements of cash flows. Factoring fees for the sales of trade accounts receivable are recorded within “Interest and other financing expenses, net” and were not material to the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Liquidity</w:t>
      </w:r>
    </w:p>
    <w:p>
      <w:pPr>
        <w:pStyle w:val="TextBody"/>
        <w:bidi w:val="0"/>
        <w:spacing w:before="0" w:after="0"/>
        <w:ind w:left="0" w:right="0" w:hanging="0"/>
        <w:jc w:val="left"/>
        <w:rPr/>
      </w:pPr>
      <w:r>
        <w:rPr/>
        <w:t>​</w:t>
      </w:r>
    </w:p>
    <w:p>
      <w:pPr>
        <w:pStyle w:val="TextBody"/>
        <w:bidi w:val="0"/>
        <w:spacing w:before="0" w:after="0"/>
        <w:ind w:left="0" w:right="0" w:firstLine="480"/>
        <w:jc w:val="left"/>
        <w:rPr>
          <w:rFonts w:ascii="Times New Roman;Times;serif" w:hAnsi="Times New Roman;Times;serif"/>
          <w:sz w:val="20"/>
        </w:rPr>
      </w:pPr>
      <w:r>
        <w:rPr>
          <w:rFonts w:ascii="Times New Roman;Times;serif" w:hAnsi="Times New Roman;Times;serif"/>
          <w:sz w:val="20"/>
        </w:rPr>
        <w:t>The Company held cash and cash equivalents of $272.9 million as of December 30, 2023, of which $178.7 million was held outside the United States. As of July 1, 2023, the Company held cash and cash equivalents of $288.2 million, of which $194.5 million was held outside of the United States.</w:t>
      </w:r>
    </w:p>
    <w:p>
      <w:pPr>
        <w:pStyle w:val="TextBody"/>
        <w:bidi w:val="0"/>
        <w:spacing w:before="0" w:after="0"/>
        <w:ind w:left="0" w:right="0" w:firstLine="480"/>
        <w:jc w:val="left"/>
        <w:rPr/>
      </w:pPr>
      <w:r>
        <w:rPr/>
        <w:t>​</w:t>
      </w:r>
    </w:p>
    <w:p>
      <w:pPr>
        <w:pStyle w:val="TextBody"/>
        <w:bidi w:val="0"/>
        <w:spacing w:before="0" w:after="0"/>
        <w:ind w:left="0" w:right="0" w:firstLine="480"/>
        <w:jc w:val="left"/>
        <w:rPr>
          <w:rFonts w:ascii="Times New Roman;Times;serif" w:hAnsi="Times New Roman;Times;serif"/>
          <w:sz w:val="20"/>
        </w:rPr>
      </w:pPr>
      <w:r>
        <w:rPr>
          <w:rFonts w:ascii="Times New Roman;Times;serif" w:hAnsi="Times New Roman;Times;serif"/>
          <w:sz w:val="20"/>
        </w:rPr>
        <w:t>During periods of weakening demand in the electronic components industry, the Company typically generates cash from operating activities. Conversely, the Company will use cash for working capital requirements during periods of higher growth. The Company generated $169.2 million in cash flows for operating activities over the trailing four fiscal quarters ended December 30, 2023.</w:t>
      </w:r>
    </w:p>
    <w:p>
      <w:pPr>
        <w:pStyle w:val="TextBody"/>
        <w:bidi w:val="0"/>
        <w:spacing w:before="0" w:after="0"/>
        <w:ind w:left="0" w:right="0" w:firstLine="475"/>
        <w:jc w:val="left"/>
        <w:rPr/>
      </w:pPr>
      <w:r>
        <w:rPr/>
        <w:t>​</w:t>
      </w:r>
    </w:p>
    <w:p>
      <w:pPr>
        <w:pStyle w:val="TextBody"/>
        <w:bidi w:val="0"/>
        <w:spacing w:before="0" w:after="0"/>
        <w:ind w:left="0" w:right="0" w:firstLine="475"/>
        <w:jc w:val="left"/>
        <w:rPr>
          <w:rFonts w:ascii="Times New Roman;Times;serif" w:hAnsi="Times New Roman;Times;serif"/>
          <w:sz w:val="20"/>
        </w:rPr>
      </w:pPr>
      <w:r>
        <w:rPr>
          <w:rFonts w:ascii="Times New Roman;Times;serif" w:hAnsi="Times New Roman;Times;serif"/>
          <w:sz w:val="20"/>
        </w:rPr>
        <w:t>Liquidity is subject to many factors, such as normal business operations and general economic, financial, competitive, legislative, and regulatory factors that are beyond the Company’s control. To the extent the cash balances held in foreign locations cannot be remitted back to the U.S. in a tax efficient manner, those cash balances are generally used for ongoing working capital, including the need to purchase inventories, capital expenditures and other foreign business needs. In addition, local government regulations may restrict the Company’s ability to move funds among various locations under certain circumstances. Management does not believe such restrictions would limit the Company’s ability to pursue its intended business strategy.</w:t>
      </w:r>
    </w:p>
    <w:p>
      <w:pPr>
        <w:pStyle w:val="TextBody"/>
        <w:bidi w:val="0"/>
        <w:spacing w:before="0" w:after="0"/>
        <w:ind w:left="0" w:right="0" w:firstLine="480"/>
        <w:jc w:val="left"/>
        <w:rPr/>
      </w:pPr>
      <w:r>
        <w:rPr/>
        <w:t>​</w:t>
      </w:r>
    </w:p>
    <w:p>
      <w:pPr>
        <w:pStyle w:val="TextBody"/>
        <w:bidi w:val="0"/>
        <w:spacing w:before="0" w:after="0"/>
        <w:ind w:left="0" w:right="0" w:firstLine="475"/>
        <w:jc w:val="left"/>
        <w:rPr>
          <w:rFonts w:ascii="Times New Roman;Times;serif" w:hAnsi="Times New Roman;Times;serif"/>
          <w:sz w:val="20"/>
        </w:rPr>
      </w:pPr>
      <w:r>
        <w:rPr>
          <w:rFonts w:ascii="Times New Roman;Times;serif" w:hAnsi="Times New Roman;Times;serif"/>
          <w:sz w:val="20"/>
        </w:rPr>
        <w:t>As of the end of the second quarter of fiscal 2024, the Company had a combined total borrowing capacity of $2.20 billion under the Credit Facility and the Securitization Program. There were $1.09 billion of borrowings outstanding and $0.9 million in letters of credit issued under the Credit Facility, and $614.4 million outstanding under the Securitization Program, resulting in approximately $493.0 million of total committed availability as of December 30, 2023. Availability under the Securitization Program is subject to the Company having sufficient eligible trade accounts receivable in the United States to support desired borrowings.</w:t>
      </w:r>
    </w:p>
    <w:p>
      <w:pPr>
        <w:pStyle w:val="TextBody"/>
        <w:bidi w:val="0"/>
        <w:spacing w:before="0" w:after="0"/>
        <w:ind w:left="0" w:right="0" w:firstLine="480"/>
        <w:jc w:val="left"/>
        <w:rPr/>
      </w:pPr>
      <w:r>
        <w:rPr/>
        <w:t>​</w:t>
      </w:r>
    </w:p>
    <w:p>
      <w:pPr>
        <w:pStyle w:val="TextBody"/>
        <w:bidi w:val="0"/>
        <w:spacing w:before="0" w:after="0"/>
        <w:ind w:left="0" w:right="0" w:firstLine="480"/>
        <w:jc w:val="left"/>
        <w:rPr>
          <w:rFonts w:ascii="Times New Roman;Times;serif" w:hAnsi="Times New Roman;Times;serif"/>
          <w:sz w:val="20"/>
        </w:rPr>
      </w:pPr>
      <w:r>
        <w:rPr>
          <w:rFonts w:ascii="Times New Roman;Times;serif" w:hAnsi="Times New Roman;Times;serif"/>
          <w:sz w:val="20"/>
        </w:rPr>
        <w:t>During the second quarter and first six months of fiscal 2024, the Company had an average daily balance outstanding of approximately $1.30 billion and $1.23 billion, respectively, under the Credit Facility and approximately $612.3 million and $618.6 million, respectively, under the Securitization Program.</w:t>
      </w:r>
    </w:p>
    <w:p>
      <w:pPr>
        <w:pStyle w:val="TextBody"/>
        <w:bidi w:val="0"/>
        <w:spacing w:before="0" w:after="0"/>
        <w:ind w:left="0" w:right="0" w:firstLine="475"/>
        <w:jc w:val="left"/>
        <w:rPr/>
      </w:pPr>
      <w:r>
        <w:rPr/>
        <w:t>​</w:t>
      </w:r>
    </w:p>
    <w:p>
      <w:pPr>
        <w:pStyle w:val="TextBody"/>
        <w:bidi w:val="0"/>
        <w:spacing w:before="0" w:after="0"/>
        <w:ind w:left="0" w:right="0" w:firstLine="475"/>
        <w:jc w:val="left"/>
        <w:rPr>
          <w:rFonts w:ascii="Times New Roman;Times;serif" w:hAnsi="Times New Roman;Times;serif"/>
          <w:sz w:val="20"/>
        </w:rPr>
      </w:pPr>
      <w:r>
        <w:rPr>
          <w:rFonts w:ascii="Times New Roman;Times;serif" w:hAnsi="Times New Roman;Times;serif"/>
          <w:sz w:val="20"/>
        </w:rPr>
        <w:t>As of December 30, 2023, the Company may repurchase up to an aggregate of $232.5 million of shares of the Company’s common stock through the share repurchase program approved by the Board of Directors. The Company may repurchase stock from time to time at the discretion of management, subject to strategic considerations, market conditions including share price and other factors. The Company may terminate or limit the share repurchase program at any time without prior notice. During the second quarter of fiscal 2024, the Company repurchased $59.0 million of common stock.</w:t>
      </w:r>
    </w:p>
    <w:p>
      <w:pPr>
        <w:pStyle w:val="TextBody"/>
        <w:bidi w:val="0"/>
        <w:spacing w:before="0" w:after="0"/>
        <w:ind w:left="0" w:right="0" w:firstLine="475"/>
        <w:jc w:val="left"/>
        <w:rPr/>
      </w:pPr>
      <w:r>
        <w:rPr/>
        <w:t>​</w:t>
      </w:r>
    </w:p>
    <w:p>
      <w:pPr>
        <w:pStyle w:val="TextBody"/>
        <w:bidi w:val="0"/>
        <w:spacing w:before="0" w:after="0"/>
        <w:ind w:left="0" w:right="0" w:firstLine="475"/>
        <w:jc w:val="left"/>
        <w:rPr>
          <w:rFonts w:ascii="Times New Roman;Times;serif" w:hAnsi="Times New Roman;Times;serif"/>
          <w:sz w:val="20"/>
        </w:rPr>
      </w:pPr>
      <w:r>
        <w:rPr>
          <w:rFonts w:ascii="Times New Roman;Times;serif" w:hAnsi="Times New Roman;Times;serif"/>
          <w:sz w:val="20"/>
        </w:rPr>
        <w:t>The Company has historically paid quarterly cash dividends on shares of its common stock, and future dividends are subject to approval by the Board of Directors. During the second quarter of fiscal 2024, the Board of Directors approved a dividend of $0.31 per share, which resulted in $27.8 million of dividend payments during the quarter.</w:t>
      </w:r>
    </w:p>
    <w:p>
      <w:pPr>
        <w:pStyle w:val="TextBody"/>
        <w:bidi w:val="0"/>
        <w:spacing w:before="0" w:after="0"/>
        <w:ind w:left="0" w:right="0" w:firstLine="475"/>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lineRule="auto" w:line="343"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475"/>
        <w:jc w:val="left"/>
        <w:rPr>
          <w:rFonts w:ascii="Times New Roman;Times;serif" w:hAnsi="Times New Roman;Times;serif"/>
          <w:sz w:val="20"/>
        </w:rPr>
      </w:pPr>
      <w:r>
        <w:rPr>
          <w:rFonts w:ascii="Times New Roman;Times;serif" w:hAnsi="Times New Roman;Times;serif"/>
          <w:sz w:val="20"/>
        </w:rPr>
        <w:t xml:space="preserve">The Company continually monitors and reviews its liquidity position and funding needs. Management believes that the Company’s ability to generate operating cash flows through the liquidation of working capital in the future and available borrowing capacity, including capacity for the non-recourse sale of trade accounts receivable, will be sufficient to meet its future liquidity needs. Additionally, the Company believes that it has sufficient access to additional liquidity from the capital markets if necessary. </w:t>
      </w:r>
    </w:p>
    <w:p>
      <w:pPr>
        <w:pStyle w:val="TextBody"/>
        <w:bidi w:val="0"/>
        <w:spacing w:before="0" w:after="0"/>
        <w:ind w:left="0" w:right="0" w:firstLine="475"/>
        <w:jc w:val="left"/>
        <w:rPr/>
      </w:pPr>
      <w:r>
        <w:rPr/>
        <w:t>​</w:t>
      </w:r>
    </w:p>
    <w:p>
      <w:pPr>
        <w:pStyle w:val="TextBody"/>
        <w:bidi w:val="0"/>
        <w:spacing w:before="0" w:after="0"/>
        <w:ind w:left="0" w:right="0" w:firstLine="480"/>
        <w:jc w:val="left"/>
        <w:rPr>
          <w:rFonts w:ascii="Times New Roman;Times;serif" w:hAnsi="Times New Roman;Times;serif"/>
          <w:b/>
          <w:i/>
          <w:sz w:val="20"/>
        </w:rPr>
      </w:pPr>
      <w:r>
        <w:rPr>
          <w:rFonts w:ascii="Times New Roman;Times;serif" w:hAnsi="Times New Roman;Times;serif"/>
          <w:b/>
          <w:i/>
          <w:sz w:val="20"/>
        </w:rPr>
        <w:t>Recently Issued Accounting Pronouncements</w:t>
      </w:r>
    </w:p>
    <w:p>
      <w:pPr>
        <w:pStyle w:val="TextBody"/>
        <w:bidi w:val="0"/>
        <w:spacing w:before="0" w:after="0"/>
        <w:ind w:left="0" w:right="0" w:firstLine="480"/>
        <w:jc w:val="left"/>
        <w:rPr/>
      </w:pPr>
      <w:r>
        <w:rPr/>
        <w:t>​</w:t>
      </w:r>
    </w:p>
    <w:p>
      <w:pPr>
        <w:pStyle w:val="TextBody"/>
        <w:bidi w:val="0"/>
        <w:spacing w:before="0" w:after="0"/>
        <w:ind w:left="0" w:right="0" w:firstLine="480"/>
        <w:jc w:val="left"/>
        <w:rPr>
          <w:rFonts w:ascii="Times New Roman;Times;serif" w:hAnsi="Times New Roman;Times;serif"/>
          <w:sz w:val="20"/>
        </w:rPr>
      </w:pPr>
      <w:r>
        <w:rPr>
          <w:rFonts w:ascii="Times New Roman;Times;serif" w:hAnsi="Times New Roman;Times;serif"/>
          <w:sz w:val="20"/>
        </w:rPr>
        <w:t>See Note 1, “Basis of presentation and new accounting pronouncements” to the Company’s consolidated financial statements included in this Quarterly Report on Form 10-Q for a description of recently issued accounting pronouncements.</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128" w:name="Item_3_Quantitative_and_Qualitative_Disc"/>
      <w:bookmarkStart w:id="1129" w:name="_07b26732_54ac_4327_baad_fcab7c134cac"/>
      <w:bookmarkStart w:id="1130" w:name="Item_3_Quantitative_and_Qualitative_Disc"/>
      <w:bookmarkStart w:id="1131" w:name="_07b26732_54ac_4327_baad_fcab7c134cac"/>
      <w:bookmarkEnd w:id="1130"/>
      <w:bookmarkEnd w:id="1131"/>
    </w:p>
    <w:tbl>
      <w:tblPr>
        <w:tblW w:w="5852" w:type="dxa"/>
        <w:jc w:val="left"/>
        <w:tblInd w:w="0" w:type="dxa"/>
        <w:tblLayout w:type="fixed"/>
        <w:tblCellMar>
          <w:top w:w="0" w:type="dxa"/>
          <w:left w:w="0" w:type="dxa"/>
          <w:bottom w:w="0" w:type="dxa"/>
          <w:right w:w="0" w:type="dxa"/>
        </w:tblCellMar>
      </w:tblPr>
      <w:tblGrid>
        <w:gridCol w:w="706"/>
        <w:gridCol w:w="5146"/>
      </w:tblGrid>
      <w:tr>
        <w:trPr/>
        <w:tc>
          <w:tcPr>
            <w:tcW w:w="706"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Item 3.</w:t>
            </w:r>
          </w:p>
        </w:tc>
        <w:tc>
          <w:tcPr>
            <w:tcW w:w="5146" w:type="dxa"/>
            <w:tcBorders/>
            <w:vAlign w:val="center"/>
          </w:tcPr>
          <w:p>
            <w:pPr>
              <w:pStyle w:val="TableContents"/>
              <w:bidi w:val="0"/>
              <w:spacing w:before="0" w:after="0"/>
              <w:jc w:val="left"/>
              <w:rPr>
                <w:rFonts w:ascii="Times New Roman;Times;serif" w:hAnsi="Times New Roman;Times;serif"/>
                <w:b/>
                <w:i/>
                <w:sz w:val="20"/>
              </w:rPr>
            </w:pPr>
            <w:r>
              <w:rPr>
                <w:rFonts w:ascii="Times New Roman;Times;serif" w:hAnsi="Times New Roman;Times;serif"/>
                <w:b/>
                <w:i/>
                <w:sz w:val="20"/>
              </w:rPr>
              <w:t>Quantitative and Qualitative Disclosures About Market Risk</w:t>
            </w:r>
          </w:p>
        </w:tc>
      </w:tr>
    </w:tbl>
    <w:p>
      <w:pPr>
        <w:pStyle w:val="TextBody"/>
        <w:bidi w:val="0"/>
        <w:spacing w:before="0" w:after="0"/>
        <w:ind w:left="1080" w:right="0" w:hanging="0"/>
        <w:jc w:val="left"/>
        <w:rPr/>
      </w:pPr>
      <w:r>
        <w:rPr/>
        <w:t>​</w:t>
      </w:r>
    </w:p>
    <w:p>
      <w:pPr>
        <w:pStyle w:val="TextBody"/>
        <w:bidi w:val="0"/>
        <w:spacing w:before="0" w:after="0"/>
        <w:ind w:left="0" w:right="0" w:firstLine="480"/>
        <w:jc w:val="left"/>
        <w:rPr>
          <w:rFonts w:ascii="Times New Roman;Times;serif" w:hAnsi="Times New Roman;Times;serif"/>
          <w:sz w:val="20"/>
        </w:rPr>
      </w:pPr>
      <w:r>
        <w:rPr>
          <w:rFonts w:ascii="Times New Roman;Times;serif" w:hAnsi="Times New Roman;Times;serif"/>
          <w:sz w:val="20"/>
        </w:rPr>
        <w:t>The Company seeks to reduce earnings and cash flow volatility associated with changes in interest rates and foreign currency exchange rates by entering into financial arrangements, from time to time, that are intended to provide an economic hedge against some or all, of the risks associated with such volatility. The Company continues to have exposure to such risks to the extent they are not economically hedged.</w:t>
      </w:r>
    </w:p>
    <w:p>
      <w:pPr>
        <w:pStyle w:val="TextBody"/>
        <w:bidi w:val="0"/>
        <w:spacing w:before="0" w:after="0"/>
        <w:ind w:left="0" w:right="0" w:firstLine="480"/>
        <w:jc w:val="left"/>
        <w:rPr/>
      </w:pPr>
      <w:r>
        <w:rPr/>
        <w:t>​</w:t>
      </w:r>
    </w:p>
    <w:p>
      <w:pPr>
        <w:pStyle w:val="TextBody"/>
        <w:bidi w:val="0"/>
        <w:spacing w:before="0" w:after="0"/>
        <w:ind w:left="0" w:right="0" w:firstLine="475"/>
        <w:jc w:val="left"/>
        <w:rPr>
          <w:rFonts w:ascii="Times New Roman;Times;serif" w:hAnsi="Times New Roman;Times;serif"/>
          <w:sz w:val="20"/>
        </w:rPr>
      </w:pPr>
      <w:r>
        <w:rPr>
          <w:rFonts w:ascii="Times New Roman;Times;serif" w:hAnsi="Times New Roman;Times;serif"/>
          <w:sz w:val="20"/>
        </w:rPr>
        <w:t xml:space="preserve">See Item 7A, </w:t>
      </w:r>
      <w:r>
        <w:rPr>
          <w:rFonts w:ascii="Times New Roman;Times;serif" w:hAnsi="Times New Roman;Times;serif"/>
          <w:i/>
          <w:sz w:val="20"/>
        </w:rPr>
        <w:t>Quantitative and Qualitative Disclosures About Market Risk</w:t>
      </w:r>
      <w:r>
        <w:rPr>
          <w:rFonts w:ascii="Times New Roman;Times;serif" w:hAnsi="Times New Roman;Times;serif"/>
          <w:sz w:val="20"/>
        </w:rPr>
        <w:t>, in the Company’s Annual Report on Form 10-K for the fiscal year ended July 1, 2023, for further discussion of market risks associated with foreign currency exchange rates and interest rates. Avnet’s exposure to such risks has not changed materially since July 1, 2023, as the Company continues to economically hedge the majority of its foreign currency exchange exposures. Thus, any increase or decrease in the fair value of the Company’s forward foreign currency exchange contracts is generally offset by an opposite effect on the related economically hedged position. For interest rate risk, the Company continues to maintain a combination of fixed and variable rate debt to mitigate the exposure to fluctuations in market interest rates.</w:t>
      </w:r>
    </w:p>
    <w:p>
      <w:pPr>
        <w:pStyle w:val="TextBody"/>
        <w:bidi w:val="0"/>
        <w:spacing w:before="0" w:after="0"/>
        <w:ind w:left="0" w:right="0" w:firstLine="480"/>
        <w:jc w:val="left"/>
        <w:rPr/>
      </w:pPr>
      <w:r>
        <w:rPr/>
        <w:t>​</w:t>
      </w:r>
    </w:p>
    <w:p>
      <w:pPr>
        <w:pStyle w:val="TextBody"/>
        <w:bidi w:val="0"/>
        <w:spacing w:before="0" w:after="0"/>
        <w:ind w:left="0" w:right="0" w:firstLine="475"/>
        <w:jc w:val="left"/>
        <w:rPr>
          <w:rFonts w:ascii="Times New Roman;Times;serif" w:hAnsi="Times New Roman;Times;serif"/>
          <w:sz w:val="20"/>
        </w:rPr>
      </w:pPr>
      <w:r>
        <w:rPr>
          <w:rFonts w:ascii="Times New Roman;Times;serif" w:hAnsi="Times New Roman;Times;serif"/>
          <w:sz w:val="20"/>
        </w:rPr>
        <w:t xml:space="preserve">See </w:t>
      </w:r>
      <w:r>
        <w:rPr>
          <w:rFonts w:ascii="Times New Roman;Times;serif" w:hAnsi="Times New Roman;Times;serif"/>
          <w:i/>
          <w:sz w:val="20"/>
        </w:rPr>
        <w:t>Liquidity and Capital Resources — Financing Transactions</w:t>
      </w:r>
      <w:r>
        <w:rPr>
          <w:rFonts w:ascii="Times New Roman;Times;serif" w:hAnsi="Times New Roman;Times;serif"/>
          <w:sz w:val="20"/>
        </w:rPr>
        <w:t xml:space="preserve"> appearing in Item 2 of this Quarterly Report on Form 10-Q for further discussion of the Company’s financing transactions and capital structure. As of December 30, 2023, approximately 48% of the Company’s debt bears interest at a fixed rate and 52% of the Company’s debt bears interest at variable rates. Therefore, a hypothetical 1.0% (100 basis points) increase in interest rates would result in a $4.5 million decrease in income before income taxes in the Company’s consolidated statement of operations for the second quarter of fiscal 2024.</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132" w:name="Item_4_Controls_and_Procedures"/>
      <w:bookmarkStart w:id="1133" w:name="_31a26910_cca8_4f05_9c5a_f38f923a4bf0"/>
      <w:bookmarkStart w:id="1134" w:name="Item_4_Controls_and_Procedures"/>
      <w:bookmarkStart w:id="1135" w:name="_31a26910_cca8_4f05_9c5a_f38f923a4bf0"/>
      <w:bookmarkEnd w:id="1134"/>
      <w:bookmarkEnd w:id="1135"/>
    </w:p>
    <w:tbl>
      <w:tblPr>
        <w:tblW w:w="2912" w:type="dxa"/>
        <w:jc w:val="left"/>
        <w:tblInd w:w="0" w:type="dxa"/>
        <w:tblLayout w:type="fixed"/>
        <w:tblCellMar>
          <w:top w:w="0" w:type="dxa"/>
          <w:left w:w="0" w:type="dxa"/>
          <w:bottom w:w="0" w:type="dxa"/>
          <w:right w:w="0" w:type="dxa"/>
        </w:tblCellMar>
      </w:tblPr>
      <w:tblGrid>
        <w:gridCol w:w="706"/>
        <w:gridCol w:w="2206"/>
      </w:tblGrid>
      <w:tr>
        <w:trPr/>
        <w:tc>
          <w:tcPr>
            <w:tcW w:w="706"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Item 4.</w:t>
            </w:r>
          </w:p>
        </w:tc>
        <w:tc>
          <w:tcPr>
            <w:tcW w:w="2206" w:type="dxa"/>
            <w:tcBorders/>
            <w:vAlign w:val="center"/>
          </w:tcPr>
          <w:p>
            <w:pPr>
              <w:pStyle w:val="TableContents"/>
              <w:bidi w:val="0"/>
              <w:spacing w:before="0" w:after="0"/>
              <w:jc w:val="left"/>
              <w:rPr>
                <w:rFonts w:ascii="Times New Roman;Times;serif" w:hAnsi="Times New Roman;Times;serif"/>
                <w:b/>
                <w:i/>
                <w:sz w:val="20"/>
              </w:rPr>
            </w:pPr>
            <w:r>
              <w:rPr>
                <w:rFonts w:ascii="Times New Roman;Times;serif" w:hAnsi="Times New Roman;Times;serif"/>
                <w:b/>
                <w:i/>
                <w:sz w:val="20"/>
              </w:rPr>
              <w:t>Controls and Procedures</w:t>
            </w:r>
          </w:p>
        </w:tc>
      </w:tr>
    </w:tbl>
    <w:p>
      <w:pPr>
        <w:pStyle w:val="TextBody"/>
        <w:bidi w:val="0"/>
        <w:spacing w:before="0" w:after="0"/>
        <w:ind w:left="1080" w:right="0" w:hanging="0"/>
        <w:jc w:val="left"/>
        <w:rPr/>
      </w:pPr>
      <w:r>
        <w:rPr/>
        <w:t>​</w:t>
      </w:r>
    </w:p>
    <w:p>
      <w:pPr>
        <w:pStyle w:val="TextBody"/>
        <w:bidi w:val="0"/>
        <w:spacing w:before="0" w:after="0"/>
        <w:ind w:left="0" w:right="0" w:firstLine="480"/>
        <w:jc w:val="left"/>
        <w:rPr>
          <w:rFonts w:ascii="Times New Roman;Times;serif" w:hAnsi="Times New Roman;Times;serif"/>
          <w:sz w:val="20"/>
        </w:rPr>
      </w:pPr>
      <w:r>
        <w:rPr>
          <w:rFonts w:ascii="Times New Roman;Times;serif" w:hAnsi="Times New Roman;Times;serif"/>
          <w:sz w:val="20"/>
        </w:rPr>
        <w:t>The Company’s management, including its Chief Executive Officer and Chief Financial Officer, have evaluated the effectiveness of the Company’s disclosure controls and procedures (as such term is defined in Rules 13a-15(e) and 15d-15(e) under the Securities Exchange Act of 1934 (the “Exchange Act”)) as of the end of the reporting period covered by this Quarterly Report on Form 10-Q. Based on such evaluation, the Chief Executive Officer and Chief Financial Officer have concluded that, as of the end of the period covered by this Quarterly Report on Form 10-Q, the Company’s disclosure controls and procedures are effective such that material information required to be disclosed by the Company in the reports that it files or submits under the Exchange Act is recorded, processed, summarized, and reported, within the time periods specified by the Securities and Exchange Commission’s rules and forms and is accumulated and communicated to management, including the Company’s principal executive officer and principal financial officer, as appropriate, to allow timely decisions regarding required disclosure.</w:t>
      </w:r>
    </w:p>
    <w:p>
      <w:pPr>
        <w:pStyle w:val="TextBody"/>
        <w:bidi w:val="0"/>
        <w:spacing w:before="0" w:after="0"/>
        <w:ind w:left="0" w:right="0" w:firstLine="480"/>
        <w:jc w:val="left"/>
        <w:rPr/>
      </w:pPr>
      <w:r>
        <w:rPr/>
        <w:t>​</w:t>
      </w:r>
    </w:p>
    <w:p>
      <w:pPr>
        <w:pStyle w:val="TextBody"/>
        <w:bidi w:val="0"/>
        <w:spacing w:before="0" w:after="0"/>
        <w:ind w:left="0" w:right="0" w:firstLine="480"/>
        <w:jc w:val="left"/>
        <w:rPr>
          <w:rFonts w:ascii="Times New Roman;Times;serif" w:hAnsi="Times New Roman;Times;serif"/>
          <w:sz w:val="20"/>
        </w:rPr>
      </w:pPr>
      <w:r>
        <w:rPr>
          <w:rFonts w:ascii="Times New Roman;Times;serif" w:hAnsi="Times New Roman;Times;serif"/>
          <w:sz w:val="20"/>
        </w:rPr>
        <w:t>During the second quarter of fiscal 2024, there were no changes to the Company’s internal control over financial reporting (as defined in Rules 13a-15(f) and 15d-15(f) of the Exchange Act) that materially affected, or are reasonably likely to materially affect, the Company’s internal control over financial reporting.</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lineRule="auto" w:line="343"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136" w:name="PART_II_OTHER_INFORMATION"/>
      <w:bookmarkStart w:id="1137" w:name="_6f8aaa58_1470_4916_950d_51470da12301"/>
      <w:bookmarkEnd w:id="1136"/>
      <w:bookmarkEnd w:id="1137"/>
      <w:r>
        <w:rPr>
          <w:rFonts w:ascii="Times New Roman;Times;serif" w:hAnsi="Times New Roman;Times;serif"/>
          <w:b/>
          <w:sz w:val="20"/>
        </w:rPr>
        <w:t>PART II</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OTHER INFORMATION</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1138" w:name="Item_1_Legal_Proceedings"/>
      <w:bookmarkStart w:id="1139" w:name="Item_1_Legal_Proceedings"/>
      <w:bookmarkEnd w:id="1139"/>
    </w:p>
    <w:tbl>
      <w:tblPr>
        <w:tblW w:w="2402" w:type="dxa"/>
        <w:jc w:val="left"/>
        <w:tblInd w:w="0" w:type="dxa"/>
        <w:tblLayout w:type="fixed"/>
        <w:tblCellMar>
          <w:top w:w="0" w:type="dxa"/>
          <w:left w:w="0" w:type="dxa"/>
          <w:bottom w:w="0" w:type="dxa"/>
          <w:right w:w="0" w:type="dxa"/>
        </w:tblCellMar>
      </w:tblPr>
      <w:tblGrid>
        <w:gridCol w:w="706"/>
        <w:gridCol w:w="1696"/>
      </w:tblGrid>
      <w:tr>
        <w:trPr/>
        <w:tc>
          <w:tcPr>
            <w:tcW w:w="706"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Item 1.</w:t>
            </w:r>
          </w:p>
        </w:tc>
        <w:tc>
          <w:tcPr>
            <w:tcW w:w="1696" w:type="dxa"/>
            <w:tcBorders/>
            <w:vAlign w:val="center"/>
          </w:tcPr>
          <w:p>
            <w:pPr>
              <w:pStyle w:val="TableContents"/>
              <w:bidi w:val="0"/>
              <w:spacing w:before="0" w:after="0"/>
              <w:jc w:val="left"/>
              <w:rPr>
                <w:rFonts w:ascii="Times New Roman;Times;serif" w:hAnsi="Times New Roman;Times;serif"/>
                <w:b/>
                <w:i/>
                <w:sz w:val="20"/>
              </w:rPr>
            </w:pPr>
            <w:r>
              <w:rPr>
                <w:rFonts w:ascii="Times New Roman;Times;serif" w:hAnsi="Times New Roman;Times;serif"/>
                <w:b/>
                <w:i/>
                <w:sz w:val="20"/>
              </w:rPr>
              <w:t>Legal Proceedings</w:t>
            </w:r>
          </w:p>
        </w:tc>
      </w:tr>
    </w:tbl>
    <w:p>
      <w:pPr>
        <w:pStyle w:val="TextBody"/>
        <w:bidi w:val="0"/>
        <w:spacing w:before="0" w:after="0"/>
        <w:ind w:left="1080" w:right="0" w:hanging="0"/>
        <w:jc w:val="left"/>
        <w:rPr/>
      </w:pPr>
      <w:r>
        <w:rPr/>
        <w:t>​</w:t>
      </w:r>
    </w:p>
    <w:p>
      <w:pPr>
        <w:pStyle w:val="TextBody"/>
        <w:bidi w:val="0"/>
        <w:spacing w:before="0" w:after="0"/>
        <w:ind w:left="0" w:right="0" w:firstLine="480"/>
        <w:jc w:val="left"/>
        <w:rPr>
          <w:rFonts w:ascii="Times New Roman;Times;serif" w:hAnsi="Times New Roman;Times;serif"/>
          <w:sz w:val="20"/>
        </w:rPr>
      </w:pPr>
      <w:r>
        <w:rPr>
          <w:rFonts w:ascii="Times New Roman;Times;serif" w:hAnsi="Times New Roman;Times;serif"/>
          <w:sz w:val="20"/>
        </w:rPr>
        <w:t>Pursuant to SEC regulations, including but not limited to Item 103 of Regulation S-K, the Company regularly assesses the status of and developments in pending environmental and other legal proceedings to determine whether any such proceedings should be identified specifically in this discussion of legal proceedings, and has concluded that no particular pending legal proceeding requires public disclosure. Based on the information known to date, management believes that the Company has appropriately accrued in its consolidated financial statements for its share of the estimable costs of environmental and other legal proceedings.</w:t>
      </w:r>
    </w:p>
    <w:p>
      <w:pPr>
        <w:pStyle w:val="TextBody"/>
        <w:bidi w:val="0"/>
        <w:spacing w:before="0" w:after="0"/>
        <w:ind w:left="0" w:right="0" w:firstLine="480"/>
        <w:jc w:val="left"/>
        <w:rPr/>
      </w:pPr>
      <w:r>
        <w:rPr/>
        <w:t>​</w:t>
      </w:r>
    </w:p>
    <w:p>
      <w:pPr>
        <w:pStyle w:val="TextBody"/>
        <w:bidi w:val="0"/>
        <w:spacing w:before="0" w:after="0"/>
        <w:ind w:left="0" w:right="0" w:firstLine="480"/>
        <w:jc w:val="left"/>
        <w:rPr>
          <w:rFonts w:ascii="Times New Roman;Times;serif" w:hAnsi="Times New Roman;Times;serif"/>
          <w:sz w:val="20"/>
        </w:rPr>
      </w:pPr>
      <w:r>
        <w:rPr>
          <w:rFonts w:ascii="Times New Roman;Times;serif" w:hAnsi="Times New Roman;Times;serif"/>
          <w:sz w:val="20"/>
        </w:rPr>
        <w:t>The Company is also currently subject to various pending and potential legal matters and investigations relating to compliance with governmental laws and regulations, including import/export and environmental matters. The Company currently believes that the resolution of such matters will not have a material adverse effect on the Company’s financial position or liquidity, but could possibly be material to its results of operations in any single reporting period.</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140" w:name="Item_1A_Risk_Factors"/>
      <w:bookmarkStart w:id="1141" w:name="Item_1A_Risk_Factors"/>
      <w:bookmarkEnd w:id="1141"/>
    </w:p>
    <w:tbl>
      <w:tblPr>
        <w:tblW w:w="2057" w:type="dxa"/>
        <w:jc w:val="left"/>
        <w:tblInd w:w="0" w:type="dxa"/>
        <w:tblLayout w:type="fixed"/>
        <w:tblCellMar>
          <w:top w:w="0" w:type="dxa"/>
          <w:left w:w="0" w:type="dxa"/>
          <w:bottom w:w="0" w:type="dxa"/>
          <w:right w:w="0" w:type="dxa"/>
        </w:tblCellMar>
      </w:tblPr>
      <w:tblGrid>
        <w:gridCol w:w="841"/>
        <w:gridCol w:w="1216"/>
      </w:tblGrid>
      <w:tr>
        <w:trPr/>
        <w:tc>
          <w:tcPr>
            <w:tcW w:w="841"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Item 1A.</w:t>
            </w:r>
          </w:p>
        </w:tc>
        <w:tc>
          <w:tcPr>
            <w:tcW w:w="1216" w:type="dxa"/>
            <w:tcBorders/>
            <w:vAlign w:val="center"/>
          </w:tcPr>
          <w:p>
            <w:pPr>
              <w:pStyle w:val="TableContents"/>
              <w:bidi w:val="0"/>
              <w:spacing w:before="0" w:after="0"/>
              <w:jc w:val="left"/>
              <w:rPr>
                <w:rFonts w:ascii="Times New Roman;Times;serif" w:hAnsi="Times New Roman;Times;serif"/>
                <w:b/>
                <w:i/>
                <w:sz w:val="20"/>
              </w:rPr>
            </w:pPr>
            <w:r>
              <w:rPr>
                <w:rFonts w:ascii="Times New Roman;Times;serif" w:hAnsi="Times New Roman;Times;serif"/>
                <w:b/>
                <w:i/>
                <w:sz w:val="20"/>
              </w:rPr>
              <w:t>Risk Factors</w:t>
            </w:r>
          </w:p>
        </w:tc>
      </w:tr>
    </w:tbl>
    <w:p>
      <w:pPr>
        <w:pStyle w:val="TextBody"/>
        <w:bidi w:val="0"/>
        <w:spacing w:before="0" w:after="0"/>
        <w:ind w:left="0" w:right="0" w:firstLine="480"/>
        <w:jc w:val="both"/>
        <w:rPr/>
      </w:pPr>
      <w:r>
        <w:rPr/>
        <w:t>​</w:t>
      </w:r>
    </w:p>
    <w:p>
      <w:pPr>
        <w:pStyle w:val="TextBody"/>
        <w:bidi w:val="0"/>
        <w:spacing w:before="0" w:after="0"/>
        <w:ind w:left="0" w:right="0" w:firstLine="480"/>
        <w:jc w:val="left"/>
        <w:rPr>
          <w:rFonts w:ascii="Times New Roman;Times;serif" w:hAnsi="Times New Roman;Times;serif"/>
          <w:sz w:val="20"/>
        </w:rPr>
      </w:pPr>
      <w:r>
        <w:rPr>
          <w:rFonts w:ascii="Times New Roman;Times;serif" w:hAnsi="Times New Roman;Times;serif"/>
          <w:sz w:val="20"/>
        </w:rPr>
        <w:t>The discussion of the Company’s business and operations should be read together with the risk factors contained in Item 1A of its Annual Report on Form 10-K for the fiscal year ended July 1, 2023, which describe various risks and uncertainties to which the Company is or may become subject. These risks and uncertainties have the potential to affect the Company’s business, financial condition, results of operations, cash flows, strategies or prospects in a material and adverse manner. As of December 30, 2023, there have been no material changes to the risk factors set forth in the Company’s Annual Report on Form 10-K for the fiscal year ended July 1, 2023.</w:t>
      </w:r>
    </w:p>
    <w:p>
      <w:pPr>
        <w:pStyle w:val="TextBody"/>
        <w:bidi w:val="0"/>
        <w:spacing w:before="0" w:after="0"/>
        <w:ind w:left="0" w:right="0" w:firstLine="480"/>
        <w:jc w:val="both"/>
        <w:rPr/>
      </w:pPr>
      <w:r>
        <w:rPr/>
        <w:t>​</w:t>
      </w:r>
    </w:p>
    <w:p>
      <w:pPr>
        <w:pStyle w:val="Normal"/>
        <w:bidi w:val="0"/>
        <w:spacing w:before="0" w:after="0"/>
        <w:jc w:val="left"/>
        <w:rPr>
          <w:sz w:val="4"/>
          <w:szCs w:val="4"/>
        </w:rPr>
      </w:pPr>
      <w:r>
        <w:rPr>
          <w:sz w:val="4"/>
          <w:szCs w:val="4"/>
        </w:rPr>
      </w:r>
      <w:bookmarkStart w:id="1142" w:name="Item_2_Unregistered_Sales_of_Equity_Secu"/>
      <w:bookmarkStart w:id="1143" w:name="Item_2_Unregistered_Sales_of_Equity_Secu"/>
      <w:bookmarkEnd w:id="1143"/>
    </w:p>
    <w:tbl>
      <w:tblPr>
        <w:tblW w:w="5777" w:type="dxa"/>
        <w:jc w:val="left"/>
        <w:tblInd w:w="0" w:type="dxa"/>
        <w:tblLayout w:type="fixed"/>
        <w:tblCellMar>
          <w:top w:w="0" w:type="dxa"/>
          <w:left w:w="0" w:type="dxa"/>
          <w:bottom w:w="0" w:type="dxa"/>
          <w:right w:w="0" w:type="dxa"/>
        </w:tblCellMar>
      </w:tblPr>
      <w:tblGrid>
        <w:gridCol w:w="706"/>
        <w:gridCol w:w="5071"/>
      </w:tblGrid>
      <w:tr>
        <w:trPr/>
        <w:tc>
          <w:tcPr>
            <w:tcW w:w="706"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Item 2.</w:t>
            </w:r>
          </w:p>
        </w:tc>
        <w:tc>
          <w:tcPr>
            <w:tcW w:w="5071" w:type="dxa"/>
            <w:tcBorders/>
            <w:vAlign w:val="center"/>
          </w:tcPr>
          <w:p>
            <w:pPr>
              <w:pStyle w:val="TableContents"/>
              <w:bidi w:val="0"/>
              <w:spacing w:before="0" w:after="0"/>
              <w:jc w:val="left"/>
              <w:rPr>
                <w:rFonts w:ascii="Times New Roman;Times;serif" w:hAnsi="Times New Roman;Times;serif"/>
                <w:b/>
                <w:i/>
                <w:sz w:val="20"/>
              </w:rPr>
            </w:pPr>
            <w:r>
              <w:rPr>
                <w:rFonts w:ascii="Times New Roman;Times;serif" w:hAnsi="Times New Roman;Times;serif"/>
                <w:b/>
                <w:i/>
                <w:sz w:val="20"/>
              </w:rPr>
              <w:t>Unregistered Sales of Equity Securities and Use of Proceeds</w:t>
            </w:r>
          </w:p>
        </w:tc>
      </w:tr>
    </w:tbl>
    <w:p>
      <w:pPr>
        <w:pStyle w:val="TextBody"/>
        <w:bidi w:val="0"/>
        <w:spacing w:before="0" w:after="0"/>
        <w:ind w:left="1080" w:right="0" w:hanging="0"/>
        <w:jc w:val="left"/>
        <w:rPr/>
      </w:pPr>
      <w:r>
        <w:rPr/>
        <w:t>​</w:t>
      </w:r>
    </w:p>
    <w:p>
      <w:pPr>
        <w:pStyle w:val="TextBody"/>
        <w:bidi w:val="0"/>
        <w:spacing w:before="0" w:after="0"/>
        <w:ind w:left="0" w:right="0" w:firstLine="480"/>
        <w:jc w:val="left"/>
        <w:rPr>
          <w:rFonts w:ascii="Times New Roman;Times;serif" w:hAnsi="Times New Roman;Times;serif"/>
          <w:sz w:val="20"/>
        </w:rPr>
      </w:pPr>
      <w:r>
        <w:rPr>
          <w:rFonts w:ascii="Times New Roman;Times;serif" w:hAnsi="Times New Roman;Times;serif"/>
          <w:sz w:val="20"/>
        </w:rPr>
        <w:t>The Company’s Board of Directors has approved the repurchase plan of up to an aggregate of $600 million of common stock. The following table includes the Company’s monthly purchases of the Company’s common stock, during the second quarter of fiscal 2024, under the share repurchase program, which is part of a publicly announced plan.</w:t>
      </w:r>
    </w:p>
    <w:p>
      <w:pPr>
        <w:pStyle w:val="TextBody"/>
        <w:bidi w:val="0"/>
        <w:spacing w:before="0" w:after="0"/>
        <w:ind w:left="0" w:right="0" w:firstLine="480"/>
        <w:jc w:val="left"/>
        <w:rPr/>
      </w:pPr>
      <w:r>
        <w:rPr/>
        <w:t>​</w:t>
      </w:r>
    </w:p>
    <w:tbl>
      <w:tblPr>
        <w:tblW w:w="9540" w:type="dxa"/>
        <w:jc w:val="left"/>
        <w:tblInd w:w="0" w:type="dxa"/>
        <w:tblLayout w:type="fixed"/>
        <w:tblCellMar>
          <w:top w:w="0" w:type="dxa"/>
          <w:left w:w="0" w:type="dxa"/>
          <w:bottom w:w="0" w:type="dxa"/>
          <w:right w:w="0" w:type="dxa"/>
        </w:tblCellMar>
      </w:tblPr>
      <w:tblGrid>
        <w:gridCol w:w="2476"/>
        <w:gridCol w:w="326"/>
        <w:gridCol w:w="991"/>
        <w:gridCol w:w="326"/>
        <w:gridCol w:w="222"/>
        <w:gridCol w:w="604"/>
        <w:gridCol w:w="326"/>
        <w:gridCol w:w="1771"/>
        <w:gridCol w:w="326"/>
        <w:gridCol w:w="309"/>
        <w:gridCol w:w="1672"/>
        <w:gridCol w:w="191"/>
      </w:tblGrid>
      <w:tr>
        <w:trPr/>
        <w:tc>
          <w:tcPr>
            <w:tcW w:w="24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1572260" cy="175260"/>
                      <wp:effectExtent l="0" t="0" r="0" b="0"/>
                      <wp:wrapNone/>
                      <wp:docPr id="249" name="Frame249"/>
                      <a:graphic xmlns:a="http://schemas.openxmlformats.org/drawingml/2006/main">
                        <a:graphicData uri="http://schemas.microsoft.com/office/word/2010/wordprocessingShape">
                          <wps:wsp>
                            <wps:cNvSpPr txBox="1"/>
                            <wps:spPr>
                              <a:xfrm>
                                <a:off x="0" y="0"/>
                                <a:ext cx="1572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207010" cy="175260"/>
                      <wp:effectExtent l="0" t="0" r="0" b="0"/>
                      <wp:wrapNone/>
                      <wp:docPr id="250" name="Frame2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29285" cy="175260"/>
                      <wp:effectExtent l="0" t="0" r="0" b="0"/>
                      <wp:wrapNone/>
                      <wp:docPr id="251" name="Frame251"/>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207010" cy="175260"/>
                      <wp:effectExtent l="0" t="0" r="0" b="0"/>
                      <wp:wrapNone/>
                      <wp:docPr id="252" name="Frame2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140970" cy="175260"/>
                      <wp:effectExtent l="0" t="0" r="0" b="0"/>
                      <wp:wrapNone/>
                      <wp:docPr id="253" name="Frame253"/>
                      <a:graphic xmlns:a="http://schemas.openxmlformats.org/drawingml/2006/main">
                        <a:graphicData uri="http://schemas.microsoft.com/office/word/2010/wordprocessingShape">
                          <wps:wsp>
                            <wps:cNvSpPr txBox="1"/>
                            <wps:spPr>
                              <a:xfrm>
                                <a:off x="0" y="0"/>
                                <a:ext cx="140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383540" cy="175260"/>
                      <wp:effectExtent l="0" t="0" r="0" b="0"/>
                      <wp:wrapNone/>
                      <wp:docPr id="254" name="Frame254"/>
                      <a:graphic xmlns:a="http://schemas.openxmlformats.org/drawingml/2006/main">
                        <a:graphicData uri="http://schemas.microsoft.com/office/word/2010/wordprocessingShape">
                          <wps:wsp>
                            <wps:cNvSpPr txBox="1"/>
                            <wps:spPr>
                              <a:xfrm>
                                <a:off x="0" y="0"/>
                                <a:ext cx="3835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207010" cy="175260"/>
                      <wp:effectExtent l="0" t="0" r="0" b="0"/>
                      <wp:wrapNone/>
                      <wp:docPr id="255" name="Frame2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1124585" cy="175260"/>
                      <wp:effectExtent l="0" t="0" r="0" b="0"/>
                      <wp:wrapNone/>
                      <wp:docPr id="256" name="Frame256"/>
                      <a:graphic xmlns:a="http://schemas.openxmlformats.org/drawingml/2006/main">
                        <a:graphicData uri="http://schemas.microsoft.com/office/word/2010/wordprocessingShape">
                          <wps:wsp>
                            <wps:cNvSpPr txBox="1"/>
                            <wps:spPr>
                              <a:xfrm>
                                <a:off x="0" y="0"/>
                                <a:ext cx="1124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207010" cy="175260"/>
                      <wp:effectExtent l="0" t="0" r="0" b="0"/>
                      <wp:wrapNone/>
                      <wp:docPr id="257" name="Frame2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196215" cy="175260"/>
                      <wp:effectExtent l="0" t="0" r="0" b="0"/>
                      <wp:wrapNone/>
                      <wp:docPr id="258" name="Frame258"/>
                      <a:graphic xmlns:a="http://schemas.openxmlformats.org/drawingml/2006/main">
                        <a:graphicData uri="http://schemas.microsoft.com/office/word/2010/wordprocessingShape">
                          <wps:wsp>
                            <wps:cNvSpPr txBox="1"/>
                            <wps:spPr>
                              <a:xfrm>
                                <a:off x="0" y="0"/>
                                <a:ext cx="196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1061720" cy="175260"/>
                      <wp:effectExtent l="0" t="0" r="0" b="0"/>
                      <wp:wrapNone/>
                      <wp:docPr id="259" name="Frame259"/>
                      <a:graphic xmlns:a="http://schemas.openxmlformats.org/drawingml/2006/main">
                        <a:graphicData uri="http://schemas.microsoft.com/office/word/2010/wordprocessingShape">
                          <wps:wsp>
                            <wps:cNvSpPr txBox="1"/>
                            <wps:spPr>
                              <a:xfrm>
                                <a:off x="0" y="0"/>
                                <a:ext cx="10617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121285" cy="175260"/>
                      <wp:effectExtent l="0" t="0" r="0" b="0"/>
                      <wp:wrapNone/>
                      <wp:docPr id="260" name="Frame260"/>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22" w:type="dxa"/>
            <w:tcBorders/>
            <w:vAlign w:val="center"/>
          </w:tcPr>
          <w:p>
            <w:pPr>
              <w:pStyle w:val="TableContents"/>
              <w:bidi w:val="0"/>
              <w:spacing w:before="0" w:after="0"/>
              <w:ind w:left="0" w:right="0" w:hanging="0"/>
              <w:jc w:val="center"/>
              <w:rPr/>
            </w:pPr>
            <w:r>
              <w:rPr/>
              <w:t>​</w:t>
            </w:r>
          </w:p>
        </w:tc>
        <w:tc>
          <w:tcPr>
            <w:tcW w:w="604"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771" w:type="dxa"/>
            <w:tcBorders/>
            <w:vAlign w:val="center"/>
          </w:tcPr>
          <w:p>
            <w:pPr>
              <w:pStyle w:val="TableContents"/>
              <w:bidi w:val="0"/>
              <w:spacing w:before="0" w:after="0"/>
              <w:ind w:left="0" w:right="0" w:hanging="0"/>
              <w:jc w:val="center"/>
              <w:rPr/>
            </w:pPr>
            <w:r>
              <w:rPr/>
              <w:t> </w:t>
            </w:r>
            <w:r>
              <w:rPr>
                <w:rFonts w:ascii="Times New Roman;Times;serif" w:hAnsi="Times New Roman;Times;serif"/>
                <w:b/>
                <w:sz w:val="20"/>
              </w:rPr>
              <w:t>Total Number of </w:t>
            </w:r>
          </w:p>
        </w:tc>
        <w:tc>
          <w:tcPr>
            <w:tcW w:w="326" w:type="dxa"/>
            <w:tcBorders/>
            <w:vAlign w:val="center"/>
          </w:tcPr>
          <w:p>
            <w:pPr>
              <w:pStyle w:val="TableContents"/>
              <w:bidi w:val="0"/>
              <w:spacing w:before="0" w:after="0"/>
              <w:ind w:left="0" w:right="0" w:hanging="0"/>
              <w:jc w:val="center"/>
              <w:rPr/>
            </w:pPr>
            <w:r>
              <w:rPr/>
              <w:t>​</w:t>
            </w:r>
          </w:p>
        </w:tc>
        <w:tc>
          <w:tcPr>
            <w:tcW w:w="1981" w:type="dxa"/>
            <w:gridSpan w:val="2"/>
            <w:tcBorders/>
            <w:vAlign w:val="center"/>
          </w:tcPr>
          <w:p>
            <w:pPr>
              <w:pStyle w:val="TableContents"/>
              <w:bidi w:val="0"/>
              <w:spacing w:before="0" w:after="0"/>
              <w:ind w:left="0" w:right="0" w:hanging="0"/>
              <w:jc w:val="center"/>
              <w:rPr/>
            </w:pPr>
            <w:r>
              <w:rPr/>
              <w:t> </w:t>
            </w:r>
            <w:r>
              <w:rPr>
                <w:rFonts w:ascii="Times New Roman;Times;serif" w:hAnsi="Times New Roman;Times;serif"/>
                <w:b/>
                <w:sz w:val="20"/>
              </w:rPr>
              <w:t>Approximate Dollar </w:t>
            </w:r>
          </w:p>
        </w:tc>
        <w:tc>
          <w:tcPr>
            <w:tcW w:w="191" w:type="dxa"/>
            <w:tcBorders/>
            <w:vAlign w:val="center"/>
          </w:tcPr>
          <w:p>
            <w:pPr>
              <w:pStyle w:val="TableContents"/>
              <w:bidi w:val="0"/>
              <w:spacing w:before="0" w:after="0"/>
              <w:ind w:left="0" w:right="0" w:hanging="0"/>
              <w:jc w:val="center"/>
              <w:rPr/>
            </w:pPr>
            <w:r>
              <w:rPr/>
              <w:t> </w:t>
            </w:r>
          </w:p>
        </w:tc>
      </w:tr>
      <w:tr>
        <w:trPr/>
        <w:tc>
          <w:tcPr>
            <w:tcW w:w="24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w:t>
            </w:r>
          </w:p>
        </w:tc>
        <w:tc>
          <w:tcPr>
            <w:tcW w:w="326" w:type="dxa"/>
            <w:tcBorders/>
            <w:vAlign w:val="center"/>
          </w:tcPr>
          <w:p>
            <w:pPr>
              <w:pStyle w:val="TableContents"/>
              <w:bidi w:val="0"/>
              <w:spacing w:before="0" w:after="0"/>
              <w:ind w:left="0" w:right="0" w:hanging="0"/>
              <w:jc w:val="center"/>
              <w:rPr/>
            </w:pPr>
            <w:r>
              <w:rPr/>
              <w:t>​</w:t>
            </w:r>
          </w:p>
        </w:tc>
        <w:tc>
          <w:tcPr>
            <w:tcW w:w="82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Average</w:t>
            </w:r>
          </w:p>
        </w:tc>
        <w:tc>
          <w:tcPr>
            <w:tcW w:w="326" w:type="dxa"/>
            <w:tcBorders/>
            <w:vAlign w:val="center"/>
          </w:tcPr>
          <w:p>
            <w:pPr>
              <w:pStyle w:val="TableContents"/>
              <w:bidi w:val="0"/>
              <w:spacing w:before="0" w:after="0"/>
              <w:ind w:left="0" w:right="0" w:hanging="0"/>
              <w:jc w:val="center"/>
              <w:rPr/>
            </w:pPr>
            <w:r>
              <w:rPr/>
              <w:t>​</w:t>
            </w:r>
          </w:p>
        </w:tc>
        <w:tc>
          <w:tcPr>
            <w:tcW w:w="1771" w:type="dxa"/>
            <w:tcBorders/>
            <w:vAlign w:val="center"/>
          </w:tcPr>
          <w:p>
            <w:pPr>
              <w:pStyle w:val="TableContents"/>
              <w:bidi w:val="0"/>
              <w:spacing w:before="0" w:after="0"/>
              <w:ind w:left="0" w:right="0" w:hanging="0"/>
              <w:jc w:val="center"/>
              <w:rPr/>
            </w:pPr>
            <w:r>
              <w:rPr/>
              <w:t> </w:t>
            </w:r>
            <w:r>
              <w:rPr>
                <w:rFonts w:ascii="Times New Roman;Times;serif" w:hAnsi="Times New Roman;Times;serif"/>
                <w:b/>
                <w:sz w:val="20"/>
              </w:rPr>
              <w:t>Shares Purchased </w:t>
            </w:r>
          </w:p>
        </w:tc>
        <w:tc>
          <w:tcPr>
            <w:tcW w:w="326" w:type="dxa"/>
            <w:tcBorders/>
            <w:vAlign w:val="center"/>
          </w:tcPr>
          <w:p>
            <w:pPr>
              <w:pStyle w:val="TableContents"/>
              <w:bidi w:val="0"/>
              <w:spacing w:before="0" w:after="0"/>
              <w:ind w:left="0" w:right="0" w:hanging="0"/>
              <w:jc w:val="center"/>
              <w:rPr/>
            </w:pPr>
            <w:r>
              <w:rPr/>
              <w:t>​</w:t>
            </w:r>
          </w:p>
        </w:tc>
        <w:tc>
          <w:tcPr>
            <w:tcW w:w="1981" w:type="dxa"/>
            <w:gridSpan w:val="2"/>
            <w:tcBorders/>
            <w:vAlign w:val="center"/>
          </w:tcPr>
          <w:p>
            <w:pPr>
              <w:pStyle w:val="TableContents"/>
              <w:bidi w:val="0"/>
              <w:spacing w:before="0" w:after="0"/>
              <w:ind w:left="0" w:right="0" w:hanging="0"/>
              <w:jc w:val="center"/>
              <w:rPr/>
            </w:pPr>
            <w:r>
              <w:rPr/>
              <w:t> </w:t>
            </w:r>
            <w:r>
              <w:rPr>
                <w:rFonts w:ascii="Times New Roman;Times;serif" w:hAnsi="Times New Roman;Times;serif"/>
                <w:b/>
                <w:sz w:val="20"/>
              </w:rPr>
              <w:t>Value of Shares That </w:t>
            </w:r>
          </w:p>
        </w:tc>
        <w:tc>
          <w:tcPr>
            <w:tcW w:w="191" w:type="dxa"/>
            <w:tcBorders/>
            <w:vAlign w:val="center"/>
          </w:tcPr>
          <w:p>
            <w:pPr>
              <w:pStyle w:val="TableContents"/>
              <w:bidi w:val="0"/>
              <w:spacing w:before="0" w:after="0"/>
              <w:ind w:left="0" w:right="0" w:hanging="0"/>
              <w:jc w:val="center"/>
              <w:rPr/>
            </w:pPr>
            <w:r>
              <w:rPr/>
              <w:t> </w:t>
            </w:r>
          </w:p>
        </w:tc>
      </w:tr>
      <w:tr>
        <w:trPr/>
        <w:tc>
          <w:tcPr>
            <w:tcW w:w="24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Number</w:t>
            </w:r>
          </w:p>
        </w:tc>
        <w:tc>
          <w:tcPr>
            <w:tcW w:w="326" w:type="dxa"/>
            <w:tcBorders/>
            <w:vAlign w:val="center"/>
          </w:tcPr>
          <w:p>
            <w:pPr>
              <w:pStyle w:val="TableContents"/>
              <w:bidi w:val="0"/>
              <w:spacing w:before="0" w:after="0"/>
              <w:ind w:left="0" w:right="0" w:hanging="0"/>
              <w:jc w:val="center"/>
              <w:rPr/>
            </w:pPr>
            <w:r>
              <w:rPr/>
              <w:t>​</w:t>
            </w:r>
          </w:p>
        </w:tc>
        <w:tc>
          <w:tcPr>
            <w:tcW w:w="82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Price</w:t>
            </w:r>
          </w:p>
        </w:tc>
        <w:tc>
          <w:tcPr>
            <w:tcW w:w="326" w:type="dxa"/>
            <w:tcBorders/>
            <w:vAlign w:val="center"/>
          </w:tcPr>
          <w:p>
            <w:pPr>
              <w:pStyle w:val="TableContents"/>
              <w:bidi w:val="0"/>
              <w:spacing w:before="0" w:after="0"/>
              <w:ind w:left="0" w:right="0" w:hanging="0"/>
              <w:jc w:val="center"/>
              <w:rPr/>
            </w:pPr>
            <w:r>
              <w:rPr/>
              <w:t>​</w:t>
            </w:r>
          </w:p>
        </w:tc>
        <w:tc>
          <w:tcPr>
            <w:tcW w:w="1771" w:type="dxa"/>
            <w:tcBorders/>
            <w:vAlign w:val="center"/>
          </w:tcPr>
          <w:p>
            <w:pPr>
              <w:pStyle w:val="TableContents"/>
              <w:bidi w:val="0"/>
              <w:spacing w:before="0" w:after="0"/>
              <w:ind w:left="0" w:right="0" w:hanging="0"/>
              <w:jc w:val="center"/>
              <w:rPr/>
            </w:pPr>
            <w:r>
              <w:rPr/>
              <w:t> </w:t>
            </w:r>
            <w:r>
              <w:rPr>
                <w:rFonts w:ascii="Times New Roman;Times;serif" w:hAnsi="Times New Roman;Times;serif"/>
                <w:b/>
                <w:sz w:val="20"/>
              </w:rPr>
              <w:t>as Part of Publicly </w:t>
            </w:r>
          </w:p>
        </w:tc>
        <w:tc>
          <w:tcPr>
            <w:tcW w:w="326" w:type="dxa"/>
            <w:tcBorders/>
            <w:vAlign w:val="center"/>
          </w:tcPr>
          <w:p>
            <w:pPr>
              <w:pStyle w:val="TableContents"/>
              <w:bidi w:val="0"/>
              <w:spacing w:before="0" w:after="0"/>
              <w:ind w:left="0" w:right="0" w:hanging="0"/>
              <w:jc w:val="center"/>
              <w:rPr/>
            </w:pPr>
            <w:r>
              <w:rPr/>
              <w:t>​</w:t>
            </w:r>
          </w:p>
        </w:tc>
        <w:tc>
          <w:tcPr>
            <w:tcW w:w="1981" w:type="dxa"/>
            <w:gridSpan w:val="2"/>
            <w:tcBorders/>
            <w:vAlign w:val="center"/>
          </w:tcPr>
          <w:p>
            <w:pPr>
              <w:pStyle w:val="TableContents"/>
              <w:bidi w:val="0"/>
              <w:spacing w:before="0" w:after="0"/>
              <w:ind w:left="0" w:right="0" w:hanging="0"/>
              <w:jc w:val="center"/>
              <w:rPr/>
            </w:pPr>
            <w:r>
              <w:rPr/>
              <w:t> </w:t>
            </w:r>
            <w:r>
              <w:rPr>
                <w:rFonts w:ascii="Times New Roman;Times;serif" w:hAnsi="Times New Roman;Times;serif"/>
                <w:b/>
                <w:sz w:val="20"/>
              </w:rPr>
              <w:t>May Yet Be </w:t>
            </w:r>
          </w:p>
        </w:tc>
        <w:tc>
          <w:tcPr>
            <w:tcW w:w="191" w:type="dxa"/>
            <w:tcBorders/>
            <w:vAlign w:val="center"/>
          </w:tcPr>
          <w:p>
            <w:pPr>
              <w:pStyle w:val="TableContents"/>
              <w:bidi w:val="0"/>
              <w:spacing w:before="0" w:after="0"/>
              <w:ind w:left="0" w:right="0" w:hanging="0"/>
              <w:jc w:val="center"/>
              <w:rPr/>
            </w:pPr>
            <w:r>
              <w:rPr/>
              <w:t> </w:t>
            </w:r>
          </w:p>
        </w:tc>
      </w:tr>
      <w:tr>
        <w:trPr/>
        <w:tc>
          <w:tcPr>
            <w:tcW w:w="24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of Shares</w:t>
            </w:r>
          </w:p>
        </w:tc>
        <w:tc>
          <w:tcPr>
            <w:tcW w:w="326" w:type="dxa"/>
            <w:tcBorders/>
            <w:vAlign w:val="center"/>
          </w:tcPr>
          <w:p>
            <w:pPr>
              <w:pStyle w:val="TableContents"/>
              <w:bidi w:val="0"/>
              <w:spacing w:before="0" w:after="0"/>
              <w:ind w:left="0" w:right="0" w:hanging="0"/>
              <w:jc w:val="center"/>
              <w:rPr/>
            </w:pPr>
            <w:r>
              <w:rPr/>
              <w:t>​</w:t>
            </w:r>
          </w:p>
        </w:tc>
        <w:tc>
          <w:tcPr>
            <w:tcW w:w="82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Paid per</w:t>
            </w:r>
          </w:p>
        </w:tc>
        <w:tc>
          <w:tcPr>
            <w:tcW w:w="326" w:type="dxa"/>
            <w:tcBorders/>
            <w:vAlign w:val="center"/>
          </w:tcPr>
          <w:p>
            <w:pPr>
              <w:pStyle w:val="TableContents"/>
              <w:bidi w:val="0"/>
              <w:spacing w:before="0" w:after="0"/>
              <w:ind w:left="0" w:right="0" w:hanging="0"/>
              <w:jc w:val="center"/>
              <w:rPr/>
            </w:pPr>
            <w:r>
              <w:rPr/>
              <w:t>​</w:t>
            </w:r>
          </w:p>
        </w:tc>
        <w:tc>
          <w:tcPr>
            <w:tcW w:w="1771" w:type="dxa"/>
            <w:tcBorders/>
            <w:vAlign w:val="center"/>
          </w:tcPr>
          <w:p>
            <w:pPr>
              <w:pStyle w:val="TableContents"/>
              <w:bidi w:val="0"/>
              <w:spacing w:before="0" w:after="0"/>
              <w:ind w:left="0" w:right="0" w:hanging="0"/>
              <w:jc w:val="center"/>
              <w:rPr/>
            </w:pPr>
            <w:r>
              <w:rPr/>
              <w:t> </w:t>
            </w:r>
            <w:r>
              <w:rPr>
                <w:rFonts w:ascii="Times New Roman;Times;serif" w:hAnsi="Times New Roman;Times;serif"/>
                <w:b/>
                <w:sz w:val="20"/>
              </w:rPr>
              <w:t>Announced Plans </w:t>
            </w:r>
          </w:p>
        </w:tc>
        <w:tc>
          <w:tcPr>
            <w:tcW w:w="326" w:type="dxa"/>
            <w:tcBorders/>
            <w:vAlign w:val="center"/>
          </w:tcPr>
          <w:p>
            <w:pPr>
              <w:pStyle w:val="TableContents"/>
              <w:bidi w:val="0"/>
              <w:spacing w:before="0" w:after="0"/>
              <w:ind w:left="0" w:right="0" w:hanging="0"/>
              <w:jc w:val="center"/>
              <w:rPr/>
            </w:pPr>
            <w:r>
              <w:rPr/>
              <w:t>​</w:t>
            </w:r>
          </w:p>
        </w:tc>
        <w:tc>
          <w:tcPr>
            <w:tcW w:w="1981" w:type="dxa"/>
            <w:gridSpan w:val="2"/>
            <w:tcBorders/>
            <w:vAlign w:val="center"/>
          </w:tcPr>
          <w:p>
            <w:pPr>
              <w:pStyle w:val="TableContents"/>
              <w:bidi w:val="0"/>
              <w:spacing w:before="0" w:after="0"/>
              <w:ind w:left="0" w:right="0" w:hanging="0"/>
              <w:jc w:val="center"/>
              <w:rPr/>
            </w:pPr>
            <w:r>
              <w:rPr/>
              <w:t> </w:t>
            </w:r>
            <w:r>
              <w:rPr>
                <w:rFonts w:ascii="Times New Roman;Times;serif" w:hAnsi="Times New Roman;Times;serif"/>
                <w:b/>
                <w:sz w:val="20"/>
              </w:rPr>
              <w:t>Purchased under the</w:t>
            </w:r>
          </w:p>
        </w:tc>
        <w:tc>
          <w:tcPr>
            <w:tcW w:w="191" w:type="dxa"/>
            <w:tcBorders/>
            <w:vAlign w:val="center"/>
          </w:tcPr>
          <w:p>
            <w:pPr>
              <w:pStyle w:val="TableContents"/>
              <w:bidi w:val="0"/>
              <w:spacing w:before="0" w:after="0"/>
              <w:ind w:left="0" w:right="0" w:hanging="0"/>
              <w:jc w:val="center"/>
              <w:rPr/>
            </w:pPr>
            <w:r>
              <w:rPr/>
              <w:t> </w:t>
            </w:r>
          </w:p>
        </w:tc>
      </w:tr>
      <w:tr>
        <w:trPr/>
        <w:tc>
          <w:tcPr>
            <w:tcW w:w="2476" w:type="dxa"/>
            <w:tcBorders>
              <w:bottom w:val="single" w:sz="1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Period</w:t>
            </w:r>
          </w:p>
        </w:tc>
        <w:tc>
          <w:tcPr>
            <w:tcW w:w="326" w:type="dxa"/>
            <w:tcBorders/>
            <w:vAlign w:val="center"/>
          </w:tcPr>
          <w:p>
            <w:pPr>
              <w:pStyle w:val="TableContents"/>
              <w:bidi w:val="0"/>
              <w:spacing w:before="0" w:after="0"/>
              <w:ind w:left="0" w:right="0" w:hanging="0"/>
              <w:jc w:val="center"/>
              <w:rPr/>
            </w:pPr>
            <w:r>
              <w:rPr/>
              <w:t>​</w:t>
            </w:r>
          </w:p>
        </w:tc>
        <w:tc>
          <w:tcPr>
            <w:tcW w:w="991" w:type="dxa"/>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Purchased</w:t>
            </w:r>
          </w:p>
        </w:tc>
        <w:tc>
          <w:tcPr>
            <w:tcW w:w="326" w:type="dxa"/>
            <w:tcBorders/>
            <w:vAlign w:val="center"/>
          </w:tcPr>
          <w:p>
            <w:pPr>
              <w:pStyle w:val="TableContents"/>
              <w:bidi w:val="0"/>
              <w:spacing w:before="0" w:after="0"/>
              <w:ind w:left="0" w:right="0" w:hanging="0"/>
              <w:jc w:val="center"/>
              <w:rPr/>
            </w:pPr>
            <w:r>
              <w:rPr/>
              <w:t>    </w:t>
            </w:r>
          </w:p>
        </w:tc>
        <w:tc>
          <w:tcPr>
            <w:tcW w:w="826"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Share</w:t>
            </w:r>
          </w:p>
        </w:tc>
        <w:tc>
          <w:tcPr>
            <w:tcW w:w="326" w:type="dxa"/>
            <w:tcBorders/>
            <w:vAlign w:val="center"/>
          </w:tcPr>
          <w:p>
            <w:pPr>
              <w:pStyle w:val="TableContents"/>
              <w:bidi w:val="0"/>
              <w:spacing w:before="0" w:after="0"/>
              <w:ind w:left="0" w:right="0" w:hanging="0"/>
              <w:jc w:val="center"/>
              <w:rPr/>
            </w:pPr>
            <w:r>
              <w:rPr/>
              <w:t>    </w:t>
            </w:r>
          </w:p>
        </w:tc>
        <w:tc>
          <w:tcPr>
            <w:tcW w:w="1771" w:type="dxa"/>
            <w:tcBorders>
              <w:bottom w:val="single" w:sz="1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20"/>
              </w:rPr>
              <w:t>or Programs </w:t>
            </w:r>
          </w:p>
        </w:tc>
        <w:tc>
          <w:tcPr>
            <w:tcW w:w="326" w:type="dxa"/>
            <w:tcBorders/>
            <w:vAlign w:val="center"/>
          </w:tcPr>
          <w:p>
            <w:pPr>
              <w:pStyle w:val="TableContents"/>
              <w:bidi w:val="0"/>
              <w:spacing w:before="0" w:after="0"/>
              <w:ind w:left="0" w:right="0" w:hanging="0"/>
              <w:jc w:val="center"/>
              <w:rPr/>
            </w:pPr>
            <w:r>
              <w:rPr/>
              <w:t>    </w:t>
            </w:r>
          </w:p>
        </w:tc>
        <w:tc>
          <w:tcPr>
            <w:tcW w:w="1981"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Plans or Programs </w:t>
            </w:r>
          </w:p>
        </w:tc>
        <w:tc>
          <w:tcPr>
            <w:tcW w:w="191" w:type="dxa"/>
            <w:tcBorders/>
            <w:vAlign w:val="center"/>
          </w:tcPr>
          <w:p>
            <w:pPr>
              <w:pStyle w:val="TableContents"/>
              <w:bidi w:val="0"/>
              <w:spacing w:before="0" w:after="0"/>
              <w:ind w:left="0" w:right="0" w:hanging="0"/>
              <w:jc w:val="center"/>
              <w:rPr/>
            </w:pPr>
            <w:r>
              <w:rPr/>
              <w:t> </w:t>
            </w:r>
          </w:p>
        </w:tc>
      </w:tr>
      <w:tr>
        <w:trPr/>
        <w:tc>
          <w:tcPr>
            <w:tcW w:w="24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October 1 – October 28</w:t>
            </w:r>
          </w:p>
        </w:tc>
        <w:tc>
          <w:tcPr>
            <w:tcW w:w="326" w:type="dxa"/>
            <w:tcBorders/>
            <w:shd w:fill="CCEEFF" w:val="clear"/>
            <w:vAlign w:val="center"/>
          </w:tcPr>
          <w:p>
            <w:pPr>
              <w:pStyle w:val="TableContents"/>
              <w:bidi w:val="0"/>
              <w:spacing w:before="0" w:after="0"/>
              <w:ind w:left="0" w:right="0" w:hanging="0"/>
              <w:jc w:val="left"/>
              <w:rPr>
                <w:color w:val="575757"/>
              </w:rPr>
            </w:pPr>
            <w:r>
              <w:rPr>
                <w:color w:val="575757"/>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558,000</w:t>
            </w:r>
          </w:p>
        </w:tc>
        <w:tc>
          <w:tcPr>
            <w:tcW w:w="326" w:type="dxa"/>
            <w:tcBorders/>
            <w:shd w:fill="CCEEFF" w:val="clear"/>
            <w:vAlign w:val="center"/>
          </w:tcPr>
          <w:p>
            <w:pPr>
              <w:pStyle w:val="TableContents"/>
              <w:bidi w:val="0"/>
              <w:spacing w:before="0" w:after="0"/>
              <w:ind w:left="0" w:right="0" w:hanging="0"/>
              <w:jc w:val="left"/>
              <w:rPr>
                <w:color w:val="575757"/>
              </w:rPr>
            </w:pPr>
            <w:r>
              <w:rPr>
                <w:color w:val="575757"/>
              </w:rPr>
              <w:t>    </w:t>
            </w:r>
          </w:p>
        </w:tc>
        <w:tc>
          <w:tcPr>
            <w:tcW w:w="2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47.43</w:t>
            </w:r>
          </w:p>
        </w:tc>
        <w:tc>
          <w:tcPr>
            <w:tcW w:w="326" w:type="dxa"/>
            <w:tcBorders/>
            <w:shd w:fill="CCEEFF" w:val="clear"/>
            <w:vAlign w:val="center"/>
          </w:tcPr>
          <w:p>
            <w:pPr>
              <w:pStyle w:val="TableContents"/>
              <w:bidi w:val="0"/>
              <w:spacing w:before="0" w:after="0"/>
              <w:ind w:left="0" w:right="0" w:hanging="0"/>
              <w:jc w:val="left"/>
              <w:rPr>
                <w:color w:val="575757"/>
              </w:rPr>
            </w:pPr>
            <w:r>
              <w:rPr>
                <w:color w:val="575757"/>
              </w:rPr>
              <w:t>    </w:t>
            </w:r>
          </w:p>
        </w:tc>
        <w:tc>
          <w:tcPr>
            <w:tcW w:w="17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558,000</w:t>
            </w:r>
          </w:p>
        </w:tc>
        <w:tc>
          <w:tcPr>
            <w:tcW w:w="326" w:type="dxa"/>
            <w:tcBorders/>
            <w:shd w:fill="CCEEFF" w:val="clear"/>
            <w:vAlign w:val="center"/>
          </w:tcPr>
          <w:p>
            <w:pPr>
              <w:pStyle w:val="TableContents"/>
              <w:bidi w:val="0"/>
              <w:spacing w:before="0" w:after="0"/>
              <w:ind w:left="0" w:right="0" w:hanging="0"/>
              <w:jc w:val="left"/>
              <w:rPr>
                <w:color w:val="575757"/>
              </w:rPr>
            </w:pPr>
            <w:r>
              <w:rPr>
                <w:color w:val="575757"/>
              </w:rPr>
              <w:t>    </w:t>
            </w:r>
          </w:p>
        </w:tc>
        <w:tc>
          <w:tcPr>
            <w:tcW w:w="30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265,005,000</w:t>
            </w:r>
          </w:p>
        </w:tc>
        <w:tc>
          <w:tcPr>
            <w:tcW w:w="191" w:type="dxa"/>
            <w:tcBorders/>
            <w:shd w:fill="CCEEFF" w:val="clear"/>
            <w:vAlign w:val="center"/>
          </w:tcPr>
          <w:p>
            <w:pPr>
              <w:pStyle w:val="TableContents"/>
              <w:bidi w:val="0"/>
              <w:spacing w:before="0" w:after="0"/>
              <w:ind w:left="0" w:right="0" w:hanging="0"/>
              <w:jc w:val="center"/>
              <w:rPr/>
            </w:pPr>
            <w:r>
              <w:rPr/>
              <w:t>​</w:t>
            </w:r>
          </w:p>
        </w:tc>
      </w:tr>
      <w:tr>
        <w:trPr/>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October 29 – November 25</w:t>
            </w:r>
          </w:p>
        </w:tc>
        <w:tc>
          <w:tcPr>
            <w:tcW w:w="326" w:type="dxa"/>
            <w:tcBorders/>
            <w:vAlign w:val="center"/>
          </w:tcPr>
          <w:p>
            <w:pPr>
              <w:pStyle w:val="TableContents"/>
              <w:bidi w:val="0"/>
              <w:spacing w:before="0" w:after="0"/>
              <w:ind w:left="0" w:right="0" w:hanging="0"/>
              <w:jc w:val="left"/>
              <w:rPr>
                <w:color w:val="575757"/>
              </w:rPr>
            </w:pPr>
            <w:r>
              <w:rPr>
                <w:color w:val="575757"/>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544,900</w:t>
            </w:r>
          </w:p>
        </w:tc>
        <w:tc>
          <w:tcPr>
            <w:tcW w:w="326" w:type="dxa"/>
            <w:tcBorders/>
            <w:vAlign w:val="center"/>
          </w:tcPr>
          <w:p>
            <w:pPr>
              <w:pStyle w:val="TableContents"/>
              <w:bidi w:val="0"/>
              <w:spacing w:before="0" w:after="0"/>
              <w:ind w:left="0" w:right="0" w:hanging="0"/>
              <w:jc w:val="left"/>
              <w:rPr>
                <w:color w:val="575757"/>
              </w:rPr>
            </w:pPr>
            <w:r>
              <w:rPr>
                <w:color w:val="575757"/>
              </w:rPr>
              <w:t>​</w:t>
            </w:r>
          </w:p>
        </w:tc>
        <w:tc>
          <w:tcPr>
            <w:tcW w:w="22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46.62</w:t>
            </w:r>
          </w:p>
        </w:tc>
        <w:tc>
          <w:tcPr>
            <w:tcW w:w="326" w:type="dxa"/>
            <w:tcBorders/>
            <w:vAlign w:val="center"/>
          </w:tcPr>
          <w:p>
            <w:pPr>
              <w:pStyle w:val="TableContents"/>
              <w:bidi w:val="0"/>
              <w:spacing w:before="0" w:after="0"/>
              <w:ind w:left="0" w:right="0" w:hanging="0"/>
              <w:jc w:val="left"/>
              <w:rPr>
                <w:color w:val="575757"/>
              </w:rPr>
            </w:pPr>
            <w:r>
              <w:rPr>
                <w:color w:val="575757"/>
              </w:rPr>
              <w:t> </w:t>
            </w:r>
          </w:p>
        </w:tc>
        <w:tc>
          <w:tcPr>
            <w:tcW w:w="17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544,900</w:t>
            </w:r>
          </w:p>
        </w:tc>
        <w:tc>
          <w:tcPr>
            <w:tcW w:w="326" w:type="dxa"/>
            <w:tcBorders/>
            <w:vAlign w:val="center"/>
          </w:tcPr>
          <w:p>
            <w:pPr>
              <w:pStyle w:val="TableContents"/>
              <w:bidi w:val="0"/>
              <w:spacing w:before="0" w:after="0"/>
              <w:ind w:left="0" w:right="0" w:hanging="0"/>
              <w:jc w:val="left"/>
              <w:rPr>
                <w:color w:val="575757"/>
              </w:rPr>
            </w:pPr>
            <w:r>
              <w:rPr>
                <w:color w:val="575757"/>
              </w:rPr>
              <w:t>​</w:t>
            </w:r>
          </w:p>
        </w:tc>
        <w:tc>
          <w:tcPr>
            <w:tcW w:w="3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239,603,000</w:t>
            </w:r>
          </w:p>
        </w:tc>
        <w:tc>
          <w:tcPr>
            <w:tcW w:w="191" w:type="dxa"/>
            <w:tcBorders/>
            <w:vAlign w:val="center"/>
          </w:tcPr>
          <w:p>
            <w:pPr>
              <w:pStyle w:val="TableContents"/>
              <w:bidi w:val="0"/>
              <w:spacing w:before="0" w:after="0"/>
              <w:ind w:left="0" w:right="0" w:hanging="0"/>
              <w:jc w:val="center"/>
              <w:rPr/>
            </w:pPr>
            <w:r>
              <w:rPr/>
              <w:t>​</w:t>
            </w:r>
          </w:p>
        </w:tc>
      </w:tr>
      <w:tr>
        <w:trPr/>
        <w:tc>
          <w:tcPr>
            <w:tcW w:w="24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November 26 – December 30</w:t>
            </w:r>
          </w:p>
        </w:tc>
        <w:tc>
          <w:tcPr>
            <w:tcW w:w="326" w:type="dxa"/>
            <w:tcBorders/>
            <w:shd w:fill="CCEEFF" w:val="clear"/>
            <w:vAlign w:val="center"/>
          </w:tcPr>
          <w:p>
            <w:pPr>
              <w:pStyle w:val="TableContents"/>
              <w:bidi w:val="0"/>
              <w:spacing w:before="0" w:after="0"/>
              <w:ind w:left="0" w:right="0" w:hanging="0"/>
              <w:jc w:val="left"/>
              <w:rPr>
                <w:color w:val="575757"/>
              </w:rPr>
            </w:pPr>
            <w:r>
              <w:rPr>
                <w:color w:val="575757"/>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151,514</w:t>
            </w:r>
          </w:p>
        </w:tc>
        <w:tc>
          <w:tcPr>
            <w:tcW w:w="326"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2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46.99</w:t>
            </w:r>
          </w:p>
        </w:tc>
        <w:tc>
          <w:tcPr>
            <w:tcW w:w="326" w:type="dxa"/>
            <w:tcBorders/>
            <w:shd w:fill="CCEEFF" w:val="clear"/>
            <w:vAlign w:val="center"/>
          </w:tcPr>
          <w:p>
            <w:pPr>
              <w:pStyle w:val="TableContents"/>
              <w:bidi w:val="0"/>
              <w:spacing w:before="0" w:after="0"/>
              <w:ind w:left="0" w:right="0" w:hanging="0"/>
              <w:jc w:val="left"/>
              <w:rPr>
                <w:color w:val="575757"/>
              </w:rPr>
            </w:pPr>
            <w:r>
              <w:rPr>
                <w:color w:val="575757"/>
              </w:rPr>
              <w:t> </w:t>
            </w:r>
          </w:p>
        </w:tc>
        <w:tc>
          <w:tcPr>
            <w:tcW w:w="17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151,514</w:t>
            </w:r>
          </w:p>
        </w:tc>
        <w:tc>
          <w:tcPr>
            <w:tcW w:w="326"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30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232,484,000</w:t>
            </w:r>
          </w:p>
        </w:tc>
        <w:tc>
          <w:tcPr>
            <w:tcW w:w="191" w:type="dxa"/>
            <w:tcBorders/>
            <w:shd w:fill="CCEEFF" w:val="clear"/>
            <w:vAlign w:val="center"/>
          </w:tcPr>
          <w:p>
            <w:pPr>
              <w:pStyle w:val="TableContents"/>
              <w:bidi w:val="0"/>
              <w:spacing w:before="0" w:after="0"/>
              <w:ind w:left="0" w:right="0" w:hanging="0"/>
              <w:jc w:val="center"/>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firstLine="480"/>
        <w:jc w:val="left"/>
        <w:rPr/>
      </w:pPr>
      <w:r>
        <w:rPr/>
        <w:t>​</w:t>
      </w:r>
    </w:p>
    <w:p>
      <w:pPr>
        <w:pStyle w:val="TextBody"/>
        <w:bidi w:val="0"/>
        <w:spacing w:before="0" w:after="0"/>
        <w:ind w:left="0" w:right="0" w:firstLine="480"/>
        <w:jc w:val="left"/>
        <w:rPr/>
      </w:pPr>
      <w:r>
        <w:rPr/>
        <w:t>​</w:t>
      </w:r>
    </w:p>
    <w:p>
      <w:pPr>
        <w:pStyle w:val="TextBody"/>
        <w:bidi w:val="0"/>
        <w:spacing w:before="0" w:after="0"/>
        <w:ind w:left="0" w:right="0" w:firstLine="48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lineRule="auto" w:line="343"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1144" w:name="Item_6_Exhibits"/>
      <w:bookmarkStart w:id="1145" w:name="_19e08b08_5a2c_4e85_b7bc_060720495fcc"/>
      <w:bookmarkStart w:id="1146" w:name="Item_6_Exhibits"/>
      <w:bookmarkStart w:id="1147" w:name="_19e08b08_5a2c_4e85_b7bc_060720495fcc"/>
      <w:bookmarkEnd w:id="1146"/>
      <w:bookmarkEnd w:id="1147"/>
    </w:p>
    <w:tbl>
      <w:tblPr>
        <w:tblW w:w="1562" w:type="dxa"/>
        <w:jc w:val="left"/>
        <w:tblInd w:w="0" w:type="dxa"/>
        <w:tblLayout w:type="fixed"/>
        <w:tblCellMar>
          <w:top w:w="0" w:type="dxa"/>
          <w:left w:w="0" w:type="dxa"/>
          <w:bottom w:w="0" w:type="dxa"/>
          <w:right w:w="0" w:type="dxa"/>
        </w:tblCellMar>
      </w:tblPr>
      <w:tblGrid>
        <w:gridCol w:w="706"/>
        <w:gridCol w:w="856"/>
      </w:tblGrid>
      <w:tr>
        <w:trPr/>
        <w:tc>
          <w:tcPr>
            <w:tcW w:w="706"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Item 6.</w:t>
            </w:r>
          </w:p>
        </w:tc>
        <w:tc>
          <w:tcPr>
            <w:tcW w:w="856" w:type="dxa"/>
            <w:tcBorders/>
            <w:vAlign w:val="center"/>
          </w:tcPr>
          <w:p>
            <w:pPr>
              <w:pStyle w:val="TableContents"/>
              <w:bidi w:val="0"/>
              <w:spacing w:before="0" w:after="0"/>
              <w:jc w:val="left"/>
              <w:rPr>
                <w:rFonts w:ascii="Times New Roman;Times;serif" w:hAnsi="Times New Roman;Times;serif"/>
                <w:b/>
                <w:i/>
                <w:sz w:val="20"/>
              </w:rPr>
            </w:pPr>
            <w:r>
              <w:rPr>
                <w:rFonts w:ascii="Times New Roman;Times;serif" w:hAnsi="Times New Roman;Times;serif"/>
                <w:b/>
                <w:i/>
                <w:sz w:val="20"/>
              </w:rPr>
              <w:t>Exhibits</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927"/>
        <w:gridCol w:w="326"/>
        <w:gridCol w:w="8952"/>
      </w:tblGrid>
      <w:tr>
        <w:trPr/>
        <w:tc>
          <w:tcPr>
            <w:tcW w:w="927" w:type="dxa"/>
            <w:tcBorders/>
            <w:vAlign w:val="center"/>
          </w:tcPr>
          <w:p>
            <w:pPr>
              <w:pStyle w:val="TableContents"/>
              <w:pBd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w:t>
            </w:r>
          </w:p>
        </w:tc>
        <w:tc>
          <w:tcPr>
            <w:tcW w:w="326" w:type="dxa"/>
            <w:tcBorders/>
            <w:vAlign w:val="center"/>
          </w:tcPr>
          <w:p>
            <w:pPr>
              <w:pStyle w:val="TableContents"/>
              <w:bidi w:val="0"/>
              <w:spacing w:before="0" w:after="0"/>
              <w:ind w:left="0" w:right="0" w:hanging="0"/>
              <w:jc w:val="left"/>
              <w:rPr/>
            </w:pPr>
            <w:r>
              <w:rPr/>
              <w:t>​</w:t>
            </w:r>
          </w:p>
        </w:tc>
        <w:tc>
          <w:tcPr>
            <w:tcW w:w="8952" w:type="dxa"/>
            <w:tcBorders/>
            <w:vAlign w:val="center"/>
          </w:tcPr>
          <w:p>
            <w:pPr>
              <w:pStyle w:val="TableContents"/>
              <w:bidi w:val="0"/>
              <w:spacing w:before="0" w:after="0"/>
              <w:ind w:left="0" w:right="0" w:hanging="0"/>
              <w:jc w:val="left"/>
              <w:rPr/>
            </w:pPr>
            <w:r>
              <w:rPr/>
              <w:t>​</w:t>
            </w:r>
          </w:p>
        </w:tc>
      </w:tr>
      <w:tr>
        <w:trPr/>
        <w:tc>
          <w:tcPr>
            <w:tcW w:w="927" w:type="dxa"/>
            <w:tcBorders>
              <w:bottom w:val="single" w:sz="8" w:space="0" w:color="000000"/>
            </w:tcBorders>
            <w:tcMar>
              <w:bottom w:w="40" w:type="dxa"/>
            </w:tcMar>
            <w:vAlign w:val="center"/>
          </w:tcPr>
          <w:p>
            <w:pPr>
              <w:pStyle w:val="TableContents"/>
              <w:pBd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Number</w:t>
            </w:r>
          </w:p>
        </w:tc>
        <w:tc>
          <w:tcPr>
            <w:tcW w:w="326" w:type="dxa"/>
            <w:tcBorders>
              <w:bottom w:val="single" w:sz="8" w:space="0" w:color="000000"/>
            </w:tcBorders>
            <w:tcMar>
              <w:bottom w:w="40" w:type="dxa"/>
            </w:tcMar>
            <w:vAlign w:val="center"/>
          </w:tcPr>
          <w:p>
            <w:pPr>
              <w:pStyle w:val="TableContents"/>
              <w:bidi w:val="0"/>
              <w:spacing w:before="0" w:after="0"/>
              <w:ind w:left="0" w:right="0" w:hanging="0"/>
              <w:jc w:val="left"/>
              <w:rPr/>
            </w:pPr>
            <w:r>
              <w:rPr/>
              <w:t>    </w:t>
            </w:r>
          </w:p>
        </w:tc>
        <w:tc>
          <w:tcPr>
            <w:tcW w:w="8952" w:type="dxa"/>
            <w:tcBorders>
              <w:bottom w:val="single" w:sz="8" w:space="0" w:color="000000"/>
            </w:tcBorders>
            <w:tcMar>
              <w:bottom w:w="40"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Exhibit</w:t>
            </w:r>
          </w:p>
        </w:tc>
      </w:tr>
      <w:tr>
        <w:trPr/>
        <w:tc>
          <w:tcPr>
            <w:tcW w:w="927" w:type="dxa"/>
            <w:tcBorders/>
            <w:vAlign w:val="center"/>
          </w:tcPr>
          <w:p>
            <w:pPr>
              <w:pStyle w:val="TableContents"/>
              <w:pBdr/>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952" w:type="dxa"/>
            <w:tcBorders/>
            <w:vAlign w:val="center"/>
          </w:tcPr>
          <w:p>
            <w:pPr>
              <w:pStyle w:val="TableContents"/>
              <w:bidi w:val="0"/>
              <w:spacing w:before="0" w:after="0"/>
              <w:ind w:left="0" w:right="0" w:hanging="0"/>
              <w:jc w:val="both"/>
              <w:rPr/>
            </w:pPr>
            <w:r>
              <w:rPr/>
              <w:t>​</w:t>
            </w:r>
          </w:p>
        </w:tc>
      </w:tr>
      <w:tr>
        <w:trPr/>
        <w:tc>
          <w:tcPr>
            <w:tcW w:w="927" w:type="dxa"/>
            <w:tcBorders/>
            <w:vAlign w:val="center"/>
          </w:tcPr>
          <w:p>
            <w:pPr>
              <w:pStyle w:val="TableContents"/>
              <w:pBdr/>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w:t>
            </w:r>
          </w:p>
        </w:tc>
        <w:tc>
          <w:tcPr>
            <w:tcW w:w="326" w:type="dxa"/>
            <w:tcBorders/>
            <w:vAlign w:val="center"/>
          </w:tcPr>
          <w:p>
            <w:pPr>
              <w:pStyle w:val="TableContents"/>
              <w:bidi w:val="0"/>
              <w:spacing w:before="0" w:after="0"/>
              <w:ind w:left="0" w:right="0" w:hanging="0"/>
              <w:jc w:val="left"/>
              <w:rPr/>
            </w:pPr>
            <w:r>
              <w:rPr/>
              <w:t>​</w:t>
            </w:r>
          </w:p>
        </w:tc>
        <w:tc>
          <w:tcPr>
            <w:tcW w:w="8952" w:type="dxa"/>
            <w:tcBorders/>
            <w:vAlign w:val="center"/>
          </w:tcPr>
          <w:p>
            <w:pPr>
              <w:pStyle w:val="TableContents"/>
              <w:bidi w:val="0"/>
              <w:spacing w:before="0" w:after="0"/>
              <w:ind w:left="0" w:right="0" w:hanging="0"/>
              <w:jc w:val="left"/>
              <w:rPr/>
            </w:pPr>
            <w:hyperlink w:anchor="avt-20231230xex31d1.htm">
              <w:r>
                <w:rPr>
                  <w:rStyle w:val="InternetLink"/>
                  <w:rFonts w:ascii="Times New Roman;Times;serif" w:hAnsi="Times New Roman;Times;serif"/>
                  <w:b w:val="false"/>
                  <w:i w:val="false"/>
                  <w:caps w:val="false"/>
                  <w:smallCaps w:val="false"/>
                  <w:sz w:val="20"/>
                </w:rPr>
                <w:t>Certification of Chief Executive Officer pursuant to Section 302 of the Sarbanes-Oxley Act of 2002.</w:t>
              </w:r>
            </w:hyperlink>
          </w:p>
        </w:tc>
      </w:tr>
      <w:tr>
        <w:trPr/>
        <w:tc>
          <w:tcPr>
            <w:tcW w:w="92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952" w:type="dxa"/>
            <w:tcBorders/>
            <w:vAlign w:val="center"/>
          </w:tcPr>
          <w:p>
            <w:pPr>
              <w:pStyle w:val="TableContents"/>
              <w:bidi w:val="0"/>
              <w:spacing w:before="0" w:after="0"/>
              <w:ind w:left="0" w:right="0" w:hanging="0"/>
              <w:jc w:val="left"/>
              <w:rPr/>
            </w:pPr>
            <w:r>
              <w:rPr/>
              <w:t>​</w:t>
            </w:r>
          </w:p>
        </w:tc>
      </w:tr>
      <w:tr>
        <w:trPr/>
        <w:tc>
          <w:tcPr>
            <w:tcW w:w="927" w:type="dxa"/>
            <w:tcBorders/>
            <w:vAlign w:val="center"/>
          </w:tcPr>
          <w:p>
            <w:pPr>
              <w:pStyle w:val="TableContents"/>
              <w:pBdr/>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w:t>
            </w:r>
          </w:p>
        </w:tc>
        <w:tc>
          <w:tcPr>
            <w:tcW w:w="326" w:type="dxa"/>
            <w:tcBorders/>
            <w:vAlign w:val="center"/>
          </w:tcPr>
          <w:p>
            <w:pPr>
              <w:pStyle w:val="TableContents"/>
              <w:bidi w:val="0"/>
              <w:spacing w:before="0" w:after="0"/>
              <w:ind w:left="0" w:right="0" w:hanging="0"/>
              <w:jc w:val="left"/>
              <w:rPr/>
            </w:pPr>
            <w:r>
              <w:rPr/>
              <w:t>​</w:t>
            </w:r>
          </w:p>
        </w:tc>
        <w:tc>
          <w:tcPr>
            <w:tcW w:w="8952" w:type="dxa"/>
            <w:tcBorders/>
            <w:vAlign w:val="center"/>
          </w:tcPr>
          <w:p>
            <w:pPr>
              <w:pStyle w:val="TableContents"/>
              <w:bidi w:val="0"/>
              <w:spacing w:before="0" w:after="0"/>
              <w:ind w:left="0" w:right="0" w:hanging="0"/>
              <w:jc w:val="left"/>
              <w:rPr/>
            </w:pPr>
            <w:hyperlink w:anchor="avt-20231230xex31d2.htm">
              <w:r>
                <w:rPr>
                  <w:rStyle w:val="InternetLink"/>
                  <w:rFonts w:ascii="Times New Roman;Times;serif" w:hAnsi="Times New Roman;Times;serif"/>
                  <w:b w:val="false"/>
                  <w:i w:val="false"/>
                  <w:caps w:val="false"/>
                  <w:smallCaps w:val="false"/>
                  <w:sz w:val="20"/>
                </w:rPr>
                <w:t>Certification of Chief Financial Officer pursuant to Section 302 of the Sarbanes-Oxley Act of 2002.</w:t>
              </w:r>
            </w:hyperlink>
          </w:p>
        </w:tc>
      </w:tr>
      <w:tr>
        <w:trPr/>
        <w:tc>
          <w:tcPr>
            <w:tcW w:w="92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952" w:type="dxa"/>
            <w:tcBorders/>
            <w:vAlign w:val="center"/>
          </w:tcPr>
          <w:p>
            <w:pPr>
              <w:pStyle w:val="TableContents"/>
              <w:bidi w:val="0"/>
              <w:spacing w:before="0" w:after="0"/>
              <w:ind w:left="0" w:right="0" w:hanging="0"/>
              <w:jc w:val="left"/>
              <w:rPr/>
            </w:pPr>
            <w:r>
              <w:rPr/>
              <w:t>​</w:t>
            </w:r>
          </w:p>
        </w:tc>
      </w:tr>
      <w:tr>
        <w:trPr/>
        <w:tc>
          <w:tcPr>
            <w:tcW w:w="927" w:type="dxa"/>
            <w:tcBorders/>
            <w:vAlign w:val="center"/>
          </w:tcPr>
          <w:p>
            <w:pPr>
              <w:pStyle w:val="TableContents"/>
              <w:pBdr/>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w:t>
            </w:r>
          </w:p>
        </w:tc>
        <w:tc>
          <w:tcPr>
            <w:tcW w:w="326" w:type="dxa"/>
            <w:tcBorders/>
            <w:vAlign w:val="center"/>
          </w:tcPr>
          <w:p>
            <w:pPr>
              <w:pStyle w:val="TableContents"/>
              <w:bidi w:val="0"/>
              <w:spacing w:before="0" w:after="0"/>
              <w:ind w:left="0" w:right="0" w:hanging="0"/>
              <w:jc w:val="left"/>
              <w:rPr/>
            </w:pPr>
            <w:r>
              <w:rPr/>
              <w:t>​</w:t>
            </w:r>
          </w:p>
        </w:tc>
        <w:tc>
          <w:tcPr>
            <w:tcW w:w="8952" w:type="dxa"/>
            <w:tcBorders/>
            <w:vAlign w:val="center"/>
          </w:tcPr>
          <w:p>
            <w:pPr>
              <w:pStyle w:val="TableContents"/>
              <w:bidi w:val="0"/>
              <w:spacing w:before="0" w:after="0"/>
              <w:ind w:left="0" w:right="0" w:hanging="0"/>
              <w:jc w:val="left"/>
              <w:rPr/>
            </w:pPr>
            <w:hyperlink w:anchor="avt-20231230xex32d1.htm">
              <w:r>
                <w:rPr>
                  <w:rStyle w:val="InternetLink"/>
                  <w:rFonts w:ascii="Times New Roman;Times;serif" w:hAnsi="Times New Roman;Times;serif"/>
                  <w:b w:val="false"/>
                  <w:i w:val="false"/>
                  <w:caps w:val="false"/>
                  <w:smallCaps w:val="false"/>
                  <w:sz w:val="20"/>
                </w:rPr>
                <w:t>Certification of Chief Executive Officer pursuant to Section 906 of the Sarbanes-Oxley Act of 2002.</w:t>
              </w:r>
            </w:hyperlink>
          </w:p>
        </w:tc>
      </w:tr>
      <w:tr>
        <w:trPr/>
        <w:tc>
          <w:tcPr>
            <w:tcW w:w="92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952" w:type="dxa"/>
            <w:tcBorders/>
            <w:vAlign w:val="center"/>
          </w:tcPr>
          <w:p>
            <w:pPr>
              <w:pStyle w:val="TableContents"/>
              <w:bidi w:val="0"/>
              <w:spacing w:before="0" w:after="0"/>
              <w:ind w:left="0" w:right="0" w:hanging="0"/>
              <w:jc w:val="left"/>
              <w:rPr/>
            </w:pPr>
            <w:r>
              <w:rPr/>
              <w:t>​</w:t>
            </w:r>
          </w:p>
        </w:tc>
      </w:tr>
      <w:tr>
        <w:trPr/>
        <w:tc>
          <w:tcPr>
            <w:tcW w:w="927" w:type="dxa"/>
            <w:tcBorders/>
            <w:vAlign w:val="center"/>
          </w:tcPr>
          <w:p>
            <w:pPr>
              <w:pStyle w:val="TableContents"/>
              <w:pBdr/>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w:t>
            </w:r>
          </w:p>
        </w:tc>
        <w:tc>
          <w:tcPr>
            <w:tcW w:w="326" w:type="dxa"/>
            <w:tcBorders/>
            <w:vAlign w:val="center"/>
          </w:tcPr>
          <w:p>
            <w:pPr>
              <w:pStyle w:val="TableContents"/>
              <w:bidi w:val="0"/>
              <w:spacing w:before="0" w:after="0"/>
              <w:ind w:left="0" w:right="0" w:hanging="0"/>
              <w:jc w:val="left"/>
              <w:rPr/>
            </w:pPr>
            <w:r>
              <w:rPr/>
              <w:t>​</w:t>
            </w:r>
          </w:p>
        </w:tc>
        <w:tc>
          <w:tcPr>
            <w:tcW w:w="8952" w:type="dxa"/>
            <w:tcBorders/>
            <w:vAlign w:val="center"/>
          </w:tcPr>
          <w:p>
            <w:pPr>
              <w:pStyle w:val="TableContents"/>
              <w:bidi w:val="0"/>
              <w:spacing w:before="0" w:after="0"/>
              <w:ind w:left="0" w:right="0" w:hanging="0"/>
              <w:jc w:val="left"/>
              <w:rPr/>
            </w:pPr>
            <w:hyperlink w:anchor="avt-20231230xex32d2.htm">
              <w:r>
                <w:rPr>
                  <w:rStyle w:val="InternetLink"/>
                  <w:rFonts w:ascii="Times New Roman;Times;serif" w:hAnsi="Times New Roman;Times;serif"/>
                  <w:b w:val="false"/>
                  <w:i w:val="false"/>
                  <w:caps w:val="false"/>
                  <w:smallCaps w:val="false"/>
                  <w:sz w:val="20"/>
                </w:rPr>
                <w:t>Certification of Chief Financial Officer pursuant to Section 906 of the Sarbanes-Oxley Act of 2002.</w:t>
              </w:r>
            </w:hyperlink>
          </w:p>
        </w:tc>
      </w:tr>
      <w:tr>
        <w:trPr/>
        <w:tc>
          <w:tcPr>
            <w:tcW w:w="92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952" w:type="dxa"/>
            <w:tcBorders/>
            <w:vAlign w:val="center"/>
          </w:tcPr>
          <w:p>
            <w:pPr>
              <w:pStyle w:val="TableContents"/>
              <w:bidi w:val="0"/>
              <w:spacing w:before="0" w:after="0"/>
              <w:ind w:left="0" w:right="0" w:hanging="0"/>
              <w:jc w:val="left"/>
              <w:rPr/>
            </w:pPr>
            <w:r>
              <w:rPr/>
              <w:t>​</w:t>
            </w:r>
          </w:p>
        </w:tc>
      </w:tr>
      <w:tr>
        <w:trPr/>
        <w:tc>
          <w:tcPr>
            <w:tcW w:w="927" w:type="dxa"/>
            <w:tcBorders/>
            <w:vAlign w:val="center"/>
          </w:tcPr>
          <w:p>
            <w:pPr>
              <w:pStyle w:val="TableContents"/>
              <w:pBdr/>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101.INS*</w:t>
            </w:r>
          </w:p>
        </w:tc>
        <w:tc>
          <w:tcPr>
            <w:tcW w:w="326" w:type="dxa"/>
            <w:tcBorders/>
            <w:vAlign w:val="center"/>
          </w:tcPr>
          <w:p>
            <w:pPr>
              <w:pStyle w:val="TableContents"/>
              <w:bidi w:val="0"/>
              <w:spacing w:before="0" w:after="0"/>
              <w:ind w:left="0" w:right="0" w:hanging="0"/>
              <w:jc w:val="left"/>
              <w:rPr/>
            </w:pPr>
            <w:r>
              <w:rPr/>
              <w:t>​</w:t>
            </w:r>
          </w:p>
        </w:tc>
        <w:tc>
          <w:tcPr>
            <w:tcW w:w="89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XBRL - the instance document does not appear in the Interactive Data File because its XBRL tags are embedded within the Inline XBRL document.</w:t>
            </w:r>
          </w:p>
        </w:tc>
      </w:tr>
      <w:tr>
        <w:trPr/>
        <w:tc>
          <w:tcPr>
            <w:tcW w:w="92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952" w:type="dxa"/>
            <w:tcBorders/>
            <w:vAlign w:val="center"/>
          </w:tcPr>
          <w:p>
            <w:pPr>
              <w:pStyle w:val="TableContents"/>
              <w:bidi w:val="0"/>
              <w:spacing w:before="0" w:after="0"/>
              <w:ind w:left="0" w:right="0" w:hanging="0"/>
              <w:jc w:val="left"/>
              <w:rPr/>
            </w:pPr>
            <w:r>
              <w:rPr/>
              <w:t>​</w:t>
            </w:r>
          </w:p>
        </w:tc>
      </w:tr>
      <w:tr>
        <w:trPr/>
        <w:tc>
          <w:tcPr>
            <w:tcW w:w="927" w:type="dxa"/>
            <w:tcBorders/>
            <w:vAlign w:val="center"/>
          </w:tcPr>
          <w:p>
            <w:pPr>
              <w:pStyle w:val="TableContents"/>
              <w:pBdr/>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101.SCH*</w:t>
            </w:r>
          </w:p>
        </w:tc>
        <w:tc>
          <w:tcPr>
            <w:tcW w:w="326" w:type="dxa"/>
            <w:tcBorders/>
            <w:vAlign w:val="center"/>
          </w:tcPr>
          <w:p>
            <w:pPr>
              <w:pStyle w:val="TableContents"/>
              <w:bidi w:val="0"/>
              <w:spacing w:before="0" w:after="0"/>
              <w:ind w:left="0" w:right="0" w:hanging="0"/>
              <w:jc w:val="left"/>
              <w:rPr/>
            </w:pPr>
            <w:r>
              <w:rPr/>
              <w:t>​</w:t>
            </w:r>
          </w:p>
        </w:tc>
        <w:tc>
          <w:tcPr>
            <w:tcW w:w="89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XBRL Taxonomy Extension Schema Document.</w:t>
            </w:r>
          </w:p>
        </w:tc>
      </w:tr>
      <w:tr>
        <w:trPr/>
        <w:tc>
          <w:tcPr>
            <w:tcW w:w="92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952" w:type="dxa"/>
            <w:tcBorders/>
            <w:vAlign w:val="center"/>
          </w:tcPr>
          <w:p>
            <w:pPr>
              <w:pStyle w:val="TableContents"/>
              <w:bidi w:val="0"/>
              <w:spacing w:before="0" w:after="0"/>
              <w:ind w:left="0" w:right="0" w:hanging="0"/>
              <w:jc w:val="left"/>
              <w:rPr/>
            </w:pPr>
            <w:r>
              <w:rPr/>
              <w:t>​</w:t>
            </w:r>
          </w:p>
        </w:tc>
      </w:tr>
      <w:tr>
        <w:trPr/>
        <w:tc>
          <w:tcPr>
            <w:tcW w:w="927" w:type="dxa"/>
            <w:tcBorders/>
            <w:vAlign w:val="center"/>
          </w:tcPr>
          <w:p>
            <w:pPr>
              <w:pStyle w:val="TableContents"/>
              <w:pBdr/>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101.DEF*</w:t>
            </w:r>
          </w:p>
        </w:tc>
        <w:tc>
          <w:tcPr>
            <w:tcW w:w="326" w:type="dxa"/>
            <w:tcBorders/>
            <w:vAlign w:val="center"/>
          </w:tcPr>
          <w:p>
            <w:pPr>
              <w:pStyle w:val="TableContents"/>
              <w:bidi w:val="0"/>
              <w:spacing w:before="0" w:after="0"/>
              <w:ind w:left="0" w:right="0" w:hanging="0"/>
              <w:jc w:val="left"/>
              <w:rPr/>
            </w:pPr>
            <w:r>
              <w:rPr/>
              <w:t>​</w:t>
            </w:r>
          </w:p>
        </w:tc>
        <w:tc>
          <w:tcPr>
            <w:tcW w:w="89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XBRL Taxonomy Extension Definition Linkbase Document.</w:t>
            </w:r>
          </w:p>
        </w:tc>
      </w:tr>
      <w:tr>
        <w:trPr/>
        <w:tc>
          <w:tcPr>
            <w:tcW w:w="92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952" w:type="dxa"/>
            <w:tcBorders/>
            <w:vAlign w:val="center"/>
          </w:tcPr>
          <w:p>
            <w:pPr>
              <w:pStyle w:val="TableContents"/>
              <w:bidi w:val="0"/>
              <w:spacing w:before="0" w:after="0"/>
              <w:ind w:left="0" w:right="0" w:hanging="0"/>
              <w:jc w:val="left"/>
              <w:rPr/>
            </w:pPr>
            <w:r>
              <w:rPr/>
              <w:t>​</w:t>
            </w:r>
          </w:p>
        </w:tc>
      </w:tr>
      <w:tr>
        <w:trPr/>
        <w:tc>
          <w:tcPr>
            <w:tcW w:w="927" w:type="dxa"/>
            <w:tcBorders/>
            <w:vAlign w:val="center"/>
          </w:tcPr>
          <w:p>
            <w:pPr>
              <w:pStyle w:val="TableContents"/>
              <w:pBdr/>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101.CAL*</w:t>
            </w:r>
          </w:p>
        </w:tc>
        <w:tc>
          <w:tcPr>
            <w:tcW w:w="326" w:type="dxa"/>
            <w:tcBorders/>
            <w:vAlign w:val="center"/>
          </w:tcPr>
          <w:p>
            <w:pPr>
              <w:pStyle w:val="TableContents"/>
              <w:bidi w:val="0"/>
              <w:spacing w:before="0" w:after="0"/>
              <w:ind w:left="0" w:right="0" w:hanging="0"/>
              <w:jc w:val="left"/>
              <w:rPr/>
            </w:pPr>
            <w:r>
              <w:rPr/>
              <w:t>​</w:t>
            </w:r>
          </w:p>
        </w:tc>
        <w:tc>
          <w:tcPr>
            <w:tcW w:w="89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XBRL Taxonomy Extension Calculation Linkbase Document.</w:t>
            </w:r>
          </w:p>
        </w:tc>
      </w:tr>
      <w:tr>
        <w:trPr/>
        <w:tc>
          <w:tcPr>
            <w:tcW w:w="92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952" w:type="dxa"/>
            <w:tcBorders/>
            <w:vAlign w:val="center"/>
          </w:tcPr>
          <w:p>
            <w:pPr>
              <w:pStyle w:val="TableContents"/>
              <w:bidi w:val="0"/>
              <w:spacing w:before="0" w:after="0"/>
              <w:ind w:left="0" w:right="0" w:hanging="0"/>
              <w:jc w:val="left"/>
              <w:rPr/>
            </w:pPr>
            <w:r>
              <w:rPr/>
              <w:t>​</w:t>
            </w:r>
          </w:p>
        </w:tc>
      </w:tr>
      <w:tr>
        <w:trPr/>
        <w:tc>
          <w:tcPr>
            <w:tcW w:w="927" w:type="dxa"/>
            <w:tcBorders/>
            <w:vAlign w:val="center"/>
          </w:tcPr>
          <w:p>
            <w:pPr>
              <w:pStyle w:val="TableContents"/>
              <w:pBdr/>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101.LAB*</w:t>
            </w:r>
          </w:p>
        </w:tc>
        <w:tc>
          <w:tcPr>
            <w:tcW w:w="326" w:type="dxa"/>
            <w:tcBorders/>
            <w:vAlign w:val="center"/>
          </w:tcPr>
          <w:p>
            <w:pPr>
              <w:pStyle w:val="TableContents"/>
              <w:bidi w:val="0"/>
              <w:spacing w:before="0" w:after="0"/>
              <w:ind w:left="0" w:right="0" w:hanging="0"/>
              <w:jc w:val="left"/>
              <w:rPr/>
            </w:pPr>
            <w:r>
              <w:rPr/>
              <w:t>​</w:t>
            </w:r>
          </w:p>
        </w:tc>
        <w:tc>
          <w:tcPr>
            <w:tcW w:w="89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XBRL Taxonomy Extension Label Linkbase Document.</w:t>
            </w:r>
          </w:p>
        </w:tc>
      </w:tr>
      <w:tr>
        <w:trPr/>
        <w:tc>
          <w:tcPr>
            <w:tcW w:w="92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952" w:type="dxa"/>
            <w:tcBorders/>
            <w:vAlign w:val="center"/>
          </w:tcPr>
          <w:p>
            <w:pPr>
              <w:pStyle w:val="TableContents"/>
              <w:bidi w:val="0"/>
              <w:spacing w:before="0" w:after="0"/>
              <w:ind w:left="0" w:right="0" w:hanging="0"/>
              <w:jc w:val="left"/>
              <w:rPr/>
            </w:pPr>
            <w:r>
              <w:rPr/>
              <w:t>​</w:t>
            </w:r>
          </w:p>
        </w:tc>
      </w:tr>
      <w:tr>
        <w:trPr/>
        <w:tc>
          <w:tcPr>
            <w:tcW w:w="927" w:type="dxa"/>
            <w:tcBorders/>
            <w:vAlign w:val="center"/>
          </w:tcPr>
          <w:p>
            <w:pPr>
              <w:pStyle w:val="TableContents"/>
              <w:pBdr/>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101.PRE*</w:t>
            </w:r>
          </w:p>
        </w:tc>
        <w:tc>
          <w:tcPr>
            <w:tcW w:w="326" w:type="dxa"/>
            <w:tcBorders/>
            <w:vAlign w:val="center"/>
          </w:tcPr>
          <w:p>
            <w:pPr>
              <w:pStyle w:val="TableContents"/>
              <w:bidi w:val="0"/>
              <w:spacing w:before="0" w:after="0"/>
              <w:ind w:left="0" w:right="0" w:hanging="0"/>
              <w:jc w:val="left"/>
              <w:rPr/>
            </w:pPr>
            <w:r>
              <w:rPr/>
              <w:t>​</w:t>
            </w:r>
          </w:p>
        </w:tc>
        <w:tc>
          <w:tcPr>
            <w:tcW w:w="89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XBRL Taxonomy Extension Presentation Linkbase Document.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4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Filed herewith.</w:t>
            </w:r>
          </w:p>
        </w:tc>
      </w:tr>
      <w:tr>
        <w:trPr/>
        <w:tc>
          <w:tcPr>
            <w:tcW w:w="25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Furnished herewith. The information in these exhibits shall not be deemed to be “filed” for purposes of Section 18 of the Exchange Act, or otherwise subject to liability under that section, and shall not be incorporated by reference into any filing under the Securities Act or the Exchange Act, except to the extent that the registrant specifically incorporates it by reference.</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lineRule="auto" w:line="343"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148" w:name="Signature_Page"/>
      <w:bookmarkStart w:id="1149" w:name="_2ce2ab79_6a5a_4402_b308_0edbf6957fe8"/>
      <w:bookmarkEnd w:id="1148"/>
      <w:bookmarkEnd w:id="1149"/>
      <w:r>
        <w:rPr>
          <w:rFonts w:ascii="Times New Roman;Times;serif" w:hAnsi="Times New Roman;Times;serif"/>
          <w:b/>
          <w:sz w:val="20"/>
        </w:rPr>
        <w:t>SIGNATURE</w:t>
      </w:r>
    </w:p>
    <w:p>
      <w:pPr>
        <w:pStyle w:val="TextBody"/>
        <w:bidi w:val="0"/>
        <w:spacing w:before="200" w:after="0"/>
        <w:ind w:left="0" w:right="0" w:firstLine="48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February 2, 2024</w:t>
      </w:r>
    </w:p>
    <w:tbl>
      <w:tblPr>
        <w:tblW w:w="3081" w:type="dxa"/>
        <w:jc w:val="left"/>
        <w:tblInd w:w="0" w:type="dxa"/>
        <w:tblLayout w:type="fixed"/>
        <w:tblCellMar>
          <w:top w:w="0" w:type="dxa"/>
          <w:left w:w="0" w:type="dxa"/>
          <w:bottom w:w="0" w:type="dxa"/>
          <w:right w:w="0" w:type="dxa"/>
        </w:tblCellMar>
      </w:tblPr>
      <w:tblGrid>
        <w:gridCol w:w="124"/>
        <w:gridCol w:w="406"/>
        <w:gridCol w:w="2551"/>
      </w:tblGrid>
      <w:tr>
        <w:trPr/>
        <w:tc>
          <w:tcPr>
            <w:tcW w:w="124" w:type="dxa"/>
            <w:tcBorders/>
            <w:vAlign w:val="center"/>
          </w:tcPr>
          <w:p>
            <w:pPr>
              <w:pStyle w:val="TableContents"/>
              <w:bidi w:val="0"/>
              <w:spacing w:before="0" w:after="0"/>
              <w:ind w:left="0" w:right="0" w:hanging="0"/>
              <w:jc w:val="left"/>
              <w:rPr/>
            </w:pPr>
            <w:r>
              <w:rPr/>
              <w:t>​</w:t>
            </w:r>
          </w:p>
        </w:tc>
        <w:tc>
          <w:tcPr>
            <w:tcW w:w="2957"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AVNET, INC.</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55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55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551" w:type="dxa"/>
            <w:tcBorders>
              <w:bottom w:val="single" w:sz="8" w:space="0" w:color="000000"/>
            </w:tcBorders>
            <w:tcMar>
              <w:bottom w:w="4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KENNETH A. JACOBSON</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5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Kenneth A. Jacobson</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55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Chief Financial Officer</w:t>
            </w:r>
          </w:p>
        </w:tc>
      </w:tr>
    </w:tbl>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lineRule="auto" w:line="343" w:before="0" w:after="0"/>
        <w:ind w:left="0" w:right="0" w:hanging="0"/>
        <w:jc w:val="left"/>
        <w:rPr/>
      </w:pPr>
      <w:bookmarkStart w:id="1150" w:name="avt-20231230xex31d1.htm"/>
      <w:bookmarkStart w:id="1151" w:name="ksavt20231230xex31d1"/>
      <w:bookmarkEnd w:id="1150"/>
      <w:bookmarkEnd w:id="1151"/>
      <w:r>
        <w:rPr/>
        <w:t>​</w:t>
      </w:r>
      <w:r>
        <w:br w:type="page"/>
      </w:r>
    </w:p>
    <w:p>
      <w:pPr>
        <w:pStyle w:val="TextBody"/>
        <w:bidi w:val="0"/>
        <w:spacing w:lineRule="auto" w:line="343" w:before="0" w:after="0"/>
        <w:ind w:left="0" w:right="0" w:hanging="0"/>
        <w:jc w:val="right"/>
        <w:rPr>
          <w:rFonts w:ascii="Times New Roman;Times;serif" w:hAnsi="Times New Roman;Times;serif"/>
          <w:b/>
          <w:sz w:val="20"/>
        </w:rPr>
      </w:pPr>
      <w:r>
        <w:rPr>
          <w:rFonts w:ascii="Times New Roman;Times;serif" w:hAnsi="Times New Roman;Times;serif"/>
          <w:b/>
          <w:sz w:val="20"/>
        </w:rPr>
        <w:t>Exhibit 31.1</w:t>
      </w:r>
      <w:bookmarkStart w:id="1152" w:name="Ex_311"/>
      <w:bookmarkEnd w:id="1152"/>
    </w:p>
    <w:p>
      <w:pPr>
        <w:pStyle w:val="TextBody"/>
        <w:bidi w:val="0"/>
        <w:spacing w:lineRule="auto" w:line="343" w:before="12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EXECUTIVE OFFICER</w:t>
      </w:r>
    </w:p>
    <w:p>
      <w:pPr>
        <w:pStyle w:val="TextBody"/>
        <w:bidi w:val="0"/>
        <w:spacing w:lineRule="auto" w:line="343" w:before="120" w:after="0"/>
        <w:ind w:left="0" w:right="0" w:hanging="0"/>
        <w:jc w:val="left"/>
        <w:rPr>
          <w:rFonts w:ascii="Times New Roman;Times;serif" w:hAnsi="Times New Roman;Times;serif"/>
          <w:sz w:val="20"/>
        </w:rPr>
      </w:pPr>
      <w:r>
        <w:rPr>
          <w:rFonts w:ascii="Times New Roman;Times;serif" w:hAnsi="Times New Roman;Times;serif"/>
          <w:sz w:val="20"/>
        </w:rPr>
        <w:t>I, Philip R. Gallagher, certify that:</w:t>
      </w:r>
    </w:p>
    <w:tbl>
      <w:tblPr>
        <w:tblW w:w="5508" w:type="dxa"/>
        <w:jc w:val="left"/>
        <w:tblInd w:w="0" w:type="dxa"/>
        <w:tblLayout w:type="fixed"/>
        <w:tblCellMar>
          <w:top w:w="0" w:type="dxa"/>
          <w:left w:w="0" w:type="dxa"/>
          <w:bottom w:w="0" w:type="dxa"/>
          <w:right w:w="0" w:type="dxa"/>
        </w:tblCellMar>
      </w:tblPr>
      <w:tblGrid>
        <w:gridCol w:w="23"/>
        <w:gridCol w:w="170"/>
        <w:gridCol w:w="531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53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Avnet, Inc.;</w:t>
            </w:r>
          </w:p>
        </w:tc>
      </w:tr>
    </w:tbl>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23"/>
        <w:gridCol w:w="141"/>
        <w:gridCol w:w="10041"/>
      </w:tblGrid>
      <w:tr>
        <w:trPr/>
        <w:tc>
          <w:tcPr>
            <w:tcW w:w="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equivalent functions):</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lineRule="auto" w:line="343" w:before="0" w:after="0"/>
        <w:ind w:left="0" w:right="0" w:hanging="0"/>
        <w:jc w:val="center"/>
        <w:rPr/>
      </w:pPr>
      <w:r>
        <w:rPr/>
        <w:t>​</w:t>
      </w:r>
    </w:p>
    <w:p>
      <w:pPr>
        <w:pStyle w:val="TextBody"/>
        <w:bidi w:val="0"/>
        <w:spacing w:lineRule="auto" w:line="343" w:before="0" w:after="0"/>
        <w:ind w:left="720" w:right="0" w:hanging="0"/>
        <w:jc w:val="left"/>
        <w:rPr>
          <w:rFonts w:ascii="Times New Roman;Times;serif" w:hAnsi="Times New Roman;Times;serif"/>
          <w:sz w:val="20"/>
        </w:rPr>
      </w:pPr>
      <w:r>
        <w:rPr>
          <w:rFonts w:ascii="Times New Roman;Times;serif" w:hAnsi="Times New Roman;Times;serif"/>
          <w:sz w:val="20"/>
        </w:rPr>
        <w:t>Date: February 2, 2024</w:t>
      </w:r>
    </w:p>
    <w:p>
      <w:pPr>
        <w:pStyle w:val="TextBody"/>
        <w:bidi w:val="0"/>
        <w:spacing w:before="0" w:after="0"/>
        <w:ind w:left="0" w:right="0" w:hanging="0"/>
        <w:jc w:val="left"/>
        <w:rPr/>
      </w:pPr>
      <w:r>
        <w:rPr/>
        <w:t>​</w:t>
      </w:r>
    </w:p>
    <w:tbl>
      <w:tblPr>
        <w:tblW w:w="2195" w:type="dxa"/>
        <w:jc w:val="right"/>
        <w:tblInd w:w="0" w:type="dxa"/>
        <w:tblLayout w:type="fixed"/>
        <w:tblCellMar>
          <w:top w:w="0" w:type="dxa"/>
          <w:left w:w="0" w:type="dxa"/>
          <w:bottom w:w="0" w:type="dxa"/>
          <w:right w:w="0" w:type="dxa"/>
        </w:tblCellMar>
      </w:tblPr>
      <w:tblGrid>
        <w:gridCol w:w="124"/>
        <w:gridCol w:w="2071"/>
      </w:tblGrid>
      <w:tr>
        <w:trPr/>
        <w:tc>
          <w:tcPr>
            <w:tcW w:w="124" w:type="dxa"/>
            <w:tcBorders/>
            <w:vAlign w:val="center"/>
          </w:tcPr>
          <w:p>
            <w:pPr>
              <w:pStyle w:val="TableContents"/>
              <w:bidi w:val="0"/>
              <w:spacing w:lineRule="auto" w:line="304" w:before="0" w:after="0"/>
              <w:ind w:left="0" w:right="0" w:hanging="0"/>
              <w:jc w:val="left"/>
              <w:rPr/>
            </w:pPr>
            <w:r>
              <w:rPr/>
              <w:t>​</w:t>
            </w:r>
          </w:p>
        </w:tc>
        <w:tc>
          <w:tcPr>
            <w:tcW w:w="20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1315085" cy="175260"/>
                      <wp:effectExtent l="0" t="0" r="0" b="0"/>
                      <wp:wrapNone/>
                      <wp:docPr id="261" name="Frame261"/>
                      <a:graphic xmlns:a="http://schemas.openxmlformats.org/drawingml/2006/main">
                        <a:graphicData uri="http://schemas.microsoft.com/office/word/2010/wordprocessingShape">
                          <wps:wsp>
                            <wps:cNvSpPr txBox="1"/>
                            <wps:spPr>
                              <a:xfrm>
                                <a:off x="0" y="0"/>
                                <a:ext cx="1315085" cy="175260"/>
                              </a:xfrm>
                              <a:prstGeom prst="rect"/>
                              <a:solidFill>
                                <a:srgbClr val="FFFFFF"/>
                              </a:solidFill>
                            </wps:spPr>
                            <wps:txbx>
                              <w:txbxContent>
                                <w:p>
                                  <w:pPr>
                                    <w:pStyle w:val="TableContents"/>
                                    <w:bidi w:val="0"/>
                                    <w:spacing w:lineRule="auto" w:line="30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lineRule="auto" w:line="304" w:before="0" w:after="0"/>
              <w:ind w:left="0" w:right="0" w:hanging="0"/>
              <w:jc w:val="left"/>
              <w:rPr/>
            </w:pPr>
            <w:r>
              <w:rPr/>
              <w:t>​</w:t>
            </w:r>
          </w:p>
        </w:tc>
        <w:tc>
          <w:tcPr>
            <w:tcW w:w="2071"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1315085" cy="332740"/>
                      <wp:effectExtent l="0" t="0" r="0" b="0"/>
                      <wp:wrapNone/>
                      <wp:docPr id="262" name="Frame262"/>
                      <a:graphic xmlns:a="http://schemas.openxmlformats.org/drawingml/2006/main">
                        <a:graphicData uri="http://schemas.microsoft.com/office/word/2010/wordprocessingShape">
                          <wps:wsp>
                            <wps:cNvSpPr txBox="1"/>
                            <wps:spPr>
                              <a:xfrm>
                                <a:off x="0" y="0"/>
                                <a:ext cx="1315085" cy="332740"/>
                              </a:xfrm>
                              <a:prstGeom prst="rect"/>
                              <a:solidFill>
                                <a:srgbClr val="FFFFFF"/>
                              </a:solidFill>
                            </wps:spPr>
                            <wps:txbx>
                              <w:txbxContent>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/s/ PHILIP R. GALLAGHER</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5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/s/ PHILIP R. GALLAGHER</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78740" cy="175260"/>
                      <wp:effectExtent l="0" t="0" r="0" b="0"/>
                      <wp:wrapNone/>
                      <wp:docPr id="263" name="Frame263"/>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lineRule="auto" w:line="30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0"/>
                              <w:ind w:left="0" w:right="0" w:hanging="0"/>
                              <w:jc w:val="left"/>
                              <w:rPr/>
                            </w:pPr>
                            <w:r>
                              <w:rPr/>
                              <w:t>​</w:t>
                            </w:r>
                          </w:p>
                        </w:txbxContent>
                      </v:textbox>
                      <w10:wrap type="none"/>
                    </v:rect>
                  </w:pict>
                </mc:Fallback>
              </mc:AlternateContent>
            </w:r>
          </w:p>
        </w:tc>
        <w:tc>
          <w:tcPr>
            <w:tcW w:w="2071" w:type="dxa"/>
            <w:tcBorders>
              <w:top w:val="single" w:sz="2"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1315085" cy="146685"/>
                      <wp:effectExtent l="0" t="0" r="0" b="0"/>
                      <wp:wrapNone/>
                      <wp:docPr id="264" name="Frame264"/>
                      <a:graphic xmlns:a="http://schemas.openxmlformats.org/drawingml/2006/main">
                        <a:graphicData uri="http://schemas.microsoft.com/office/word/2010/wordprocessingShape">
                          <wps:wsp>
                            <wps:cNvSpPr txBox="1"/>
                            <wps:spPr>
                              <a:xfrm>
                                <a:off x="0" y="0"/>
                                <a:ext cx="1315085" cy="146685"/>
                              </a:xfrm>
                              <a:prstGeom prst="rect"/>
                              <a:solidFill>
                                <a:srgbClr val="FFFFFF"/>
                              </a:solidFill>
                            </wps:spPr>
                            <wps:txbx>
                              <w:txbxContent>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Philip R. Gallagher</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5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Philip R. Gallagher</w:t>
                            </w:r>
                          </w:p>
                        </w:txbxContent>
                      </v:textbox>
                      <w10:wrap type="none"/>
                    </v:rect>
                  </w:pict>
                </mc:Fallback>
              </mc:AlternateContent>
            </w:r>
          </w:p>
        </w:tc>
      </w:tr>
      <w:tr>
        <w:trPr/>
        <w:tc>
          <w:tcPr>
            <w:tcW w:w="124" w:type="dxa"/>
            <w:tcBorders/>
            <w:vAlign w:val="center"/>
          </w:tcPr>
          <w:p>
            <w:pPr>
              <w:pStyle w:val="TableContents"/>
              <w:bidi w:val="0"/>
              <w:spacing w:lineRule="auto" w:line="304" w:before="0" w:after="0"/>
              <w:ind w:left="0" w:right="0" w:hanging="0"/>
              <w:jc w:val="left"/>
              <w:rPr/>
            </w:pPr>
            <w:r>
              <w:rPr/>
              <w:t>​</w:t>
            </w:r>
          </w:p>
        </w:tc>
        <w:tc>
          <w:tcPr>
            <w:tcW w:w="2071"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pPr>
      <w:r>
        <w:rPr/>
        <w:t>​</w:t>
      </w:r>
    </w:p>
    <w:p>
      <w:pPr>
        <w:pStyle w:val="TextBody"/>
        <w:bidi w:val="0"/>
        <w:spacing w:lineRule="auto" w:line="343"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lineRule="auto" w:line="343" w:before="0" w:after="0"/>
        <w:ind w:left="0" w:right="0" w:hanging="0"/>
        <w:jc w:val="left"/>
        <w:rPr/>
      </w:pPr>
      <w:bookmarkStart w:id="1153" w:name="avt-20231230xex31d2.htm"/>
      <w:bookmarkStart w:id="1154" w:name="ksavt20231230xex31d2"/>
      <w:bookmarkEnd w:id="1153"/>
      <w:bookmarkEnd w:id="1154"/>
      <w:r>
        <w:rPr/>
        <w:t>​</w:t>
      </w:r>
      <w:r>
        <w:br w:type="page"/>
      </w:r>
    </w:p>
    <w:p>
      <w:pPr>
        <w:pStyle w:val="TextBody"/>
        <w:bidi w:val="0"/>
        <w:spacing w:lineRule="auto" w:line="343" w:before="0" w:after="0"/>
        <w:ind w:left="0" w:right="0" w:hanging="0"/>
        <w:jc w:val="right"/>
        <w:rPr>
          <w:rFonts w:ascii="Times New Roman;Times;serif" w:hAnsi="Times New Roman;Times;serif"/>
          <w:b/>
          <w:sz w:val="20"/>
        </w:rPr>
      </w:pPr>
      <w:r>
        <w:rPr>
          <w:rFonts w:ascii="Times New Roman;Times;serif" w:hAnsi="Times New Roman;Times;serif"/>
          <w:b/>
          <w:sz w:val="20"/>
        </w:rPr>
        <w:t>Exhibit 31.2</w:t>
      </w:r>
      <w:bookmarkStart w:id="1155" w:name="Ex_312"/>
      <w:bookmarkEnd w:id="1155"/>
    </w:p>
    <w:p>
      <w:pPr>
        <w:pStyle w:val="TextBody"/>
        <w:bidi w:val="0"/>
        <w:spacing w:lineRule="auto" w:line="343" w:before="12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FINANCIAL OFFICER</w:t>
      </w:r>
    </w:p>
    <w:p>
      <w:pPr>
        <w:pStyle w:val="TextBody"/>
        <w:bidi w:val="0"/>
        <w:spacing w:lineRule="auto" w:line="343" w:before="120" w:after="0"/>
        <w:ind w:left="0" w:right="0" w:hanging="0"/>
        <w:jc w:val="left"/>
        <w:rPr>
          <w:rFonts w:ascii="Times New Roman;Times;serif" w:hAnsi="Times New Roman;Times;serif"/>
          <w:sz w:val="20"/>
        </w:rPr>
      </w:pPr>
      <w:r>
        <w:rPr>
          <w:rFonts w:ascii="Times New Roman;Times;serif" w:hAnsi="Times New Roman;Times;serif"/>
          <w:sz w:val="20"/>
        </w:rPr>
        <w:t>I, Kenneth A. Jacobson, certify that:</w:t>
      </w:r>
    </w:p>
    <w:tbl>
      <w:tblPr>
        <w:tblW w:w="5508" w:type="dxa"/>
        <w:jc w:val="left"/>
        <w:tblInd w:w="0" w:type="dxa"/>
        <w:tblLayout w:type="fixed"/>
        <w:tblCellMar>
          <w:top w:w="0" w:type="dxa"/>
          <w:left w:w="0" w:type="dxa"/>
          <w:bottom w:w="0" w:type="dxa"/>
          <w:right w:w="0" w:type="dxa"/>
        </w:tblCellMar>
      </w:tblPr>
      <w:tblGrid>
        <w:gridCol w:w="23"/>
        <w:gridCol w:w="170"/>
        <w:gridCol w:w="531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53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Avnet, Inc.;</w:t>
            </w:r>
          </w:p>
        </w:tc>
      </w:tr>
    </w:tbl>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23"/>
        <w:gridCol w:w="141"/>
        <w:gridCol w:w="10041"/>
      </w:tblGrid>
      <w:tr>
        <w:trPr/>
        <w:tc>
          <w:tcPr>
            <w:tcW w:w="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equivalent functions):</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lineRule="auto" w:line="343" w:before="0" w:after="0"/>
        <w:ind w:left="0" w:right="0" w:hanging="0"/>
        <w:jc w:val="center"/>
        <w:rPr/>
      </w:pPr>
      <w:r>
        <w:rPr/>
        <w:t>​</w:t>
      </w:r>
    </w:p>
    <w:p>
      <w:pPr>
        <w:pStyle w:val="TextBody"/>
        <w:bidi w:val="0"/>
        <w:spacing w:lineRule="auto" w:line="343" w:before="0" w:after="0"/>
        <w:ind w:left="0" w:right="0" w:hanging="0"/>
        <w:jc w:val="left"/>
        <w:rPr>
          <w:rFonts w:ascii="Times New Roman;Times;serif" w:hAnsi="Times New Roman;Times;serif"/>
          <w:sz w:val="20"/>
        </w:rPr>
      </w:pPr>
      <w:r>
        <w:rPr>
          <w:rFonts w:ascii="Times New Roman;Times;serif" w:hAnsi="Times New Roman;Times;serif"/>
          <w:sz w:val="20"/>
        </w:rPr>
        <w:t xml:space="preserve">Date: February 2, 2024 </w:t>
      </w:r>
    </w:p>
    <w:p>
      <w:pPr>
        <w:pStyle w:val="TextBody"/>
        <w:bidi w:val="0"/>
        <w:spacing w:lineRule="atLeast" w:line="200" w:before="0" w:after="0"/>
        <w:ind w:left="0" w:right="0" w:hanging="0"/>
        <w:jc w:val="left"/>
        <w:rPr/>
      </w:pPr>
      <w:r>
        <w:rPr/>
        <w:t>​</w:t>
      </w:r>
    </w:p>
    <w:tbl>
      <w:tblPr>
        <w:tblW w:w="2135" w:type="dxa"/>
        <w:jc w:val="right"/>
        <w:tblInd w:w="0" w:type="dxa"/>
        <w:tblLayout w:type="fixed"/>
        <w:tblCellMar>
          <w:top w:w="0" w:type="dxa"/>
          <w:left w:w="0" w:type="dxa"/>
          <w:bottom w:w="0" w:type="dxa"/>
          <w:right w:w="0" w:type="dxa"/>
        </w:tblCellMar>
      </w:tblPr>
      <w:tblGrid>
        <w:gridCol w:w="124"/>
        <w:gridCol w:w="2011"/>
      </w:tblGrid>
      <w:tr>
        <w:trPr/>
        <w:tc>
          <w:tcPr>
            <w:tcW w:w="124" w:type="dxa"/>
            <w:tcBorders/>
            <w:vAlign w:val="center"/>
          </w:tcPr>
          <w:p>
            <w:pPr>
              <w:pStyle w:val="TableContents"/>
              <w:bidi w:val="0"/>
              <w:spacing w:before="0" w:after="0"/>
              <w:ind w:left="0" w:right="0" w:hanging="0"/>
              <w:jc w:val="left"/>
              <w:rPr/>
            </w:pPr>
            <w:r>
              <w:rPr/>
              <w:t>​</w:t>
            </w:r>
          </w:p>
        </w:tc>
        <w:tc>
          <w:tcPr>
            <w:tcW w:w="20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1276985" cy="175260"/>
                      <wp:effectExtent l="0" t="0" r="0" b="0"/>
                      <wp:wrapNone/>
                      <wp:docPr id="265" name="Frame265"/>
                      <a:graphic xmlns:a="http://schemas.openxmlformats.org/drawingml/2006/main">
                        <a:graphicData uri="http://schemas.microsoft.com/office/word/2010/wordprocessingShape">
                          <wps:wsp>
                            <wps:cNvSpPr txBox="1"/>
                            <wps:spPr>
                              <a:xfrm>
                                <a:off x="0" y="0"/>
                                <a:ext cx="1276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2011"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1276985" cy="293370"/>
                      <wp:effectExtent l="0" t="0" r="0" b="0"/>
                      <wp:wrapNone/>
                      <wp:docPr id="266" name="Frame266"/>
                      <a:graphic xmlns:a="http://schemas.openxmlformats.org/drawingml/2006/main">
                        <a:graphicData uri="http://schemas.microsoft.com/office/word/2010/wordprocessingShape">
                          <wps:wsp>
                            <wps:cNvSpPr txBox="1"/>
                            <wps:spPr>
                              <a:xfrm>
                                <a:off x="0" y="0"/>
                                <a:ext cx="1276985" cy="293370"/>
                              </a:xfrm>
                              <a:prstGeom prst="rect"/>
                              <a:solidFill>
                                <a:srgbClr val="FFFFFF"/>
                              </a:solidFill>
                            </wps:spPr>
                            <wps:txbx>
                              <w:txbxContent>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KENNETH A. JACOBSON</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KENNETH A. JACOBSON</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78740" cy="175260"/>
                      <wp:effectExtent l="0" t="0" r="0" b="0"/>
                      <wp:wrapNone/>
                      <wp:docPr id="267" name="Frame267"/>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11" w:type="dxa"/>
            <w:tcBorders>
              <w:top w:val="single" w:sz="2"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1276985" cy="146685"/>
                      <wp:effectExtent l="0" t="0" r="0" b="0"/>
                      <wp:wrapNone/>
                      <wp:docPr id="268" name="Frame268"/>
                      <a:graphic xmlns:a="http://schemas.openxmlformats.org/drawingml/2006/main">
                        <a:graphicData uri="http://schemas.microsoft.com/office/word/2010/wordprocessingShape">
                          <wps:wsp>
                            <wps:cNvSpPr txBox="1"/>
                            <wps:spPr>
                              <a:xfrm>
                                <a:off x="0" y="0"/>
                                <a:ext cx="1276985" cy="146685"/>
                              </a:xfrm>
                              <a:prstGeom prst="rect"/>
                              <a:solidFill>
                                <a:srgbClr val="FFFFFF"/>
                              </a:solidFill>
                            </wps:spPr>
                            <wps:txbx>
                              <w:txbxContent>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Kenneth A. Jacobson</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Kenneth A. Jacobson</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pPr>
      <w:r>
        <w:rPr/>
        <w:t>​</w:t>
      </w:r>
    </w:p>
    <w:p>
      <w:pPr>
        <w:pStyle w:val="TextBody"/>
        <w:bidi w:val="0"/>
        <w:spacing w:lineRule="auto" w:line="343"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lineRule="auto" w:line="343" w:before="0" w:after="0"/>
        <w:ind w:left="0" w:right="0" w:hanging="0"/>
        <w:jc w:val="left"/>
        <w:rPr/>
      </w:pPr>
      <w:bookmarkStart w:id="1156" w:name="avt-20231230xex32d1.htm"/>
      <w:bookmarkStart w:id="1157" w:name="ksavt20231230xex32d1"/>
      <w:bookmarkEnd w:id="1156"/>
      <w:bookmarkEnd w:id="1157"/>
      <w:r>
        <w:rPr/>
        <w:t>​</w:t>
      </w:r>
      <w:r>
        <w:br w:type="page"/>
      </w:r>
    </w:p>
    <w:p>
      <w:pPr>
        <w:pStyle w:val="TextBody"/>
        <w:bidi w:val="0"/>
        <w:spacing w:lineRule="auto" w:line="343" w:before="0" w:after="0"/>
        <w:ind w:left="0" w:right="0" w:hanging="0"/>
        <w:jc w:val="right"/>
        <w:rPr>
          <w:rFonts w:ascii="Times New Roman;Times;serif" w:hAnsi="Times New Roman;Times;serif"/>
          <w:b/>
          <w:sz w:val="20"/>
        </w:rPr>
      </w:pPr>
      <w:r>
        <w:rPr>
          <w:rFonts w:ascii="Times New Roman;Times;serif" w:hAnsi="Times New Roman;Times;serif"/>
          <w:b/>
          <w:sz w:val="20"/>
        </w:rPr>
        <w:t>Exhibit 32.1</w:t>
      </w:r>
      <w:bookmarkStart w:id="1158" w:name="Ex_321"/>
      <w:bookmarkEnd w:id="1158"/>
    </w:p>
    <w:p>
      <w:pPr>
        <w:pStyle w:val="TextBody"/>
        <w:bidi w:val="0"/>
        <w:spacing w:lineRule="auto" w:line="343" w:before="12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Executive Officer Pursuant to 18 U.S.C. Section 1350</w:t>
      </w:r>
    </w:p>
    <w:p>
      <w:pPr>
        <w:pStyle w:val="TextBody"/>
        <w:bidi w:val="0"/>
        <w:spacing w:lineRule="auto" w:line="343"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906 of the Sarbanes-Oxley Act of 2002)</w:t>
      </w:r>
    </w:p>
    <w:p>
      <w:pPr>
        <w:pStyle w:val="TextBody"/>
        <w:bidi w:val="0"/>
        <w:spacing w:lineRule="auto" w:line="343" w:before="120" w:after="0"/>
        <w:ind w:left="0" w:right="0" w:hanging="0"/>
        <w:jc w:val="left"/>
        <w:rPr>
          <w:rFonts w:ascii="Times New Roman;Times;serif" w:hAnsi="Times New Roman;Times;serif"/>
          <w:sz w:val="20"/>
        </w:rPr>
      </w:pPr>
      <w:r>
        <w:rPr>
          <w:rFonts w:ascii="Times New Roman;Times;serif" w:hAnsi="Times New Roman;Times;serif"/>
          <w:sz w:val="20"/>
        </w:rPr>
        <w:t xml:space="preserve">In connection with the Quarterly Report on Form 10-Q for the period ended December 30, 2023 (the “Report”), I, Philip R. Gallagher, Chief Executive Officer of Avnet, Inc. (the “Company”) hereby certify that: </w:t>
      </w:r>
    </w:p>
    <w:tbl>
      <w:tblPr>
        <w:tblW w:w="10205" w:type="dxa"/>
        <w:jc w:val="left"/>
        <w:tblInd w:w="0" w:type="dxa"/>
        <w:tblLayout w:type="fixed"/>
        <w:tblCellMar>
          <w:top w:w="0" w:type="dxa"/>
          <w:left w:w="0" w:type="dxa"/>
          <w:bottom w:w="0" w:type="dxa"/>
          <w:right w:w="0" w:type="dxa"/>
        </w:tblCellMar>
      </w:tblPr>
      <w:tblGrid>
        <w:gridCol w:w="23"/>
        <w:gridCol w:w="166"/>
        <w:gridCol w:w="10016"/>
      </w:tblGrid>
      <w:tr>
        <w:trPr/>
        <w:tc>
          <w:tcPr>
            <w:tcW w:w="2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100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as applicable,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162"/>
        <w:gridCol w:w="10020"/>
      </w:tblGrid>
      <w:tr>
        <w:trPr/>
        <w:tc>
          <w:tcPr>
            <w:tcW w:w="2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w:t>
            </w:r>
          </w:p>
        </w:tc>
      </w:tr>
    </w:tbl>
    <w:p>
      <w:pPr>
        <w:pStyle w:val="TextBody"/>
        <w:bidi w:val="0"/>
        <w:spacing w:lineRule="auto" w:line="343" w:before="0" w:after="0"/>
        <w:ind w:left="0" w:right="0" w:hanging="0"/>
        <w:jc w:val="center"/>
        <w:rPr/>
      </w:pPr>
      <w:r>
        <w:rPr/>
        <w:t>​</w:t>
      </w:r>
    </w:p>
    <w:p>
      <w:pPr>
        <w:pStyle w:val="TextBody"/>
        <w:bidi w:val="0"/>
        <w:spacing w:lineRule="auto" w:line="343" w:before="0" w:after="0"/>
        <w:ind w:left="0" w:right="0" w:hanging="0"/>
        <w:jc w:val="left"/>
        <w:rPr>
          <w:rFonts w:ascii="Times New Roman;Times;serif" w:hAnsi="Times New Roman;Times;serif"/>
          <w:sz w:val="20"/>
        </w:rPr>
      </w:pPr>
      <w:r>
        <w:rPr>
          <w:rFonts w:ascii="Times New Roman;Times;serif" w:hAnsi="Times New Roman;Times;serif"/>
          <w:sz w:val="20"/>
        </w:rPr>
        <w:t>Date: February 2, 2024</w:t>
      </w:r>
    </w:p>
    <w:p>
      <w:pPr>
        <w:pStyle w:val="TextBody"/>
        <w:bidi w:val="0"/>
        <w:spacing w:lineRule="atLeast" w:line="200" w:before="0" w:after="0"/>
        <w:ind w:left="0" w:right="0" w:hanging="0"/>
        <w:jc w:val="left"/>
        <w:rPr/>
      </w:pPr>
      <w:r>
        <w:rPr/>
        <w:t>​</w:t>
      </w:r>
    </w:p>
    <w:tbl>
      <w:tblPr>
        <w:tblW w:w="2195" w:type="dxa"/>
        <w:jc w:val="right"/>
        <w:tblInd w:w="0" w:type="dxa"/>
        <w:tblLayout w:type="fixed"/>
        <w:tblCellMar>
          <w:top w:w="0" w:type="dxa"/>
          <w:left w:w="0" w:type="dxa"/>
          <w:bottom w:w="0" w:type="dxa"/>
          <w:right w:w="0" w:type="dxa"/>
        </w:tblCellMar>
      </w:tblPr>
      <w:tblGrid>
        <w:gridCol w:w="124"/>
        <w:gridCol w:w="2071"/>
      </w:tblGrid>
      <w:tr>
        <w:trPr/>
        <w:tc>
          <w:tcPr>
            <w:tcW w:w="124" w:type="dxa"/>
            <w:tcBorders/>
            <w:vAlign w:val="center"/>
          </w:tcPr>
          <w:p>
            <w:pPr>
              <w:pStyle w:val="TableContents"/>
              <w:bidi w:val="0"/>
              <w:spacing w:before="0" w:after="0"/>
              <w:ind w:left="0" w:right="0" w:hanging="0"/>
              <w:jc w:val="left"/>
              <w:rPr/>
            </w:pPr>
            <w:r>
              <w:rPr/>
              <w:t>​</w:t>
            </w:r>
          </w:p>
        </w:tc>
        <w:tc>
          <w:tcPr>
            <w:tcW w:w="20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1315085" cy="175260"/>
                      <wp:effectExtent l="0" t="0" r="0" b="0"/>
                      <wp:wrapNone/>
                      <wp:docPr id="269" name="Frame269"/>
                      <a:graphic xmlns:a="http://schemas.openxmlformats.org/drawingml/2006/main">
                        <a:graphicData uri="http://schemas.microsoft.com/office/word/2010/wordprocessingShape">
                          <wps:wsp>
                            <wps:cNvSpPr txBox="1"/>
                            <wps:spPr>
                              <a:xfrm>
                                <a:off x="0" y="0"/>
                                <a:ext cx="1315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2071"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1315085" cy="293370"/>
                      <wp:effectExtent l="0" t="0" r="0" b="0"/>
                      <wp:wrapNone/>
                      <wp:docPr id="270" name="Frame270"/>
                      <a:graphic xmlns:a="http://schemas.openxmlformats.org/drawingml/2006/main">
                        <a:graphicData uri="http://schemas.microsoft.com/office/word/2010/wordprocessingShape">
                          <wps:wsp>
                            <wps:cNvSpPr txBox="1"/>
                            <wps:spPr>
                              <a:xfrm>
                                <a:off x="0" y="0"/>
                                <a:ext cx="1315085" cy="293370"/>
                              </a:xfrm>
                              <a:prstGeom prst="rect"/>
                              <a:solidFill>
                                <a:srgbClr val="FFFFFF"/>
                              </a:solidFill>
                            </wps:spPr>
                            <wps:txbx>
                              <w:txbxContent>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PHILIP R. GALLAGHER</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5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PHILIP R. GALLAGHER</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207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Philip R. Gallagher</w:t>
            </w:r>
          </w:p>
        </w:tc>
      </w:tr>
      <w:tr>
        <w:trPr/>
        <w:tc>
          <w:tcPr>
            <w:tcW w:w="124" w:type="dxa"/>
            <w:tcBorders/>
            <w:vAlign w:val="center"/>
          </w:tcPr>
          <w:p>
            <w:pPr>
              <w:pStyle w:val="TableContents"/>
              <w:bidi w:val="0"/>
              <w:spacing w:before="0" w:after="0"/>
              <w:ind w:left="0" w:right="0" w:hanging="0"/>
              <w:jc w:val="left"/>
              <w:rPr/>
            </w:pPr>
            <w:r>
              <w:rPr/>
              <w:t>​</w:t>
            </w:r>
          </w:p>
        </w:tc>
        <w:tc>
          <w:tcPr>
            <w:tcW w:w="2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pPr>
      <w:r>
        <w:rPr/>
        <w:t>​</w:t>
      </w:r>
    </w:p>
    <w:p>
      <w:pPr>
        <w:pStyle w:val="TextBody"/>
        <w:bidi w:val="0"/>
        <w:spacing w:lineRule="auto" w:line="343"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lineRule="auto" w:line="343" w:before="0" w:after="0"/>
        <w:ind w:left="0" w:right="0" w:hanging="0"/>
        <w:jc w:val="left"/>
        <w:rPr/>
      </w:pPr>
      <w:bookmarkStart w:id="1159" w:name="avt-20231230xex32d2.htm"/>
      <w:bookmarkStart w:id="1160" w:name="ksavt20231230xex32d2"/>
      <w:bookmarkEnd w:id="1159"/>
      <w:bookmarkEnd w:id="1160"/>
      <w:r>
        <w:rPr/>
        <w:t>​</w:t>
      </w:r>
      <w:r>
        <w:br w:type="page"/>
      </w:r>
    </w:p>
    <w:p>
      <w:pPr>
        <w:pStyle w:val="TextBody"/>
        <w:bidi w:val="0"/>
        <w:spacing w:lineRule="auto" w:line="343" w:before="0" w:after="0"/>
        <w:ind w:left="0" w:right="0" w:hanging="0"/>
        <w:jc w:val="right"/>
        <w:rPr>
          <w:rFonts w:ascii="Times New Roman;Times;serif" w:hAnsi="Times New Roman;Times;serif"/>
          <w:b/>
          <w:sz w:val="20"/>
        </w:rPr>
      </w:pPr>
      <w:r>
        <w:rPr>
          <w:rFonts w:ascii="Times New Roman;Times;serif" w:hAnsi="Times New Roman;Times;serif"/>
          <w:b/>
          <w:sz w:val="20"/>
        </w:rPr>
        <w:t>Exhibit 32.2</w:t>
      </w:r>
      <w:bookmarkStart w:id="1161" w:name="Ex_322"/>
      <w:bookmarkEnd w:id="1161"/>
    </w:p>
    <w:p>
      <w:pPr>
        <w:pStyle w:val="TextBody"/>
        <w:bidi w:val="0"/>
        <w:spacing w:lineRule="auto" w:line="343" w:before="12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Financial Officer Pursuant to 18 U.S.C. Section 1350</w:t>
      </w:r>
    </w:p>
    <w:p>
      <w:pPr>
        <w:pStyle w:val="TextBody"/>
        <w:bidi w:val="0"/>
        <w:spacing w:lineRule="auto" w:line="343"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906 of the Sarbanes-Oxley Act of 2002)</w:t>
      </w:r>
    </w:p>
    <w:p>
      <w:pPr>
        <w:pStyle w:val="TextBody"/>
        <w:bidi w:val="0"/>
        <w:spacing w:lineRule="auto" w:line="343" w:before="120" w:after="0"/>
        <w:ind w:left="0" w:right="0" w:hanging="0"/>
        <w:jc w:val="left"/>
        <w:rPr>
          <w:rFonts w:ascii="Times New Roman;Times;serif" w:hAnsi="Times New Roman;Times;serif"/>
          <w:sz w:val="20"/>
        </w:rPr>
      </w:pPr>
      <w:r>
        <w:rPr>
          <w:rFonts w:ascii="Times New Roman;Times;serif" w:hAnsi="Times New Roman;Times;serif"/>
          <w:sz w:val="20"/>
        </w:rPr>
        <w:t xml:space="preserve">In connection with the Quarterly Report on Form 10-Q for the period ended December 30, 2023 (the “Report”), I, Kenneth A. Jacobson, Chief Financial Officer of Avnet, Inc. (the “Company”) hereby certify that: </w:t>
      </w:r>
    </w:p>
    <w:tbl>
      <w:tblPr>
        <w:tblW w:w="10205" w:type="dxa"/>
        <w:jc w:val="left"/>
        <w:tblInd w:w="0" w:type="dxa"/>
        <w:tblLayout w:type="fixed"/>
        <w:tblCellMar>
          <w:top w:w="0" w:type="dxa"/>
          <w:left w:w="0" w:type="dxa"/>
          <w:bottom w:w="0" w:type="dxa"/>
          <w:right w:w="0" w:type="dxa"/>
        </w:tblCellMar>
      </w:tblPr>
      <w:tblGrid>
        <w:gridCol w:w="23"/>
        <w:gridCol w:w="166"/>
        <w:gridCol w:w="10016"/>
      </w:tblGrid>
      <w:tr>
        <w:trPr/>
        <w:tc>
          <w:tcPr>
            <w:tcW w:w="2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100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as applicable,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162"/>
        <w:gridCol w:w="10020"/>
      </w:tblGrid>
      <w:tr>
        <w:trPr/>
        <w:tc>
          <w:tcPr>
            <w:tcW w:w="2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w:t>
            </w:r>
          </w:p>
        </w:tc>
      </w:tr>
    </w:tbl>
    <w:p>
      <w:pPr>
        <w:pStyle w:val="TextBody"/>
        <w:bidi w:val="0"/>
        <w:spacing w:lineRule="auto" w:line="343" w:before="0" w:after="0"/>
        <w:ind w:left="0" w:right="0" w:hanging="0"/>
        <w:jc w:val="center"/>
        <w:rPr/>
      </w:pPr>
      <w:r>
        <w:rPr/>
        <w:t>​</w:t>
      </w:r>
    </w:p>
    <w:p>
      <w:pPr>
        <w:pStyle w:val="TextBody"/>
        <w:bidi w:val="0"/>
        <w:spacing w:lineRule="auto" w:line="343" w:before="0" w:after="0"/>
        <w:ind w:left="0" w:right="0" w:hanging="0"/>
        <w:jc w:val="left"/>
        <w:rPr>
          <w:rFonts w:ascii="Times New Roman;Times;serif" w:hAnsi="Times New Roman;Times;serif"/>
          <w:sz w:val="20"/>
        </w:rPr>
      </w:pPr>
      <w:r>
        <w:rPr>
          <w:rFonts w:ascii="Times New Roman;Times;serif" w:hAnsi="Times New Roman;Times;serif"/>
          <w:sz w:val="20"/>
        </w:rPr>
        <w:t>Date: February 2, 2024</w:t>
      </w:r>
    </w:p>
    <w:p>
      <w:pPr>
        <w:pStyle w:val="TextBody"/>
        <w:bidi w:val="0"/>
        <w:spacing w:lineRule="atLeast" w:line="200" w:before="0" w:after="0"/>
        <w:ind w:left="0" w:right="0" w:hanging="0"/>
        <w:jc w:val="left"/>
        <w:rPr/>
      </w:pPr>
      <w:r>
        <w:rPr/>
        <w:t>​</w:t>
      </w:r>
    </w:p>
    <w:tbl>
      <w:tblPr>
        <w:tblW w:w="2135" w:type="dxa"/>
        <w:jc w:val="center"/>
        <w:tblInd w:w="0" w:type="dxa"/>
        <w:tblLayout w:type="fixed"/>
        <w:tblCellMar>
          <w:top w:w="0" w:type="dxa"/>
          <w:left w:w="0" w:type="dxa"/>
          <w:bottom w:w="0" w:type="dxa"/>
          <w:right w:w="0" w:type="dxa"/>
        </w:tblCellMar>
      </w:tblPr>
      <w:tblGrid>
        <w:gridCol w:w="124"/>
        <w:gridCol w:w="2011"/>
      </w:tblGrid>
      <w:tr>
        <w:trPr/>
        <w:tc>
          <w:tcPr>
            <w:tcW w:w="124" w:type="dxa"/>
            <w:tcBorders/>
            <w:vAlign w:val="center"/>
          </w:tcPr>
          <w:p>
            <w:pPr>
              <w:pStyle w:val="TableContents"/>
              <w:bidi w:val="0"/>
              <w:spacing w:before="0" w:after="0"/>
              <w:ind w:left="0" w:right="0" w:hanging="0"/>
              <w:jc w:val="left"/>
              <w:rPr/>
            </w:pPr>
            <w:r>
              <w:rPr/>
              <w:t>​</w:t>
            </w:r>
          </w:p>
        </w:tc>
        <w:tc>
          <w:tcPr>
            <w:tcW w:w="20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1276985" cy="175260"/>
                      <wp:effectExtent l="0" t="0" r="0" b="0"/>
                      <wp:wrapNone/>
                      <wp:docPr id="271" name="Frame271"/>
                      <a:graphic xmlns:a="http://schemas.openxmlformats.org/drawingml/2006/main">
                        <a:graphicData uri="http://schemas.microsoft.com/office/word/2010/wordprocessingShape">
                          <wps:wsp>
                            <wps:cNvSpPr txBox="1"/>
                            <wps:spPr>
                              <a:xfrm>
                                <a:off x="0" y="0"/>
                                <a:ext cx="1276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2011"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1276985" cy="293370"/>
                      <wp:effectExtent l="0" t="0" r="0" b="0"/>
                      <wp:wrapNone/>
                      <wp:docPr id="272" name="Frame272"/>
                      <a:graphic xmlns:a="http://schemas.openxmlformats.org/drawingml/2006/main">
                        <a:graphicData uri="http://schemas.microsoft.com/office/word/2010/wordprocessingShape">
                          <wps:wsp>
                            <wps:cNvSpPr txBox="1"/>
                            <wps:spPr>
                              <a:xfrm>
                                <a:off x="0" y="0"/>
                                <a:ext cx="1276985" cy="293370"/>
                              </a:xfrm>
                              <a:prstGeom prst="rect"/>
                              <a:solidFill>
                                <a:srgbClr val="FFFFFF"/>
                              </a:solidFill>
                            </wps:spPr>
                            <wps:txbx>
                              <w:txbxContent>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KENNETH A. JACOBSON</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KENNETH A. JACOBSON</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20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Kenneth A. Jacobson</w:t>
            </w:r>
          </w:p>
        </w:tc>
      </w:tr>
      <w:tr>
        <w:trPr/>
        <w:tc>
          <w:tcPr>
            <w:tcW w:w="124" w:type="dxa"/>
            <w:tcBorders/>
            <w:vAlign w:val="center"/>
          </w:tcPr>
          <w:p>
            <w:pPr>
              <w:pStyle w:val="TableContents"/>
              <w:bidi w:val="0"/>
              <w:spacing w:before="0" w:after="0"/>
              <w:ind w:left="0" w:right="0" w:hanging="0"/>
              <w:jc w:val="left"/>
              <w:rPr/>
            </w:pPr>
            <w:r>
              <w:rPr/>
              <w:t>​</w:t>
            </w:r>
          </w:p>
        </w:tc>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pPr>
      <w:r>
        <w:rPr/>
        <w:t>​</w:t>
      </w:r>
    </w:p>
    <w:p>
      <w:pPr>
        <w:pStyle w:val="TextBody"/>
        <w:bidi w:val="0"/>
        <w:spacing w:lineRule="auto" w:line="343" w:before="0" w:after="0"/>
        <w:ind w:left="0" w:right="0" w:hanging="0"/>
        <w:jc w:val="center"/>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11745</Words>
  <Characters>66298</Characters>
  <CharactersWithSpaces>79259</CharactersWithSpaces>
  <Paragraphs>4405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