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201930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92710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83185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(480) 643-2000</w:t>
      </w:r>
    </w:p>
    <w:p>
      <w:pPr>
        <w:spacing w:after="0" w:line="63" w:lineRule="exact"/>
        <w:rPr>
          <w:sz w:val="24"/>
          <w:szCs w:val="24"/>
          <w:color w:val="auto"/>
        </w:rPr>
      </w:pPr>
    </w:p>
    <w:p>
      <w:pPr>
        <w:jc w:val="both"/>
        <w:ind w:firstLine="432"/>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2" w:lineRule="exact"/>
        <w:rPr>
          <w:sz w:val="24"/>
          <w:szCs w:val="24"/>
          <w:color w:val="auto"/>
        </w:rPr>
      </w:pPr>
    </w:p>
    <w:p>
      <w:pPr>
        <w:jc w:val="both"/>
        <w:ind w:firstLine="432"/>
        <w:spacing w:after="0" w:line="27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41" w:lineRule="exact"/>
        <w:rPr>
          <w:sz w:val="24"/>
          <w:szCs w:val="24"/>
          <w:color w:val="auto"/>
        </w:rPr>
      </w:pPr>
    </w:p>
    <w:p>
      <w:pPr>
        <w:ind w:left="2240" w:right="120" w:hanging="4119"/>
        <w:spacing w:after="0" w:line="253" w:lineRule="exact"/>
        <w:tabs>
          <w:tab w:leader="none" w:pos="2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reporting company)</w:t>
      </w:r>
    </w:p>
    <w:p>
      <w:pPr>
        <w:spacing w:after="0" w:line="2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41" w:lineRule="exact"/>
        <w:rPr>
          <w:sz w:val="24"/>
          <w:szCs w:val="24"/>
          <w:color w:val="auto"/>
        </w:rPr>
      </w:pPr>
    </w:p>
    <w:p>
      <w:pPr>
        <w:ind w:left="200" w:hanging="197"/>
        <w:spacing w:after="0" w:line="207" w:lineRule="exact"/>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As of April 21, 2016, the total number of shares outstanding of the registrant’s Common Stock was 128,515,224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940435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11"/>
          </w:tcPr>
          <w:p>
            <w:pPr>
              <w:jc w:val="center"/>
              <w:ind w:right="184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7"/>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4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tcBorders>
              <w:bottom w:val="single" w:sz="8" w:color="0000EE"/>
            </w:tcBorders>
            <w:gridSpan w:val="7"/>
            <w:vMerge w:val="continue"/>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02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at April 2, 2016 and June 27, 2015</w:t>
              </w:r>
            </w:hyperlink>
          </w:p>
        </w:tc>
        <w:tc>
          <w:tcPr>
            <w:tcW w:w="312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Operations for the third quarters and nine months ended April 2, 2016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March 28, 2015</w:t>
              </w:r>
            </w:hyperlink>
          </w:p>
        </w:tc>
        <w:tc>
          <w:tcPr>
            <w:tcW w:w="6080" w:type="dxa"/>
            <w:vAlign w:val="bottom"/>
            <w:tcBorders>
              <w:top w:val="single" w:sz="8" w:color="0000EE"/>
            </w:tcBorders>
            <w:gridSpan w:val="15"/>
          </w:tcPr>
          <w:p>
            <w:pPr>
              <w:spacing w:after="0"/>
              <w:rPr>
                <w:sz w:val="17"/>
                <w:szCs w:val="17"/>
                <w:color w:val="auto"/>
              </w:rPr>
            </w:pPr>
          </w:p>
        </w:tc>
        <w:tc>
          <w:tcPr>
            <w:tcW w:w="400" w:type="dxa"/>
            <w:vAlign w:val="bottom"/>
            <w:gridSpan w:val="2"/>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Comprehensive Income for the third quarters and nine months ended April 2,</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2016 and March 28, 2015</w:t>
              </w:r>
            </w:hyperlink>
          </w:p>
        </w:tc>
        <w:tc>
          <w:tcPr>
            <w:tcW w:w="180" w:type="dxa"/>
            <w:vAlign w:val="bottom"/>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for the nine months ended April 2, 2016 and March 28, 2015</w:t>
              </w:r>
            </w:hyperlink>
          </w:p>
        </w:tc>
        <w:tc>
          <w:tcPr>
            <w:tcW w:w="46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60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Item 2. Management's Discussion and Analysis of Financial Condition and Results of Operations</w:t>
            </w:r>
          </w:p>
        </w:tc>
        <w:tc>
          <w:tcPr>
            <w:tcW w:w="108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31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PART II. OTHER INFORMATION</w:t>
              </w:r>
            </w:hyperlink>
          </w:p>
        </w:tc>
        <w:tc>
          <w:tcPr>
            <w:tcW w:w="28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620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1"/>
          </w:tcPr>
          <w:p>
            <w:pPr>
              <w:spacing w:after="0"/>
              <w:rPr>
                <w:sz w:val="24"/>
                <w:szCs w:val="24"/>
                <w:color w:val="auto"/>
              </w:rPr>
            </w:pPr>
          </w:p>
        </w:tc>
        <w:tc>
          <w:tcPr>
            <w:tcW w:w="31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AVNET, INC. AND SUBSIDIARIES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2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1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(Thousands, except share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amounts)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ind w:right="109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1,036,485</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Receivables, less allowances of $69,969 and $80,721,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4,874,179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5,054,307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2,826,858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2,482,183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200,579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173,030</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8,938,101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8,642,073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610,747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568,779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Other assets</w:t>
            </w:r>
          </w:p>
        </w:tc>
        <w:tc>
          <w:tcPr>
            <w:tcW w:w="5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194,217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210,614</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11,125,460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10,799,953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ind w:right="109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706,742</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3,297,981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3,338,052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559,697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603,129</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4,564,420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4,272,296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1,610,539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1,646,501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190,300</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196,135</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6,365,259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6,114,932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Commitments and contingencies (Note 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89"/>
              </w:rPr>
              <w:t>Common stock $1.00 par; authorized 300,000,000 shares; issued 128,542,843 shares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135,496,472 shares,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128,543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135,496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3,602,702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3,582,599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Treasury stock at cost, 28,641 shares and 31,901 shares,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6"/>
        </w:trPr>
        <w:tc>
          <w:tcPr>
            <w:tcW w:w="67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4,760,201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4,685,021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11,125,460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10,799,953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Third Quarters Ended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6"/>
          </w:tcPr>
          <w:p>
            <w:pPr>
              <w:ind w:left="2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April 2,</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3"/>
              </w:rPr>
              <w:t>March 28,</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April 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28,</w:t>
            </w:r>
          </w:p>
        </w:tc>
        <w:tc>
          <w:tcPr>
            <w:tcW w:w="240" w:type="dxa"/>
            <w:vAlign w:val="bottom"/>
          </w:tcPr>
          <w:p>
            <w:pPr>
              <w:spacing w:after="0"/>
              <w:rPr>
                <w:sz w:val="17"/>
                <w:szCs w:val="17"/>
                <w:color w:val="auto"/>
              </w:rPr>
            </w:pPr>
          </w:p>
        </w:tc>
      </w:tr>
      <w:tr>
        <w:trPr>
          <w:trHeight w:val="241"/>
        </w:trPr>
        <w:tc>
          <w:tcPr>
            <w:tcW w:w="3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r>
      <w:tr>
        <w:trPr>
          <w:trHeight w:val="216"/>
        </w:trPr>
        <w:tc>
          <w:tcPr>
            <w:tcW w:w="3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gridSpan w:val="11"/>
          </w:tcPr>
          <w:p>
            <w:pPr>
              <w:jc w:val="right"/>
              <w:ind w:right="690"/>
              <w:spacing w:after="0"/>
              <w:rPr>
                <w:sz w:val="20"/>
                <w:szCs w:val="20"/>
                <w:color w:val="auto"/>
              </w:rPr>
            </w:pPr>
            <w:r>
              <w:rPr>
                <w:rFonts w:ascii="Arial" w:cs="Arial" w:eastAsia="Arial" w:hAnsi="Arial"/>
                <w:sz w:val="18"/>
                <w:szCs w:val="18"/>
                <w:b w:val="1"/>
                <w:bCs w:val="1"/>
                <w:color w:val="auto"/>
              </w:rPr>
              <w:t>(Thousands, except per share amounts)</w:t>
            </w:r>
          </w:p>
        </w:tc>
        <w:tc>
          <w:tcPr>
            <w:tcW w:w="2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6,174,716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6,736,860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19,992,467</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21,128,326</w:t>
            </w:r>
          </w:p>
        </w:tc>
        <w:tc>
          <w:tcPr>
            <w:tcW w:w="240" w:type="dxa"/>
            <w:vAlign w:val="bottom"/>
            <w:shd w:val="clear" w:color="auto" w:fill="CCEEFF"/>
          </w:tcPr>
          <w:p>
            <w:pPr>
              <w:spacing w:after="0"/>
              <w:rPr>
                <w:sz w:val="18"/>
                <w:szCs w:val="18"/>
                <w:color w:val="auto"/>
              </w:rPr>
            </w:pPr>
          </w:p>
        </w:tc>
      </w:tr>
      <w:tr>
        <w:trPr>
          <w:trHeight w:val="223"/>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5,437,888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5,962,506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17,685,995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18,721,003</w:t>
            </w:r>
          </w:p>
        </w:tc>
        <w:tc>
          <w:tcPr>
            <w:tcW w:w="240" w:type="dxa"/>
            <w:vAlign w:val="bottom"/>
            <w:tcBorders>
              <w:bottom w:val="single" w:sz="8" w:color="CCEEFF"/>
            </w:tcBorders>
          </w:tcPr>
          <w:p>
            <w:pPr>
              <w:spacing w:after="0"/>
              <w:rPr>
                <w:sz w:val="19"/>
                <w:szCs w:val="19"/>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2,306,472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2,407,323</w:t>
            </w:r>
          </w:p>
        </w:tc>
        <w:tc>
          <w:tcPr>
            <w:tcW w:w="24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539,038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555,148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1,628,425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1,713,056</w:t>
            </w:r>
          </w:p>
        </w:tc>
        <w:tc>
          <w:tcPr>
            <w:tcW w:w="240" w:type="dxa"/>
            <w:vAlign w:val="bottom"/>
          </w:tcPr>
          <w:p>
            <w:pPr>
              <w:spacing w:after="0"/>
              <w:rPr>
                <w:sz w:val="18"/>
                <w:szCs w:val="18"/>
                <w:color w:val="auto"/>
              </w:rPr>
            </w:pPr>
          </w:p>
        </w:tc>
      </w:tr>
      <w:tr>
        <w:trPr>
          <w:trHeight w:val="236"/>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16,172</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47,071</w:t>
            </w:r>
          </w:p>
        </w:tc>
        <w:tc>
          <w:tcPr>
            <w:tcW w:w="240" w:type="dxa"/>
            <w:vAlign w:val="bottom"/>
            <w:tcBorders>
              <w:bottom w:val="single" w:sz="8" w:color="CCEEFF"/>
            </w:tcBorders>
            <w:shd w:val="clear" w:color="auto" w:fill="CCEEFF"/>
          </w:tcPr>
          <w:p>
            <w:pPr>
              <w:spacing w:after="0"/>
              <w:rPr>
                <w:sz w:val="20"/>
                <w:szCs w:val="20"/>
                <w:color w:val="auto"/>
              </w:rPr>
            </w:pPr>
          </w:p>
        </w:tc>
      </w:tr>
      <w:tr>
        <w:trPr>
          <w:trHeight w:val="203"/>
        </w:trPr>
        <w:tc>
          <w:tcPr>
            <w:tcW w:w="376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181,618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203,712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614,695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647,196</w:t>
            </w:r>
          </w:p>
        </w:tc>
        <w:tc>
          <w:tcPr>
            <w:tcW w:w="24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(15,963)</w:t>
            </w:r>
          </w:p>
        </w:tc>
        <w:tc>
          <w:tcPr>
            <w:tcW w:w="24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(69,306)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(71,936)</w:t>
            </w:r>
          </w:p>
        </w:tc>
        <w:tc>
          <w:tcPr>
            <w:tcW w:w="240" w:type="dxa"/>
            <w:vAlign w:val="bottom"/>
          </w:tcPr>
          <w:p>
            <w:pPr>
              <w:spacing w:after="0"/>
              <w:rPr>
                <w:sz w:val="19"/>
                <w:szCs w:val="19"/>
                <w:color w:val="auto"/>
              </w:rPr>
            </w:pPr>
          </w:p>
        </w:tc>
      </w:tr>
      <w:tr>
        <w:trPr>
          <w:trHeight w:val="21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160,537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170,896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559,297</w:t>
            </w:r>
          </w:p>
        </w:tc>
        <w:tc>
          <w:tcPr>
            <w:tcW w:w="240" w:type="dxa"/>
            <w:vAlign w:val="bottom"/>
            <w:tcBorders>
              <w:top w:val="single" w:sz="8" w:color="CCEEFF"/>
            </w:tcBorders>
            <w:shd w:val="clear" w:color="auto" w:fill="CCEEFF"/>
          </w:tcPr>
          <w:p>
            <w:pPr>
              <w:spacing w:after="0"/>
              <w:rPr>
                <w:sz w:val="18"/>
                <w:szCs w:val="18"/>
                <w:color w:val="auto"/>
              </w:rPr>
            </w:pPr>
          </w:p>
        </w:tc>
      </w:tr>
      <w:tr>
        <w:trPr>
          <w:trHeight w:val="223"/>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49,367</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125,526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146,117</w:t>
            </w:r>
          </w:p>
        </w:tc>
        <w:tc>
          <w:tcPr>
            <w:tcW w:w="240" w:type="dxa"/>
            <w:vAlign w:val="bottom"/>
            <w:tcBorders>
              <w:bottom w:val="single" w:sz="8" w:color="CCEEFF"/>
            </w:tcBorders>
          </w:tcPr>
          <w:p>
            <w:pPr>
              <w:spacing w:after="0"/>
              <w:rPr>
                <w:sz w:val="19"/>
                <w:szCs w:val="19"/>
                <w:color w:val="auto"/>
              </w:rPr>
            </w:pPr>
          </w:p>
        </w:tc>
      </w:tr>
      <w:tr>
        <w:trPr>
          <w:trHeight w:val="236"/>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123,459</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121,529</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409,725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413,180</w:t>
            </w:r>
          </w:p>
        </w:tc>
        <w:tc>
          <w:tcPr>
            <w:tcW w:w="240" w:type="dxa"/>
            <w:vAlign w:val="bottom"/>
            <w:tcBorders>
              <w:bottom w:val="single" w:sz="8" w:color="CCEEFF"/>
            </w:tcBorders>
            <w:shd w:val="clear" w:color="auto" w:fill="CCEEFF"/>
          </w:tcPr>
          <w:p>
            <w:pPr>
              <w:spacing w:after="0"/>
              <w:rPr>
                <w:sz w:val="20"/>
                <w:szCs w:val="20"/>
                <w:color w:val="auto"/>
              </w:rPr>
            </w:pPr>
          </w:p>
        </w:tc>
      </w:tr>
      <w:tr>
        <w:trPr>
          <w:trHeight w:val="203"/>
        </w:trPr>
        <w:tc>
          <w:tcPr>
            <w:tcW w:w="3760" w:type="dxa"/>
            <w:vAlign w:val="bottom"/>
          </w:tcPr>
          <w:p>
            <w:pPr>
              <w:spacing w:after="0" w:line="203" w:lineRule="exact"/>
              <w:rPr>
                <w:sz w:val="20"/>
                <w:szCs w:val="20"/>
                <w:color w:val="auto"/>
              </w:rPr>
            </w:pPr>
            <w:r>
              <w:rPr>
                <w:rFonts w:ascii="Arial" w:cs="Arial" w:eastAsia="Arial" w:hAnsi="Arial"/>
                <w:sz w:val="18"/>
                <w:szCs w:val="18"/>
                <w:color w:val="auto"/>
              </w:rPr>
              <w:t>Earnings per share: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20"/>
                <w:szCs w:val="20"/>
                <w:color w:val="auto"/>
              </w:rPr>
            </w:pPr>
          </w:p>
        </w:tc>
      </w:tr>
      <w:tr>
        <w:trPr>
          <w:trHeight w:val="210"/>
        </w:trPr>
        <w:tc>
          <w:tcPr>
            <w:tcW w:w="376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Diluted</w:t>
            </w:r>
          </w:p>
        </w:tc>
        <w:tc>
          <w:tcPr>
            <w:tcW w:w="5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0.94</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w:t>
            </w:r>
          </w:p>
        </w:tc>
        <w:tc>
          <w:tcPr>
            <w:tcW w:w="240" w:type="dxa"/>
            <w:vAlign w:val="bottom"/>
            <w:tcBorders>
              <w:top w:val="single" w:sz="8" w:color="CCEEFF"/>
              <w:bottom w:val="single" w:sz="8" w:color="CCEEFF"/>
            </w:tcBorders>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3"/>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136,046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131,834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136,965</w:t>
            </w:r>
          </w:p>
        </w:tc>
        <w:tc>
          <w:tcPr>
            <w:tcW w:w="240" w:type="dxa"/>
            <w:vAlign w:val="bottom"/>
            <w:tcBorders>
              <w:bottom w:val="single" w:sz="8" w:color="CCEEFF"/>
            </w:tcBorders>
          </w:tcPr>
          <w:p>
            <w:pPr>
              <w:spacing w:after="0"/>
              <w:rPr>
                <w:sz w:val="19"/>
                <w:szCs w:val="19"/>
                <w:color w:val="auto"/>
              </w:rPr>
            </w:pPr>
          </w:p>
        </w:tc>
      </w:tr>
      <w:tr>
        <w:trPr>
          <w:trHeight w:val="236"/>
        </w:trPr>
        <w:tc>
          <w:tcPr>
            <w:tcW w:w="3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131,650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137,721</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139,181</w:t>
            </w:r>
          </w:p>
        </w:tc>
        <w:tc>
          <w:tcPr>
            <w:tcW w:w="240" w:type="dxa"/>
            <w:vAlign w:val="bottom"/>
            <w:tcBorders>
              <w:bottom w:val="single" w:sz="8" w:color="CCEEFF"/>
            </w:tcBorders>
            <w:shd w:val="clear" w:color="auto" w:fill="CCEEFF"/>
          </w:tcPr>
          <w:p>
            <w:pPr>
              <w:spacing w:after="0"/>
              <w:rPr>
                <w:sz w:val="20"/>
                <w:szCs w:val="20"/>
                <w:color w:val="auto"/>
              </w:rPr>
            </w:pPr>
          </w:p>
        </w:tc>
      </w:tr>
      <w:tr>
        <w:trPr>
          <w:trHeight w:val="210"/>
        </w:trPr>
        <w:tc>
          <w:tcPr>
            <w:tcW w:w="3760" w:type="dxa"/>
            <w:vAlign w:val="bottom"/>
          </w:tcPr>
          <w:p>
            <w:pPr>
              <w:spacing w:after="0" w:line="203" w:lineRule="exact"/>
              <w:rPr>
                <w:sz w:val="20"/>
                <w:szCs w:val="20"/>
                <w:color w:val="auto"/>
              </w:rPr>
            </w:pPr>
            <w:r>
              <w:rPr>
                <w:rFonts w:ascii="Arial" w:cs="Arial" w:eastAsia="Arial" w:hAnsi="Arial"/>
                <w:sz w:val="18"/>
                <w:szCs w:val="18"/>
                <w:color w:val="auto"/>
              </w:rPr>
              <w:t>Cash dividends paid per common share</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24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Third Quarters Ended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8"/>
              </w:rPr>
              <w:t>April 2,</w:t>
            </w: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28,</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8"/>
              </w:rPr>
              <w:t>April 2,</w:t>
            </w: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28,</w:t>
            </w:r>
          </w:p>
        </w:tc>
        <w:tc>
          <w:tcPr>
            <w:tcW w:w="240" w:type="dxa"/>
            <w:vAlign w:val="bottom"/>
          </w:tcPr>
          <w:p>
            <w:pPr>
              <w:spacing w:after="0"/>
              <w:rPr>
                <w:sz w:val="17"/>
                <w:szCs w:val="17"/>
                <w:color w:val="auto"/>
              </w:rPr>
            </w:pPr>
          </w:p>
        </w:tc>
      </w:tr>
      <w:tr>
        <w:trPr>
          <w:trHeight w:val="241"/>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(Thousands)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413,180</w:t>
            </w:r>
          </w:p>
        </w:tc>
        <w:tc>
          <w:tcPr>
            <w:tcW w:w="24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Foreign currency translation adjustments and 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(634,554)</w:t>
            </w:r>
          </w:p>
        </w:tc>
        <w:tc>
          <w:tcPr>
            <w:tcW w:w="240" w:type="dxa"/>
            <w:vAlign w:val="bottom"/>
            <w:shd w:val="clear" w:color="auto" w:fill="CCEEFF"/>
          </w:tcPr>
          <w:p>
            <w:pPr>
              <w:spacing w:after="0"/>
              <w:rPr>
                <w:sz w:val="18"/>
                <w:szCs w:val="18"/>
                <w:color w:val="auto"/>
              </w:rPr>
            </w:pPr>
          </w:p>
        </w:tc>
      </w:tr>
      <w:tr>
        <w:trPr>
          <w:trHeight w:val="223"/>
        </w:trPr>
        <w:tc>
          <w:tcPr>
            <w:tcW w:w="3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6,380</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240" w:type="dxa"/>
            <w:vAlign w:val="bottom"/>
            <w:tcBorders>
              <w:bottom w:val="single" w:sz="8" w:color="CCEEFF"/>
            </w:tcBorders>
          </w:tcPr>
          <w:p>
            <w:pPr>
              <w:spacing w:after="0"/>
              <w:rPr>
                <w:sz w:val="19"/>
                <w:szCs w:val="19"/>
                <w:color w:val="auto"/>
              </w:rPr>
            </w:pPr>
          </w:p>
        </w:tc>
      </w:tr>
      <w:tr>
        <w:trPr>
          <w:trHeight w:val="223"/>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255,487</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437,092</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(216,020)</w:t>
            </w:r>
          </w:p>
        </w:tc>
        <w:tc>
          <w:tcPr>
            <w:tcW w:w="2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6"/>
          </w:tcPr>
          <w:p>
            <w:pPr>
              <w:ind w:left="2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April 2,</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409,725</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413,180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and other reconciling items: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(net of effects from businesses acquired):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181,723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(74,510)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expenses and other, net</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bottom w:val="single" w:sz="8" w:color="CCEEFF"/>
            </w:tcBorders>
          </w:tcPr>
          <w:p>
            <w:pPr>
              <w:ind w:left="420"/>
              <w:spacing w:after="0" w:line="203" w:lineRule="exact"/>
              <w:rPr>
                <w:sz w:val="20"/>
                <w:szCs w:val="20"/>
                <w:color w:val="auto"/>
              </w:rPr>
            </w:pPr>
            <w:r>
              <w:rPr>
                <w:rFonts w:ascii="Arial" w:cs="Arial" w:eastAsia="Arial" w:hAnsi="Arial"/>
                <w:sz w:val="18"/>
                <w:szCs w:val="18"/>
                <w:color w:val="auto"/>
              </w:rPr>
              <w:t>Net cash flows provided by operating activities</w:t>
            </w:r>
          </w:p>
        </w:tc>
        <w:tc>
          <w:tcPr>
            <w:tcW w:w="3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297,127</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284,552</w:t>
            </w:r>
          </w:p>
        </w:tc>
        <w:tc>
          <w:tcPr>
            <w:tcW w:w="1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notes, net of issuance costs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Repayment of notes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Borrowings (repayments) under accounts receivable securitization program,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Borrowings (repayments) of bank and revolving debt,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448,468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Repurchases of common stock (Note 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Dividends paid on common stock</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(66,944)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bottom w:val="single" w:sz="8" w:color="CCEEFF"/>
            </w:tcBorders>
          </w:tcPr>
          <w:p>
            <w:pPr>
              <w:ind w:left="420"/>
              <w:spacing w:after="0" w:line="203" w:lineRule="exact"/>
              <w:rPr>
                <w:sz w:val="20"/>
                <w:szCs w:val="20"/>
                <w:color w:val="auto"/>
              </w:rPr>
            </w:pPr>
            <w:r>
              <w:rPr>
                <w:rFonts w:ascii="Arial" w:cs="Arial" w:eastAsia="Arial" w:hAnsi="Arial"/>
                <w:sz w:val="18"/>
                <w:szCs w:val="18"/>
                <w:color w:val="auto"/>
              </w:rPr>
              <w:t>Net cash flows used for financing activities</w:t>
            </w:r>
          </w:p>
        </w:tc>
        <w:tc>
          <w:tcPr>
            <w:tcW w:w="3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(72,638)</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(213,573)</w:t>
            </w:r>
          </w:p>
        </w:tc>
        <w:tc>
          <w:tcPr>
            <w:tcW w:w="1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Acquisitions of businesses, net of cash acquired (Note 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420"/>
              <w:spacing w:after="0" w:line="203" w:lineRule="exact"/>
              <w:rPr>
                <w:sz w:val="20"/>
                <w:szCs w:val="20"/>
                <w:color w:val="auto"/>
              </w:rPr>
            </w:pPr>
            <w:r>
              <w:rPr>
                <w:rFonts w:ascii="Arial" w:cs="Arial" w:eastAsia="Arial" w:hAnsi="Arial"/>
                <w:sz w:val="18"/>
                <w:szCs w:val="18"/>
                <w:color w:val="auto"/>
              </w:rPr>
              <w:t>Net cash flows used for investing activities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(122,309)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(142,187)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 increase (decrease)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at beginning of period</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932,553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928,971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at end of period</w:t>
            </w:r>
          </w:p>
        </w:tc>
        <w:tc>
          <w:tcPr>
            <w:tcW w:w="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1,036,485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803,468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Inc.'s and its consolidated subsidiaries' (the “Company” or “Avnet”) financial position, results of operations, comprehensive income (loss) and cash flows. All such adjustments are of a normal recurring nature.</w:t>
      </w:r>
    </w:p>
    <w:p>
      <w:pPr>
        <w:spacing w:after="0" w:line="18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27, 2015.</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operates on a “52/53 week” fiscal year and fiscal 2016 contains 53 weeks compared to 52 weeks in fiscal 2015. As a result, the first nine months of fiscal 2016 contained 40 weeks compared to the first nine months of fiscal 2015, which contained 39 weeks.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update requires a lessee to recognize assets and liabilities on the consolidated balance sheets for leases with lease terms greater than 12 months. ASU 2016-02 is effective for fiscal years, and interim periods within those fiscal years, beginning after December 15, 2018. Early adoption is permitted. Accordingly, the update will be effective for the Company beginning in the first quarter of fiscal 2020, using a modified retrospective approach. The Company is currently evaluating the impact of the adoption of ASU 2016-02 on its consolidated financial statements.</w:t>
      </w:r>
    </w:p>
    <w:p>
      <w:pPr>
        <w:spacing w:after="0" w:line="165"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 xml:space="preserve">In November 2015, the FASB issued Accounting Standards Update No.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Sheet Classification of Deferred Taxes </w:t>
      </w:r>
      <w:r>
        <w:rPr>
          <w:rFonts w:ascii="Arial" w:cs="Arial" w:eastAsia="Arial" w:hAnsi="Arial"/>
          <w:sz w:val="16"/>
          <w:szCs w:val="16"/>
          <w:color w:val="auto"/>
        </w:rPr>
        <w:t>(“ASU 2015-17”), to simplify the presentation of deferred income taxes by requiring</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and assets be classified as noncurrent in a classified balance sheet. The planned early adoption of this update at the end of fiscal 2016 is not expected to have a material impact on the Company’s financial statements.</w:t>
      </w:r>
    </w:p>
    <w:p>
      <w:pPr>
        <w:spacing w:after="0" w:line="154"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to supersede nearly all existing revenue recognition guidance under GAAP. The core principles of ASU 2014-09 are to recognize revenue when promised goods or services are transferred to customers in an amount that reflects the consideration that is expected to be received for those goods or services. Application of the requirements of ASU 2014-09 may require more judgment and estimates within the revenue recognition process compared to existing GAAP. In July 2015, the FASB approved a one-year delay in the effective date of ASU 2014-09, which makes the effective date for the Company the first quarter of fiscal 2019. The Company may adopt the requirements of ASU 2014-09 using either of two acceptable adoption methods: (i) retrospective adoption to each prior reporting period presented with the option to elect certain practical expedients as defined within ASU 2014-09; or (ii) adoption with the cumulative effect of initially applying ASU 2014-09 recognized at the date of initial application and providing certain additional disclosures as defined within ASU 2014-09. The Company is currently evaluating the impact of the future adoption of ASU 2014-09 on its consolidated financial statements, including the method of adoption to be used.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In September 2015, the FASB issued Accounting Standards Update 2015-16, Business Combinations (Topic 805):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The update requires that an acquiror recognize adjustments to provisional amounts that are identified during the measurement period in the reporting period in which the adjustment amounts are determined, including the cumulative effect of the change in provisional amount as if the accounting had been completed at the acquisition date. The Company early adopted this update in the first quarter of fiscal 2016, with no impact to its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the second quarter of fiscal 2016, the Company acquired two businesses with aggregated annualized sales of approximately $120.0 million for an aggregate purchase price of $36.4 million. The Company paid cash of $19.7 million, net of cash acquired, for such acquisitions in the second quarter of fiscal 2016. The Company has not disclosed the pro-forma impact of the fiscal 2016 acquisitions, as such impact was not material to the Company’s consolidated financial position or results of operations.</w:t>
      </w:r>
    </w:p>
    <w:p>
      <w:pPr>
        <w:spacing w:after="0" w:line="18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During the third quarter of fiscal 2016, there were no material measurement period adjustments for the fiscal 2016 acquisitions.</w:t>
      </w:r>
    </w:p>
    <w:p>
      <w:pPr>
        <w:spacing w:after="0" w:line="166" w:lineRule="exact"/>
        <w:rPr>
          <w:sz w:val="20"/>
          <w:szCs w:val="20"/>
          <w:color w:val="auto"/>
        </w:rPr>
      </w:pPr>
    </w:p>
    <w:p>
      <w:pPr>
        <w:ind w:left="440" w:right="6540" w:hanging="437"/>
        <w:spacing w:after="0" w:line="503" w:lineRule="auto"/>
        <w:tabs>
          <w:tab w:leader="none" w:pos="18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 in goodwill by reportable segment for the nine months ended April 2,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accumulated impairment was recognized in fiscal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Electronics</w:t>
            </w:r>
          </w:p>
        </w:tc>
        <w:tc>
          <w:tcPr>
            <w:tcW w:w="18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5"/>
              </w:rPr>
              <w:t>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3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Marketing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Solutions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(Thousands)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goodwill</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1,684,216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974,274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2,658,490</w:t>
            </w:r>
          </w:p>
        </w:tc>
        <w:tc>
          <w:tcPr>
            <w:tcW w:w="40" w:type="dxa"/>
            <w:vAlign w:val="bottom"/>
            <w:shd w:val="clear" w:color="auto" w:fill="CCEEFF"/>
          </w:tcPr>
          <w:p>
            <w:pPr>
              <w:spacing w:after="0"/>
              <w:rPr>
                <w:sz w:val="18"/>
                <w:szCs w:val="18"/>
                <w:color w:val="auto"/>
              </w:rPr>
            </w:pPr>
          </w:p>
        </w:tc>
      </w:tr>
      <w:tr>
        <w:trPr>
          <w:trHeight w:val="223"/>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impairment</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(1,045,110)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(1,379,734)</w:t>
            </w:r>
          </w:p>
        </w:tc>
        <w:tc>
          <w:tcPr>
            <w:tcW w:w="40" w:type="dxa"/>
            <w:vAlign w:val="bottom"/>
            <w:tcBorders>
              <w:bottom w:val="single" w:sz="8" w:color="CCEEFF"/>
            </w:tcBorders>
          </w:tcPr>
          <w:p>
            <w:pPr>
              <w:spacing w:after="0"/>
              <w:rPr>
                <w:sz w:val="19"/>
                <w:szCs w:val="19"/>
                <w:color w:val="auto"/>
              </w:rPr>
            </w:pPr>
          </w:p>
        </w:tc>
      </w:tr>
      <w:tr>
        <w:trPr>
          <w:trHeight w:val="236"/>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June 27, 2015</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639,106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639,650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1,278,756</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3980" w:type="dxa"/>
            <w:vAlign w:val="bottom"/>
          </w:tcPr>
          <w:p>
            <w:pPr>
              <w:ind w:left="120"/>
              <w:spacing w:after="0" w:line="203" w:lineRule="exact"/>
              <w:rPr>
                <w:sz w:val="20"/>
                <w:szCs w:val="20"/>
                <w:color w:val="auto"/>
              </w:rPr>
            </w:pPr>
            <w:r>
              <w:rPr>
                <w:rFonts w:ascii="Arial" w:cs="Arial" w:eastAsia="Arial" w:hAnsi="Arial"/>
                <w:sz w:val="18"/>
                <w:szCs w:val="18"/>
                <w:color w:val="auto"/>
              </w:rPr>
              <w:t>Additions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24,591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24,591</w:t>
            </w:r>
          </w:p>
        </w:tc>
        <w:tc>
          <w:tcPr>
            <w:tcW w:w="40" w:type="dxa"/>
            <w:vAlign w:val="bottom"/>
          </w:tcPr>
          <w:p>
            <w:pPr>
              <w:spacing w:after="0"/>
              <w:rPr>
                <w:sz w:val="17"/>
                <w:szCs w:val="17"/>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w:t>
            </w:r>
          </w:p>
        </w:tc>
        <w:tc>
          <w:tcPr>
            <w:tcW w:w="40" w:type="dxa"/>
            <w:vAlign w:val="bottom"/>
            <w:tcBorders>
              <w:bottom w:val="single" w:sz="8" w:color="CCEEFF"/>
            </w:tcBorders>
          </w:tcPr>
          <w:p>
            <w:pPr>
              <w:spacing w:after="0"/>
              <w:rPr>
                <w:sz w:val="19"/>
                <w:szCs w:val="19"/>
                <w:color w:val="auto"/>
              </w:rPr>
            </w:pPr>
          </w:p>
        </w:tc>
      </w:tr>
      <w:tr>
        <w:trPr>
          <w:trHeight w:val="236"/>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April 2, 2016</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629,711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665,695</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1,295,406</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3980" w:type="dxa"/>
            <w:vAlign w:val="bottom"/>
          </w:tcPr>
          <w:p>
            <w:pPr>
              <w:ind w:left="120"/>
              <w:spacing w:after="0" w:line="203" w:lineRule="exact"/>
              <w:rPr>
                <w:sz w:val="20"/>
                <w:szCs w:val="20"/>
                <w:color w:val="auto"/>
              </w:rPr>
            </w:pPr>
            <w:r>
              <w:rPr>
                <w:rFonts w:ascii="Arial" w:cs="Arial" w:eastAsia="Arial" w:hAnsi="Arial"/>
                <w:sz w:val="18"/>
                <w:szCs w:val="18"/>
                <w:color w:val="auto"/>
              </w:rPr>
              <w:t>Gross goodwill</w:t>
            </w:r>
          </w:p>
        </w:tc>
        <w:tc>
          <w:tcPr>
            <w:tcW w:w="16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1,674,821</w:t>
            </w:r>
          </w:p>
        </w:tc>
        <w:tc>
          <w:tcPr>
            <w:tcW w:w="18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1,000,319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2,675,140</w:t>
            </w:r>
          </w:p>
        </w:tc>
        <w:tc>
          <w:tcPr>
            <w:tcW w:w="40" w:type="dxa"/>
            <w:vAlign w:val="bottom"/>
          </w:tcPr>
          <w:p>
            <w:pPr>
              <w:spacing w:after="0"/>
              <w:rPr>
                <w:sz w:val="17"/>
                <w:szCs w:val="17"/>
                <w:color w:val="auto"/>
              </w:rPr>
            </w:pPr>
          </w:p>
        </w:tc>
      </w:tr>
      <w:tr>
        <w:trPr>
          <w:trHeight w:val="236"/>
        </w:trPr>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impairment</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(1,045,110)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(334,624)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(1,379,734)</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3980" w:type="dxa"/>
            <w:vAlign w:val="bottom"/>
          </w:tcPr>
          <w:p>
            <w:pPr>
              <w:spacing w:after="0" w:line="203" w:lineRule="exact"/>
              <w:rPr>
                <w:sz w:val="20"/>
                <w:szCs w:val="20"/>
                <w:color w:val="auto"/>
              </w:rPr>
            </w:pPr>
            <w:r>
              <w:rPr>
                <w:rFonts w:ascii="Arial" w:cs="Arial" w:eastAsia="Arial" w:hAnsi="Arial"/>
                <w:sz w:val="18"/>
                <w:szCs w:val="18"/>
                <w:color w:val="auto"/>
              </w:rPr>
              <w:t>Carrying value at April 2, 2016</w:t>
            </w:r>
          </w:p>
        </w:tc>
        <w:tc>
          <w:tcPr>
            <w:tcW w:w="168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629,711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665,695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1,295,406</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goodwill additions are a result of businesses acquired in the second quarter of fiscal 2016.</w:t>
      </w:r>
    </w:p>
    <w:p>
      <w:pPr>
        <w:spacing w:after="0" w:line="22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In accordance with ASC 350, the Company does not amortize goodwill, but instead tests goodwill for impairment at least annually in the fourth fiscal quarter. The Company determined there was no goodwill impairment at any of its reporting units as a result of the fiscal 2015 goodwill impairment testing. As a result of the fiscal 2015 goodwill impairment testing, two reporting units (TS Asia and TS EMEA) had estimated fair values that were not substantially in excess of the carrying value of such reporting units. The Company evaluates each quarter if facts and circumstances indicate that it is more likely than not that the fair value of a reporting unit that has goodwill is less than its carrying value, which would require the Company to perform an interim goodwill impairment test. Indicators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evaluates to determine whether an interim goodwill impairment test is necessary include, but are not limited to (i) a sustained decrease in share price or market capitalization, (ii) changes in the macroeconomic or industry environments and (iii) the financial performance of its reporting units. During the third quarter of fiscal 2016, the Company concluded that an interim goodwill impairment test was not necessary.</w:t>
      </w:r>
    </w:p>
    <w:p>
      <w:pPr>
        <w:spacing w:after="0" w:line="187"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 assessing goodwill for impairment, the Company is required to make significant assumptions, judgments and estimates including evaluating whether facts and circumstances indicate that an interim goodwill impairment test is necessary. These assumptions, judgments and estimates may change in the future based upon market conditions or other events and could result in a goodwill impairment. The Company continues to evaluate each quarter those indicators that may require an interim goodwill impairment test.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presents the Company’s acquired intangible assets at April 2, 2016, and June 27, 2015, respectively. These intangible assets have a weighted average remaining useful life of approximately 4 years.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April 2, 2016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June 27, 2015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1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2"/>
              </w:rPr>
              <w:t>Acquired</w:t>
            </w:r>
          </w:p>
        </w:tc>
        <w:tc>
          <w:tcPr>
            <w:tcW w:w="180" w:type="dxa"/>
            <w:vAlign w:val="bottom"/>
          </w:tcPr>
          <w:p>
            <w:pPr>
              <w:spacing w:after="0"/>
              <w:rPr>
                <w:sz w:val="17"/>
                <w:szCs w:val="17"/>
                <w:color w:val="auto"/>
              </w:rPr>
            </w:pPr>
          </w:p>
        </w:tc>
        <w:tc>
          <w:tcPr>
            <w:tcW w:w="10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7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Net Book</w:t>
            </w:r>
          </w:p>
        </w:tc>
        <w:tc>
          <w:tcPr>
            <w:tcW w:w="20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Acquired</w:t>
            </w:r>
          </w:p>
        </w:tc>
        <w:tc>
          <w:tcPr>
            <w:tcW w:w="20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0" w:type="dxa"/>
            <w:vAlign w:val="bottom"/>
          </w:tcPr>
          <w:p>
            <w:pPr>
              <w:spacing w:after="0"/>
              <w:rPr>
                <w:sz w:val="17"/>
                <w:szCs w:val="17"/>
                <w:color w:val="auto"/>
              </w:rPr>
            </w:pPr>
          </w:p>
        </w:tc>
        <w:tc>
          <w:tcPr>
            <w:tcW w:w="8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$ 278,448</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276,921</w:t>
            </w:r>
          </w:p>
        </w:tc>
        <w:tc>
          <w:tcPr>
            <w:tcW w:w="46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(190,593)</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86,328</w:t>
            </w:r>
          </w:p>
        </w:tc>
        <w:tc>
          <w:tcPr>
            <w:tcW w:w="4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Trade name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4,973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2,448</w:t>
            </w:r>
          </w:p>
        </w:tc>
        <w:tc>
          <w:tcPr>
            <w:tcW w:w="40" w:type="dxa"/>
            <w:vAlign w:val="bottom"/>
          </w:tcPr>
          <w:p>
            <w:pPr>
              <w:spacing w:after="0"/>
              <w:rPr>
                <w:sz w:val="18"/>
                <w:szCs w:val="18"/>
                <w:color w:val="auto"/>
              </w:rPr>
            </w:pPr>
          </w:p>
        </w:tc>
      </w:tr>
      <w:tr>
        <w:trPr>
          <w:trHeight w:val="23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w:t>
            </w:r>
          </w:p>
        </w:tc>
        <w:tc>
          <w:tcPr>
            <w:tcW w:w="40" w:type="dxa"/>
            <w:vAlign w:val="bottom"/>
            <w:shd w:val="clear" w:color="auto" w:fill="CCEEFF"/>
          </w:tcPr>
          <w:p>
            <w:pPr>
              <w:spacing w:after="0"/>
              <w:rPr>
                <w:sz w:val="20"/>
                <w:szCs w:val="20"/>
                <w:color w:val="auto"/>
              </w:rPr>
            </w:pPr>
          </w:p>
        </w:tc>
      </w:tr>
      <w:tr>
        <w:trPr>
          <w:trHeight w:val="210"/>
        </w:trPr>
        <w:tc>
          <w:tcPr>
            <w:tcW w:w="19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$ 296,120</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(209,131)</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86,989</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295,470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(195,739)</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99,731</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Intangible asset amortization expense was $6.9 million and $10.6 million for the third quarters of fiscal 2016 and 2015, respectively, and $21.2 million and $32.6 million for the first nine months of fiscal 2016 and 2015, respectively. The following table presents the estimated future amortization expense for the remainder of fiscal 2016, the next five fiscal years and thereafter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2016</w:t>
            </w:r>
          </w:p>
        </w:tc>
        <w:tc>
          <w:tcPr>
            <w:tcW w:w="5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2017</w:t>
            </w:r>
          </w:p>
        </w:tc>
        <w:tc>
          <w:tcPr>
            <w:tcW w:w="2300" w:type="dxa"/>
            <w:vAlign w:val="bottom"/>
          </w:tcPr>
          <w:p>
            <w:pPr>
              <w:spacing w:after="0"/>
              <w:rPr>
                <w:sz w:val="18"/>
                <w:szCs w:val="18"/>
                <w:color w:val="auto"/>
              </w:rPr>
            </w:pP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25,091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30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2019</w:t>
            </w:r>
          </w:p>
        </w:tc>
        <w:tc>
          <w:tcPr>
            <w:tcW w:w="2300" w:type="dxa"/>
            <w:vAlign w:val="bottom"/>
          </w:tcPr>
          <w:p>
            <w:pPr>
              <w:spacing w:after="0"/>
              <w:rPr>
                <w:sz w:val="18"/>
                <w:szCs w:val="18"/>
                <w:color w:val="auto"/>
              </w:rPr>
            </w:pP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13,525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30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2021</w:t>
            </w:r>
          </w:p>
        </w:tc>
        <w:tc>
          <w:tcPr>
            <w:tcW w:w="2300" w:type="dxa"/>
            <w:vAlign w:val="bottom"/>
          </w:tcPr>
          <w:p>
            <w:pPr>
              <w:spacing w:after="0"/>
              <w:rPr>
                <w:sz w:val="18"/>
                <w:szCs w:val="18"/>
                <w:color w:val="auto"/>
              </w:rPr>
            </w:pP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7,261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gridSpan w:val="2"/>
          </w:tcPr>
          <w:p>
            <w:pPr>
              <w:ind w:left="100"/>
              <w:spacing w:after="0" w:line="203" w:lineRule="exact"/>
              <w:rPr>
                <w:sz w:val="20"/>
                <w:szCs w:val="20"/>
                <w:color w:val="auto"/>
              </w:rPr>
            </w:pPr>
            <w:r>
              <w:rPr>
                <w:rFonts w:ascii="Arial" w:cs="Arial" w:eastAsia="Arial" w:hAnsi="Arial"/>
                <w:sz w:val="18"/>
                <w:szCs w:val="18"/>
                <w:color w:val="auto"/>
              </w:rPr>
              <w:t>Total</w:t>
            </w:r>
          </w:p>
        </w:tc>
        <w:tc>
          <w:tcPr>
            <w:tcW w:w="492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   86,989</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20" w:type="dxa"/>
            <w:vAlign w:val="bottom"/>
          </w:tcPr>
          <w:p>
            <w:pPr>
              <w:jc w:val="right"/>
              <w:ind w:right="3410"/>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ectPr>
          <w:pgSz w:w="11900" w:h="16838" w:orient="portrait"/>
          <w:cols w:equalWidth="0" w:num="1">
            <w:col w:w="9060"/>
          </w:cols>
          <w:pgMar w:left="1420" w:top="125" w:right="1419" w:bottom="1440" w:gutter="0" w:footer="0" w:header="0"/>
        </w:sectPr>
      </w:pPr>
    </w:p>
    <w:p>
      <w:pPr>
        <w:spacing w:after="0" w:line="248" w:lineRule="exact"/>
        <w:rPr>
          <w:sz w:val="20"/>
          <w:szCs w:val="20"/>
          <w:color w:val="auto"/>
        </w:rPr>
      </w:pPr>
    </w:p>
    <w:p>
      <w:pPr>
        <w:ind w:left="3920"/>
        <w:spacing w:after="0"/>
        <w:tabs>
          <w:tab w:leader="none" w:pos="5240" w:val="left"/>
        </w:tabs>
        <w:rPr>
          <w:sz w:val="20"/>
          <w:szCs w:val="20"/>
          <w:color w:val="auto"/>
        </w:rPr>
      </w:pPr>
      <w:r>
        <w:rPr>
          <w:rFonts w:ascii="Arial" w:cs="Arial" w:eastAsia="Arial" w:hAnsi="Arial"/>
          <w:sz w:val="18"/>
          <w:szCs w:val="18"/>
          <w:b w:val="1"/>
          <w:bCs w:val="1"/>
          <w:color w:val="auto"/>
        </w:rPr>
        <w:t>April 2, 2016</w:t>
      </w:r>
      <w:r>
        <w:rPr>
          <w:sz w:val="20"/>
          <w:szCs w:val="20"/>
          <w:color w:val="auto"/>
        </w:rPr>
        <w:tab/>
      </w:r>
      <w:r>
        <w:rPr>
          <w:rFonts w:ascii="Arial" w:cs="Arial" w:eastAsia="Arial" w:hAnsi="Arial"/>
          <w:sz w:val="15"/>
          <w:szCs w:val="15"/>
          <w:b w:val="1"/>
          <w:bCs w:val="1"/>
          <w:color w:val="auto"/>
        </w:rPr>
        <w:t>June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17145</wp:posOffset>
            </wp:positionV>
            <wp:extent cx="16033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Interest Rate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April 2, 2016</w:t>
      </w:r>
      <w:r>
        <w:rPr>
          <w:sz w:val="20"/>
          <w:szCs w:val="20"/>
          <w:color w:val="auto"/>
        </w:rPr>
        <w:tab/>
      </w:r>
      <w:r>
        <w:rPr>
          <w:rFonts w:ascii="Arial" w:cs="Arial" w:eastAsia="Arial" w:hAnsi="Arial"/>
          <w:sz w:val="15"/>
          <w:szCs w:val="15"/>
          <w:b w:val="1"/>
          <w:bCs w:val="1"/>
          <w:color w:val="auto"/>
        </w:rPr>
        <w:t>June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17145</wp:posOffset>
            </wp:positionV>
            <wp:extent cx="15951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Carrying Balance</w:t>
      </w:r>
    </w:p>
    <w:p>
      <w:pPr>
        <w:spacing w:after="0" w:line="47" w:lineRule="exact"/>
        <w:rPr>
          <w:sz w:val="20"/>
          <w:szCs w:val="20"/>
          <w:color w:val="auto"/>
        </w:rPr>
      </w:pPr>
    </w:p>
    <w:p>
      <w:pPr>
        <w:sectPr>
          <w:pgSz w:w="11900" w:h="16838" w:orient="portrait"/>
          <w:cols w:equalWidth="0" w:num="2">
            <w:col w:w="6300" w:space="320"/>
            <w:col w:w="244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78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r>
      <w:tr>
        <w:trPr>
          <w:trHeight w:val="203"/>
        </w:trPr>
        <w:tc>
          <w:tcPr>
            <w:tcW w:w="3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Bank credit facilities and other</w:t>
            </w:r>
          </w:p>
        </w:tc>
        <w:tc>
          <w:tcPr>
            <w:tcW w:w="1400" w:type="dxa"/>
            <w:vAlign w:val="bottom"/>
            <w:shd w:val="clear" w:color="auto" w:fill="CCEEFF"/>
          </w:tcPr>
          <w:p>
            <w:pPr>
              <w:jc w:val="right"/>
              <w:ind w:right="310"/>
              <w:spacing w:after="0" w:line="203" w:lineRule="exact"/>
              <w:rPr>
                <w:sz w:val="20"/>
                <w:szCs w:val="20"/>
                <w:color w:val="auto"/>
              </w:rPr>
            </w:pPr>
            <w:r>
              <w:rPr>
                <w:rFonts w:ascii="Arial" w:cs="Arial" w:eastAsia="Arial" w:hAnsi="Arial"/>
                <w:sz w:val="18"/>
                <w:szCs w:val="18"/>
                <w:color w:val="auto"/>
              </w:rPr>
              <w:t>4.74 %</w:t>
            </w:r>
          </w:p>
        </w:tc>
        <w:tc>
          <w:tcPr>
            <w:tcW w:w="112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5.54 %</w:t>
            </w:r>
          </w:p>
        </w:tc>
        <w:tc>
          <w:tcPr>
            <w:tcW w:w="560" w:type="dxa"/>
            <w:vAlign w:val="bottom"/>
            <w:gridSpan w:val="2"/>
            <w:shd w:val="clear" w:color="auto" w:fill="CCEEFF"/>
          </w:tcPr>
          <w:p>
            <w:pPr>
              <w:jc w:val="right"/>
              <w:ind w:right="205"/>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156,742</w:t>
            </w:r>
          </w:p>
        </w:tc>
        <w:tc>
          <w:tcPr>
            <w:tcW w:w="440" w:type="dxa"/>
            <w:vAlign w:val="bottom"/>
            <w:gridSpan w:val="2"/>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81,115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0.90 %</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Notes due September 2015</w:t>
            </w:r>
          </w:p>
        </w:tc>
        <w:tc>
          <w:tcPr>
            <w:tcW w:w="1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6.00 %</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Notes due September 2016</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6.63 %</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706,742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331,115</w:t>
            </w: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August 2014, the Company amended and extended its accounts receivable securitization program (the “Program”) with a group of financial institutions to allow the Company to transfer, on an ongoing revolving basis, an undivided interest in a designated pool of trade accounts receivable, to provide security or collateral for borrowings up to a maximum of $900.0 million. The Program does not qualify for off balance sheet accounting treatment and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$1.44 billion and $1.41 billion at April 2, 2016, and June 27, 2015, respectively. The Program contains certain covenants relating to the quality of the receivables sold. The Program also requires the Company to maintain certain minimum interest coverage and leverage ratios, which the Company was in compliance with as of April 2, 2016, and June 27, 2015. The Program has a two-year term that expires in August 2016 and as a result is considered short-term debt as of April 2, 2016. Interest on borrowings is calculated using a base rate or a commercial paper rate plus a spread of 0.38%. The facility fee is 0.38%.</w:t>
      </w:r>
    </w:p>
    <w:p>
      <w:pPr>
        <w:spacing w:after="0" w:line="16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September 2015, the Company redeemed the $250.0 million of outstanding 6.00% Notes due September 2015, upon their maturity.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April 2, 2016</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June 27, 2015</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rPr>
              <w:t>April 2, 2016</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3"/>
              </w:rPr>
              <w:t>June 27, 2015</w:t>
            </w:r>
          </w:p>
        </w:tc>
      </w:tr>
      <w:tr>
        <w:trPr>
          <w:trHeight w:val="223"/>
        </w:trPr>
        <w:tc>
          <w:tcPr>
            <w:tcW w:w="4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20" w:type="dxa"/>
            <w:vAlign w:val="bottom"/>
            <w:tcBorders>
              <w:top w:val="single" w:sz="8" w:color="auto"/>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Interest Rate</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Carrying Balance</w:t>
            </w:r>
          </w:p>
        </w:tc>
        <w:tc>
          <w:tcPr>
            <w:tcW w:w="80" w:type="dxa"/>
            <w:vAlign w:val="bottom"/>
            <w:tcBorders>
              <w:bottom w:val="single" w:sz="8" w:color="CCEEFF"/>
            </w:tcBorders>
          </w:tcPr>
          <w:p>
            <w:pPr>
              <w:spacing w:after="0"/>
              <w:rPr>
                <w:sz w:val="19"/>
                <w:szCs w:val="19"/>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Accounts receivable securitization program</w:t>
            </w:r>
          </w:p>
        </w:tc>
        <w:tc>
          <w:tcPr>
            <w:tcW w:w="120" w:type="dxa"/>
            <w:vAlign w:val="bottom"/>
          </w:tcPr>
          <w:p>
            <w:pPr>
              <w:spacing w:after="0"/>
              <w:rPr>
                <w:sz w:val="18"/>
                <w:szCs w:val="18"/>
                <w:color w:val="auto"/>
              </w:rPr>
            </w:pPr>
          </w:p>
        </w:tc>
        <w:tc>
          <w:tcPr>
            <w:tcW w:w="11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0.59 %</w:t>
            </w:r>
          </w:p>
        </w:tc>
        <w:tc>
          <w:tcPr>
            <w:tcW w:w="10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650,000</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w:t>
            </w:r>
          </w:p>
        </w:tc>
        <w:tc>
          <w:tcPr>
            <w:tcW w:w="12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1.86 %</w:t>
            </w: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Notes due: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2016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6.63 %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June 2020</w:t>
            </w:r>
          </w:p>
        </w:tc>
        <w:tc>
          <w:tcPr>
            <w:tcW w:w="1220" w:type="dxa"/>
            <w:vAlign w:val="bottom"/>
            <w:gridSpan w:val="2"/>
          </w:tcPr>
          <w:p>
            <w:pPr>
              <w:jc w:val="right"/>
              <w:ind w:right="470"/>
              <w:spacing w:after="0"/>
              <w:rPr>
                <w:sz w:val="20"/>
                <w:szCs w:val="20"/>
                <w:color w:val="auto"/>
              </w:rPr>
            </w:pPr>
            <w:r>
              <w:rPr>
                <w:rFonts w:ascii="Arial" w:cs="Arial" w:eastAsia="Arial" w:hAnsi="Arial"/>
                <w:sz w:val="18"/>
                <w:szCs w:val="18"/>
                <w:color w:val="auto"/>
              </w:rPr>
              <w:t>5.88 %</w:t>
            </w: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5.88 %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2022</w:t>
            </w:r>
          </w:p>
        </w:tc>
        <w:tc>
          <w:tcPr>
            <w:tcW w:w="12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4.88 %</w:t>
            </w: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4.88 %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April 2026</w:t>
            </w:r>
          </w:p>
        </w:tc>
        <w:tc>
          <w:tcPr>
            <w:tcW w:w="1220" w:type="dxa"/>
            <w:vAlign w:val="bottom"/>
            <w:gridSpan w:val="2"/>
          </w:tcPr>
          <w:p>
            <w:pPr>
              <w:jc w:val="right"/>
              <w:ind w:right="470"/>
              <w:spacing w:after="0"/>
              <w:rPr>
                <w:sz w:val="20"/>
                <w:szCs w:val="20"/>
                <w:color w:val="auto"/>
              </w:rPr>
            </w:pPr>
            <w:r>
              <w:rPr>
                <w:rFonts w:ascii="Arial" w:cs="Arial" w:eastAsia="Arial" w:hAnsi="Arial"/>
                <w:sz w:val="18"/>
                <w:szCs w:val="18"/>
                <w:color w:val="auto"/>
              </w:rPr>
              <w:t>4.63 %</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22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2.51 %</w:t>
            </w:r>
          </w:p>
        </w:tc>
        <w:tc>
          <w:tcPr>
            <w:tcW w:w="11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2.06 %</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240" w:type="dxa"/>
            <w:vAlign w:val="bottom"/>
          </w:tcPr>
          <w:p>
            <w:pPr>
              <w:ind w:left="120"/>
              <w:spacing w:after="0" w:line="203" w:lineRule="exact"/>
              <w:rPr>
                <w:sz w:val="20"/>
                <w:szCs w:val="20"/>
                <w:color w:val="auto"/>
              </w:rPr>
            </w:pPr>
            <w:r>
              <w:rPr>
                <w:rFonts w:ascii="Arial" w:cs="Arial" w:eastAsia="Arial" w:hAnsi="Arial"/>
                <w:sz w:val="18"/>
                <w:szCs w:val="18"/>
                <w:color w:val="auto"/>
                <w:w w:val="91"/>
              </w:rPr>
              <w:t>Long-term debt before discount and debt issuance costs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1,623,437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w w:val="97"/>
              </w:rPr>
              <w:t>1,651,828</w:t>
            </w:r>
          </w:p>
        </w:tc>
        <w:tc>
          <w:tcPr>
            <w:tcW w:w="80" w:type="dxa"/>
            <w:vAlign w:val="bottom"/>
          </w:tcPr>
          <w:p>
            <w:pPr>
              <w:spacing w:after="0"/>
              <w:rPr>
                <w:sz w:val="17"/>
                <w:szCs w:val="17"/>
                <w:color w:val="auto"/>
              </w:rPr>
            </w:pPr>
          </w:p>
        </w:tc>
      </w:tr>
      <w:tr>
        <w:trPr>
          <w:trHeight w:val="23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Discount and debt issuance costs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(12,898)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80" w:type="dxa"/>
            <w:vAlign w:val="bottom"/>
            <w:shd w:val="clear" w:color="auto" w:fill="CCEEFF"/>
          </w:tcPr>
          <w:p>
            <w:pPr>
              <w:spacing w:after="0"/>
              <w:rPr>
                <w:sz w:val="20"/>
                <w:szCs w:val="20"/>
                <w:color w:val="auto"/>
              </w:rPr>
            </w:pPr>
          </w:p>
        </w:tc>
      </w:tr>
      <w:tr>
        <w:trPr>
          <w:trHeight w:val="210"/>
        </w:trPr>
        <w:tc>
          <w:tcPr>
            <w:tcW w:w="4240" w:type="dxa"/>
            <w:vAlign w:val="bottom"/>
            <w:tcBorders>
              <w:top w:val="single" w:sz="8" w:color="CCEEFF"/>
            </w:tcBorders>
          </w:tcPr>
          <w:p>
            <w:pPr>
              <w:ind w:left="320"/>
              <w:spacing w:after="0" w:line="203" w:lineRule="exact"/>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1,610,539</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1,646,501</w:t>
            </w: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In March 2016, the Company issued $550.0 million of 4.625% Notes due April 2026 (“4.625% Notes”). The Company received proceeds of $546.0 million from the offering, net of discounts and incurred $4.5 million in underwriting fees and other debt issuance costs. The 4.625% Notes rank equally in right of payment with all existing and future senior unsecured debt of Avnet and interest will be payable semi-annually each year on April 15 and October 15.</w:t>
      </w:r>
    </w:p>
    <w:p>
      <w:pPr>
        <w:spacing w:after="0" w:line="171"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April 2, 2016 and June 27, 2015. As of April 2, 2016, and June 27, 2015, there were $4.9 million and $1.9 million, respectively, in letters of credit issued under the Credit Facility.</w:t>
      </w:r>
    </w:p>
    <w:p>
      <w:pPr>
        <w:spacing w:after="0" w:line="19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of April 2, 2016, the carrying value and fair value of the Company’s total debt was $2.32 billion and $2.38 billion, respectively. At June 27, 2015, the carrying value and fair value of the Company's total debt was $1.98 billion and $2.04 billion, respectively. Fair value was estimated primarily based upon quoted market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229"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in the same foreign currency) as well as by creating offsetting positions through the use of derivative financial instruments, primarily forward foreign currency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are offset by the changes in fair value of the forward foreign currency exchange contracts. The fair value of forward foreign currency exchange contracts, which are based upon Level 2 criteria under the ASC 820 fair value hierarchy, are classified in the captions “other current assets” or “accrued expenses and other,” as applicable, in the accompanying consolidated balance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sheets as of April 2, 2016, and June 27, 2015, and were not material. The Company’s master netting and other similar arrangements with various financial institutions related to derivative financial instruments allow for the right of offset. Avnet’s policy is to present derivative financial instruments with the same counterparty as either a net asset or liability when the right of offset exists. The Company did not have material net gains or losses related to forward foreign currency exchange contracts in the third quarters and first nine months of fiscal 2016 and 2015, which are recorded as a component of “other income (expense), net” in the consolidated statements of operations.</w:t>
      </w:r>
    </w:p>
    <w:p>
      <w:pPr>
        <w:spacing w:after="0" w:line="17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 Company also is currently subject to various pending and potential legal matters and investigations relating to compliance with governmental laws and regulations, including import/export, environmental, anticorruption and competition. For certain of these matters it is not possible to determine the ultimate outcome, and the Company cannot reasonably estimate the maximum potential exposure or the range of possible loss for such matters due primarily to being in the preliminary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7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April 2, 2016, and June 27, 2015, the Company has aggregate estimated liabilities of $21.3 million and $17.2 million, respectively, classified within accrued expenses and other for such compliance-related matters that were reasonably estimable as of such dates. Of these amounts, $10.0 million relates to a contingent liability for potential unpaid import duties associated with the acquisition of Bell Microproducts Inc. for estimated duties, interest and penalties that may be imposed from an ongoing compliance audit by Customs and Border Protection.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effective tax rate on its income before income taxes was 23.1% in the third quarter of fiscal 2016 as compared with 28.9% in the third quarter of fiscal 2015. During the third quarter of fiscal 2016, the Company’s effective tax rate was favorably impacted primarily by (i) the mix of income in lower tax jurisdictions and (ii) the release of reserves related to the expiration of statutes of limitation. During the third quarter of fiscal 2015, the Company’s effective tax rate was favorably impacted primarily by (i) the mix of income in lower tax jurisdictions partially offset by (ii) an increase due to the write-off of a deferred tax asset.</w:t>
      </w:r>
    </w:p>
    <w:p>
      <w:pPr>
        <w:spacing w:after="0" w:line="19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For the first nine months of fiscal 2016 and 2015, the Company’s effective tax rate was 23.5% and 26.1%, respectively. The effective tax rate for the first nine months of fiscal 2016 was favorably impacted primarily by (i) the mix of income in lower tax jurisdictions, (ii) the release of valuation allowances against deferred tax assets that were determined to be realizable and (iii) the release of reserves related to audit settlements and the expiration of statutes of limitation. The effective tax rate for the first nine months of fiscal 2015 was favorably impacted by (i) the mix of income in lower tax jurisdictions and</w:t>
      </w:r>
    </w:p>
    <w:p>
      <w:pPr>
        <w:spacing w:after="0" w:line="2" w:lineRule="exact"/>
        <w:rPr>
          <w:sz w:val="20"/>
          <w:szCs w:val="20"/>
          <w:color w:val="auto"/>
        </w:rPr>
      </w:pPr>
    </w:p>
    <w:p>
      <w:pPr>
        <w:ind w:firstLine="3"/>
        <w:spacing w:after="0" w:line="261"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release of reserves, primarily related to the formal deregistration of a foreign branch and the settlement of an audit in a foreign jurisdiction.</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Company applies the guidance in ASC 740, which requires management to use its judgment for the appropriate weighting of all available evidence when assessing the need for the establishment or the release of valuation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semiconductor and related industries; (iii) jurisdictional specific limitations on the utilization of deferred tax assets including when such assets expire; and (iv) prudent and feasible tax planning strategies.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evaluate the need for the valuation allowances against its deferred tax assets and will adjust valuation allowances as appropriate, which, if adjusted, could result in a significant decrease or increase to the effective tax rate in the period of the adjustment.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a noncontributory defined benefit pension plan (the “Plan”) for which the components of net periodic pension costs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7"/>
              </w:rPr>
              <w:t>Third Quarters Ended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6"/>
          </w:tcPr>
          <w:p>
            <w:pPr>
              <w:ind w:left="1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April 2,</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March 28,</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April 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28,</w:t>
            </w:r>
          </w:p>
        </w:tc>
        <w:tc>
          <w:tcPr>
            <w:tcW w:w="40" w:type="dxa"/>
            <w:vAlign w:val="bottom"/>
          </w:tcPr>
          <w:p>
            <w:pPr>
              <w:spacing w:after="0"/>
              <w:rPr>
                <w:sz w:val="17"/>
                <w:szCs w:val="17"/>
                <w:color w:val="auto"/>
              </w:rPr>
            </w:pPr>
          </w:p>
        </w:tc>
      </w:tr>
      <w:tr>
        <w:trPr>
          <w:trHeight w:val="241"/>
        </w:trPr>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ind w:left="56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13,347</w:t>
            </w:r>
          </w:p>
        </w:tc>
        <w:tc>
          <w:tcPr>
            <w:tcW w:w="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(27,165)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9,753</w:t>
            </w:r>
          </w:p>
        </w:tc>
        <w:tc>
          <w:tcPr>
            <w:tcW w:w="40" w:type="dxa"/>
            <w:vAlign w:val="bottom"/>
          </w:tcPr>
          <w:p>
            <w:pPr>
              <w:spacing w:after="0"/>
              <w:rPr>
                <w:sz w:val="18"/>
                <w:szCs w:val="18"/>
                <w:color w:val="auto"/>
              </w:rPr>
            </w:pPr>
          </w:p>
        </w:tc>
      </w:tr>
      <w:tr>
        <w:trPr>
          <w:trHeight w:val="236"/>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prior service credits</w:t>
            </w: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3620" w:type="dxa"/>
            <w:vAlign w:val="bottom"/>
          </w:tcPr>
          <w:p>
            <w:pPr>
              <w:ind w:left="120"/>
              <w:spacing w:after="0" w:line="203" w:lineRule="exact"/>
              <w:rPr>
                <w:sz w:val="20"/>
                <w:szCs w:val="20"/>
                <w:color w:val="auto"/>
              </w:rPr>
            </w:pPr>
            <w:r>
              <w:rPr>
                <w:rFonts w:ascii="Arial" w:cs="Arial" w:eastAsia="Arial" w:hAnsi="Arial"/>
                <w:sz w:val="18"/>
                <w:szCs w:val="18"/>
                <w:color w:val="auto"/>
              </w:rPr>
              <w:t>Net periodic pension cost</w:t>
            </w:r>
          </w:p>
        </w:tc>
        <w:tc>
          <w:tcPr>
            <w:tcW w:w="9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7,982</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8,125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24,497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24,375</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made contributions to the Plan of $30.0 million during the first nine months of fiscal 2016. The Company expects to make an additional contribution to the Plan of $10.0 million in the fourth quarter of fiscal 2016.</w:t>
      </w:r>
    </w:p>
    <w:p>
      <w:pPr>
        <w:spacing w:after="0" w:line="1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Plan meets the definition of a defined benefit plan and as a result, the Company must apply ASC 715 pension accounting to the Plan. The Plan itself, however, is a cash balance plan that is similar in nature to a defined contribution plan in that a participant's benefit is defined in terms of a stated account balance. A cash balance plan provides the Company with the benefit of applying any earnings on the Plan’s investments beyond the fixed return provided to participants, toward the Company’s future cash funding obligations.</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Amounts reclassified out of accumulated other comprehensive income (loss), net of tax, to operating expenses during the third quarters and first nine months of fiscal 2016 and fiscal 2015 were not material and substantially all related to net periodic pension costs including recognition of actuarial losses and amortization of prior service credits.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In August 2015, the Company’s Board of Directors amended the Company’s existing share repurchase program to authorize the repurchase of up to $1.25 billion of common stock in the open market or through privately negotiated transactions. The timing and actual number of shares purchased will depend on a variety of factors such as share price, corporate and regulatory requirements, and prevailing market conditions. During the third quarter of fiscal 2016,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Company repurchased 3.7 million shares under this program at an average market price of $39.73 per share for a total cost of $145.7 million. During the first nine months of fiscal 2016, the Company repurchased 8.1 million shares under this program at an average price of $40.88 per share for a total cost of $330.8 million. Since the beginning of the repurchase program through the end of the third quarter of fiscal 2016, the Company has repurchased 30.2 million shares at an aggregate cost of $1.03 billion, and $221.7 million remains available for future repurchases.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February 2016, the Company’s Board of Directors approved a dividend of $0.17 per common share and dividend payments of $21.9 million were made in March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Third Quarters Ended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ind w:left="3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April 2,</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8"/>
              </w:rPr>
              <w:t>March 28,</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April 2,</w:t>
            </w: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8"/>
              </w:rPr>
              <w:t>March 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gridSpan w:val="7"/>
          </w:tcPr>
          <w:p>
            <w:pPr>
              <w:ind w:left="60"/>
              <w:spacing w:after="0"/>
              <w:rPr>
                <w:sz w:val="20"/>
                <w:szCs w:val="20"/>
                <w:color w:val="auto"/>
              </w:rPr>
            </w:pPr>
            <w:r>
              <w:rPr>
                <w:rFonts w:ascii="Arial" w:cs="Arial" w:eastAsia="Arial" w:hAnsi="Arial"/>
                <w:sz w:val="18"/>
                <w:szCs w:val="18"/>
                <w:b w:val="1"/>
                <w:bCs w:val="1"/>
                <w:color w:val="auto"/>
                <w:w w:val="89"/>
              </w:rPr>
              <w:t>(Thousands, except per share data)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123,459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121,529</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409,725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413,180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for basic</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129,811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136,046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131,834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136,965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effect of dilutive stock options, restricted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units and performance share units</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line="176" w:lineRule="exact"/>
              <w:rPr>
                <w:sz w:val="20"/>
                <w:szCs w:val="20"/>
                <w:color w:val="auto"/>
              </w:rPr>
            </w:pPr>
            <w:r>
              <w:rPr>
                <w:rFonts w:ascii="Arial" w:cs="Arial" w:eastAsia="Arial" w:hAnsi="Arial"/>
                <w:sz w:val="18"/>
                <w:szCs w:val="18"/>
                <w:color w:val="auto"/>
                <w:w w:val="98"/>
              </w:rPr>
              <w:t>Weighted average common shares for diluted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131,650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137,721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134,298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139,181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Stock options excluded from earnings per share</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calculation due to anti-dilutive effect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income taxes paid in the nine months ended April 2, 2016, and March 28, 2015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8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April 2,</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March 28,</w:t>
            </w:r>
          </w:p>
        </w:tc>
        <w:tc>
          <w:tcPr>
            <w:tcW w:w="6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80,313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80,478</w:t>
            </w:r>
          </w:p>
        </w:tc>
        <w:tc>
          <w:tcPr>
            <w:tcW w:w="60" w:type="dxa"/>
            <w:vAlign w:val="bottom"/>
            <w:shd w:val="clear" w:color="auto" w:fill="CCEEFF"/>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Income taxes</w:t>
            </w:r>
          </w:p>
        </w:tc>
        <w:tc>
          <w:tcPr>
            <w:tcW w:w="3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85,323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122,056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Non-cash investing activities related to purchases of property, plant and equipment that have been accrued, but not paid for, were $15.2 million and $40.0 million as of April 2, 2016, and March 28, 2015,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cash and cash equivalents as of April 2, 2016, was $44.8 million of cash equivalents, which was primarily comprised of overnight time deposits whose fair value was determined using Level 1 measurements under the ASC 820 fair value hierarchy.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Electronics Marketing (“EM”) and Technology Solutions (“TS”) are the Company's reportable segments (“operating groups”). EM markets and sells semiconductors and interconnect, passive and electromechanical devices and embedded products to a diverse customer base serving many end-markets. TS focuses on the value-added distribution of enterprise computing servers and systems, software, storage, services and complex solutions from the world’s foremost technology manufacturers and software developers. TS also provides the latest hard disk drives, microprocessor, motherboard and DRAM module technologies to manufacturers of general-purpose computers and system builders.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Third Quarters Ended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rPr>
              <w:t>April 2,</w:t>
            </w: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3"/>
              </w:rPr>
              <w:t>March 28,</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8"/>
              </w:rPr>
              <w:t>March 28,</w:t>
            </w:r>
          </w:p>
        </w:tc>
        <w:tc>
          <w:tcPr>
            <w:tcW w:w="40" w:type="dxa"/>
            <w:vAlign w:val="bottom"/>
          </w:tcPr>
          <w:p>
            <w:pPr>
              <w:spacing w:after="0"/>
              <w:rPr>
                <w:sz w:val="17"/>
                <w:szCs w:val="17"/>
                <w:color w:val="auto"/>
              </w:rPr>
            </w:pPr>
          </w:p>
        </w:tc>
      </w:tr>
      <w:tr>
        <w:trPr>
          <w:trHeight w:val="241"/>
        </w:trPr>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r>
      <w:tr>
        <w:trPr>
          <w:trHeight w:val="216"/>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4,041,527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4,219,528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12,627,543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13,028,812</w:t>
            </w:r>
          </w:p>
        </w:tc>
        <w:tc>
          <w:tcPr>
            <w:tcW w:w="40" w:type="dxa"/>
            <w:vAlign w:val="bottom"/>
          </w:tcPr>
          <w:p>
            <w:pPr>
              <w:spacing w:after="0"/>
              <w:rPr>
                <w:sz w:val="18"/>
                <w:szCs w:val="18"/>
                <w:color w:val="auto"/>
              </w:rPr>
            </w:pPr>
          </w:p>
        </w:tc>
      </w:tr>
      <w:tr>
        <w:trPr>
          <w:trHeight w:val="236"/>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2,133,189</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2,517,332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7,364,924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8,099,514</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6,174,716</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6,736,860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19,992,467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21,128,326</w:t>
            </w:r>
          </w:p>
        </w:tc>
        <w:tc>
          <w:tcPr>
            <w:tcW w:w="40" w:type="dxa"/>
            <w:vAlign w:val="bottom"/>
            <w:tcBorders>
              <w:bottom w:val="single" w:sz="8" w:color="CCEEFF"/>
            </w:tcBorders>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183,271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197,287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570,286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591,447</w:t>
            </w:r>
          </w:p>
        </w:tc>
        <w:tc>
          <w:tcPr>
            <w:tcW w:w="40" w:type="dxa"/>
            <w:vAlign w:val="bottom"/>
          </w:tcPr>
          <w:p>
            <w:pPr>
              <w:spacing w:after="0"/>
              <w:rPr>
                <w:sz w:val="18"/>
                <w:szCs w:val="18"/>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40" w:type="dxa"/>
            <w:vAlign w:val="bottom"/>
            <w:shd w:val="clear" w:color="auto" w:fill="CCEEFF"/>
          </w:tcPr>
          <w:p>
            <w:pPr>
              <w:spacing w:after="0"/>
              <w:rPr>
                <w:sz w:val="18"/>
                <w:szCs w:val="18"/>
                <w:color w:val="auto"/>
              </w:rPr>
            </w:pPr>
          </w:p>
        </w:tc>
      </w:tr>
      <w:tr>
        <w:trPr>
          <w:trHeight w:val="223"/>
        </w:trPr>
        <w:tc>
          <w:tcPr>
            <w:tcW w:w="414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(116,530)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(110,805)</w:t>
            </w:r>
          </w:p>
        </w:tc>
      </w:tr>
      <w:tr>
        <w:trPr>
          <w:trHeight w:val="216"/>
        </w:trPr>
        <w:tc>
          <w:tcPr>
            <w:tcW w:w="4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205,223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230,393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728,714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w w:val="92"/>
              </w:rPr>
              <w:t>Restructuring, integration and other expenses (Note 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(47,071)</w:t>
            </w:r>
          </w:p>
        </w:tc>
      </w:tr>
      <w:tr>
        <w:trPr>
          <w:trHeight w:val="23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9"/>
              </w:rPr>
              <w:t>Amortization of acquired intangible assets and other</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(34,447)</w:t>
            </w:r>
          </w:p>
        </w:tc>
      </w:tr>
      <w:tr>
        <w:trPr>
          <w:trHeight w:val="210"/>
        </w:trPr>
        <w:tc>
          <w:tcPr>
            <w:tcW w:w="4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181,618</w:t>
            </w:r>
          </w:p>
        </w:tc>
        <w:tc>
          <w:tcPr>
            <w:tcW w:w="2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203,712</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614,695</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647,196</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2,433,904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2,677,745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7,958,408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8,376,754</w:t>
            </w:r>
          </w:p>
        </w:tc>
        <w:tc>
          <w:tcPr>
            <w:tcW w:w="40" w:type="dxa"/>
            <w:vAlign w:val="bottom"/>
          </w:tcPr>
          <w:p>
            <w:pPr>
              <w:spacing w:after="0"/>
              <w:rPr>
                <w:sz w:val="18"/>
                <w:szCs w:val="18"/>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1,946,575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6,006,500</w:t>
            </w:r>
          </w:p>
        </w:tc>
        <w:tc>
          <w:tcPr>
            <w:tcW w:w="40" w:type="dxa"/>
            <w:vAlign w:val="bottom"/>
            <w:shd w:val="clear" w:color="auto" w:fill="CCEEFF"/>
          </w:tcPr>
          <w:p>
            <w:pPr>
              <w:spacing w:after="0"/>
              <w:rPr>
                <w:sz w:val="18"/>
                <w:szCs w:val="18"/>
                <w:color w:val="auto"/>
              </w:rPr>
            </w:pPr>
          </w:p>
        </w:tc>
      </w:tr>
      <w:tr>
        <w:trPr>
          <w:trHeight w:val="223"/>
        </w:trPr>
        <w:tc>
          <w:tcPr>
            <w:tcW w:w="4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1,794,237</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2,090,046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6,136,816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6,745,072</w:t>
            </w:r>
          </w:p>
        </w:tc>
        <w:tc>
          <w:tcPr>
            <w:tcW w:w="40" w:type="dxa"/>
            <w:vAlign w:val="bottom"/>
            <w:tcBorders>
              <w:bottom w:val="single" w:sz="8" w:color="CCEEFF"/>
            </w:tcBorders>
          </w:tcPr>
          <w:p>
            <w:pPr>
              <w:spacing w:after="0"/>
              <w:rPr>
                <w:sz w:val="19"/>
                <w:szCs w:val="19"/>
                <w:color w:val="auto"/>
              </w:rPr>
            </w:pPr>
          </w:p>
        </w:tc>
      </w:tr>
      <w:tr>
        <w:trPr>
          <w:trHeight w:val="223"/>
        </w:trPr>
        <w:tc>
          <w:tcPr>
            <w:tcW w:w="4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6,174,716</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6,736,860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19,992,467</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21,128,326</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20" w:hanging="317"/>
        <w:spacing w:after="0" w:line="264"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8"/>
          <w:szCs w:val="18"/>
          <w:color w:val="auto"/>
        </w:rPr>
        <w:t>Includes sales from the United States of $2.20 billion and $2.39 billion for the quarters ended April 2, 2016, and March 28, 2015, respectively. Includes sales from the United States of $7.20 billion and $7.45 billion for the first nine months of fiscal 2016 and 2015, respectively.</w:t>
      </w:r>
    </w:p>
    <w:p>
      <w:pPr>
        <w:spacing w:after="0" w:line="181" w:lineRule="exact"/>
        <w:rPr>
          <w:rFonts w:ascii="Arial" w:cs="Arial" w:eastAsia="Arial" w:hAnsi="Arial"/>
          <w:sz w:val="9"/>
          <w:szCs w:val="9"/>
          <w:color w:val="auto"/>
        </w:rPr>
      </w:pPr>
    </w:p>
    <w:p>
      <w:pPr>
        <w:jc w:val="both"/>
        <w:ind w:left="320" w:hanging="317"/>
        <w:spacing w:after="0" w:line="302" w:lineRule="auto"/>
        <w:tabs>
          <w:tab w:leader="none" w:pos="263" w:val="left"/>
        </w:tabs>
        <w:numPr>
          <w:ilvl w:val="0"/>
          <w:numId w:val="4"/>
        </w:numPr>
        <w:rPr>
          <w:rFonts w:ascii="Arial" w:cs="Arial" w:eastAsia="Arial" w:hAnsi="Arial"/>
          <w:sz w:val="8"/>
          <w:szCs w:val="8"/>
          <w:color w:val="auto"/>
        </w:rPr>
      </w:pPr>
      <w:r>
        <w:rPr>
          <w:rFonts w:ascii="Arial" w:cs="Arial" w:eastAsia="Arial" w:hAnsi="Arial"/>
          <w:sz w:val="16"/>
          <w:szCs w:val="16"/>
          <w:color w:val="auto"/>
        </w:rPr>
        <w:t>Includes sales from Germany and the United Kingdom of $749.4 million and $294.2 million, respectively, for the quarter ended April 2, 2016, and $2.31 billion and $975.3 million, respectively, for the first nine months of fiscal 2016. Includes sales from Germany and the United Kingdom of $688.7 million and $372.3 million, respectively, for the quarter ended March 28, 2015, and $2.22 billion and $1.12 billion, respectively, for the first nine months of fiscal 2015.</w:t>
      </w:r>
    </w:p>
    <w:p>
      <w:pPr>
        <w:spacing w:after="0" w:line="154" w:lineRule="exact"/>
        <w:rPr>
          <w:rFonts w:ascii="Arial" w:cs="Arial" w:eastAsia="Arial" w:hAnsi="Arial"/>
          <w:sz w:val="8"/>
          <w:szCs w:val="8"/>
          <w:color w:val="auto"/>
        </w:rPr>
      </w:pPr>
    </w:p>
    <w:p>
      <w:pPr>
        <w:jc w:val="both"/>
        <w:ind w:left="320" w:hanging="317"/>
        <w:spacing w:after="0" w:line="279"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7"/>
          <w:szCs w:val="17"/>
          <w:color w:val="auto"/>
        </w:rPr>
        <w:t>Includes sales from China (including Hong Kong) and Taiwan of $627.1 million and $586.6 million, respectively, for the quarter ended April 2, 2016, and $2.05 billion and $2.27 billion, respectively, for the first nine months of fiscal 2016. Includes sales from China (including Hong Kong) and Taiwan of $667.5 million and $802.2 million, respectively, for the quarter ended March 28, 2015, and $2.13 billion and $2.62 billion, respectively, for the first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nine months of fiscal 2015.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5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r>
      <w:tr>
        <w:trPr>
          <w:trHeight w:val="216"/>
        </w:trPr>
        <w:tc>
          <w:tcPr>
            <w:tcW w:w="5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1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6,669,914</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6,497,714</w:t>
            </w: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3,742,670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3,608,953</w:t>
            </w:r>
          </w:p>
        </w:tc>
        <w:tc>
          <w:tcPr>
            <w:tcW w:w="140" w:type="dxa"/>
            <w:vAlign w:val="bottom"/>
            <w:shd w:val="clear" w:color="auto" w:fill="CCEEFF"/>
          </w:tcPr>
          <w:p>
            <w:pPr>
              <w:spacing w:after="0"/>
              <w:rPr>
                <w:sz w:val="18"/>
                <w:szCs w:val="18"/>
                <w:color w:val="auto"/>
              </w:rPr>
            </w:pPr>
          </w:p>
        </w:tc>
      </w:tr>
      <w:tr>
        <w:trPr>
          <w:trHeight w:val="223"/>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1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712,876</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693,286</w:t>
            </w:r>
          </w:p>
        </w:tc>
        <w:tc>
          <w:tcPr>
            <w:tcW w:w="140" w:type="dxa"/>
            <w:vAlign w:val="bottom"/>
            <w:tcBorders>
              <w:bottom w:val="single" w:sz="8" w:color="CCEEFF"/>
            </w:tcBorders>
          </w:tcPr>
          <w:p>
            <w:pPr>
              <w:spacing w:after="0"/>
              <w:rPr>
                <w:sz w:val="19"/>
                <w:szCs w:val="19"/>
                <w:color w:val="auto"/>
              </w:rPr>
            </w:pPr>
          </w:p>
        </w:tc>
      </w:tr>
      <w:tr>
        <w:trPr>
          <w:trHeight w:val="236"/>
        </w:trPr>
        <w:tc>
          <w:tcPr>
            <w:tcW w:w="5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11,125,460</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10,799,953</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03"/>
        </w:trPr>
        <w:tc>
          <w:tcPr>
            <w:tcW w:w="532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 by geographic area:</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1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400,969</w:t>
            </w: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358,063</w:t>
            </w:r>
          </w:p>
        </w:tc>
        <w:tc>
          <w:tcPr>
            <w:tcW w:w="140" w:type="dxa"/>
            <w:vAlign w:val="bottom"/>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179,850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182,311</w:t>
            </w:r>
          </w:p>
        </w:tc>
        <w:tc>
          <w:tcPr>
            <w:tcW w:w="140" w:type="dxa"/>
            <w:vAlign w:val="bottom"/>
          </w:tcPr>
          <w:p>
            <w:pPr>
              <w:spacing w:after="0"/>
              <w:rPr>
                <w:sz w:val="18"/>
                <w:szCs w:val="18"/>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29,928</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28,405</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610,747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568,779</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7"/>
        <w:spacing w:after="0" w:line="277" w:lineRule="auto"/>
        <w:tabs>
          <w:tab w:leader="none" w:pos="263" w:val="left"/>
        </w:tabs>
        <w:numPr>
          <w:ilvl w:val="0"/>
          <w:numId w:val="5"/>
        </w:numPr>
        <w:rPr>
          <w:rFonts w:ascii="Arial" w:cs="Arial" w:eastAsia="Arial" w:hAnsi="Arial"/>
          <w:sz w:val="9"/>
          <w:szCs w:val="9"/>
          <w:color w:val="auto"/>
        </w:rPr>
      </w:pPr>
      <w:r>
        <w:rPr>
          <w:rFonts w:ascii="Arial" w:cs="Arial" w:eastAsia="Arial" w:hAnsi="Arial"/>
          <w:sz w:val="18"/>
          <w:szCs w:val="18"/>
          <w:color w:val="auto"/>
        </w:rPr>
        <w:t>Includes property, plant and equipment, net, of $391.1 million and $352.2 million as of April 2, 2016, and June 27, 2015, respectively, in the United States.</w:t>
      </w:r>
    </w:p>
    <w:p>
      <w:pPr>
        <w:spacing w:after="0" w:line="170" w:lineRule="exact"/>
        <w:rPr>
          <w:rFonts w:ascii="Arial" w:cs="Arial" w:eastAsia="Arial" w:hAnsi="Arial"/>
          <w:sz w:val="9"/>
          <w:szCs w:val="9"/>
          <w:color w:val="auto"/>
        </w:rPr>
      </w:pPr>
    </w:p>
    <w:p>
      <w:pPr>
        <w:ind w:left="320" w:hanging="317"/>
        <w:spacing w:after="0" w:line="308" w:lineRule="auto"/>
        <w:tabs>
          <w:tab w:leader="none" w:pos="263" w:val="left"/>
        </w:tabs>
        <w:numPr>
          <w:ilvl w:val="0"/>
          <w:numId w:val="5"/>
        </w:numPr>
        <w:rPr>
          <w:rFonts w:ascii="Arial" w:cs="Arial" w:eastAsia="Arial" w:hAnsi="Arial"/>
          <w:sz w:val="9"/>
          <w:szCs w:val="9"/>
          <w:color w:val="auto"/>
        </w:rPr>
      </w:pPr>
      <w:r>
        <w:rPr>
          <w:rFonts w:ascii="Arial" w:cs="Arial" w:eastAsia="Arial" w:hAnsi="Arial"/>
          <w:sz w:val="17"/>
          <w:szCs w:val="17"/>
          <w:color w:val="auto"/>
        </w:rPr>
        <w:t>Includes property, plant and equipment, net, of $75.4 million and $73.1 million in Germany and Belgium, respectively, as of April 2, 2016, and $74.2 million and $74.7 million in Germany and Belgium, respectively, as of June 27, 2015.</w:t>
      </w:r>
    </w:p>
    <w:p>
      <w:pPr>
        <w:spacing w:after="0" w:line="143" w:lineRule="exact"/>
        <w:rPr>
          <w:sz w:val="20"/>
          <w:szCs w:val="20"/>
          <w:color w:val="auto"/>
        </w:rPr>
      </w:pPr>
    </w:p>
    <w:p>
      <w:pPr>
        <w:ind w:left="440" w:right="5260" w:hanging="437"/>
        <w:spacing w:after="0" w:line="503" w:lineRule="auto"/>
        <w:tabs>
          <w:tab w:leader="none" w:pos="28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integration and other expenses </w:t>
      </w:r>
      <w:r>
        <w:rPr>
          <w:rFonts w:ascii="Arial" w:cs="Arial" w:eastAsia="Arial" w:hAnsi="Arial"/>
          <w:sz w:val="18"/>
          <w:szCs w:val="18"/>
          <w:i w:val="1"/>
          <w:iCs w:val="1"/>
          <w:color w:val="auto"/>
        </w:rPr>
        <w:t>Fiscal 2016</w:t>
      </w:r>
    </w:p>
    <w:p>
      <w:pPr>
        <w:spacing w:after="0" w:line="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third quarter and first nine months of fiscal 2016, the Company took certain actions in an effort to reduce future operating expenses, including the continuation of the restructuring activities started in the fourth quarter of fiscal 2015. These actions include activities related to the Avnet Advantage initiative, which is focused on creating long-term operational efficiencies. In addition, the Company incurred integration and other costs as discussed further below. The following table presents the restructuring, integration and other expenses recorded during the third quarter and first nine months of fiscal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Quarter Ended</w:t>
            </w:r>
          </w:p>
        </w:tc>
        <w:tc>
          <w:tcPr>
            <w:tcW w:w="178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April 2, 2016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April 2, 2016</w:t>
            </w:r>
          </w:p>
        </w:tc>
      </w:tr>
      <w:tr>
        <w:trPr>
          <w:trHeight w:val="216"/>
        </w:trPr>
        <w:tc>
          <w:tcPr>
            <w:tcW w:w="5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89"/>
              </w:rPr>
              <w:t>(Thousands, except per share data)</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39,350</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Integration costs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8,824</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Changes in estimates for prior year restructuring liabilities</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40" w:type="dxa"/>
            <w:vAlign w:val="bottom"/>
            <w:tcBorders>
              <w:bottom w:val="single" w:sz="8" w:color="CCEEFF"/>
            </w:tcBorders>
          </w:tcPr>
          <w:p>
            <w:pPr>
              <w:spacing w:after="0"/>
              <w:rPr>
                <w:sz w:val="19"/>
                <w:szCs w:val="19"/>
                <w:color w:val="auto"/>
              </w:rPr>
            </w:pPr>
          </w:p>
        </w:tc>
      </w:tr>
      <w:tr>
        <w:trPr>
          <w:trHeight w:val="236"/>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integration and other expenses before tax</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16,172</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63,352</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70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Restructuring, integration and other expenses after tax</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10,804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42,029</w:t>
            </w:r>
          </w:p>
        </w:tc>
        <w:tc>
          <w:tcPr>
            <w:tcW w:w="40" w:type="dxa"/>
            <w:vAlign w:val="bottom"/>
            <w:tcBorders>
              <w:bottom w:val="single" w:sz="8" w:color="CCEEFF"/>
            </w:tcBorders>
          </w:tcPr>
          <w:p>
            <w:pPr>
              <w:spacing w:after="0"/>
              <w:rPr>
                <w:sz w:val="18"/>
                <w:szCs w:val="18"/>
                <w:color w:val="auto"/>
              </w:rPr>
            </w:pPr>
          </w:p>
        </w:tc>
      </w:tr>
      <w:tr>
        <w:trPr>
          <w:trHeight w:val="236"/>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Restructuring, integration and other expenses per share on a diluted basis</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40" w:type="dxa"/>
            <w:vAlign w:val="bottom"/>
            <w:tcBorders>
              <w:bottom w:val="single" w:sz="8" w:color="CCEEFF"/>
            </w:tcBorders>
            <w:shd w:val="clear" w:color="auto" w:fill="CCEEFF"/>
          </w:tcPr>
          <w:p>
            <w:pPr>
              <w:spacing w:after="0"/>
              <w:rPr>
                <w:sz w:val="20"/>
                <w:szCs w:val="20"/>
                <w:color w:val="auto"/>
              </w:rPr>
            </w:pPr>
          </w:p>
        </w:tc>
      </w:tr>
      <w:tr>
        <w:trPr>
          <w:trHeight w:val="851"/>
        </w:trPr>
        <w:tc>
          <w:tcPr>
            <w:tcW w:w="5700" w:type="dxa"/>
            <w:vAlign w:val="bottom"/>
          </w:tcPr>
          <w:p>
            <w:pPr>
              <w:ind w:left="444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57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activity related to the restructuring liabilities established and other associated expenses incurred during fiscal 2016 is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Facility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Asset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1"/>
        </w:trPr>
        <w:tc>
          <w:tcPr>
            <w:tcW w:w="3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Severance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Exit Costs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Impairments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r>
      <w:tr>
        <w:trPr>
          <w:trHeight w:val="216"/>
        </w:trPr>
        <w:tc>
          <w:tcPr>
            <w:tcW w:w="3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4"/>
              </w:rPr>
              <w:t>(Thousands)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Fiscal 2016 restructuring expenses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39,350</w:t>
            </w: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(23,735)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(267)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(26,060)</w:t>
            </w: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amounts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23"/>
        </w:trPr>
        <w:tc>
          <w:tcPr>
            <w:tcW w:w="3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2, 2016</w:t>
            </w: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w:t>
            </w:r>
          </w:p>
        </w:tc>
      </w:tr>
    </w:tbl>
    <w:p>
      <w:pPr>
        <w:spacing w:after="0" w:line="20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Severance expense recorded in the first nine months of fiscal 2016 related to the reduction of approximately 560 employees, primarily in operations, sales and business support functions, in connection with cost reduction actions taken in both operating groups including the impact of a voluntary retirement program in the United States. Facility exit costs primarily consist of liabilities for remaining lease obligations for exited facilities. Asset impairments relate to the impairment of property, plant and equipment as a result of the underlying restructuring actions taken in fiscal 2016. Other restructuring costs related primarily to other miscellaneous restructuring and exit costs. Of the $39.4 million in restructuring expenses recorded during the first nine months of fiscal 2016, $22.0 million related to EM and $17.4 million related to TS. The Company expects the majority of the remaining severance and facility exit costs to be paid by the end of fiscal 2016.</w:t>
      </w:r>
    </w:p>
    <w:p>
      <w:pPr>
        <w:spacing w:after="0" w:line="16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Integration costs are primarily related to the integration of acquired businesses, the integration of certain regional and global businesses, the integration of significant information technology systems and incremental costs incurred as part of the consolidation, relocation and closure of warehouse and office facilities. Integration costs include certain consulting costs for significant new information technology systems and business operation integration assistance, facility moving costs, legal fees, travel, meeting, training, marketing and communication costs that are specifically and incrementally incurred as a result of such integration activities. Also included in integration costs are incremental salary costs specific to integration, consolidation and closure activities. Other costs consists primarily of professional fees incurred for acquisitions, costs incurred for businesses divested or closed in current or prior periods, any ongoing facilities operating costs associated with the consolidation, relocation and closure of facilities once such facilities have been vacated or substantially vacated, and other miscellaneous costs that relate to restructuring, integration and other expenses. Included in other costs during the first nine months of fiscal 2016 was $4.3 million of expense associated with Avnet’s estimated environmental remediation obligations related to certain legacy manufacturing operations that were divested several decades ago and $5.2 million of legal expenses related to lawsuits associated with operations of an acquired business prior to Avnet’s acquisition. The remaining integration and other costs in the first nine months of fiscal 2016 were comprised of many different costs, none of which were individually material.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2015</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2015, the Company incurred restructuring expenses related to various restructuring actions intended to achieve planned synergies from acquired businesses and to reduce future operating expenses. The following table presents the activity during the first nine months of fiscal 2016 related to the remaining restructuring liabilities established during fiscal 2015: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Facility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4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w w:val="84"/>
              </w:rPr>
              <w:t>Severance</w:t>
            </w:r>
          </w:p>
        </w:tc>
        <w:tc>
          <w:tcPr>
            <w:tcW w:w="20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9"/>
              </w:rPr>
              <w:t>Exit Costs</w:t>
            </w:r>
          </w:p>
        </w:tc>
        <w:tc>
          <w:tcPr>
            <w:tcW w:w="10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0"/>
              </w:rPr>
              <w:t>(Thousands)</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2015</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14,466</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(10,484)</w:t>
            </w: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40" w:type="dxa"/>
            <w:vAlign w:val="bottom"/>
            <w:shd w:val="clear" w:color="auto" w:fill="CCEEFF"/>
          </w:tcPr>
          <w:p>
            <w:pPr>
              <w:spacing w:after="0"/>
              <w:rPr>
                <w:sz w:val="20"/>
                <w:szCs w:val="20"/>
                <w:color w:val="auto"/>
              </w:rPr>
            </w:pPr>
          </w:p>
        </w:tc>
      </w:tr>
      <w:tr>
        <w:trPr>
          <w:trHeight w:val="210"/>
        </w:trPr>
        <w:tc>
          <w:tcPr>
            <w:tcW w:w="4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April 2, 2016</w:t>
            </w: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2,779</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1,935</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4,714</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As of April 2, 2016, the Company expects the majority of the remaining severance and facility exit cost liabilities to be paid by the end of fiscal 2016.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2014 and prior</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June 27, 2015, there were $11.8 million of restructuring liabilities remaining related to restructuring actions taken in fiscal years 2014 and prior, the majority of which relates to facility exit costs. The remaining balance for such historical restructuring actions as of April 2, 2016, was $4.8 million, which is expected to be paid by the end of fiscal 2016.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April 2, 2016, this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Financial Condition and Results of Operations </w:t>
      </w:r>
      <w:r>
        <w:rPr>
          <w:rFonts w:ascii="Arial" w:cs="Arial" w:eastAsia="Arial" w:hAnsi="Arial"/>
          <w:sz w:val="18"/>
          <w:szCs w:val="18"/>
          <w:color w:val="auto"/>
        </w:rPr>
        <w:t>(“MD&amp;A”) should be read in conjunction with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including the related notes, appearing in Item 1 of this Report, as well as the Company’s Annual Report on Form 10-K for the fiscal year ended June 27, 2015. The Company operates on a “52/53 week” fiscal year, and as a result, the first nine months of fiscal 2016 contained 40 weeks and the first nine months of fiscal 2015 contained 39 weeks. This extra week, which occurred in the first quarter of fiscal 2016, impacts the year-over-year analysis for the first nine months of fiscal 2016 in this MD&amp;A.</w:t>
      </w:r>
    </w:p>
    <w:p>
      <w:pPr>
        <w:spacing w:after="0" w:line="19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“excluding the translation impact of changes in foreign currency exchange rates” or “constant currency.”</w:t>
      </w:r>
    </w:p>
    <w:p>
      <w:pPr>
        <w:spacing w:after="0" w:line="17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500" w:hanging="79"/>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income or expense items excluding the translation impact of changes in foreign currency exchange rates by adjusting the exchange rates used in current periods to be consistent with the exchange rates in effect during prior comparable year-over-year periods, as discussed above.</w:t>
      </w:r>
    </w:p>
    <w:p>
      <w:pPr>
        <w:spacing w:after="0" w:line="181" w:lineRule="exact"/>
        <w:rPr>
          <w:rFonts w:ascii="Arial" w:cs="Arial" w:eastAsia="Arial" w:hAnsi="Arial"/>
          <w:sz w:val="18"/>
          <w:szCs w:val="18"/>
          <w:color w:val="auto"/>
        </w:rPr>
      </w:pPr>
    </w:p>
    <w:p>
      <w:pPr>
        <w:jc w:val="both"/>
        <w:ind w:left="500" w:hanging="79"/>
        <w:spacing w:after="0" w:line="273"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Sales adjusted for certain items that impact the year-over-year analysis, which includes the impact of more than insignificant acquisitions or divestitures by adjusting Avnet’s prior periods to include the sales of acquired businesses or exclude the sales of divested businesses as if the acquisitions or divestitures had occurred at the beginning of the earliest period presented. In addition, fiscal 2016 sales are adjusted for the estimated impact of the extra week of sales in the first quarter of fiscal 2016 due to it being a 14-week quarter, as discussed above. Sales taking into account these adjustments are referred to as “organic sales.”</w:t>
      </w:r>
    </w:p>
    <w:p>
      <w:pPr>
        <w:spacing w:after="0" w:line="178" w:lineRule="exact"/>
        <w:rPr>
          <w:rFonts w:ascii="Arial" w:cs="Arial" w:eastAsia="Arial" w:hAnsi="Arial"/>
          <w:sz w:val="17"/>
          <w:szCs w:val="17"/>
          <w:color w:val="auto"/>
        </w:rPr>
      </w:pPr>
    </w:p>
    <w:p>
      <w:pPr>
        <w:jc w:val="both"/>
        <w:ind w:left="500" w:hanging="79"/>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this MD&amp;A) and (ii) amortization of acquired intangible assets and other. 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amounts is referred to as “adjusted operating income.”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8"/>
              </w:rPr>
              <w:t>Third Quarters Ended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6"/>
          </w:tcPr>
          <w:p>
            <w:pPr>
              <w:ind w:left="18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8"/>
              </w:rPr>
              <w:t>April 2,</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28,</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April 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28,</w:t>
            </w:r>
          </w:p>
        </w:tc>
        <w:tc>
          <w:tcPr>
            <w:tcW w:w="40" w:type="dxa"/>
            <w:vAlign w:val="bottom"/>
          </w:tcPr>
          <w:p>
            <w:pPr>
              <w:spacing w:after="0"/>
              <w:rPr>
                <w:sz w:val="17"/>
                <w:szCs w:val="17"/>
                <w:color w:val="auto"/>
              </w:rPr>
            </w:pPr>
          </w:p>
        </w:tc>
      </w:tr>
      <w:tr>
        <w:trPr>
          <w:trHeight w:val="241"/>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r>
      <w:tr>
        <w:trPr>
          <w:trHeight w:val="216"/>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ind w:left="58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614,695</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647,196</w:t>
            </w:r>
          </w:p>
        </w:tc>
        <w:tc>
          <w:tcPr>
            <w:tcW w:w="4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47,071</w:t>
            </w:r>
          </w:p>
        </w:tc>
        <w:tc>
          <w:tcPr>
            <w:tcW w:w="40" w:type="dxa"/>
            <w:vAlign w:val="bottom"/>
          </w:tcPr>
          <w:p>
            <w:pPr>
              <w:spacing w:after="0"/>
              <w:rPr>
                <w:sz w:val="18"/>
                <w:szCs w:val="18"/>
                <w:color w:val="auto"/>
              </w:rPr>
            </w:pPr>
          </w:p>
        </w:tc>
      </w:tr>
      <w:tr>
        <w:trPr>
          <w:trHeight w:val="236"/>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Amortization of acquired intangible assets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220" w:type="dxa"/>
            <w:vAlign w:val="bottom"/>
          </w:tcPr>
          <w:p>
            <w:pPr>
              <w:spacing w:after="0" w:line="203" w:lineRule="exact"/>
              <w:rPr>
                <w:sz w:val="20"/>
                <w:szCs w:val="20"/>
                <w:color w:val="auto"/>
              </w:rPr>
            </w:pPr>
            <w:r>
              <w:rPr>
                <w:rFonts w:ascii="Arial" w:cs="Arial" w:eastAsia="Arial" w:hAnsi="Arial"/>
                <w:sz w:val="18"/>
                <w:szCs w:val="18"/>
                <w:color w:val="auto"/>
              </w:rPr>
              <w:t>Adjusted operating income</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205,223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230,393</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700,892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728,714</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Management believes that providing this additional information is useful to financial statement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goals and, in many cases, for measuring performance for compensation purposes. However, any analysis of results on a non-GAAP basis should be used as a complement to, and in conjunction with, results presented in accordance with GAAP.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Avnet, Inc., incorporated in New York in 1955, together with its consolidated subsidiaries (the “Company” or “Avnet”), is a global value-added distributor of electronic components, enterprise computer and storage products and software, IT solutions and services and embedded subsystems. Avnet creates a vital link in the technology supply chain that connects the world’s leading electronic component and computer product manufacturers and software developers with a global customer base of original equipment manufacturers, electronic manufacturing services providers, original design manufacturers, systems integrators, independent software vendors and value-added resellers. Avnet distributes electronic components, computer products and software, as received from its suppliers or through a customized solution, and offers assembly and other value-added services. In addition, Avnet provides engineering design, materials management and logistics services, system integration and configuration and supply chain services customized to meet specific requirements of both customers and suppliers.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Avnet’s two operating groups, — EM and TS, have operations in each of the three major economic regions of the world: the Americas; EMEA; and Asia/Pacific, consisting of Asia, Australia and New Zealand (“Asia”). A summary of each operating group is provided in Note 12,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Sales for the third quarter of fiscal 2016 were $6.17 billion, as compared to the third quarter of fiscal 2015 sales of $6.74 billion. The decrease in year-over-year reported sales of $562.1 million was the result of a $178.0 million decrease at EM and a $384.1 million decrease at TS. Sales decreased 6.9% year over year in constant currency as the result of a 3.3% decrease at EM and a 12.9% decrease at TS.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Gross profit margin of 11.9% increased 44 basis points compared to the third quarter of fiscal 2015 as a result of gross profit margin improvements at both EM and 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Operating income margin was 2.9% in the third quarter of fiscal 2016 as compared with 3.0% in the third quarter of fiscal 2015. Adjusted operating income margin was 3.3% in the third quarter of fiscal 2016 as compared to 3.4% in the third quarter of fiscal 2015. EM operating income margin decreased 15 basis points year over year to 4.5% and TS operating income margin decreased 11 basis points year over year to 2.6%. These decreases were primarily due to decreases in sales, partially offset by increases in gross profit margin and decreases in operating expenses.</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third quarter of fiscal 2016, the Company generated $212.9 million of cash from operating activities compared to $60.1 million of cash from operating activities in the third quarter of fiscal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present the reconciliation of reported sales to organic sales for the third quarters and first nine months of fiscal 2016 and fiscal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7"/>
              </w:rPr>
              <w:t>Third Quarter 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left="79"/>
              <w:spacing w:after="0"/>
              <w:rPr>
                <w:sz w:val="20"/>
                <w:szCs w:val="20"/>
                <w:color w:val="auto"/>
              </w:rPr>
            </w:pPr>
            <w:r>
              <w:rPr>
                <w:rFonts w:ascii="Arial" w:cs="Arial" w:eastAsia="Arial" w:hAnsi="Arial"/>
                <w:sz w:val="16"/>
                <w:szCs w:val="16"/>
                <w:b w:val="1"/>
                <w:bCs w:val="1"/>
                <w:color w:val="auto"/>
                <w:w w:val="89"/>
              </w:rPr>
              <w:t>Acquisitions/</w:t>
            </w: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0"/>
              </w:rPr>
              <w:t>As Reported and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As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89"/>
              </w:rPr>
              <w:t xml:space="preserve">Divestitures </w:t>
            </w:r>
            <w:r>
              <w:rPr>
                <w:rFonts w:ascii="Arial" w:cs="Arial" w:eastAsia="Arial" w:hAnsi="Arial"/>
                <w:sz w:val="17"/>
                <w:szCs w:val="17"/>
                <w:b w:val="1"/>
                <w:bCs w:val="1"/>
                <w:color w:val="auto"/>
                <w:w w:val="89"/>
                <w:vertAlign w:val="superscript"/>
              </w:rPr>
              <w:t>(1)</w:t>
            </w:r>
            <w:r>
              <w:rPr>
                <w:rFonts w:ascii="Arial" w:cs="Arial" w:eastAsia="Arial" w:hAnsi="Arial"/>
                <w:sz w:val="16"/>
                <w:szCs w:val="16"/>
                <w:b w:val="1"/>
                <w:bCs w:val="1"/>
                <w:color w:val="auto"/>
                <w:w w:val="89"/>
              </w:rPr>
              <w:t>/</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Organic Sales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Reported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1"/>
              </w:rPr>
              <w:t>Estimated</w:t>
            </w:r>
          </w:p>
        </w:tc>
        <w:tc>
          <w:tcPr>
            <w:tcW w:w="500" w:type="dxa"/>
            <w:vAlign w:val="bottom"/>
          </w:tcPr>
          <w:p>
            <w:pPr>
              <w:spacing w:after="0"/>
              <w:rPr>
                <w:sz w:val="17"/>
                <w:szCs w:val="17"/>
                <w:color w:val="auto"/>
              </w:rPr>
            </w:pPr>
          </w:p>
        </w:tc>
        <w:tc>
          <w:tcPr>
            <w:tcW w:w="1420" w:type="dxa"/>
            <w:vAlign w:val="bottom"/>
            <w:gridSpan w:val="4"/>
          </w:tcPr>
          <w:p>
            <w:pPr>
              <w:ind w:left="40"/>
              <w:spacing w:after="0"/>
              <w:rPr>
                <w:sz w:val="20"/>
                <w:szCs w:val="20"/>
                <w:color w:val="auto"/>
              </w:rPr>
            </w:pPr>
            <w:r>
              <w:rPr>
                <w:rFonts w:ascii="Arial" w:cs="Arial" w:eastAsia="Arial" w:hAnsi="Arial"/>
                <w:sz w:val="16"/>
                <w:szCs w:val="16"/>
                <w:b w:val="1"/>
                <w:bCs w:val="1"/>
                <w:color w:val="auto"/>
              </w:rPr>
              <w:t>Organic Sales -</w:t>
            </w:r>
          </w:p>
        </w:tc>
      </w:tr>
      <w:tr>
        <w:trPr>
          <w:trHeight w:val="223"/>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8"/>
              </w:rPr>
              <w:t>Fiscal 2016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Fiscal 2016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w w:val="91"/>
              </w:rPr>
              <w:t xml:space="preserve">Extra Week </w:t>
            </w:r>
            <w:r>
              <w:rPr>
                <w:rFonts w:ascii="Arial" w:cs="Arial" w:eastAsia="Arial" w:hAnsi="Arial"/>
                <w:sz w:val="17"/>
                <w:szCs w:val="17"/>
                <w:b w:val="1"/>
                <w:bCs w:val="1"/>
                <w:color w:val="auto"/>
                <w:w w:val="91"/>
                <w:vertAlign w:val="superscript"/>
              </w:rPr>
              <w:t>(2)</w:t>
            </w:r>
          </w:p>
        </w:tc>
        <w:tc>
          <w:tcPr>
            <w:tcW w:w="500" w:type="dxa"/>
            <w:vAlign w:val="bottom"/>
          </w:tcPr>
          <w:p>
            <w:pPr>
              <w:spacing w:after="0"/>
              <w:rPr>
                <w:sz w:val="19"/>
                <w:szCs w:val="19"/>
                <w:color w:val="auto"/>
              </w:rPr>
            </w:pPr>
          </w:p>
        </w:tc>
        <w:tc>
          <w:tcPr>
            <w:tcW w:w="1420" w:type="dxa"/>
            <w:vAlign w:val="bottom"/>
            <w:gridSpan w:val="4"/>
          </w:tcPr>
          <w:p>
            <w:pPr>
              <w:ind w:left="180"/>
              <w:spacing w:after="0"/>
              <w:rPr>
                <w:sz w:val="20"/>
                <w:szCs w:val="20"/>
                <w:color w:val="auto"/>
              </w:rPr>
            </w:pPr>
            <w:r>
              <w:rPr>
                <w:rFonts w:ascii="Arial" w:cs="Arial" w:eastAsia="Arial" w:hAnsi="Arial"/>
                <w:sz w:val="16"/>
                <w:szCs w:val="16"/>
                <w:b w:val="1"/>
                <w:bCs w:val="1"/>
                <w:color w:val="auto"/>
              </w:rPr>
              <w:t>Fiscal 2016</w:t>
            </w:r>
          </w:p>
        </w:tc>
      </w:tr>
      <w:tr>
        <w:trPr>
          <w:trHeight w:val="203"/>
        </w:trPr>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(Dollars in thousands)</w:t>
            </w:r>
          </w:p>
        </w:tc>
        <w:tc>
          <w:tcPr>
            <w:tcW w:w="8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Avnet, Inc.</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6,174,716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19,992,467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(464,098)</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19,528,369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1000" w:type="dxa"/>
            <w:vAlign w:val="bottom"/>
          </w:tcPr>
          <w:p>
            <w:pPr>
              <w:ind w:left="120"/>
              <w:spacing w:after="0"/>
              <w:rPr>
                <w:sz w:val="20"/>
                <w:szCs w:val="20"/>
                <w:color w:val="auto"/>
              </w:rPr>
            </w:pPr>
            <w:r>
              <w:rPr>
                <w:rFonts w:ascii="Arial" w:cs="Arial" w:eastAsia="Arial" w:hAnsi="Arial"/>
                <w:sz w:val="16"/>
                <w:szCs w:val="16"/>
                <w:color w:val="auto"/>
              </w:rPr>
              <w:t>EM</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4,041,527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12,627,543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(300,000)</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12,327,543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2,133,189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7,364,924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(164,098)</w:t>
            </w: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7,200,826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3"/>
        </w:trPr>
        <w:tc>
          <w:tcPr>
            <w:tcW w:w="1000" w:type="dxa"/>
            <w:vAlign w:val="bottom"/>
          </w:tcPr>
          <w:p>
            <w:pPr>
              <w:spacing w:after="0"/>
              <w:rPr>
                <w:sz w:val="20"/>
                <w:szCs w:val="20"/>
                <w:color w:val="auto"/>
              </w:rPr>
            </w:pPr>
            <w:r>
              <w:rPr>
                <w:rFonts w:ascii="Arial" w:cs="Arial" w:eastAsia="Arial" w:hAnsi="Arial"/>
                <w:sz w:val="16"/>
                <w:szCs w:val="16"/>
                <w:b w:val="1"/>
                <w:bCs w:val="1"/>
                <w:color w:val="auto"/>
              </w:rPr>
              <w:t>EM</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1,192,695</w:t>
            </w:r>
          </w:p>
        </w:tc>
        <w:tc>
          <w:tcPr>
            <w:tcW w:w="2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3,583,065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3,501,065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3"/>
        </w:trPr>
        <w:tc>
          <w:tcPr>
            <w:tcW w:w="1000" w:type="dxa"/>
            <w:vAlign w:val="bottom"/>
          </w:tcPr>
          <w:p>
            <w:pPr>
              <w:ind w:left="12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1,330,751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3,798,262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(92,000)</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3,706,262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1,518,081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5,246,216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(126,000)</w:t>
            </w: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5,120,216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3"/>
        </w:trPr>
        <w:tc>
          <w:tcPr>
            <w:tcW w:w="1000" w:type="dxa"/>
            <w:vAlign w:val="bottom"/>
          </w:tcPr>
          <w:p>
            <w:pPr>
              <w:spacing w:after="0"/>
              <w:rPr>
                <w:sz w:val="20"/>
                <w:szCs w:val="20"/>
                <w:color w:val="auto"/>
              </w:rPr>
            </w:pPr>
            <w:r>
              <w:rPr>
                <w:rFonts w:ascii="Arial" w:cs="Arial" w:eastAsia="Arial" w:hAnsi="Arial"/>
                <w:sz w:val="16"/>
                <w:szCs w:val="16"/>
                <w:b w:val="1"/>
                <w:bCs w:val="1"/>
                <w:color w:val="auto"/>
              </w:rPr>
              <w:t>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1,241,209</w:t>
            </w:r>
          </w:p>
        </w:tc>
        <w:tc>
          <w:tcPr>
            <w:tcW w:w="2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4,375,343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(123,112)</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4,252,231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3"/>
        </w:trPr>
        <w:tc>
          <w:tcPr>
            <w:tcW w:w="1000" w:type="dxa"/>
            <w:vAlign w:val="bottom"/>
          </w:tcPr>
          <w:p>
            <w:pPr>
              <w:ind w:left="12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615,824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2,098,981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(17,986)</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2,080,995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276,156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890,600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453"/>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rPr>
              <w:t>Third Quarter Ended</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w w:val="92"/>
              </w:rPr>
              <w:t>Nine Months Ended</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As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As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6"/>
                <w:szCs w:val="16"/>
                <w:b w:val="1"/>
                <w:bCs w:val="1"/>
                <w:color w:val="auto"/>
              </w:rPr>
              <w:t>Reported -</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Acquisitions/</w:t>
            </w:r>
          </w:p>
        </w:tc>
        <w:tc>
          <w:tcPr>
            <w:tcW w:w="1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4"/>
              </w:rPr>
              <w:t>Organic Sales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Reported -</w:t>
            </w:r>
          </w:p>
        </w:tc>
        <w:tc>
          <w:tcPr>
            <w:tcW w:w="134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89"/>
              </w:rPr>
              <w:t>Acquisitions/</w:t>
            </w:r>
          </w:p>
        </w:tc>
        <w:tc>
          <w:tcPr>
            <w:tcW w:w="1420" w:type="dxa"/>
            <w:vAlign w:val="bottom"/>
            <w:gridSpan w:val="4"/>
          </w:tcPr>
          <w:p>
            <w:pPr>
              <w:ind w:left="280"/>
              <w:spacing w:after="0"/>
              <w:rPr>
                <w:sz w:val="20"/>
                <w:szCs w:val="20"/>
                <w:color w:val="auto"/>
              </w:rPr>
            </w:pPr>
            <w:r>
              <w:rPr>
                <w:rFonts w:ascii="Arial" w:cs="Arial" w:eastAsia="Arial" w:hAnsi="Arial"/>
                <w:sz w:val="16"/>
                <w:szCs w:val="16"/>
                <w:b w:val="1"/>
                <w:bCs w:val="1"/>
                <w:color w:val="auto"/>
                <w:w w:val="96"/>
              </w:rPr>
              <w:t>Organic Sales -</w:t>
            </w:r>
          </w:p>
        </w:tc>
      </w:tr>
      <w:tr>
        <w:trPr>
          <w:trHeight w:val="223"/>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2015</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7"/>
              </w:rPr>
              <w:t xml:space="preserve">Divestitures </w:t>
            </w:r>
            <w:r>
              <w:rPr>
                <w:rFonts w:ascii="Arial" w:cs="Arial" w:eastAsia="Arial" w:hAnsi="Arial"/>
                <w:sz w:val="17"/>
                <w:szCs w:val="17"/>
                <w:b w:val="1"/>
                <w:bCs w:val="1"/>
                <w:color w:val="auto"/>
                <w:w w:val="87"/>
                <w:vertAlign w:val="superscript"/>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3"/>
              </w:rPr>
              <w:t>Fiscal 2015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Fiscal 2015</w:t>
            </w:r>
          </w:p>
        </w:tc>
        <w:tc>
          <w:tcPr>
            <w:tcW w:w="134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89"/>
              </w:rPr>
              <w:t xml:space="preserve">Divestitures </w:t>
            </w:r>
            <w:r>
              <w:rPr>
                <w:rFonts w:ascii="Arial" w:cs="Arial" w:eastAsia="Arial" w:hAnsi="Arial"/>
                <w:sz w:val="17"/>
                <w:szCs w:val="17"/>
                <w:b w:val="1"/>
                <w:bCs w:val="1"/>
                <w:color w:val="auto"/>
                <w:w w:val="89"/>
                <w:vertAlign w:val="superscript"/>
              </w:rPr>
              <w:t>(1)</w:t>
            </w:r>
          </w:p>
        </w:tc>
        <w:tc>
          <w:tcPr>
            <w:tcW w:w="400" w:type="dxa"/>
            <w:vAlign w:val="bottom"/>
          </w:tcPr>
          <w:p>
            <w:pPr>
              <w:spacing w:after="0"/>
              <w:rPr>
                <w:sz w:val="19"/>
                <w:szCs w:val="19"/>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2015</w:t>
            </w:r>
          </w:p>
        </w:tc>
      </w:tr>
      <w:tr>
        <w:trPr>
          <w:trHeight w:val="203"/>
        </w:trPr>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(Dollars in thousands)</w:t>
            </w:r>
          </w:p>
        </w:tc>
        <w:tc>
          <w:tcPr>
            <w:tcW w:w="8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Avnet,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6,736,860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21,246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6,758,106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21,128,326</w:t>
            </w:r>
          </w:p>
        </w:tc>
        <w:tc>
          <w:tcPr>
            <w:tcW w:w="8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94,110</w:t>
            </w:r>
          </w:p>
        </w:tc>
        <w:tc>
          <w:tcPr>
            <w:tcW w:w="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21,222,436</w:t>
            </w:r>
          </w:p>
        </w:tc>
        <w:tc>
          <w:tcPr>
            <w:tcW w:w="80" w:type="dxa"/>
            <w:vAlign w:val="bottom"/>
            <w:shd w:val="clear" w:color="auto" w:fill="CCEEFF"/>
          </w:tcPr>
          <w:p>
            <w:pPr>
              <w:spacing w:after="0"/>
              <w:rPr>
                <w:sz w:val="18"/>
                <w:szCs w:val="18"/>
                <w:color w:val="auto"/>
              </w:rPr>
            </w:pPr>
          </w:p>
        </w:tc>
      </w:tr>
      <w:tr>
        <w:trPr>
          <w:trHeight w:val="213"/>
        </w:trPr>
        <w:tc>
          <w:tcPr>
            <w:tcW w:w="1000" w:type="dxa"/>
            <w:vAlign w:val="bottom"/>
          </w:tcPr>
          <w:p>
            <w:pPr>
              <w:ind w:left="120"/>
              <w:spacing w:after="0"/>
              <w:rPr>
                <w:sz w:val="20"/>
                <w:szCs w:val="20"/>
                <w:color w:val="auto"/>
              </w:rPr>
            </w:pPr>
            <w:r>
              <w:rPr>
                <w:rFonts w:ascii="Arial" w:cs="Arial" w:eastAsia="Arial" w:hAnsi="Arial"/>
                <w:sz w:val="16"/>
                <w:szCs w:val="16"/>
                <w:color w:val="auto"/>
              </w:rPr>
              <w:t>EM</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4,219,528</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4,219,528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13,028,812</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13,028,812</w:t>
            </w: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2,517,332</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21,246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2,538,578</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8,099,514</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94,110</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8,193,624</w:t>
            </w:r>
          </w:p>
        </w:tc>
        <w:tc>
          <w:tcPr>
            <w:tcW w:w="80" w:type="dxa"/>
            <w:vAlign w:val="bottom"/>
            <w:shd w:val="clear" w:color="auto" w:fill="CCEEFF"/>
          </w:tcPr>
          <w:p>
            <w:pPr>
              <w:spacing w:after="0"/>
              <w:rPr>
                <w:sz w:val="19"/>
                <w:szCs w:val="19"/>
                <w:color w:val="auto"/>
              </w:rPr>
            </w:pPr>
          </w:p>
        </w:tc>
      </w:tr>
      <w:tr>
        <w:trPr>
          <w:trHeight w:val="213"/>
        </w:trPr>
        <w:tc>
          <w:tcPr>
            <w:tcW w:w="1000" w:type="dxa"/>
            <w:vAlign w:val="bottom"/>
          </w:tcPr>
          <w:p>
            <w:pPr>
              <w:spacing w:after="0"/>
              <w:rPr>
                <w:sz w:val="20"/>
                <w:szCs w:val="20"/>
                <w:color w:val="auto"/>
              </w:rPr>
            </w:pPr>
            <w:r>
              <w:rPr>
                <w:rFonts w:ascii="Arial" w:cs="Arial" w:eastAsia="Arial" w:hAnsi="Arial"/>
                <w:sz w:val="16"/>
                <w:szCs w:val="16"/>
                <w:b w:val="1"/>
                <w:bCs w:val="1"/>
                <w:color w:val="auto"/>
              </w:rPr>
              <w:t>EM</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1,237,213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1,237,213</w:t>
            </w:r>
          </w:p>
        </w:tc>
        <w:tc>
          <w:tcPr>
            <w:tcW w:w="2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3,652,114</w:t>
            </w:r>
          </w:p>
        </w:tc>
        <w:tc>
          <w:tcPr>
            <w:tcW w:w="8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3,652,114</w:t>
            </w:r>
          </w:p>
        </w:tc>
        <w:tc>
          <w:tcPr>
            <w:tcW w:w="80" w:type="dxa"/>
            <w:vAlign w:val="bottom"/>
            <w:shd w:val="clear" w:color="auto" w:fill="CCEEFF"/>
          </w:tcPr>
          <w:p>
            <w:pPr>
              <w:spacing w:after="0"/>
              <w:rPr>
                <w:sz w:val="19"/>
                <w:szCs w:val="19"/>
                <w:color w:val="auto"/>
              </w:rPr>
            </w:pPr>
          </w:p>
        </w:tc>
      </w:tr>
      <w:tr>
        <w:trPr>
          <w:trHeight w:val="213"/>
        </w:trPr>
        <w:tc>
          <w:tcPr>
            <w:tcW w:w="1000" w:type="dxa"/>
            <w:vAlign w:val="bottom"/>
          </w:tcPr>
          <w:p>
            <w:pPr>
              <w:ind w:left="12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1,251,873</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1,251,873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3,759,678</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3,759,678</w:t>
            </w: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1,730,442</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1,730,442</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5,617,020</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5,617,020</w:t>
            </w:r>
          </w:p>
        </w:tc>
        <w:tc>
          <w:tcPr>
            <w:tcW w:w="80" w:type="dxa"/>
            <w:vAlign w:val="bottom"/>
            <w:shd w:val="clear" w:color="auto" w:fill="CCEEFF"/>
          </w:tcPr>
          <w:p>
            <w:pPr>
              <w:spacing w:after="0"/>
              <w:rPr>
                <w:sz w:val="19"/>
                <w:szCs w:val="19"/>
                <w:color w:val="auto"/>
              </w:rPr>
            </w:pPr>
          </w:p>
        </w:tc>
      </w:tr>
      <w:tr>
        <w:trPr>
          <w:trHeight w:val="213"/>
        </w:trPr>
        <w:tc>
          <w:tcPr>
            <w:tcW w:w="1000" w:type="dxa"/>
            <w:vAlign w:val="bottom"/>
          </w:tcPr>
          <w:p>
            <w:pPr>
              <w:spacing w:after="0"/>
              <w:rPr>
                <w:sz w:val="20"/>
                <w:szCs w:val="20"/>
                <w:color w:val="auto"/>
              </w:rPr>
            </w:pPr>
            <w:r>
              <w:rPr>
                <w:rFonts w:ascii="Arial" w:cs="Arial" w:eastAsia="Arial" w:hAnsi="Arial"/>
                <w:sz w:val="16"/>
                <w:szCs w:val="16"/>
                <w:b w:val="1"/>
                <w:bCs w:val="1"/>
                <w:color w:val="auto"/>
              </w:rPr>
              <w:t>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1,440,532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1,447,162</w:t>
            </w:r>
          </w:p>
        </w:tc>
        <w:tc>
          <w:tcPr>
            <w:tcW w:w="2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4,724,640</w:t>
            </w:r>
          </w:p>
        </w:tc>
        <w:tc>
          <w:tcPr>
            <w:tcW w:w="8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17,425</w:t>
            </w:r>
          </w:p>
        </w:tc>
        <w:tc>
          <w:tcPr>
            <w:tcW w:w="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4,742,065</w:t>
            </w:r>
          </w:p>
        </w:tc>
        <w:tc>
          <w:tcPr>
            <w:tcW w:w="80" w:type="dxa"/>
            <w:vAlign w:val="bottom"/>
            <w:shd w:val="clear" w:color="auto" w:fill="CCEEFF"/>
          </w:tcPr>
          <w:p>
            <w:pPr>
              <w:spacing w:after="0"/>
              <w:rPr>
                <w:sz w:val="19"/>
                <w:szCs w:val="19"/>
                <w:color w:val="auto"/>
              </w:rPr>
            </w:pPr>
          </w:p>
        </w:tc>
      </w:tr>
      <w:tr>
        <w:trPr>
          <w:trHeight w:val="213"/>
        </w:trPr>
        <w:tc>
          <w:tcPr>
            <w:tcW w:w="1000" w:type="dxa"/>
            <w:vAlign w:val="bottom"/>
          </w:tcPr>
          <w:p>
            <w:pPr>
              <w:ind w:left="12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717,196</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14,616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731,812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2,246,822</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76,685</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2,323,507</w:t>
            </w:r>
          </w:p>
        </w:tc>
        <w:tc>
          <w:tcPr>
            <w:tcW w:w="80" w:type="dxa"/>
            <w:vAlign w:val="bottom"/>
          </w:tcPr>
          <w:p>
            <w:pPr>
              <w:spacing w:after="0"/>
              <w:rPr>
                <w:sz w:val="18"/>
                <w:szCs w:val="18"/>
                <w:color w:val="auto"/>
              </w:rPr>
            </w:pPr>
          </w:p>
        </w:tc>
      </w:tr>
      <w:tr>
        <w:trPr>
          <w:trHeight w:val="219"/>
        </w:trPr>
        <w:tc>
          <w:tcPr>
            <w:tcW w:w="1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359,604</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359,604</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1,128,052</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1,128,052</w:t>
            </w:r>
          </w:p>
        </w:tc>
        <w:tc>
          <w:tcPr>
            <w:tcW w:w="8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ind w:left="480" w:hanging="477"/>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Includes the following second quarter of fiscal 2016 acquisitions:</w:t>
      </w:r>
    </w:p>
    <w:p>
      <w:pPr>
        <w:spacing w:after="0" w:line="23" w:lineRule="exact"/>
        <w:rPr>
          <w:rFonts w:ascii="Arial" w:cs="Arial" w:eastAsia="Arial" w:hAnsi="Arial"/>
          <w:sz w:val="18"/>
          <w:szCs w:val="18"/>
          <w:b w:val="1"/>
          <w:bCs w:val="1"/>
          <w:color w:val="auto"/>
        </w:rPr>
      </w:pPr>
    </w:p>
    <w:p>
      <w:pPr>
        <w:ind w:left="580" w:hanging="91"/>
        <w:spacing w:after="0"/>
        <w:tabs>
          <w:tab w:leader="none" w:pos="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Orchestra Service Gmbh acquired November 2015 in the TS EMEA Region</w:t>
      </w:r>
    </w:p>
    <w:p>
      <w:pPr>
        <w:spacing w:after="0" w:line="22" w:lineRule="exact"/>
        <w:rPr>
          <w:rFonts w:ascii="Arial" w:cs="Arial" w:eastAsia="Arial" w:hAnsi="Arial"/>
          <w:sz w:val="18"/>
          <w:szCs w:val="18"/>
          <w:color w:val="auto"/>
        </w:rPr>
      </w:pPr>
    </w:p>
    <w:p>
      <w:pPr>
        <w:ind w:left="580" w:hanging="91"/>
        <w:spacing w:after="0"/>
        <w:tabs>
          <w:tab w:leader="none" w:pos="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ExitCertified Corporation acquired January 2016 in the TS Americas Region</w:t>
      </w:r>
    </w:p>
    <w:p>
      <w:pPr>
        <w:spacing w:after="0" w:line="210" w:lineRule="exact"/>
        <w:rPr>
          <w:rFonts w:ascii="Arial" w:cs="Arial" w:eastAsia="Arial" w:hAnsi="Arial"/>
          <w:sz w:val="18"/>
          <w:szCs w:val="18"/>
          <w:color w:val="auto"/>
        </w:rPr>
      </w:pPr>
    </w:p>
    <w:p>
      <w:pPr>
        <w:ind w:left="360" w:hanging="357"/>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impact of the additional week of sales in the first quarter of fiscal 2016 is estimated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provides the year-over-year comparison of reported third quarter sales for Avnet and the EM and TS operating groups to organic sales to allow readers to better understand and assess the Company’s sales performance by operating group and region.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Sales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Organic</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Sales</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Sales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Sales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Year-Year %</w:t>
            </w:r>
          </w:p>
        </w:tc>
        <w:tc>
          <w:tcPr>
            <w:tcW w:w="260" w:type="dxa"/>
            <w:vAlign w:val="bottom"/>
          </w:tcPr>
          <w:p>
            <w:pPr>
              <w:spacing w:after="0"/>
              <w:rPr>
                <w:sz w:val="18"/>
                <w:szCs w:val="18"/>
                <w:color w:val="auto"/>
              </w:rPr>
            </w:pPr>
          </w:p>
        </w:tc>
        <w:tc>
          <w:tcPr>
            <w:tcW w:w="92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Organic</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Year-Year %</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As Reported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60" w:type="dxa"/>
            <w:vAlign w:val="bottom"/>
          </w:tcPr>
          <w:p>
            <w:pPr>
              <w:spacing w:after="0"/>
              <w:rPr>
                <w:sz w:val="18"/>
                <w:szCs w:val="18"/>
                <w:color w:val="auto"/>
              </w:rPr>
            </w:pPr>
          </w:p>
        </w:tc>
        <w:tc>
          <w:tcPr>
            <w:tcW w:w="920" w:type="dxa"/>
            <w:vAlign w:val="bottom"/>
          </w:tcPr>
          <w:p>
            <w:pPr>
              <w:jc w:val="center"/>
              <w:ind w:right="156"/>
              <w:spacing w:after="0"/>
              <w:rPr>
                <w:sz w:val="20"/>
                <w:szCs w:val="20"/>
                <w:color w:val="auto"/>
              </w:rPr>
            </w:pPr>
            <w:r>
              <w:rPr>
                <w:rFonts w:ascii="Arial" w:cs="Arial" w:eastAsia="Arial" w:hAnsi="Arial"/>
                <w:sz w:val="14"/>
                <w:szCs w:val="14"/>
                <w:b w:val="1"/>
                <w:bCs w:val="1"/>
                <w:color w:val="auto"/>
                <w:w w:val="87"/>
              </w:rPr>
              <w:t>Sales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1"/>
              </w:rPr>
              <w:t>Sales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Change in</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Q3-Fiscal</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Year-Year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260" w:type="dxa"/>
            <w:vAlign w:val="bottom"/>
          </w:tcPr>
          <w:p>
            <w:pPr>
              <w:spacing w:after="0"/>
              <w:rPr>
                <w:sz w:val="18"/>
                <w:szCs w:val="18"/>
                <w:color w:val="auto"/>
              </w:rPr>
            </w:pPr>
          </w:p>
        </w:tc>
        <w:tc>
          <w:tcPr>
            <w:tcW w:w="92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Q3-Fiscal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Year-Year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Constant</w:t>
            </w:r>
          </w:p>
        </w:tc>
      </w:tr>
      <w:tr>
        <w:trPr>
          <w:trHeight w:val="195"/>
        </w:trPr>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6"/>
                <w:szCs w:val="16"/>
                <w:color w:val="auto"/>
              </w:rPr>
            </w:pPr>
          </w:p>
        </w:tc>
        <w:tc>
          <w:tcPr>
            <w:tcW w:w="92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2016</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Currency</w:t>
            </w:r>
          </w:p>
        </w:tc>
      </w:tr>
      <w:tr>
        <w:trPr>
          <w:trHeight w:val="203"/>
        </w:trPr>
        <w:tc>
          <w:tcPr>
            <w:tcW w:w="1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6,174,716</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(8.3)%</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6,174,716</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w w:val="99"/>
              </w:rPr>
              <w:t>4,041,527</w:t>
            </w:r>
          </w:p>
        </w:tc>
        <w:tc>
          <w:tcPr>
            <w:tcW w:w="1060" w:type="dxa"/>
            <w:vAlign w:val="bottom"/>
          </w:tcPr>
          <w:p>
            <w:pPr>
              <w:jc w:val="right"/>
              <w:ind w:right="196"/>
              <w:spacing w:after="0"/>
              <w:rPr>
                <w:sz w:val="20"/>
                <w:szCs w:val="20"/>
                <w:color w:val="auto"/>
              </w:rPr>
            </w:pPr>
            <w:r>
              <w:rPr>
                <w:rFonts w:ascii="Arial" w:cs="Arial" w:eastAsia="Arial" w:hAnsi="Arial"/>
                <w:sz w:val="18"/>
                <w:szCs w:val="18"/>
                <w:color w:val="auto"/>
              </w:rPr>
              <w:t>(4.2)</w:t>
            </w:r>
          </w:p>
        </w:tc>
        <w:tc>
          <w:tcPr>
            <w:tcW w:w="1040" w:type="dxa"/>
            <w:vAlign w:val="bottom"/>
          </w:tcPr>
          <w:p>
            <w:pPr>
              <w:jc w:val="right"/>
              <w:ind w:right="218"/>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w w:val="92"/>
              </w:rPr>
              <w:t>4,041,527</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(4.2)</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2,133,189</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(15.3)</w:t>
            </w:r>
          </w:p>
        </w:tc>
        <w:tc>
          <w:tcPr>
            <w:tcW w:w="10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2,133,189</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(16.0)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EM</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1,192,695</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(3.6)%</w:t>
            </w:r>
          </w:p>
        </w:tc>
        <w:tc>
          <w:tcPr>
            <w:tcW w:w="10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1,192,695</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EMEA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w w:val="99"/>
              </w:rPr>
              <w:t>1,330,751</w:t>
            </w:r>
          </w:p>
        </w:tc>
        <w:tc>
          <w:tcPr>
            <w:tcW w:w="1060" w:type="dxa"/>
            <w:vAlign w:val="bottom"/>
          </w:tcPr>
          <w:p>
            <w:pPr>
              <w:jc w:val="right"/>
              <w:ind w:right="256"/>
              <w:spacing w:after="0"/>
              <w:rPr>
                <w:sz w:val="20"/>
                <w:szCs w:val="20"/>
                <w:color w:val="auto"/>
              </w:rPr>
            </w:pPr>
            <w:r>
              <w:rPr>
                <w:rFonts w:ascii="Arial" w:cs="Arial" w:eastAsia="Arial" w:hAnsi="Arial"/>
                <w:sz w:val="18"/>
                <w:szCs w:val="18"/>
                <w:color w:val="auto"/>
              </w:rPr>
              <w:t>6.3</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9.4 %</w:t>
            </w:r>
          </w:p>
        </w:tc>
        <w:tc>
          <w:tcPr>
            <w:tcW w:w="26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w w:val="92"/>
              </w:rPr>
              <w:t>1,330,751</w:t>
            </w:r>
          </w:p>
        </w:tc>
        <w:tc>
          <w:tcPr>
            <w:tcW w:w="980" w:type="dxa"/>
            <w:vAlign w:val="bottom"/>
          </w:tcPr>
          <w:p>
            <w:pPr>
              <w:jc w:val="right"/>
              <w:ind w:right="236"/>
              <w:spacing w:after="0"/>
              <w:rPr>
                <w:sz w:val="20"/>
                <w:szCs w:val="20"/>
                <w:color w:val="auto"/>
              </w:rPr>
            </w:pPr>
            <w:r>
              <w:rPr>
                <w:rFonts w:ascii="Arial" w:cs="Arial" w:eastAsia="Arial" w:hAnsi="Arial"/>
                <w:sz w:val="18"/>
                <w:szCs w:val="18"/>
                <w:color w:val="auto"/>
              </w:rPr>
              <w:t>6.3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9.4 %</w:t>
            </w: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1,518,081</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(12.3)</w:t>
            </w:r>
          </w:p>
        </w:tc>
        <w:tc>
          <w:tcPr>
            <w:tcW w:w="10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1,518,081</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1,241,209</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(13.8)%</w:t>
            </w:r>
          </w:p>
        </w:tc>
        <w:tc>
          <w:tcPr>
            <w:tcW w:w="10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2"/>
              </w:rPr>
              <w:t>1,241,209</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EMEA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615,824</w:t>
            </w:r>
          </w:p>
        </w:tc>
        <w:tc>
          <w:tcPr>
            <w:tcW w:w="1060" w:type="dxa"/>
            <w:vAlign w:val="bottom"/>
          </w:tcPr>
          <w:p>
            <w:pPr>
              <w:jc w:val="right"/>
              <w:ind w:right="196"/>
              <w:spacing w:after="0"/>
              <w:rPr>
                <w:sz w:val="20"/>
                <w:szCs w:val="20"/>
                <w:color w:val="auto"/>
              </w:rPr>
            </w:pPr>
            <w:r>
              <w:rPr>
                <w:rFonts w:ascii="Arial" w:cs="Arial" w:eastAsia="Arial" w:hAnsi="Arial"/>
                <w:sz w:val="18"/>
                <w:szCs w:val="18"/>
                <w:color w:val="auto"/>
              </w:rPr>
              <w:t>(14.1)</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615,824</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(15.9)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276,156</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(23.2)</w:t>
            </w:r>
          </w:p>
        </w:tc>
        <w:tc>
          <w:tcPr>
            <w:tcW w:w="10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276,156</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Avnet sales for the third quarter of fiscal 2016 were $6.17 billion, a decrease of 8.3%, or $562.1 million, from the third quarter of fiscal 2015 sales of $6.74 billion with both EM and TS contributing toward this decline. Avnet sales in constant currency decreased 6.9% and organic sales in constant currency decreased 7.2% year over year.</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EM sales of $4.04 billion in the third quarter of fiscal 2016 decreased 4.2% from the third quarter of fiscal 2015 sales of $4.22 billion and EM sales in constant currency decreased 3.3% year over year. On a regional basis, sales decreased 3.6% in the Americas region. Sales in constant currency increased 9.4% in EMEA primarily due to strong demand across the region. Sales decreased 12.3% in Asia primarily as a result of a lower level of high-volume supply chain engagements year over year.</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TS sales of $2.13 billion in the third quarter of fiscal 2016 decreased 15.3% from the third quarter of fiscal 2015 sales of $2.52 billion. TS sales in constant currency decreased 12.9% and organic sales in constant currency declined 13.6% year over year. Sales in the Americas region decreased 13.8% year over year. Sales in EMEA decreased 14.1% and organic sales in constant currency decreased 12.6%. Sales in Asia decreased 23.2% and 19.2% in constant currency. Each of these decreases in sales was primarily due to lower overall demand for certain legacy datacenter products and from the impact of changes in product mix. At a product level, declines in servers, storage and software were partially offset by increases in networking and services.</w:t>
      </w:r>
    </w:p>
    <w:p>
      <w:pPr>
        <w:spacing w:after="0" w:line="18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Avnet sales for the first nine months of fiscal 2016 were $19.99 billion, a decrease of 5.4% as compared to sales of $21.13 billion for the first nine months of fiscal 2015. EM sales of $12.63 billion for the first nine months of fiscal 2016 decreased 3.1% as compared to the first nine months of fiscal 2015 sales of $13.03 billion. TS sales of $7.36 billion for the first nine months of fiscal 2016 decreased 9.1% as compared to the first nine months of fiscal 2015 sales of $8.10 billion.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Avnet gross profit for the third quarter of fiscal 2016 was $736.8 million, a decrease of $37.5 million, or 4.8%, from the third quarter of fiscal 2015 gross profit of $774.4 million, due to declines in sales at both EM and TS. Avnet gross profit margin of 11.9% increased 44 basis points from the third quarter of fiscal 2015. EM gross profit margin increased from the third quarter of fiscal 2015 primarily due to a lower level of high-volume supply chain engagements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resulting in an increase in gross profit margin in the Asia region, partially offset by a decrease in the EMEA region. TS gross profit margin increased year over year primarily as a result of increases across all three regions primarily as a result of portfolio management and product mix difference between years.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gross profit and gross profit margins were $2.31 billion and 11.5%, respectively, for the first nine months of fiscal 2016 as compared with $2.41 billion and 11.4%, respectively for the first nine months of fiscal 2015. The decrease in gross profit was driven by lower sales at both EM and TS. Gross profit margin increased 15 basis points year over year as improvements at TS were offset by declines at 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Selling, general and administrative expenses (“SG&amp;A expenses”) were $539.0 million in the third quarter of fiscal 2016, a decrease of $16.1 million, or 2.9%, from the third quarter of fiscal 2015. The year-over-year decrease in SG&amp;A expenses was primarily due to reductions at both EM and TS as a result of changes in foreign currency exchange rates between years, and the impact of prior restructuring actions partially offset by an increase in SG&amp;A expenses for acquisitions and other costs, including employee merit compensation increases that took place in January 2016.</w:t>
      </w:r>
    </w:p>
    <w:p>
      <w:pPr>
        <w:spacing w:after="0" w:line="173"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Metrics that management monitors with respect to its operating expenses are SG&amp;A expenses as a percentage of sales and as a percentage of gross profit. In the third quarter of fiscal 2016, SG&amp;A expenses as a percentage of sales were 8.7% and as a percentage of gross profit were 73.2% as compared with 8.2% and 71.7%, respectively, in the third quarter of fiscal 2015. SG&amp;A expenses, excluding amortization of acquired intangibles, as a percentage of gross profit was 72.2% in the third quarter of fiscal 2016 as compared to 70.3% in the third quarter of fiscal 2015. SG&amp;A expense as a percentage of gross profit at EM increased 145 basis points year over year primarily due to lower sales, partially offset by lower SG&amp;A expenses. SG&amp;A expense as a percentage of gross profit at TS increased 327 basis points year over year, primarily as a result of lower sales, partially offset by lower SG&amp;A expenses.</w:t>
      </w:r>
    </w:p>
    <w:p>
      <w:pPr>
        <w:spacing w:after="0" w:line="17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SG&amp;A expenses for the first nine months of fiscal 2016 were $1.63 billion, or 8.1% of Avnet sales, as compared with $1.71 billion, or 8.1% of Avnet sales, in the first nine months of fiscal 2015. SG&amp;A expenses were 70.6% of gross profit in the first nine months of 2016 as compared with 71.2% in the first nine months of fiscal 2015. SG&amp;A expenses for the first nine months of fiscal 2016, excluding amortization of acquired intangibles, as a percentage of gross profit were 69.6% as compared with 69.7% for the first nine months of fiscal 2015. The decrease in SG&amp;A expenses was primarily due to reductions at both EM and TS as a result of changes in foreign currency exchange rates between years, and the impact of prior restructuring actions partially offset by an increase in SG&amp;A expenses for acquisitions and other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During the third quarter of fiscal 2016, the Company incurred restructuring expenses related to certain actions intended to reduce future operating expenses. These actions include activities related to the Avnet Advantage initiative, which is focused on creating long-term operational efficiencies. In addition, the Company incurred integration and other costs primarily associated with the integration of acquired businesses, the integration of certain global and regional businesses, the integration of significant information technology systems and other costs associated with the acquisition of and the closure or divestiture of certain businesses. As a result, the Company recorded restructuring, integration and other expenses of $16.2 million during the third quarter of fiscal 2016. The Company recorded $7.9 million of restructuring costs and expects to realize approximately $12.0 million in incremental annualized operating cost savings once such restructuring actions are completed. The incremental annualized cost savings are expected to benefit EM by approximately $5.0 million and TS by approximately $7.0 million. The Company also incurred integration costs of $4.3 million, other costs of $4.6 million and a net reversal of $0.6 million for changes in estimates for costs associated with prior year restructuring actions. The after tax impact of restructuring, integration, and other expenses was $10.8 million and $0.08 per share on a diluted basis for the third quarter of fiscal 2016.</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first nine months of fiscal 2016, the Company incurred restructuring, integration and other expenses of $63.3 million, including restructuring costs of $39.4 million, integration costs of $8.8 million, other costs of $16.7 million and a net reversal for changes in estimates for costs associated with previous restructuring actions of $1.6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million. The after tax impact of restructuring, integration and other expenses for the first nine months of fiscal 2016 was $42.0 million and $0.31 per share on a diluted basis. The Company expects to realize approximately $40.0 million in incremental annualized cost savings as a result of restructuring actions taken in the first nine months of fiscal 2016 once such restructuring actions are completed. The incremental annualized cost savings are expected to benefit EM by approximately $17.0 million and TS by approximately $23.0 million.</w:t>
      </w:r>
    </w:p>
    <w:p>
      <w:pPr>
        <w:spacing w:after="0" w:line="188"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Comparatively, in the third quarter of fiscal 2015, restructuring, integration and other expenses were $15.5 million. The after tax impact of restructuring, integration, and other expenses was $12.0 million and $0.09 per share on a diluted basis.</w:t>
      </w:r>
    </w:p>
    <w:p>
      <w:pPr>
        <w:spacing w:after="0" w:line="124"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 the first nine months of fiscal 2015, restructuring, integration and other expenses were $47.1 million. The after tax impact of restructuring, integration and other expenses for the first nine months of fiscal 2015 was $35.4 million and $0.25 per share on a diluted basis.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See Note 13, “Restructuring, integration and other expenses” to the Company's consolidated financial statements included in this Quarterly Report on Form 10-Q for additional information related to restructuring, integration and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During the third quarter of fiscal 2016, the Company generated operating income of $181.6 million, representing a 10.8% decrease compared to the third quarter of fiscal 2015 operating income of $203.7 million. Adjusted operating income was $205.2 million, or 3.3% of sales, in the third quarter of fiscal 2016 as compared with $230.4 million, or 3.4% of sales, in the third quarter of fiscal 2015. EM operating income of $183.3 million decreased $14.0 million, or 7.1% year over year and operating income margin decreased 15 basis points to 4.5% from 4.7%. TS operating income of $55.5 million decreased $12.6 million, or 18.5% year over year and operating income margin decreased 11 basis points to 2.6% from 2.7%. These decreases in operating income margin were primarily due to lower sales partially offset by increases in gross profit margin and lower operating expenses.</w:t>
      </w:r>
    </w:p>
    <w:p>
      <w:pPr>
        <w:spacing w:after="0" w:line="19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Operating income for the first nine months of fiscal 2016 was $614.7 million, or 3.1% of Avnet sales, as compared with $647.2 million, or 3.1% of Avnet sales for the first nine months of fiscal 2015. Adjusted operating income for the first nine months of fiscal 2016 was $700.9 million, or 3.5% of Avnet sales, as compared with $728.7 million, or 3.4% of Avnet sales for the first nine months of fiscal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Interest expense in the third quarter of fiscal 2016 was $23.3 million, a decrease of $0.6 million or 2.5%, as compared with interest expense of $23.9 million in the third quarter of fiscal 2015. Interest expense in the first nine months of fiscal 2016 was $69.3 million, a decrease of $2.6 million or 3.7%, as compared with interest expense of $71.9 million in the first nine months of fiscal 2015. The decrease in interest expense in the third quarter and first nine months of fiscal 2016 was primarily related to the repayment at maturity of the $250.0 million 6.00% Notes in September 2015 and a corresponding lower average borrowing rate, partially offset by an increase in average borrowings during the third quarter of 2016.</w:t>
      </w:r>
    </w:p>
    <w:p>
      <w:pPr>
        <w:spacing w:after="0" w:line="16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third quarter of fiscal 2016, the Company had $2.2 million of other income as compared with $8.9 million of other expense in the third quarter of fiscal 2015. During the first nine months of fiscal 2016, the Company had $10.1 million of other expenses as compared with $16.0 million of other expenses in the first nine months of fiscal 2015. The decrease in other expense in the third quarter and first nine months of fiscal 2016 is primarily attributable to the greater strengthening of the U.S. Dollar relative to foreign currencies in fiscal 2015 compared to fiscal 2016 and the corresponding higher costs incurred to purchase forward foreign currency exchange contracts in order to economically hedge such foreign currency exposures.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Company’s effective tax rate on its income before income taxes was 23.1% in the third quarter of fiscal 2016 as compared with 28.9% in the third quarter of fiscal 2015. During the third quarter of fiscal 2016, the Company’s effective tax rate was favorably impacted primarily by (i) the mix of income in lower tax jurisdictions and (ii) the release of reserves related to the expiration of statutes of limitation. During the third quarter of fiscal 2015, the Company’s effective tax rate was favorably impacted primarily by (i) the mix of income in lower tax jurisdictions partially offset by (ii) an increase due to the write-off of a deferred tax asset.</w:t>
      </w:r>
    </w:p>
    <w:p>
      <w:pPr>
        <w:spacing w:after="0" w:line="193"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For the first nine months of fiscal 2016 and 2015, the Company’s effective tax rate was 23.5% and 26.1%, respectively. The effective tax rate for the first nine months of fiscal 2016 was favorably impacted primarily by (i) the mix of income in lower tax jurisdictions, (ii) the release of valuation allowances against deferred tax assets that were determined to be realizable and (iii) the release of reserves related to audit settlements and the expiration of statutes of limitation. The effective tax rate for the first nine months of fiscal 2015 was favorably impacted by (i) the mix of income in lower tax rate jurisdictions and (ii) the release of reserves, primarily related to the formal deregistration of a foreign branch and the settlement of an audit in a foreign jurisdiction.</w:t>
      </w:r>
    </w:p>
    <w:p>
      <w:pPr>
        <w:spacing w:after="0" w:line="189"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7, “Income taxes” to the Company’s consolidated financial statements included in this Quarterly Report on Form 10-Q for additional information on the Company's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third quarter of fiscal 2016 was $123.5 million, or $0.94 per share on a diluted basis, as compared with $121.5 million, or $0.88 per share on a diluted basis, in the third quarter of fiscal 2015.</w:t>
      </w:r>
    </w:p>
    <w:p>
      <w:pPr>
        <w:spacing w:after="0" w:line="18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nine months of fiscal 2016 was $409.7 million, or $3.05 per share on a diluted basis, as compared with $413.2 million, or $2.97 per share on a diluted basis, in the first nine months of fiscal 2015.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During the first nine months of fiscal 2016, the Company generated $297.1 million of cash from its operating activities compared to a cash generation of $284.6 million in the first nine months of fiscal 2015. These operating cash flows are comprised of: (i) cash flow generated from net income, adjusted for the impact of non-cash and other items, which includes depreciation and amortization expenses, deferred income taxes, stock-based compensation expense and other non-cash items (including provisions for doubtful accounts and periodic pension costs) and (ii) cash flows used for, or generated from, working capital and other, excluding cash and cash equivalents. Cash used for working capital and other was $300.2 million during the first nine months of fiscal 2016, including an increase in inventories of $319.9 million, decreases in accounts payable of $74.5 million and accrued expenses and other of $87.6 million, partially offset by a decrease in accounts receivable of $181.7 million. Comparatively, cash used for working capital and other was $368.3 million during the first nine months of fiscal 2015, including increases in inventories of $90.0 million, accounts receivable of $186.0 million and a decrease in accrued expenses and other of $210.8 million, partially offset by an increase in accounts payable of $118.4 million.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first nine months of fiscal 2016, the Company received net proceeds of $542.0 million as a result of the issuance of $550.0 million of 4.625% Notes due April 2026 and $448.5 million from borrowings of bank and other debt. During the first nine months of fiscal 2016, the Company repaid upon maturity the $250 million of 6.00% Notes due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September 2015 and made net repayments of $400.0 million under the Company's accounts receivable securitization program. During the first nine months of fiscal 2016, the Company paid dividends on common stock of $66.9 million and repurchased $334.2 million of common stock.</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nine months of fiscal 2015, the Company received net proceeds of $110.0 million under the Company's accounts receivable securitization program and made net repayments of $96.4 million for bank and other debt. During the first nine months of fiscal 2015, the Company paid dividends on common stock of $65.6 million and repurchased $147.6 million of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nine months of fiscal 2016, the Company used $19.7 million of cash for acquisitions, net of cash acquired, and used $111.1 million for capital expenditures primarily related to information system development costs, computer hardware and software purchases and facilities costs. Additionally, the Company received proceeds of $8.4 million from other investing activities.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nine months of fiscal 2015, the Company used $133.4 million for capital expenditures and $8.8 million for other investing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June 27, 2015. With the exception of the Company’s debt transactions discussed herein, there are no material changes to this information outside of normal borrowings and repayments of long-term debt and operating lease payments. The Company does not currently have any material uncancellable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4, “Debt” to the Company’s consolidated financial statements included in this Quarterly Report on Form 10-Q for additional information on financing transactions including the Credit Facility, the Program and the outstanding Notes as of April 2, 2016. The Company was in compliance with all covenants under the Credit Facility and the Program as of April 2, 2016.</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has several lines of credit and other forms of bank debt in the U.S. and various foreign locations to fund the short-term working capital, foreign exchange, overdraft and letter of credit needs of its wholly owned subsidiaries primarily in EMEA and Asia. Avnet generally guarantees its subsidiaries’ obligations under such debt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$1,036.5 million as of April 2, 2016, of which $966.8 million was held outside the United States. As of June 27, 2015, the Company held cash and cash equivalents of $932.6 million, of which $855.8 million was held outside of the United States.</w:t>
      </w:r>
    </w:p>
    <w:p>
      <w:pPr>
        <w:spacing w:after="0" w:line="18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of the end of the third quarter of fiscal 2016, the Company had a combined total borrowing capacity of $2.15 billion under the Credit Facility and the Program. There were $422.2 million in borrowings outstanding and $4.9 million in letters of credit issued under the Credit Facility and $250.0 million in borrowings outstanding under the Program, resulting in approximately $1.47 billion of total availability as of April 2, 2016. Availability under the Program is subject to the Company having sufficient eligible trade accounts receivable to support desired borrowings. During the third quarter and first nine months of fiscal 2016, the Company had an average daily balance outstanding of approximately $446.8 million and $353.0 million, respectively, under the Credit Facility and approximately $751.2 million and $738.9 million, respectively, under the Program. During the third quarter and first nine months of fiscal 2015, the Company had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average daily balance outstanding of approximately $85.0 million and $50.0 million, respectively, under the Credit Facility and approximately $834.0 million and $793.0 million, respectively, under the Program. The Company expects to use cash on hand and available borrowing capacity in order to repay the $300.0 million of 6.63% Notes due September 2016. The Company expects to renew or replace the Program on similar terms, subject to market conditions, before its maturity in August 2016.</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periods of weakening demand in the electronic components and enterprise computer solutions industry, the Company typically generates cash from operating activities. Conversely, the Company is more likely to use operating cash flows for working capital requirements during periods of higher growth. During the third quarter of fiscal 2016, the Company generated $212.9 million from operating activities. The Company generated $596.5 million from operating activities over the trailing four fiscal quarters ended April 2, 2016.</w:t>
      </w:r>
    </w:p>
    <w:p>
      <w:pPr>
        <w:spacing w:after="0" w:line="18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United States. If these funds were needed for general corporate use in the United States, the Company would incur significant income taxes to repatriate cash held in foreign locations.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8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first nine months of fiscal 2016, the Company utilized $19.7 million of cash, net of cash acquired, for acquisitions. The Company has made, and expects to continue to make, strategic investments through acquisition activity to the extent the investments strengthen Avnet’s competitive position and meet management’s return on capital thresholds.</w:t>
      </w:r>
    </w:p>
    <w:p>
      <w:pPr>
        <w:spacing w:after="0" w:line="14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addition to continuing to make investments in acquisitions, as of April 2, 2016, the Company may repurchase up to an aggregate of $221.7 million of shares of the Company’s common stock through a $1.25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Since the beginning of the repurchase program through the end of the third quarter of fiscal 2016, the Company has repurchased 30.2 million shares of stock at an aggregate cost of $1.03 billion. Shares repurchased were retired. Additionally, the Company currently expects to pay quarterly cash dividends on shares of its common stock, subject to approval of the Board of Directors. During the third quarter of fiscal 2016, the Board of Directors approved a dividend of $0.17 per share, which resulted in $21.9 million of dividend payments during the quarter.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June 27, 2015, for further discussion of market risks associated with foreign currency exchange rates and interest rates. Avnet’s exposure to such risks has not changed materially since June 27, 2015,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debts to mitigate the exposure to fluctuation in market interest rates.</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transactions and capital structure. As of April 2, 2016, 75% of the Company’s debt bears interest at a fixed rate and 25% of the Company’s debt bears interest at variable rates. Therefore, a hypothetical 1.0% (100 basis points) increase in interest rates would result in a $1.4 million decrease in income before income taxes in the Company’s consolidated statement of operations for the third quarter of fiscal 2016.</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third quarter of fiscal 2016,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Subsequent to the third quarter of fiscal 2016, the Company implemented a new ERP system to support the EM Americas region. This implementation has resulted in changes to certain internal controls over financial reporting. The Company performed pre-implementation procedures and is in the process of performing post-implementation procedures to ensure the effectiveness of internal controls over financial reporting as a result of such implementation.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also party to various other lawsuits, claims, investigations and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liquidity or results of operations.</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27, 2015, could affect the Company’s future results of operations, and could cause those results or other outcomes to differ materially from those expressed or implied in the forward-looking statements: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 of global economic conditions, including the current global economic uncertainty;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·competitive pressures among distributors of electronic components and computer products;</w:t>
      </w:r>
    </w:p>
    <w:p>
      <w:pPr>
        <w:spacing w:after="0" w:line="225" w:lineRule="exact"/>
        <w:rPr>
          <w:sz w:val="20"/>
          <w:szCs w:val="20"/>
          <w:color w:val="auto"/>
        </w:rPr>
      </w:pPr>
    </w:p>
    <w:p>
      <w:pPr>
        <w:ind w:left="400" w:hanging="73"/>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industry down-cycle in semiconductors, IT hardware or software products;</w:t>
      </w:r>
    </w:p>
    <w:p>
      <w:pPr>
        <w:spacing w:after="0" w:line="225" w:lineRule="exact"/>
        <w:rPr>
          <w:rFonts w:ascii="Arial" w:cs="Arial" w:eastAsia="Arial" w:hAnsi="Arial"/>
          <w:sz w:val="18"/>
          <w:szCs w:val="18"/>
          <w:color w:val="auto"/>
        </w:rPr>
      </w:pPr>
    </w:p>
    <w:p>
      <w:pPr>
        <w:ind w:left="400" w:hanging="73"/>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sz w:val="20"/>
          <w:szCs w:val="20"/>
          <w:color w:val="auto"/>
        </w:rPr>
      </w:pPr>
    </w:p>
    <w:p>
      <w:pPr>
        <w:ind w:left="380" w:hanging="53"/>
        <w:spacing w:after="0" w:line="308" w:lineRule="auto"/>
        <w:rPr>
          <w:sz w:val="20"/>
          <w:szCs w:val="20"/>
          <w:color w:val="auto"/>
        </w:rPr>
      </w:pPr>
      <w:r>
        <w:rPr>
          <w:rFonts w:ascii="Arial" w:cs="Arial" w:eastAsia="Arial" w:hAnsi="Arial"/>
          <w:sz w:val="17"/>
          <w:szCs w:val="17"/>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risks relating to acquisitions and investments;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risks related to cyber attacks and the Company's information systems;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legislative or regulatory changes affecting Avnet’s businesses.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discussion of Avnet’s business and operations should be read together with the risk factors contained in Item 1A of its Annual Report on Form 10-K for the fiscal year ended June 27, 2015, which describe various risks and uncertainties to which the Company is or may become subject. These risks and uncertainties have the potential to affect Avnet’s business, financial condition, results of operations, cash flows, strategies or prospects in a material and adverse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manner. As of April 2, 2016, there have been no material changes to the risk factors set forth in the Company’s Annual Report on Form 10-K for the fiscal year ended June 27,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Board of Directors has approved the repurchase of up to $1.25 billion of the Company’s common stock under the Company’s share repurchase program. The following table includes the Company’s monthly purchases of the Company’s common stock during the third quarter of fiscal 2016, under the share repurchase program, which is part of a publicly announced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4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20" w:type="dxa"/>
            <w:vAlign w:val="bottom"/>
          </w:tcPr>
          <w:p>
            <w:pPr>
              <w:spacing w:after="0"/>
              <w:rPr>
                <w:sz w:val="18"/>
                <w:szCs w:val="18"/>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of Shares</w:t>
            </w:r>
          </w:p>
        </w:tc>
        <w:tc>
          <w:tcPr>
            <w:tcW w:w="900" w:type="dxa"/>
            <w:vAlign w:val="bottom"/>
            <w:gridSpan w:val="4"/>
          </w:tcPr>
          <w:p>
            <w:pPr>
              <w:ind w:left="40"/>
              <w:spacing w:after="0"/>
              <w:rPr>
                <w:sz w:val="20"/>
                <w:szCs w:val="20"/>
                <w:color w:val="auto"/>
              </w:rPr>
            </w:pPr>
            <w:r>
              <w:rPr>
                <w:rFonts w:ascii="Arial" w:cs="Arial" w:eastAsia="Arial" w:hAnsi="Arial"/>
                <w:sz w:val="18"/>
                <w:szCs w:val="18"/>
                <w:b w:val="1"/>
                <w:bCs w:val="1"/>
                <w:color w:val="auto"/>
              </w:rPr>
              <w:t>Paid per</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22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b w:val="1"/>
                <w:bCs w:val="1"/>
                <w:color w:val="auto"/>
                <w:w w:val="93"/>
              </w:rPr>
              <w:t>Purchased under the</w:t>
            </w:r>
          </w:p>
        </w:tc>
      </w:tr>
      <w:tr>
        <w:trPr>
          <w:trHeight w:val="241"/>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1,862,544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1,862,544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294,809,000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1,393,632</w:t>
            </w:r>
          </w:p>
        </w:tc>
        <w:tc>
          <w:tcPr>
            <w:tcW w:w="18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39.93</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1,393,632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239,168,000</w:t>
            </w:r>
          </w:p>
        </w:tc>
        <w:tc>
          <w:tcPr>
            <w:tcW w:w="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412,521</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221,699,000</w:t>
            </w:r>
          </w:p>
        </w:tc>
        <w:tc>
          <w:tcPr>
            <w:tcW w:w="80" w:type="dxa"/>
            <w:vAlign w:val="bottom"/>
            <w:shd w:val="clear" w:color="auto" w:fill="CCEEFF"/>
          </w:tcPr>
          <w:p>
            <w:pPr>
              <w:spacing w:after="0"/>
              <w:rPr>
                <w:sz w:val="18"/>
                <w:szCs w:val="18"/>
                <w:color w:val="auto"/>
              </w:rPr>
            </w:pPr>
          </w:p>
        </w:tc>
      </w:tr>
      <w:tr>
        <w:trPr>
          <w:trHeight w:val="918"/>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7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c>
          <w:tcPr>
            <w:tcW w:w="240" w:type="dxa"/>
            <w:vAlign w:val="bottom"/>
            <w:vMerge w:val="continue"/>
          </w:tcPr>
          <w:p>
            <w:pPr>
              <w:spacing w:after="0"/>
              <w:rPr>
                <w:sz w:val="16"/>
                <w:szCs w:val="16"/>
                <w:color w:val="auto"/>
              </w:rPr>
            </w:pPr>
          </w:p>
        </w:tc>
        <w:tc>
          <w:tcPr>
            <w:tcW w:w="7700" w:type="dxa"/>
            <w:vAlign w:val="bottom"/>
          </w:tcPr>
          <w:p>
            <w:pPr>
              <w:ind w:left="40"/>
              <w:spacing w:after="0" w:line="195" w:lineRule="exact"/>
              <w:rPr>
                <w:sz w:val="20"/>
                <w:szCs w:val="20"/>
                <w:color w:val="auto"/>
              </w:rPr>
            </w:pPr>
            <w:r>
              <w:rPr>
                <w:rFonts w:ascii="Arial" w:cs="Arial" w:eastAsia="Arial" w:hAnsi="Arial"/>
                <w:sz w:val="18"/>
                <w:szCs w:val="18"/>
                <w:color w:val="auto"/>
                <w:w w:val="94"/>
              </w:rPr>
              <w:t>Form of Officers’ Certificate setting forth the terms of the 4.625% Notes due 2026 (incorporated herein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by reference to the Company’s Current Report on Form 8-K dated March 22, 2016, Exhibit 4.1).</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7"/>
              </w:rPr>
              <w:t>Amendment No. 8 dated as of March 16, 2016, to the Second Amended and Restated Receivables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Purchase Agreement.</w:t>
            </w:r>
          </w:p>
        </w:tc>
        <w:tc>
          <w:tcPr>
            <w:tcW w:w="0" w:type="dxa"/>
            <w:vAlign w:val="bottom"/>
          </w:tcPr>
          <w:p>
            <w:pPr>
              <w:spacing w:after="0"/>
              <w:rPr>
                <w:sz w:val="1"/>
                <w:szCs w:val="1"/>
                <w:color w:val="auto"/>
              </w:rPr>
            </w:pPr>
          </w:p>
        </w:tc>
      </w:tr>
      <w:tr>
        <w:trPr>
          <w:trHeight w:val="45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770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63"/>
        <w:spacing w:after="0" w:line="25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MORIARTY</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20"/>
          <w:szCs w:val="20"/>
          <w:b w:val="1"/>
          <w:bCs w:val="1"/>
          <w:color w:val="auto"/>
        </w:rPr>
        <w:t>AMENDMENT NO. 8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SECOND AMENDED AND RESTATED RECEIVABLES PURCHASE AGREEMENT</w:t>
      </w:r>
    </w:p>
    <w:p>
      <w:pPr>
        <w:spacing w:after="0" w:line="20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This Amendment No. 8 to Second Amended and Restated Receivables Purchase Agreement</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(this “</w:t>
      </w:r>
      <w:r>
        <w:rPr>
          <w:rFonts w:ascii="Arial" w:cs="Arial" w:eastAsia="Arial" w:hAnsi="Arial"/>
          <w:sz w:val="19"/>
          <w:szCs w:val="19"/>
          <w:u w:val="single" w:color="auto"/>
          <w:color w:val="auto"/>
        </w:rPr>
        <w:t>Amendment</w:t>
      </w:r>
      <w:r>
        <w:rPr>
          <w:rFonts w:ascii="Arial" w:cs="Arial" w:eastAsia="Arial" w:hAnsi="Arial"/>
          <w:sz w:val="19"/>
          <w:szCs w:val="19"/>
          <w:color w:val="auto"/>
        </w:rPr>
        <w:t>”) is dated as of March 16, 2016, among Avnet Receivables Corporation, a Delaware</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corporation (“</w:t>
      </w:r>
      <w:r>
        <w:rPr>
          <w:rFonts w:ascii="Arial" w:cs="Arial" w:eastAsia="Arial" w:hAnsi="Arial"/>
          <w:sz w:val="19"/>
          <w:szCs w:val="19"/>
          <w:u w:val="single" w:color="auto"/>
          <w:color w:val="auto"/>
        </w:rPr>
        <w:t>Seller</w:t>
      </w:r>
      <w:r>
        <w:rPr>
          <w:rFonts w:ascii="Arial" w:cs="Arial" w:eastAsia="Arial" w:hAnsi="Arial"/>
          <w:sz w:val="19"/>
          <w:szCs w:val="19"/>
          <w:color w:val="auto"/>
        </w:rPr>
        <w:t>”), Avnet, Inc., a New York corporation (“</w:t>
      </w:r>
      <w:r>
        <w:rPr>
          <w:rFonts w:ascii="Arial" w:cs="Arial" w:eastAsia="Arial" w:hAnsi="Arial"/>
          <w:sz w:val="19"/>
          <w:szCs w:val="19"/>
          <w:u w:val="single" w:color="auto"/>
          <w:color w:val="auto"/>
        </w:rPr>
        <w:t>Avnet</w:t>
      </w:r>
      <w:r>
        <w:rPr>
          <w:rFonts w:ascii="Arial" w:cs="Arial" w:eastAsia="Arial" w:hAnsi="Arial"/>
          <w:sz w:val="19"/>
          <w:szCs w:val="19"/>
          <w:color w:val="auto"/>
        </w:rPr>
        <w:t>”), as initial Servicer (the Servicer</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together with Seller, the “</w:t>
      </w:r>
      <w:r>
        <w:rPr>
          <w:rFonts w:ascii="Arial" w:cs="Arial" w:eastAsia="Arial" w:hAnsi="Arial"/>
          <w:sz w:val="18"/>
          <w:szCs w:val="18"/>
          <w:u w:val="single" w:color="auto"/>
          <w:color w:val="auto"/>
        </w:rPr>
        <w:t>Seller Parties</w:t>
      </w:r>
      <w:r>
        <w:rPr>
          <w:rFonts w:ascii="Arial" w:cs="Arial" w:eastAsia="Arial" w:hAnsi="Arial"/>
          <w:sz w:val="18"/>
          <w:szCs w:val="18"/>
          <w:color w:val="auto"/>
        </w:rPr>
        <w:t>” and each a “</w:t>
      </w:r>
      <w:r>
        <w:rPr>
          <w:rFonts w:ascii="Arial" w:cs="Arial" w:eastAsia="Arial" w:hAnsi="Arial"/>
          <w:sz w:val="18"/>
          <w:szCs w:val="18"/>
          <w:u w:val="single" w:color="auto"/>
          <w:color w:val="auto"/>
        </w:rPr>
        <w:t>Seller Party</w:t>
      </w:r>
      <w:r>
        <w:rPr>
          <w:rFonts w:ascii="Arial" w:cs="Arial" w:eastAsia="Arial" w:hAnsi="Arial"/>
          <w:sz w:val="18"/>
          <w:szCs w:val="18"/>
          <w:color w:val="auto"/>
        </w:rPr>
        <w:t>”), each of the entities party hereto identified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as a “Financial Institution” (together with any of their respective successors and assigns hereunder, the</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Institutions</w:t>
      </w:r>
      <w:r>
        <w:rPr>
          <w:rFonts w:ascii="Arial" w:cs="Arial" w:eastAsia="Arial" w:hAnsi="Arial"/>
          <w:sz w:val="19"/>
          <w:szCs w:val="19"/>
          <w:color w:val="auto"/>
        </w:rPr>
        <w:t>”), each of the entities party hereto identified as a “Company” (together with any of</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their respective successors and assigns hereunder, the “</w:t>
      </w:r>
      <w:r>
        <w:rPr>
          <w:rFonts w:ascii="Arial" w:cs="Arial" w:eastAsia="Arial" w:hAnsi="Arial"/>
          <w:sz w:val="18"/>
          <w:szCs w:val="18"/>
          <w:u w:val="single" w:color="auto"/>
          <w:color w:val="auto"/>
        </w:rPr>
        <w:t>Companies</w:t>
      </w:r>
      <w:r>
        <w:rPr>
          <w:rFonts w:ascii="Arial" w:cs="Arial" w:eastAsia="Arial" w:hAnsi="Arial"/>
          <w:sz w:val="18"/>
          <w:szCs w:val="18"/>
          <w:color w:val="auto"/>
        </w:rPr>
        <w:t>”) and JPMorgan Chase Bank, N.A.</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(successor by merger to Bank One, NA (Main Office Chicago)), as agent for the Purchasers or any successor</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agent hereunder (together with its successors and assigns hereunder, the “</w:t>
      </w:r>
      <w:r>
        <w:rPr>
          <w:rFonts w:ascii="Arial" w:cs="Arial" w:eastAsia="Arial" w:hAnsi="Arial"/>
          <w:sz w:val="18"/>
          <w:szCs w:val="18"/>
          <w:u w:val="single" w:color="auto"/>
          <w:color w:val="auto"/>
        </w:rPr>
        <w:t>Agent</w:t>
      </w:r>
      <w:r>
        <w:rPr>
          <w:rFonts w:ascii="Arial" w:cs="Arial" w:eastAsia="Arial" w:hAnsi="Arial"/>
          <w:sz w:val="18"/>
          <w:szCs w:val="18"/>
          <w:color w:val="auto"/>
        </w:rPr>
        <w:t>”), amending the Second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Amended and Restated Receivables Purchase Agreement, dated as of August 26, 2010, as amended by</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Amendment No. 1 thereto, dated as of December 28, 2010, Amendment No. 2 thereto, dated as of August 25,</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2011, Amendment No. 3 thereto, dated as of March 7, 2012, Amendment No. 4 thereto, dated as of August</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23, 2012, Amendment No. 5 thereto, dated as of August 22, 2013, Amendment No. 6 thereto, dated as of</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August 21, 2014, and Amendment No. 7 thereto, dated as of May 22, 2015, each among the Seller Parties, the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Financial Institutions party thereto, the Companies party thereto, and the Agent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and as further amended, modified or supplemented from time to time, the “</w:t>
      </w:r>
      <w:r>
        <w:rPr>
          <w:rFonts w:ascii="Arial" w:cs="Arial" w:eastAsia="Arial" w:hAnsi="Arial"/>
          <w:sz w:val="20"/>
          <w:szCs w:val="20"/>
          <w:u w:val="single" w:color="auto"/>
          <w:color w:val="auto"/>
        </w:rPr>
        <w:t>Receivables Purchase</w:t>
      </w:r>
    </w:p>
    <w:p>
      <w:pPr>
        <w:ind w:left="160"/>
        <w:spacing w:after="0"/>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ind w:left="160" w:right="399" w:firstLine="1296"/>
        <w:spacing w:after="0" w:line="250" w:lineRule="auto"/>
        <w:rPr>
          <w:sz w:val="20"/>
          <w:szCs w:val="20"/>
          <w:color w:val="auto"/>
        </w:rPr>
      </w:pPr>
      <w:r>
        <w:rPr>
          <w:rFonts w:ascii="Arial" w:cs="Arial" w:eastAsia="Arial" w:hAnsi="Arial"/>
          <w:sz w:val="20"/>
          <w:szCs w:val="20"/>
          <w:color w:val="auto"/>
        </w:rPr>
        <w:t>The parties hereto are the current parties to the Original Agreement and they now desire to amend the Original Agreement, subject to the terms and conditions hereof, as more particularly described herein.</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ind w:left="160" w:right="259" w:firstLine="1296"/>
        <w:spacing w:after="0" w:line="250"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are hereby acknowledged, the parties hereto hereby agree as follows:</w:t>
      </w:r>
    </w:p>
    <w:p>
      <w:pPr>
        <w:spacing w:after="0" w:line="396" w:lineRule="exact"/>
        <w:rPr>
          <w:sz w:val="20"/>
          <w:szCs w:val="20"/>
          <w:color w:val="auto"/>
        </w:rPr>
      </w:pPr>
    </w:p>
    <w:p>
      <w:pPr>
        <w:jc w:val="both"/>
        <w:ind w:left="160" w:right="419" w:firstLine="648"/>
        <w:spacing w:after="0" w:line="253"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u w:val="single" w:color="auto"/>
          <w:color w:val="auto"/>
        </w:rPr>
        <w:t>Definitions Used Herein</w:t>
      </w:r>
      <w:r>
        <w:rPr>
          <w:rFonts w:ascii="Arial" w:cs="Arial" w:eastAsia="Arial" w:hAnsi="Arial"/>
          <w:sz w:val="20"/>
          <w:szCs w:val="20"/>
          <w:b w:val="1"/>
          <w:bCs w:val="1"/>
          <w:color w:val="auto"/>
        </w:rPr>
        <w:t xml:space="preserve">. </w:t>
      </w:r>
      <w:r>
        <w:rPr>
          <w:rFonts w:ascii="Arial" w:cs="Arial" w:eastAsia="Arial" w:hAnsi="Arial"/>
          <w:sz w:val="20"/>
          <w:szCs w:val="20"/>
          <w:color w:val="auto"/>
        </w:rPr>
        <w:t>Capitalized terms used herein and not otherwise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shall have the respective meanings set forth for such terms in, or incorporated by reference into, the Original Agreement.</w:t>
      </w:r>
    </w:p>
    <w:p>
      <w:pPr>
        <w:spacing w:after="0" w:line="394" w:lineRule="exact"/>
        <w:rPr>
          <w:sz w:val="20"/>
          <w:szCs w:val="20"/>
          <w:color w:val="auto"/>
        </w:rPr>
      </w:pPr>
    </w:p>
    <w:p>
      <w:pPr>
        <w:ind w:left="160" w:right="799" w:firstLine="648"/>
        <w:spacing w:after="0" w:line="267"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set forth herein, the Original</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hereby amended as follows:</w:t>
      </w:r>
    </w:p>
    <w:p>
      <w:pPr>
        <w:spacing w:after="0" w:line="386" w:lineRule="exact"/>
        <w:rPr>
          <w:sz w:val="20"/>
          <w:szCs w:val="20"/>
          <w:color w:val="auto"/>
        </w:rPr>
      </w:pPr>
    </w:p>
    <w:p>
      <w:pPr>
        <w:ind w:left="1940" w:hanging="493"/>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Section 7.1(p)</w:t>
      </w:r>
      <w:r>
        <w:rPr>
          <w:rFonts w:ascii="Arial" w:cs="Arial" w:eastAsia="Arial" w:hAnsi="Arial"/>
          <w:sz w:val="18"/>
          <w:szCs w:val="18"/>
          <w:color w:val="auto"/>
        </w:rPr>
        <w:t xml:space="preserve"> of the Original Agreement is hereby deleted in its entirety and replaced</w:t>
      </w:r>
    </w:p>
    <w:p>
      <w:pPr>
        <w:spacing w:after="0" w:line="38"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with the following:</w:t>
      </w:r>
    </w:p>
    <w:p>
      <w:pPr>
        <w:spacing w:after="0" w:line="200" w:lineRule="exact"/>
        <w:rPr>
          <w:sz w:val="20"/>
          <w:szCs w:val="20"/>
          <w:color w:val="auto"/>
        </w:rPr>
      </w:pPr>
    </w:p>
    <w:p>
      <w:pPr>
        <w:spacing w:after="0" w:line="216" w:lineRule="exact"/>
        <w:rPr>
          <w:sz w:val="20"/>
          <w:szCs w:val="20"/>
          <w:color w:val="auto"/>
        </w:rPr>
      </w:pPr>
    </w:p>
    <w:p>
      <w:pPr>
        <w:ind w:left="1440" w:right="199"/>
        <w:spacing w:after="0" w:line="274" w:lineRule="auto"/>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u w:val="single" w:color="auto"/>
          <w:color w:val="auto"/>
        </w:rPr>
        <w:t>General Ledger and Certain Receivables</w:t>
      </w:r>
      <w:r>
        <w:rPr>
          <w:rFonts w:ascii="Arial" w:cs="Arial" w:eastAsia="Arial" w:hAnsi="Arial"/>
          <w:sz w:val="18"/>
          <w:szCs w:val="18"/>
          <w:color w:val="auto"/>
        </w:rPr>
        <w:t>. Such Seller Party shall maintain its consolidated general accounting ledger such that all indebtedness and other obligations owed to Originator or in which Originator has a security interest or other interest arising in connection with the sale of merchandise or the rendering of services by Originator and sold to Seller are recorded as part of general ledger category “company code 0100,” “company code 1001” or “company code US10”; provided however, that from and after December 28, 2010 indebtedness or other obligations owed to Originator or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118110</wp:posOffset>
            </wp:positionV>
            <wp:extent cx="554863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34" w:name="page35"/>
    <w:bookmarkEnd w:id="34"/>
    <w:p>
      <w:pPr>
        <w:jc w:val="right"/>
        <w:ind w:right="139"/>
        <w:spacing w:after="0"/>
        <w:rPr>
          <w:sz w:val="20"/>
          <w:szCs w:val="20"/>
          <w:color w:val="auto"/>
        </w:rPr>
      </w:pPr>
      <w:r>
        <w:rPr>
          <w:rFonts w:ascii="Arial" w:cs="Arial" w:eastAsia="Arial" w:hAnsi="Arial"/>
          <w:sz w:val="18"/>
          <w:szCs w:val="18"/>
          <w:i w:val="1"/>
          <w:iCs w:val="1"/>
          <w:color w:val="auto"/>
        </w:rPr>
        <w:t>Amendment No. 8 to</w:t>
      </w:r>
    </w:p>
    <w:p>
      <w:pPr>
        <w:spacing w:after="0" w:line="23" w:lineRule="exact"/>
        <w:rPr>
          <w:sz w:val="20"/>
          <w:szCs w:val="20"/>
          <w:color w:val="auto"/>
        </w:rPr>
      </w:pPr>
    </w:p>
    <w:p>
      <w:pPr>
        <w:jc w:val="right"/>
        <w:ind w:right="139"/>
        <w:spacing w:after="0"/>
        <w:rPr>
          <w:sz w:val="20"/>
          <w:szCs w:val="20"/>
          <w:color w:val="auto"/>
        </w:rPr>
      </w:pPr>
      <w:r>
        <w:rPr>
          <w:rFonts w:ascii="Arial" w:cs="Arial" w:eastAsia="Arial" w:hAnsi="Arial"/>
          <w:sz w:val="18"/>
          <w:szCs w:val="18"/>
          <w:i w:val="1"/>
          <w:iCs w:val="1"/>
          <w:color w:val="auto"/>
        </w:rPr>
        <w:t>Avnet Receivables Purchase Agreement</w:t>
      </w:r>
    </w:p>
    <w:p>
      <w:pPr>
        <w:spacing w:after="0" w:line="208" w:lineRule="exact"/>
        <w:rPr>
          <w:sz w:val="20"/>
          <w:szCs w:val="20"/>
          <w:color w:val="auto"/>
        </w:rPr>
      </w:pPr>
    </w:p>
    <w:p>
      <w:pPr>
        <w:ind w:left="1440" w:right="219"/>
        <w:spacing w:after="0" w:line="276" w:lineRule="auto"/>
        <w:rPr>
          <w:sz w:val="20"/>
          <w:szCs w:val="20"/>
          <w:color w:val="auto"/>
        </w:rPr>
      </w:pPr>
      <w:r>
        <w:rPr>
          <w:rFonts w:ascii="Arial" w:cs="Arial" w:eastAsia="Arial" w:hAnsi="Arial"/>
          <w:sz w:val="18"/>
          <w:szCs w:val="18"/>
          <w:color w:val="auto"/>
        </w:rPr>
        <w:t>Originator has a security interest or other interest arising in connection with the sale of merchandise or the rendering of services by the business previously conducted by businesses acquired by Originator in an Excluded Acquisition shall not be recorded as part of general ledger category “company code 0100,” “company code 1001” or “company code US10” until such time, if any, as such indebtedness or other obligations are originated, serviced and collected in a manner substantially similar to the Receivables.”</w:t>
      </w:r>
    </w:p>
    <w:p>
      <w:pPr>
        <w:spacing w:after="0" w:line="382" w:lineRule="exact"/>
        <w:rPr>
          <w:sz w:val="20"/>
          <w:szCs w:val="20"/>
          <w:color w:val="auto"/>
        </w:rPr>
      </w:pPr>
    </w:p>
    <w:p>
      <w:pPr>
        <w:ind w:left="160" w:right="559" w:firstLine="1287"/>
        <w:spacing w:after="0" w:line="260" w:lineRule="auto"/>
        <w:tabs>
          <w:tab w:leader="none" w:pos="1953"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Excluded Receivable</w:t>
      </w:r>
      <w:r>
        <w:rPr>
          <w:rFonts w:ascii="Arial" w:cs="Arial" w:eastAsia="Arial" w:hAnsi="Arial"/>
          <w:sz w:val="20"/>
          <w:szCs w:val="20"/>
          <w:color w:val="auto"/>
        </w:rPr>
        <w:t>” in Exhibit I to the Original Agreement is hereby deleted in its entirety and replaced with the following:</w:t>
      </w:r>
    </w:p>
    <w:p>
      <w:pPr>
        <w:spacing w:after="0" w:line="177" w:lineRule="exact"/>
        <w:rPr>
          <w:sz w:val="20"/>
          <w:szCs w:val="20"/>
          <w:color w:val="auto"/>
        </w:rPr>
      </w:pPr>
    </w:p>
    <w:p>
      <w:pPr>
        <w:ind w:left="1440" w:right="239"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Receivable</w:t>
      </w:r>
      <w:r>
        <w:rPr>
          <w:rFonts w:ascii="Arial" w:cs="Arial" w:eastAsia="Arial" w:hAnsi="Arial"/>
          <w:sz w:val="18"/>
          <w:szCs w:val="18"/>
          <w:color w:val="auto"/>
        </w:rPr>
        <w:t>” means all indebtedness and other obligations owed to Originator or in which Originator has a security interest or other interest (including, without limitation, any indebtedness, obligation or interest constituting an account, chattel paper, instrument or general intangible) arising in connection with the sale of merchandise or the rendering of services by Originator and further includes, without limitation, the obligation to pay any Finance Charges with respect thereto, which, in any case:</w:t>
      </w:r>
    </w:p>
    <w:p>
      <w:pPr>
        <w:spacing w:after="0" w:line="165" w:lineRule="exact"/>
        <w:rPr>
          <w:sz w:val="20"/>
          <w:szCs w:val="20"/>
          <w:color w:val="auto"/>
        </w:rPr>
      </w:pPr>
    </w:p>
    <w:p>
      <w:pPr>
        <w:ind w:left="1440" w:right="939" w:firstLine="655"/>
        <w:spacing w:after="0" w:line="287" w:lineRule="auto"/>
        <w:tabs>
          <w:tab w:leader="none" w:pos="2324"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account debtor for which is Sirius Computer Solutions, Inc. and such indebtedness or other obligation was originated after May 22, 2015; or</w:t>
      </w:r>
    </w:p>
    <w:p>
      <w:pPr>
        <w:spacing w:after="0" w:line="152" w:lineRule="exact"/>
        <w:rPr>
          <w:rFonts w:ascii="Arial" w:cs="Arial" w:eastAsia="Arial" w:hAnsi="Arial"/>
          <w:sz w:val="19"/>
          <w:szCs w:val="19"/>
          <w:color w:val="auto"/>
        </w:rPr>
      </w:pPr>
    </w:p>
    <w:p>
      <w:pPr>
        <w:ind w:left="1440" w:right="159" w:firstLine="655"/>
        <w:spacing w:after="0" w:line="270" w:lineRule="auto"/>
        <w:tabs>
          <w:tab w:leader="none" w:pos="2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both (a) arises in connection with the sale of merchandise or the rendering of services by the business previously conducted by any businesses acquired by Originator in an Excluded Acquisition and (b) is not recorded or maintained in Avnet’s consolidated general ledger accounting records as part of general ledger category “company code</w:t>
      </w:r>
    </w:p>
    <w:p>
      <w:pPr>
        <w:spacing w:after="0" w:line="2" w:lineRule="exact"/>
        <w:rPr>
          <w:rFonts w:ascii="Arial" w:cs="Arial" w:eastAsia="Arial" w:hAnsi="Arial"/>
          <w:sz w:val="18"/>
          <w:szCs w:val="18"/>
          <w:color w:val="auto"/>
        </w:rPr>
      </w:pPr>
    </w:p>
    <w:p>
      <w:pPr>
        <w:ind w:left="1440" w:right="519"/>
        <w:spacing w:after="0" w:line="241" w:lineRule="auto"/>
        <w:rPr>
          <w:rFonts w:ascii="Arial" w:cs="Arial" w:eastAsia="Arial" w:hAnsi="Arial"/>
          <w:sz w:val="18"/>
          <w:szCs w:val="18"/>
          <w:color w:val="auto"/>
        </w:rPr>
      </w:pPr>
      <w:r>
        <w:rPr>
          <w:rFonts w:ascii="Arial" w:cs="Arial" w:eastAsia="Arial" w:hAnsi="Arial"/>
          <w:sz w:val="20"/>
          <w:szCs w:val="20"/>
          <w:color w:val="auto"/>
        </w:rPr>
        <w:t>0100,” “company code 1001” or “company code US10” (other than any Receivables previously coded under “company code 0100,” “company code 1001” or “company code US10” that have been coded under any other category without the Agent’s prior written consent).</w:t>
      </w:r>
    </w:p>
    <w:p>
      <w:pPr>
        <w:spacing w:after="0" w:line="195" w:lineRule="exact"/>
        <w:rPr>
          <w:sz w:val="20"/>
          <w:szCs w:val="20"/>
          <w:color w:val="auto"/>
        </w:rPr>
      </w:pPr>
    </w:p>
    <w:p>
      <w:pPr>
        <w:ind w:left="1440" w:right="179"/>
        <w:spacing w:after="0" w:line="257" w:lineRule="auto"/>
        <w:rPr>
          <w:sz w:val="20"/>
          <w:szCs w:val="20"/>
          <w:color w:val="auto"/>
        </w:rPr>
      </w:pPr>
      <w:r>
        <w:rPr>
          <w:rFonts w:ascii="Arial" w:cs="Arial" w:eastAsia="Arial" w:hAnsi="Arial"/>
          <w:sz w:val="19"/>
          <w:szCs w:val="19"/>
          <w:color w:val="auto"/>
        </w:rPr>
        <w:t>Indebtedness and other rights and obligations arising from any one transaction, including, without limitation, indebtedness and other rights and obligations represented by an individual invoice, shall constitute an Excluded Receivable separate from an Excluded Receivable consisting of the indebtedness and other rights and obligations arising from any other transaction; provided, that any indebtedness, rights or obligations referred to in the immediately preceding sentence shall be an Excluded Receivable regardless of whether the account debtor or Seller treats such indebtedness, rights or obligations as a separate payment obligation.”</w:t>
      </w:r>
    </w:p>
    <w:p>
      <w:pPr>
        <w:spacing w:after="0" w:line="391" w:lineRule="exact"/>
        <w:rPr>
          <w:sz w:val="20"/>
          <w:szCs w:val="20"/>
          <w:color w:val="auto"/>
        </w:rPr>
      </w:pPr>
    </w:p>
    <w:p>
      <w:pPr>
        <w:ind w:left="160" w:right="859" w:firstLine="648"/>
        <w:spacing w:after="0" w:line="293"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Conditions to Effectiveness of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shall become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the date hereof, upon the satisfaction of the conditions precedent that:</w:t>
      </w:r>
    </w:p>
    <w:p>
      <w:pPr>
        <w:spacing w:after="0" w:line="364" w:lineRule="exact"/>
        <w:rPr>
          <w:sz w:val="20"/>
          <w:szCs w:val="20"/>
          <w:color w:val="auto"/>
        </w:rPr>
      </w:pPr>
    </w:p>
    <w:p>
      <w:pPr>
        <w:ind w:left="160" w:right="479" w:firstLine="1287"/>
        <w:spacing w:after="0" w:line="316" w:lineRule="auto"/>
        <w:tabs>
          <w:tab w:leader="none" w:pos="194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Agent and each Seller Party shall have received, on or before the date hereof, executed counterparts of this Amendment, duly executed by each of the parties hereto.</w:t>
      </w:r>
    </w:p>
    <w:p>
      <w:pPr>
        <w:spacing w:after="0" w:line="346" w:lineRule="exact"/>
        <w:rPr>
          <w:rFonts w:ascii="Arial" w:cs="Arial" w:eastAsia="Arial" w:hAnsi="Arial"/>
          <w:sz w:val="18"/>
          <w:szCs w:val="18"/>
          <w:color w:val="auto"/>
        </w:rPr>
      </w:pPr>
    </w:p>
    <w:p>
      <w:pPr>
        <w:ind w:left="160" w:right="239" w:firstLine="1287"/>
        <w:spacing w:after="0" w:line="278" w:lineRule="auto"/>
        <w:tabs>
          <w:tab w:leader="none" w:pos="195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As of the date hereof, both before and after giving effect to this Amendment, all of the representations and warranties of each Seller Party contained in the Original Agreement and in each other Transaction Document shall be true and correct in all material respects as though made on the date hereof (and by its execution hereof, each Seller Party shall be deemed to have represented and warranted such); it being understood that any specific occurrence or</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jc w:val="right"/>
        <w:ind w:right="139"/>
        <w:spacing w:after="0"/>
        <w:rPr>
          <w:sz w:val="20"/>
          <w:szCs w:val="20"/>
          <w:color w:val="auto"/>
        </w:rPr>
      </w:pPr>
      <w:r>
        <w:rPr>
          <w:rFonts w:ascii="Arial" w:cs="Arial" w:eastAsia="Arial" w:hAnsi="Arial"/>
          <w:sz w:val="18"/>
          <w:szCs w:val="18"/>
          <w:i w:val="1"/>
          <w:iCs w:val="1"/>
          <w:color w:val="auto"/>
        </w:rPr>
        <w:t>Amendment No. 8 to</w:t>
      </w:r>
    </w:p>
    <w:p>
      <w:pPr>
        <w:spacing w:after="0" w:line="23" w:lineRule="exact"/>
        <w:rPr>
          <w:sz w:val="20"/>
          <w:szCs w:val="20"/>
          <w:color w:val="auto"/>
        </w:rPr>
      </w:pPr>
    </w:p>
    <w:p>
      <w:pPr>
        <w:jc w:val="right"/>
        <w:ind w:right="139"/>
        <w:spacing w:after="0"/>
        <w:rPr>
          <w:sz w:val="20"/>
          <w:szCs w:val="20"/>
          <w:color w:val="auto"/>
        </w:rPr>
      </w:pPr>
      <w:r>
        <w:rPr>
          <w:rFonts w:ascii="Arial" w:cs="Arial" w:eastAsia="Arial" w:hAnsi="Arial"/>
          <w:sz w:val="18"/>
          <w:szCs w:val="18"/>
          <w:i w:val="1"/>
          <w:iCs w:val="1"/>
          <w:color w:val="auto"/>
        </w:rPr>
        <w:t>Avnet Receivables Purchase Agreement</w:t>
      </w:r>
    </w:p>
    <w:p>
      <w:pPr>
        <w:spacing w:after="0" w:line="208" w:lineRule="exact"/>
        <w:rPr>
          <w:sz w:val="20"/>
          <w:szCs w:val="20"/>
          <w:color w:val="auto"/>
        </w:rPr>
      </w:pPr>
    </w:p>
    <w:p>
      <w:pPr>
        <w:jc w:val="both"/>
        <w:ind w:left="160" w:right="439"/>
        <w:spacing w:after="0" w:line="269" w:lineRule="auto"/>
        <w:rPr>
          <w:sz w:val="20"/>
          <w:szCs w:val="20"/>
          <w:color w:val="auto"/>
        </w:rPr>
      </w:pPr>
      <w:r>
        <w:rPr>
          <w:rFonts w:ascii="Arial" w:cs="Arial" w:eastAsia="Arial" w:hAnsi="Arial"/>
          <w:sz w:val="19"/>
          <w:szCs w:val="19"/>
          <w:color w:val="auto"/>
        </w:rPr>
        <w:t>occurrences constituting breaches of any representation or warranty, to the extent waived in writing by the Financial Institutions and the Companies, ceased to constitute any such breach (solely with respect to such specific occurrence or occurrences) from and after the date of such waiver.</w:t>
      </w:r>
    </w:p>
    <w:p>
      <w:pPr>
        <w:spacing w:after="0" w:line="386" w:lineRule="exact"/>
        <w:rPr>
          <w:sz w:val="20"/>
          <w:szCs w:val="20"/>
          <w:color w:val="auto"/>
        </w:rPr>
      </w:pPr>
    </w:p>
    <w:p>
      <w:pPr>
        <w:ind w:left="160" w:right="219" w:firstLine="1287"/>
        <w:spacing w:after="0" w:line="313" w:lineRule="auto"/>
        <w:tabs>
          <w:tab w:leader="none" w:pos="194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 Amortization Event or Potential Amortization Event</w:t>
      </w:r>
      <w:r>
        <w:rPr>
          <w:rFonts w:ascii="Arial" w:cs="Arial" w:eastAsia="Arial" w:hAnsi="Arial"/>
          <w:sz w:val="16"/>
          <w:szCs w:val="16"/>
          <w:color w:val="auto"/>
        </w:rPr>
        <w:t>. As of the date hereof, both before and after giving effect to this Amendment, no Amortization Event or Potential Amortization Event shall have occurred and be continuing (and by its execution hereof, each Seller Party shall be deemed to have represented and warranted such); it being understood that any specific occurrence or occurrences constituting Amortization Events or Potential Amortization Events, to the extent waived in writing by the Financial Institutions and the Companies, ceased to constitute Amortization Events or Potential Amortization Events (solely with respect to such specific occurrence or occurrences) from and after the date of such waiver.</w:t>
      </w:r>
    </w:p>
    <w:p>
      <w:pPr>
        <w:spacing w:after="0" w:line="354" w:lineRule="exact"/>
        <w:rPr>
          <w:sz w:val="20"/>
          <w:szCs w:val="20"/>
          <w:color w:val="auto"/>
        </w:rPr>
      </w:pPr>
    </w:p>
    <w:p>
      <w:pPr>
        <w:ind w:left="800"/>
        <w:spacing w:after="0"/>
        <w:tabs>
          <w:tab w:leader="none" w:pos="192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38" w:lineRule="exact"/>
        <w:rPr>
          <w:sz w:val="20"/>
          <w:szCs w:val="20"/>
          <w:color w:val="auto"/>
        </w:rPr>
      </w:pPr>
    </w:p>
    <w:p>
      <w:pPr>
        <w:ind w:left="160" w:right="139" w:firstLine="1287"/>
        <w:spacing w:after="0" w:line="270" w:lineRule="auto"/>
        <w:tabs>
          <w:tab w:leader="none" w:pos="194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Effect; Ratification</w:t>
      </w:r>
      <w:r>
        <w:rPr>
          <w:rFonts w:ascii="Arial" w:cs="Arial" w:eastAsia="Arial" w:hAnsi="Arial"/>
          <w:sz w:val="18"/>
          <w:szCs w:val="18"/>
          <w:color w:val="auto"/>
        </w:rPr>
        <w:t>. The amendment set forth herein is effective solely for the purposes set forth herein and shall be limited precisely as written, and shall not be deemed (i) to be a consent to, or an acknowledgment of, any amendment, waiver or modification of any other term or condition of the Original Agreement or of any other instrument or agreement referred to therein or (ii) to prejudice any right or remedy which the Agent, any Company or Financial Institution (or any of their respective assigns) may now have or may have in the future under or in connection with the Receivables Purchase Agreement, as amended hereby, or any other instrument or agreement referred to therein. Each reference in the Receivables Purchase Agreement to “this Agreement,” “herein,” “hereof” and words of like import and each reference in the other Transaction Documents to the Original Agreement or to the “Receivables Purchase Agreement” shall mean the Original Agreement as amended hereby. This Amendment shall be construed in connection with and as part of the Receivables Purchase Agreement and all terms, conditions, representations, warranties, covenants and agreements set forth in the Receivables Purchase Agreement and each other instrument or agreement referred to therein, except as herein amended, are hereby ratified and confirmed and shall remain in full force and effect.</w:t>
      </w:r>
    </w:p>
    <w:p>
      <w:pPr>
        <w:spacing w:after="0" w:line="386" w:lineRule="exact"/>
        <w:rPr>
          <w:rFonts w:ascii="Arial" w:cs="Arial" w:eastAsia="Arial" w:hAnsi="Arial"/>
          <w:sz w:val="18"/>
          <w:szCs w:val="18"/>
          <w:color w:val="auto"/>
        </w:rPr>
      </w:pPr>
    </w:p>
    <w:p>
      <w:pPr>
        <w:ind w:left="160" w:right="759" w:firstLine="1287"/>
        <w:spacing w:after="0" w:line="250" w:lineRule="auto"/>
        <w:tabs>
          <w:tab w:leader="none" w:pos="195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Transaction Documents</w:t>
      </w:r>
      <w:r>
        <w:rPr>
          <w:rFonts w:ascii="Arial" w:cs="Arial" w:eastAsia="Arial" w:hAnsi="Arial"/>
          <w:sz w:val="20"/>
          <w:szCs w:val="20"/>
          <w:color w:val="auto"/>
        </w:rPr>
        <w:t>. This Amendment is a Transaction Document executed pursuant to the Receivables Purchase Agreement and shall be construed, administered and applied in accordance with the terms and provisions thereof.</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160" w:right="439" w:firstLine="1287"/>
        <w:spacing w:after="0" w:line="246" w:lineRule="auto"/>
        <w:tabs>
          <w:tab w:leader="none" w:pos="1942"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Costs, Fees and Expenses</w:t>
      </w:r>
      <w:r>
        <w:rPr>
          <w:rFonts w:ascii="Arial" w:cs="Arial" w:eastAsia="Arial" w:hAnsi="Arial"/>
          <w:sz w:val="20"/>
          <w:szCs w:val="20"/>
          <w:color w:val="auto"/>
        </w:rPr>
        <w:t>. Seller agrees to reimburse the Agent and each Purchaser and its assigns upon demand for all reasonable and documented out-of-pocket costs, fees and expenses in connection with the preparation, execution and delivery of this Amendment (including the reasonable fees and expenses of counsel to the Agent).</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160" w:right="259" w:firstLine="1287"/>
        <w:spacing w:after="0" w:line="250" w:lineRule="auto"/>
        <w:tabs>
          <w:tab w:leader="none" w:pos="195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such counterpart constituting an original and all of which when taken together shall constitute one and the same instrument.</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160" w:right="219" w:firstLine="1287"/>
        <w:spacing w:after="0" w:line="246" w:lineRule="auto"/>
        <w:tabs>
          <w:tab w:leader="none" w:pos="1942"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160" w:right="439" w:firstLine="1287"/>
        <w:spacing w:after="0" w:line="250" w:lineRule="auto"/>
        <w:tabs>
          <w:tab w:leader="none" w:pos="1974"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AND CONSTRUED IN ACCORDANCE WITH THE LAWS OF THE STATE OF NEW YORK EXCLUDING CHOICE-OF-LAW PRINCIPLES OF THE LAW OF SUCH STATE THAT WOULD</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jc w:val="right"/>
        <w:ind w:right="139"/>
        <w:spacing w:after="0"/>
        <w:rPr>
          <w:sz w:val="20"/>
          <w:szCs w:val="20"/>
          <w:color w:val="auto"/>
        </w:rPr>
      </w:pPr>
      <w:r>
        <w:rPr>
          <w:rFonts w:ascii="Arial" w:cs="Arial" w:eastAsia="Arial" w:hAnsi="Arial"/>
          <w:sz w:val="18"/>
          <w:szCs w:val="18"/>
          <w:i w:val="1"/>
          <w:iCs w:val="1"/>
          <w:color w:val="auto"/>
        </w:rPr>
        <w:t>Amendment No. 8 to</w:t>
      </w:r>
    </w:p>
    <w:p>
      <w:pPr>
        <w:spacing w:after="0" w:line="23" w:lineRule="exact"/>
        <w:rPr>
          <w:sz w:val="20"/>
          <w:szCs w:val="20"/>
          <w:color w:val="auto"/>
        </w:rPr>
      </w:pPr>
    </w:p>
    <w:p>
      <w:pPr>
        <w:jc w:val="right"/>
        <w:ind w:right="139"/>
        <w:spacing w:after="0"/>
        <w:rPr>
          <w:sz w:val="20"/>
          <w:szCs w:val="20"/>
          <w:color w:val="auto"/>
        </w:rPr>
      </w:pPr>
      <w:r>
        <w:rPr>
          <w:rFonts w:ascii="Arial" w:cs="Arial" w:eastAsia="Arial" w:hAnsi="Arial"/>
          <w:sz w:val="18"/>
          <w:szCs w:val="18"/>
          <w:i w:val="1"/>
          <w:iCs w:val="1"/>
          <w:color w:val="auto"/>
        </w:rPr>
        <w:t>Avnet Receivables Purchase Agreement</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9"/>
          <w:szCs w:val="19"/>
          <w:color w:val="auto"/>
        </w:rPr>
        <w:t>REQUIRE THE APPLICATION OF THE LAWS OF A JURISDICTION OTHER THAN SUCH STATE.</w:t>
      </w:r>
    </w:p>
    <w:p>
      <w:pPr>
        <w:spacing w:after="0" w:line="200" w:lineRule="exact"/>
        <w:rPr>
          <w:sz w:val="20"/>
          <w:szCs w:val="20"/>
          <w:color w:val="auto"/>
        </w:rPr>
      </w:pPr>
    </w:p>
    <w:p>
      <w:pPr>
        <w:spacing w:after="0" w:line="237" w:lineRule="exact"/>
        <w:rPr>
          <w:sz w:val="20"/>
          <w:szCs w:val="20"/>
          <w:color w:val="auto"/>
        </w:rPr>
      </w:pPr>
    </w:p>
    <w:p>
      <w:pPr>
        <w:ind w:left="160" w:right="199" w:firstLine="1287"/>
        <w:spacing w:after="0" w:line="245" w:lineRule="auto"/>
        <w:tabs>
          <w:tab w:leader="none" w:pos="1953" w:val="left"/>
        </w:tabs>
        <w:numPr>
          <w:ilvl w:val="0"/>
          <w:numId w:val="18"/>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 EACH PARTY HERETO HEREBY WAIVES TRIAL BY JURY IN ANY JUDICIAL PROCEEDING INVOLVING, DIRECTLY OR INDIRECTLY, ANY MATTER (WHETHER SOUNDING IN TORT, CONTRACT OR OTHERWISE) IN ANY WAY ARISING OUT OF, RELATED TO, OR CONNECTED WITH THIS AMENDMENT, ANY DOCUMENT EXECUTED BY ORIGINATOR PURSUANT TO THIS AMENDMENT OR THE RELATIONSHIP ESTABLISHED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jc w:val="right"/>
        <w:ind w:right="139"/>
        <w:spacing w:after="0"/>
        <w:rPr>
          <w:sz w:val="20"/>
          <w:szCs w:val="20"/>
          <w:color w:val="auto"/>
        </w:rPr>
      </w:pPr>
      <w:r>
        <w:rPr>
          <w:rFonts w:ascii="Arial" w:cs="Arial" w:eastAsia="Arial" w:hAnsi="Arial"/>
          <w:sz w:val="18"/>
          <w:szCs w:val="18"/>
          <w:i w:val="1"/>
          <w:iCs w:val="1"/>
          <w:color w:val="auto"/>
        </w:rPr>
        <w:t>Amendment No. 8 to</w:t>
      </w:r>
    </w:p>
    <w:p>
      <w:pPr>
        <w:spacing w:after="0" w:line="23" w:lineRule="exact"/>
        <w:rPr>
          <w:sz w:val="20"/>
          <w:szCs w:val="20"/>
          <w:color w:val="auto"/>
        </w:rPr>
      </w:pPr>
    </w:p>
    <w:p>
      <w:pPr>
        <w:jc w:val="right"/>
        <w:ind w:right="139"/>
        <w:spacing w:after="0"/>
        <w:rPr>
          <w:sz w:val="20"/>
          <w:szCs w:val="20"/>
          <w:color w:val="auto"/>
        </w:rPr>
      </w:pPr>
      <w:r>
        <w:rPr>
          <w:rFonts w:ascii="Arial" w:cs="Arial" w:eastAsia="Arial" w:hAnsi="Arial"/>
          <w:sz w:val="18"/>
          <w:szCs w:val="18"/>
          <w:i w:val="1"/>
          <w:iCs w:val="1"/>
          <w:color w:val="auto"/>
        </w:rPr>
        <w:t>Avnet Receivables Purchase Agreement</w:t>
      </w:r>
    </w:p>
    <w:p>
      <w:pPr>
        <w:spacing w:after="0" w:line="208" w:lineRule="exact"/>
        <w:rPr>
          <w:sz w:val="20"/>
          <w:szCs w:val="20"/>
          <w:color w:val="auto"/>
        </w:rPr>
      </w:pPr>
    </w:p>
    <w:p>
      <w:pPr>
        <w:ind w:left="160" w:right="439" w:firstLine="1296"/>
        <w:spacing w:after="0" w:line="287" w:lineRule="auto"/>
        <w:rPr>
          <w:sz w:val="20"/>
          <w:szCs w:val="20"/>
          <w:color w:val="auto"/>
        </w:rPr>
      </w:pPr>
      <w:r>
        <w:rPr>
          <w:rFonts w:ascii="Arial" w:cs="Arial" w:eastAsia="Arial" w:hAnsi="Arial"/>
          <w:sz w:val="19"/>
          <w:szCs w:val="19"/>
          <w:color w:val="auto"/>
        </w:rPr>
        <w:t>IN WITNESS WHEREOF, the parties hereto have caused this Amendment to be executed and delivered by their respective duly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AVNET RECEIVABLES CORPORATION,</w:t>
      </w:r>
    </w:p>
    <w:p>
      <w:pPr>
        <w:ind w:left="4180"/>
        <w:spacing w:after="0" w:line="210" w:lineRule="auto"/>
        <w:rPr>
          <w:sz w:val="20"/>
          <w:szCs w:val="20"/>
          <w:color w:val="auto"/>
        </w:rPr>
      </w:pPr>
      <w:r>
        <w:rPr>
          <w:rFonts w:ascii="Arial" w:cs="Arial" w:eastAsia="Arial" w:hAnsi="Arial"/>
          <w:sz w:val="20"/>
          <w:szCs w:val="20"/>
          <w:color w:val="auto"/>
        </w:rPr>
        <w:t>as Seller</w:t>
      </w:r>
    </w:p>
    <w:p>
      <w:pPr>
        <w:ind w:left="1740"/>
        <w:spacing w:after="0" w:line="236" w:lineRule="auto"/>
        <w:rPr>
          <w:sz w:val="20"/>
          <w:szCs w:val="20"/>
          <w:color w:val="auto"/>
        </w:rPr>
      </w:pPr>
      <w:r>
        <w:rPr>
          <w:rFonts w:ascii="Arial" w:cs="Arial" w:eastAsia="Arial" w:hAnsi="Arial"/>
          <w:sz w:val="22"/>
          <w:szCs w:val="22"/>
          <w:color w:val="auto"/>
        </w:rPr>
        <w:t>S-1</w:t>
      </w:r>
    </w:p>
    <w:p>
      <w:pPr>
        <w:ind w:left="160"/>
        <w:spacing w:after="0"/>
        <w:rPr>
          <w:sz w:val="20"/>
          <w:szCs w:val="20"/>
          <w:color w:val="auto"/>
        </w:rPr>
      </w:pPr>
      <w:r>
        <w:rPr>
          <w:rFonts w:ascii="Arial" w:cs="Arial" w:eastAsia="Arial" w:hAnsi="Arial"/>
          <w:sz w:val="18"/>
          <w:szCs w:val="18"/>
          <w:color w:val="auto"/>
        </w:rPr>
        <w:t>11938977-NYCSR07A - MSW</w:t>
      </w:r>
    </w:p>
    <w:p>
      <w:pPr>
        <w:spacing w:after="0" w:line="58"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700" w:type="dxa"/>
            <w:vAlign w:val="bottom"/>
          </w:tcPr>
          <w:p>
            <w:pPr>
              <w:ind w:left="4040"/>
              <w:spacing w:after="0"/>
              <w:rPr>
                <w:sz w:val="20"/>
                <w:szCs w:val="20"/>
                <w:color w:val="auto"/>
              </w:rPr>
            </w:pPr>
            <w:r>
              <w:rPr>
                <w:rFonts w:ascii="Arial" w:cs="Arial" w:eastAsia="Arial" w:hAnsi="Arial"/>
                <w:sz w:val="20"/>
                <w:szCs w:val="20"/>
                <w:color w:val="auto"/>
              </w:rPr>
              <w:t>By:</w:t>
            </w:r>
          </w:p>
        </w:tc>
        <w:tc>
          <w:tcPr>
            <w:tcW w:w="4040" w:type="dxa"/>
            <w:vAlign w:val="bottom"/>
          </w:tcPr>
          <w:p>
            <w:pPr>
              <w:ind w:left="160"/>
              <w:spacing w:after="0"/>
              <w:rPr>
                <w:sz w:val="20"/>
                <w:szCs w:val="20"/>
                <w:color w:val="auto"/>
              </w:rPr>
            </w:pPr>
            <w:r>
              <w:rPr>
                <w:rFonts w:ascii="Arial" w:cs="Arial" w:eastAsia="Arial" w:hAnsi="Arial"/>
                <w:sz w:val="20"/>
                <w:szCs w:val="20"/>
                <w:color w:val="auto"/>
                <w:w w:val="91"/>
              </w:rPr>
              <w:t>______________________________________</w:t>
            </w:r>
          </w:p>
        </w:tc>
      </w:tr>
      <w:tr>
        <w:trPr>
          <w:trHeight w:val="230"/>
        </w:trPr>
        <w:tc>
          <w:tcPr>
            <w:tcW w:w="4700" w:type="dxa"/>
            <w:vAlign w:val="bottom"/>
          </w:tcPr>
          <w:p>
            <w:pPr>
              <w:ind w:left="4040"/>
              <w:spacing w:after="0"/>
              <w:rPr>
                <w:sz w:val="20"/>
                <w:szCs w:val="20"/>
                <w:color w:val="auto"/>
              </w:rPr>
            </w:pPr>
            <w:r>
              <w:rPr>
                <w:rFonts w:ascii="Arial" w:cs="Arial" w:eastAsia="Arial" w:hAnsi="Arial"/>
                <w:sz w:val="20"/>
                <w:szCs w:val="20"/>
                <w:color w:val="auto"/>
              </w:rPr>
              <w:t>Name:</w:t>
            </w:r>
          </w:p>
        </w:tc>
        <w:tc>
          <w:tcPr>
            <w:tcW w:w="4040" w:type="dxa"/>
            <w:vAlign w:val="bottom"/>
          </w:tcPr>
          <w:p>
            <w:pPr>
              <w:ind w:left="160"/>
              <w:spacing w:after="0"/>
              <w:rPr>
                <w:sz w:val="20"/>
                <w:szCs w:val="20"/>
                <w:color w:val="auto"/>
              </w:rPr>
            </w:pPr>
            <w:r>
              <w:rPr>
                <w:rFonts w:ascii="Arial" w:cs="Arial" w:eastAsia="Arial" w:hAnsi="Arial"/>
                <w:sz w:val="20"/>
                <w:szCs w:val="20"/>
                <w:color w:val="auto"/>
              </w:rPr>
              <w:t>Kevin Moriarty</w:t>
            </w:r>
          </w:p>
        </w:tc>
      </w:tr>
      <w:tr>
        <w:trPr>
          <w:trHeight w:val="250"/>
        </w:trPr>
        <w:tc>
          <w:tcPr>
            <w:tcW w:w="4700" w:type="dxa"/>
            <w:vAlign w:val="bottom"/>
          </w:tcPr>
          <w:p>
            <w:pPr>
              <w:ind w:left="4040"/>
              <w:spacing w:after="0"/>
              <w:rPr>
                <w:sz w:val="20"/>
                <w:szCs w:val="20"/>
                <w:color w:val="auto"/>
              </w:rPr>
            </w:pPr>
            <w:r>
              <w:rPr>
                <w:rFonts w:ascii="Arial" w:cs="Arial" w:eastAsia="Arial" w:hAnsi="Arial"/>
                <w:sz w:val="20"/>
                <w:szCs w:val="20"/>
                <w:color w:val="auto"/>
              </w:rPr>
              <w:t>Title:</w:t>
            </w:r>
          </w:p>
        </w:tc>
        <w:tc>
          <w:tcPr>
            <w:tcW w:w="4040" w:type="dxa"/>
            <w:vAlign w:val="bottom"/>
          </w:tcPr>
          <w:p>
            <w:pPr>
              <w:ind w:left="160"/>
              <w:spacing w:after="0"/>
              <w:rPr>
                <w:sz w:val="20"/>
                <w:szCs w:val="20"/>
                <w:color w:val="auto"/>
              </w:rPr>
            </w:pPr>
            <w:r>
              <w:rPr>
                <w:rFonts w:ascii="Arial" w:cs="Arial" w:eastAsia="Arial" w:hAnsi="Arial"/>
                <w:sz w:val="20"/>
                <w:szCs w:val="20"/>
                <w:color w:val="auto"/>
              </w:rPr>
              <w:t>President</w:t>
            </w:r>
          </w:p>
        </w:tc>
      </w:tr>
      <w:tr>
        <w:trPr>
          <w:trHeight w:val="918"/>
        </w:trPr>
        <w:tc>
          <w:tcPr>
            <w:tcW w:w="8740" w:type="dxa"/>
            <w:vAlign w:val="bottom"/>
            <w:gridSpan w:val="2"/>
          </w:tcPr>
          <w:p>
            <w:pPr>
              <w:ind w:left="4040"/>
              <w:spacing w:after="0"/>
              <w:rPr>
                <w:sz w:val="20"/>
                <w:szCs w:val="20"/>
                <w:color w:val="auto"/>
              </w:rPr>
            </w:pPr>
            <w:r>
              <w:rPr>
                <w:rFonts w:ascii="Arial" w:cs="Arial" w:eastAsia="Arial" w:hAnsi="Arial"/>
                <w:sz w:val="20"/>
                <w:szCs w:val="20"/>
                <w:color w:val="auto"/>
              </w:rPr>
              <w:t>AVNET, INC., as Servicer</w:t>
            </w:r>
          </w:p>
        </w:tc>
      </w:tr>
      <w:tr>
        <w:trPr>
          <w:trHeight w:val="695"/>
        </w:trPr>
        <w:tc>
          <w:tcPr>
            <w:tcW w:w="4700" w:type="dxa"/>
            <w:vAlign w:val="bottom"/>
          </w:tcPr>
          <w:p>
            <w:pPr>
              <w:ind w:left="4040"/>
              <w:spacing w:after="0"/>
              <w:rPr>
                <w:sz w:val="20"/>
                <w:szCs w:val="20"/>
                <w:color w:val="auto"/>
              </w:rPr>
            </w:pPr>
            <w:r>
              <w:rPr>
                <w:rFonts w:ascii="Arial" w:cs="Arial" w:eastAsia="Arial" w:hAnsi="Arial"/>
                <w:sz w:val="20"/>
                <w:szCs w:val="20"/>
                <w:color w:val="auto"/>
              </w:rPr>
              <w:t>By:</w:t>
            </w:r>
          </w:p>
        </w:tc>
        <w:tc>
          <w:tcPr>
            <w:tcW w:w="4040" w:type="dxa"/>
            <w:vAlign w:val="bottom"/>
          </w:tcPr>
          <w:p>
            <w:pPr>
              <w:ind w:left="160"/>
              <w:spacing w:after="0"/>
              <w:rPr>
                <w:sz w:val="20"/>
                <w:szCs w:val="20"/>
                <w:color w:val="auto"/>
              </w:rPr>
            </w:pPr>
            <w:r>
              <w:rPr>
                <w:rFonts w:ascii="Arial" w:cs="Arial" w:eastAsia="Arial" w:hAnsi="Arial"/>
                <w:sz w:val="20"/>
                <w:szCs w:val="20"/>
                <w:color w:val="auto"/>
                <w:w w:val="91"/>
              </w:rPr>
              <w:t>______________________________________</w:t>
            </w:r>
          </w:p>
        </w:tc>
      </w:tr>
      <w:tr>
        <w:trPr>
          <w:trHeight w:val="230"/>
        </w:trPr>
        <w:tc>
          <w:tcPr>
            <w:tcW w:w="4700" w:type="dxa"/>
            <w:vAlign w:val="bottom"/>
          </w:tcPr>
          <w:p>
            <w:pPr>
              <w:ind w:left="4040"/>
              <w:spacing w:after="0"/>
              <w:rPr>
                <w:sz w:val="20"/>
                <w:szCs w:val="20"/>
                <w:color w:val="auto"/>
              </w:rPr>
            </w:pPr>
            <w:r>
              <w:rPr>
                <w:rFonts w:ascii="Arial" w:cs="Arial" w:eastAsia="Arial" w:hAnsi="Arial"/>
                <w:sz w:val="20"/>
                <w:szCs w:val="20"/>
                <w:color w:val="auto"/>
              </w:rPr>
              <w:t>Name:</w:t>
            </w:r>
          </w:p>
        </w:tc>
        <w:tc>
          <w:tcPr>
            <w:tcW w:w="4040" w:type="dxa"/>
            <w:vAlign w:val="bottom"/>
          </w:tcPr>
          <w:p>
            <w:pPr>
              <w:ind w:left="160"/>
              <w:spacing w:after="0"/>
              <w:rPr>
                <w:sz w:val="20"/>
                <w:szCs w:val="20"/>
                <w:color w:val="auto"/>
              </w:rPr>
            </w:pPr>
            <w:r>
              <w:rPr>
                <w:rFonts w:ascii="Arial" w:cs="Arial" w:eastAsia="Arial" w:hAnsi="Arial"/>
                <w:sz w:val="20"/>
                <w:szCs w:val="20"/>
                <w:color w:val="auto"/>
              </w:rPr>
              <w:t>Erin Lewin</w:t>
            </w:r>
          </w:p>
        </w:tc>
      </w:tr>
      <w:tr>
        <w:trPr>
          <w:trHeight w:val="267"/>
        </w:trPr>
        <w:tc>
          <w:tcPr>
            <w:tcW w:w="4700" w:type="dxa"/>
            <w:vAlign w:val="bottom"/>
            <w:tcBorders>
              <w:bottom w:val="single" w:sz="8" w:color="auto"/>
            </w:tcBorders>
          </w:tcPr>
          <w:p>
            <w:pPr>
              <w:ind w:left="4040"/>
              <w:spacing w:after="0"/>
              <w:rPr>
                <w:sz w:val="20"/>
                <w:szCs w:val="20"/>
                <w:color w:val="auto"/>
              </w:rPr>
            </w:pPr>
            <w:r>
              <w:rPr>
                <w:rFonts w:ascii="Arial" w:cs="Arial" w:eastAsia="Arial" w:hAnsi="Arial"/>
                <w:sz w:val="20"/>
                <w:szCs w:val="20"/>
                <w:color w:val="auto"/>
              </w:rPr>
              <w:t>Title:</w:t>
            </w:r>
          </w:p>
        </w:tc>
        <w:tc>
          <w:tcPr>
            <w:tcW w:w="404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w w:val="99"/>
              </w:rPr>
              <w:t>Senior Vice President and General Counsel</w:t>
            </w:r>
          </w:p>
        </w:tc>
      </w:tr>
    </w:tbl>
    <w:p>
      <w:pPr>
        <w:sectPr>
          <w:pgSz w:w="11900" w:h="16838" w:orient="portrait"/>
          <w:cols w:equalWidth="0" w:num="1">
            <w:col w:w="9019"/>
          </w:cols>
          <w:pgMar w:left="1440" w:top="125" w:right="1440" w:bottom="1440" w:gutter="0" w:footer="0" w:header="0"/>
        </w:sectPr>
      </w:pPr>
    </w:p>
    <w:bookmarkStart w:id="38" w:name="page39"/>
    <w:bookmarkEnd w:id="38"/>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0" w:type="dxa"/>
            <w:vAlign w:val="bottom"/>
          </w:tcPr>
          <w:p>
            <w:pPr>
              <w:jc w:val="right"/>
              <w:spacing w:after="0"/>
              <w:rPr>
                <w:sz w:val="20"/>
                <w:szCs w:val="20"/>
                <w:color w:val="auto"/>
              </w:rPr>
            </w:pPr>
            <w:r>
              <w:rPr>
                <w:rFonts w:ascii="Arial" w:cs="Arial" w:eastAsia="Arial" w:hAnsi="Arial"/>
                <w:sz w:val="18"/>
                <w:szCs w:val="18"/>
                <w:i w:val="1"/>
                <w:iCs w:val="1"/>
                <w:color w:val="auto"/>
              </w:rPr>
              <w:t>Amendment No. 8 to</w:t>
            </w:r>
          </w:p>
        </w:tc>
      </w:tr>
      <w:tr>
        <w:trPr>
          <w:trHeight w:val="230"/>
        </w:trPr>
        <w:tc>
          <w:tcPr>
            <w:tcW w:w="1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864"/>
        </w:trPr>
        <w:tc>
          <w:tcPr>
            <w:tcW w:w="3040" w:type="dxa"/>
            <w:vAlign w:val="bottom"/>
            <w:gridSpan w:val="2"/>
          </w:tcPr>
          <w:p>
            <w:pPr>
              <w:spacing w:after="0"/>
              <w:rPr>
                <w:sz w:val="20"/>
                <w:szCs w:val="20"/>
                <w:color w:val="auto"/>
              </w:rPr>
            </w:pPr>
            <w:r>
              <w:rPr>
                <w:rFonts w:ascii="Arial" w:cs="Arial" w:eastAsia="Arial" w:hAnsi="Arial"/>
                <w:sz w:val="20"/>
                <w:szCs w:val="20"/>
                <w:color w:val="auto"/>
              </w:rPr>
              <w:t>Commitment: $153,000,000</w:t>
            </w:r>
          </w:p>
        </w:tc>
        <w:tc>
          <w:tcPr>
            <w:tcW w:w="5680" w:type="dxa"/>
            <w:vAlign w:val="bottom"/>
            <w:gridSpan w:val="2"/>
          </w:tcPr>
          <w:p>
            <w:pPr>
              <w:ind w:left="760"/>
              <w:spacing w:after="0"/>
              <w:rPr>
                <w:sz w:val="20"/>
                <w:szCs w:val="20"/>
                <w:color w:val="auto"/>
              </w:rPr>
            </w:pPr>
            <w:r>
              <w:rPr>
                <w:rFonts w:ascii="Arial" w:cs="Arial" w:eastAsia="Arial" w:hAnsi="Arial"/>
                <w:sz w:val="20"/>
                <w:szCs w:val="20"/>
                <w:color w:val="auto"/>
              </w:rPr>
              <w:t>CHARIOT FUNDING LLC,</w:t>
            </w:r>
          </w:p>
        </w:tc>
      </w:tr>
      <w:tr>
        <w:trPr>
          <w:trHeight w:val="254"/>
        </w:trPr>
        <w:tc>
          <w:tcPr>
            <w:tcW w:w="1040" w:type="dxa"/>
            <w:vAlign w:val="bottom"/>
            <w:tcBorders>
              <w:top w:val="single" w:sz="8" w:color="auto"/>
            </w:tcBorders>
          </w:tcPr>
          <w:p>
            <w:pPr>
              <w:spacing w:after="0"/>
              <w:rPr>
                <w:sz w:val="22"/>
                <w:szCs w:val="22"/>
                <w:color w:val="auto"/>
              </w:rPr>
            </w:pPr>
          </w:p>
        </w:tc>
        <w:tc>
          <w:tcPr>
            <w:tcW w:w="2000" w:type="dxa"/>
            <w:vAlign w:val="bottom"/>
          </w:tcPr>
          <w:p>
            <w:pPr>
              <w:spacing w:after="0"/>
              <w:rPr>
                <w:sz w:val="22"/>
                <w:szCs w:val="22"/>
                <w:color w:val="auto"/>
              </w:rPr>
            </w:pPr>
          </w:p>
        </w:tc>
        <w:tc>
          <w:tcPr>
            <w:tcW w:w="5680" w:type="dxa"/>
            <w:vAlign w:val="bottom"/>
            <w:gridSpan w:val="2"/>
          </w:tcPr>
          <w:p>
            <w:pPr>
              <w:ind w:left="760"/>
              <w:spacing w:after="0"/>
              <w:rPr>
                <w:sz w:val="20"/>
                <w:szCs w:val="20"/>
                <w:color w:val="auto"/>
              </w:rPr>
            </w:pPr>
            <w:r>
              <w:rPr>
                <w:rFonts w:ascii="Arial" w:cs="Arial" w:eastAsia="Arial" w:hAnsi="Arial"/>
                <w:sz w:val="20"/>
                <w:szCs w:val="20"/>
                <w:color w:val="auto"/>
              </w:rPr>
              <w:t>as a Company and as a Financial Institution</w:t>
            </w:r>
          </w:p>
        </w:tc>
      </w:tr>
      <w:tr>
        <w:trPr>
          <w:trHeight w:val="695"/>
        </w:trPr>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20"/>
                <w:szCs w:val="20"/>
                <w:color w:val="auto"/>
              </w:rPr>
              <w:t>By:</w:t>
            </w:r>
          </w:p>
        </w:tc>
        <w:tc>
          <w:tcPr>
            <w:tcW w:w="4200" w:type="dxa"/>
            <w:vAlign w:val="bottom"/>
          </w:tcPr>
          <w:p>
            <w:pPr>
              <w:ind w:left="20"/>
              <w:spacing w:after="0"/>
              <w:rPr>
                <w:sz w:val="20"/>
                <w:szCs w:val="20"/>
                <w:color w:val="auto"/>
              </w:rPr>
            </w:pPr>
            <w:r>
              <w:rPr>
                <w:rFonts w:ascii="Arial" w:cs="Arial" w:eastAsia="Arial" w:hAnsi="Arial"/>
                <w:sz w:val="20"/>
                <w:szCs w:val="20"/>
                <w:color w:val="auto"/>
              </w:rPr>
              <w:t>JPMorgan Chase Bank, N.A.,</w:t>
            </w:r>
          </w:p>
        </w:tc>
      </w:tr>
      <w:tr>
        <w:trPr>
          <w:trHeight w:val="250"/>
        </w:trPr>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20"/>
                <w:szCs w:val="20"/>
                <w:color w:val="auto"/>
              </w:rPr>
              <w:t>its Attorney-in-Fact</w:t>
            </w:r>
          </w:p>
        </w:tc>
      </w:tr>
      <w:tr>
        <w:trPr>
          <w:trHeight w:val="708"/>
        </w:trPr>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20"/>
                <w:szCs w:val="20"/>
                <w:color w:val="auto"/>
              </w:rPr>
              <w:t>By:</w:t>
            </w:r>
          </w:p>
        </w:tc>
        <w:tc>
          <w:tcPr>
            <w:tcW w:w="4200" w:type="dxa"/>
            <w:vAlign w:val="bottom"/>
          </w:tcPr>
          <w:p>
            <w:pPr>
              <w:ind w:left="20"/>
              <w:spacing w:after="0"/>
              <w:rPr>
                <w:sz w:val="20"/>
                <w:szCs w:val="20"/>
                <w:color w:val="auto"/>
              </w:rPr>
            </w:pPr>
            <w:r>
              <w:rPr>
                <w:rFonts w:ascii="Arial" w:cs="Arial" w:eastAsia="Arial" w:hAnsi="Arial"/>
                <w:sz w:val="20"/>
                <w:szCs w:val="20"/>
                <w:color w:val="auto"/>
                <w:w w:val="98"/>
              </w:rPr>
              <w:t>______________________________________</w:t>
            </w:r>
          </w:p>
        </w:tc>
      </w:tr>
      <w:tr>
        <w:trPr>
          <w:trHeight w:val="243"/>
        </w:trPr>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80" w:type="dxa"/>
            <w:vAlign w:val="bottom"/>
          </w:tcPr>
          <w:p>
            <w:pPr>
              <w:ind w:left="760"/>
              <w:spacing w:after="0"/>
              <w:rPr>
                <w:sz w:val="20"/>
                <w:szCs w:val="20"/>
                <w:color w:val="auto"/>
              </w:rPr>
            </w:pPr>
            <w:r>
              <w:rPr>
                <w:rFonts w:ascii="Arial" w:cs="Arial" w:eastAsia="Arial" w:hAnsi="Arial"/>
                <w:sz w:val="20"/>
                <w:szCs w:val="20"/>
                <w:color w:val="auto"/>
              </w:rPr>
              <w:t>Name:</w:t>
            </w:r>
          </w:p>
        </w:tc>
        <w:tc>
          <w:tcPr>
            <w:tcW w:w="4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80" w:type="dxa"/>
            <w:vAlign w:val="bottom"/>
          </w:tcPr>
          <w:p>
            <w:pPr>
              <w:ind w:left="760"/>
              <w:spacing w:after="0"/>
              <w:rPr>
                <w:sz w:val="20"/>
                <w:szCs w:val="20"/>
                <w:color w:val="auto"/>
              </w:rPr>
            </w:pPr>
            <w:r>
              <w:rPr>
                <w:rFonts w:ascii="Arial" w:cs="Arial" w:eastAsia="Arial" w:hAnsi="Arial"/>
                <w:sz w:val="20"/>
                <w:szCs w:val="20"/>
                <w:color w:val="auto"/>
              </w:rPr>
              <w:t>Title:</w:t>
            </w:r>
          </w:p>
        </w:tc>
        <w:tc>
          <w:tcPr>
            <w:tcW w:w="4200" w:type="dxa"/>
            <w:vAlign w:val="bottom"/>
          </w:tcPr>
          <w:p>
            <w:pPr>
              <w:spacing w:after="0"/>
              <w:rPr>
                <w:sz w:val="21"/>
                <w:szCs w:val="21"/>
                <w:color w:val="auto"/>
              </w:rPr>
            </w:pPr>
          </w:p>
        </w:tc>
      </w:tr>
      <w:tr>
        <w:trPr>
          <w:trHeight w:val="952"/>
        </w:trPr>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2"/>
          </w:tcPr>
          <w:p>
            <w:pPr>
              <w:ind w:left="760"/>
              <w:spacing w:after="0"/>
              <w:rPr>
                <w:sz w:val="20"/>
                <w:szCs w:val="20"/>
                <w:color w:val="auto"/>
              </w:rPr>
            </w:pPr>
            <w:r>
              <w:rPr>
                <w:rFonts w:ascii="Arial" w:cs="Arial" w:eastAsia="Arial" w:hAnsi="Arial"/>
                <w:sz w:val="20"/>
                <w:szCs w:val="20"/>
                <w:color w:val="auto"/>
              </w:rPr>
              <w:t>JPMORGAN CHASE BANK, N.A.,</w:t>
            </w:r>
          </w:p>
        </w:tc>
      </w:tr>
      <w:tr>
        <w:trPr>
          <w:trHeight w:val="250"/>
        </w:trPr>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80" w:type="dxa"/>
            <w:vAlign w:val="bottom"/>
          </w:tcPr>
          <w:p>
            <w:pPr>
              <w:ind w:left="760"/>
              <w:spacing w:after="0"/>
              <w:rPr>
                <w:sz w:val="20"/>
                <w:szCs w:val="20"/>
                <w:color w:val="auto"/>
              </w:rPr>
            </w:pPr>
            <w:r>
              <w:rPr>
                <w:rFonts w:ascii="Arial" w:cs="Arial" w:eastAsia="Arial" w:hAnsi="Arial"/>
                <w:sz w:val="20"/>
                <w:szCs w:val="20"/>
                <w:color w:val="auto"/>
                <w:w w:val="88"/>
              </w:rPr>
              <w:t>as Agent</w:t>
            </w:r>
          </w:p>
        </w:tc>
        <w:tc>
          <w:tcPr>
            <w:tcW w:w="4200" w:type="dxa"/>
            <w:vAlign w:val="bottom"/>
          </w:tcPr>
          <w:p>
            <w:pPr>
              <w:spacing w:after="0"/>
              <w:rPr>
                <w:sz w:val="21"/>
                <w:szCs w:val="21"/>
                <w:color w:val="auto"/>
              </w:rPr>
            </w:pPr>
          </w:p>
        </w:tc>
      </w:tr>
      <w:tr>
        <w:trPr>
          <w:trHeight w:val="695"/>
        </w:trPr>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20"/>
                <w:szCs w:val="20"/>
                <w:color w:val="auto"/>
              </w:rPr>
              <w:t>By:</w:t>
            </w:r>
          </w:p>
        </w:tc>
        <w:tc>
          <w:tcPr>
            <w:tcW w:w="4200" w:type="dxa"/>
            <w:vAlign w:val="bottom"/>
          </w:tcPr>
          <w:p>
            <w:pPr>
              <w:ind w:left="20"/>
              <w:spacing w:after="0"/>
              <w:rPr>
                <w:sz w:val="20"/>
                <w:szCs w:val="20"/>
                <w:color w:val="auto"/>
              </w:rPr>
            </w:pPr>
            <w:r>
              <w:rPr>
                <w:rFonts w:ascii="Arial" w:cs="Arial" w:eastAsia="Arial" w:hAnsi="Arial"/>
                <w:sz w:val="20"/>
                <w:szCs w:val="20"/>
                <w:color w:val="auto"/>
                <w:w w:val="98"/>
              </w:rPr>
              <w:t>______________________________________</w:t>
            </w:r>
          </w:p>
        </w:tc>
      </w:tr>
      <w:tr>
        <w:trPr>
          <w:trHeight w:val="250"/>
        </w:trPr>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80" w:type="dxa"/>
            <w:vAlign w:val="bottom"/>
          </w:tcPr>
          <w:p>
            <w:pPr>
              <w:ind w:left="760"/>
              <w:spacing w:after="0"/>
              <w:rPr>
                <w:sz w:val="20"/>
                <w:szCs w:val="20"/>
                <w:color w:val="auto"/>
              </w:rPr>
            </w:pPr>
            <w:r>
              <w:rPr>
                <w:rFonts w:ascii="Arial" w:cs="Arial" w:eastAsia="Arial" w:hAnsi="Arial"/>
                <w:sz w:val="20"/>
                <w:szCs w:val="20"/>
                <w:color w:val="auto"/>
              </w:rPr>
              <w:t>Name:</w:t>
            </w:r>
          </w:p>
        </w:tc>
        <w:tc>
          <w:tcPr>
            <w:tcW w:w="4200" w:type="dxa"/>
            <w:vAlign w:val="bottom"/>
          </w:tcPr>
          <w:p>
            <w:pPr>
              <w:spacing w:after="0"/>
              <w:rPr>
                <w:sz w:val="21"/>
                <w:szCs w:val="21"/>
                <w:color w:val="auto"/>
              </w:rPr>
            </w:pPr>
          </w:p>
        </w:tc>
      </w:tr>
    </w:tbl>
    <w:p>
      <w:pPr>
        <w:ind w:left="3960"/>
        <w:spacing w:after="0"/>
        <w:rPr>
          <w:sz w:val="20"/>
          <w:szCs w:val="20"/>
          <w:color w:val="auto"/>
        </w:rPr>
      </w:pPr>
      <w:r>
        <w:rPr>
          <w:rFonts w:ascii="Arial" w:cs="Arial" w:eastAsia="Arial" w:hAnsi="Arial"/>
          <w:sz w:val="20"/>
          <w:szCs w:val="20"/>
          <w:color w:val="auto"/>
        </w:rPr>
        <w:t>Title:</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S-2</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21938977-NYCSR07A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73025</wp:posOffset>
            </wp:positionV>
            <wp:extent cx="554863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i w:val="1"/>
                <w:iCs w:val="1"/>
                <w:color w:val="auto"/>
              </w:rPr>
              <w:t>Amendment No. 8 to</w:t>
            </w:r>
          </w:p>
        </w:tc>
      </w:tr>
      <w:tr>
        <w:trPr>
          <w:trHeight w:val="230"/>
        </w:trPr>
        <w:tc>
          <w:tcPr>
            <w:tcW w:w="1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20" w:type="dxa"/>
            <w:vAlign w:val="bottom"/>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875"/>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500" w:type="dxa"/>
            <w:vAlign w:val="bottom"/>
            <w:gridSpan w:val="2"/>
          </w:tcPr>
          <w:p>
            <w:pPr>
              <w:ind w:left="840"/>
              <w:spacing w:after="0"/>
              <w:rPr>
                <w:sz w:val="20"/>
                <w:szCs w:val="20"/>
                <w:color w:val="auto"/>
              </w:rPr>
            </w:pPr>
            <w:r>
              <w:rPr>
                <w:rFonts w:ascii="Arial" w:cs="Arial" w:eastAsia="Arial" w:hAnsi="Arial"/>
                <w:sz w:val="20"/>
                <w:szCs w:val="20"/>
                <w:color w:val="auto"/>
              </w:rPr>
              <w:t>LIBERTY STREET FUNDING LLC,</w:t>
            </w:r>
          </w:p>
        </w:tc>
      </w:tr>
      <w:tr>
        <w:trPr>
          <w:trHeight w:val="250"/>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500" w:type="dxa"/>
            <w:vAlign w:val="bottom"/>
            <w:gridSpan w:val="2"/>
          </w:tcPr>
          <w:p>
            <w:pPr>
              <w:ind w:left="840"/>
              <w:spacing w:after="0"/>
              <w:rPr>
                <w:sz w:val="20"/>
                <w:szCs w:val="20"/>
                <w:color w:val="auto"/>
              </w:rPr>
            </w:pPr>
            <w:r>
              <w:rPr>
                <w:rFonts w:ascii="Arial" w:cs="Arial" w:eastAsia="Arial" w:hAnsi="Arial"/>
                <w:sz w:val="20"/>
                <w:szCs w:val="20"/>
                <w:color w:val="auto"/>
              </w:rPr>
              <w:t>as a Company</w:t>
            </w:r>
          </w:p>
        </w:tc>
      </w:tr>
      <w:tr>
        <w:trPr>
          <w:trHeight w:val="695"/>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ind w:left="840"/>
              <w:spacing w:after="0"/>
              <w:rPr>
                <w:sz w:val="20"/>
                <w:szCs w:val="20"/>
                <w:color w:val="auto"/>
              </w:rPr>
            </w:pPr>
            <w:r>
              <w:rPr>
                <w:rFonts w:ascii="Arial" w:cs="Arial" w:eastAsia="Arial" w:hAnsi="Arial"/>
                <w:sz w:val="20"/>
                <w:szCs w:val="20"/>
                <w:color w:val="auto"/>
              </w:rPr>
              <w:t>By:</w:t>
            </w:r>
          </w:p>
        </w:tc>
        <w:tc>
          <w:tcPr>
            <w:tcW w:w="4020" w:type="dxa"/>
            <w:vAlign w:val="bottom"/>
          </w:tcPr>
          <w:p>
            <w:pPr>
              <w:jc w:val="right"/>
              <w:ind w:right="45"/>
              <w:spacing w:after="0"/>
              <w:rPr>
                <w:sz w:val="20"/>
                <w:szCs w:val="20"/>
                <w:color w:val="auto"/>
              </w:rPr>
            </w:pPr>
            <w:r>
              <w:rPr>
                <w:rFonts w:ascii="Arial" w:cs="Arial" w:eastAsia="Arial" w:hAnsi="Arial"/>
                <w:sz w:val="20"/>
                <w:szCs w:val="20"/>
                <w:color w:val="auto"/>
                <w:w w:val="91"/>
              </w:rPr>
              <w:t>______________________________________</w:t>
            </w:r>
          </w:p>
        </w:tc>
      </w:tr>
      <w:tr>
        <w:trPr>
          <w:trHeight w:val="243"/>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40"/>
              <w:spacing w:after="0"/>
              <w:rPr>
                <w:sz w:val="20"/>
                <w:szCs w:val="20"/>
                <w:color w:val="auto"/>
              </w:rPr>
            </w:pPr>
            <w:r>
              <w:rPr>
                <w:rFonts w:ascii="Arial" w:cs="Arial" w:eastAsia="Arial" w:hAnsi="Arial"/>
                <w:sz w:val="20"/>
                <w:szCs w:val="20"/>
                <w:color w:val="auto"/>
              </w:rPr>
              <w:t>Name:</w:t>
            </w:r>
          </w:p>
        </w:tc>
        <w:tc>
          <w:tcPr>
            <w:tcW w:w="402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40"/>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1"/>
                <w:szCs w:val="21"/>
                <w:color w:val="auto"/>
              </w:rPr>
            </w:pPr>
          </w:p>
        </w:tc>
      </w:tr>
      <w:tr>
        <w:trPr>
          <w:trHeight w:val="928"/>
        </w:trPr>
        <w:tc>
          <w:tcPr>
            <w:tcW w:w="3120" w:type="dxa"/>
            <w:vAlign w:val="bottom"/>
            <w:gridSpan w:val="2"/>
          </w:tcPr>
          <w:p>
            <w:pPr>
              <w:spacing w:after="0"/>
              <w:rPr>
                <w:sz w:val="20"/>
                <w:szCs w:val="20"/>
                <w:color w:val="auto"/>
              </w:rPr>
            </w:pPr>
            <w:r>
              <w:rPr>
                <w:rFonts w:ascii="Arial" w:cs="Arial" w:eastAsia="Arial" w:hAnsi="Arial"/>
                <w:sz w:val="20"/>
                <w:szCs w:val="20"/>
                <w:color w:val="auto"/>
              </w:rPr>
              <w:t>Commitment: $153,000,000</w:t>
            </w:r>
          </w:p>
        </w:tc>
        <w:tc>
          <w:tcPr>
            <w:tcW w:w="5500" w:type="dxa"/>
            <w:vAlign w:val="bottom"/>
            <w:gridSpan w:val="2"/>
          </w:tcPr>
          <w:p>
            <w:pPr>
              <w:ind w:left="840"/>
              <w:spacing w:after="0"/>
              <w:rPr>
                <w:sz w:val="20"/>
                <w:szCs w:val="20"/>
                <w:color w:val="auto"/>
              </w:rPr>
            </w:pPr>
            <w:r>
              <w:rPr>
                <w:rFonts w:ascii="Arial" w:cs="Arial" w:eastAsia="Arial" w:hAnsi="Arial"/>
                <w:sz w:val="20"/>
                <w:szCs w:val="20"/>
                <w:color w:val="auto"/>
              </w:rPr>
              <w:t>THE BANK OF NOVA SCOTIA,</w:t>
            </w:r>
          </w:p>
        </w:tc>
      </w:tr>
      <w:tr>
        <w:trPr>
          <w:trHeight w:val="254"/>
        </w:trPr>
        <w:tc>
          <w:tcPr>
            <w:tcW w:w="1060" w:type="dxa"/>
            <w:vAlign w:val="bottom"/>
            <w:tcBorders>
              <w:top w:val="single" w:sz="8" w:color="auto"/>
            </w:tcBorders>
          </w:tcPr>
          <w:p>
            <w:pPr>
              <w:spacing w:after="0"/>
              <w:rPr>
                <w:sz w:val="22"/>
                <w:szCs w:val="22"/>
                <w:color w:val="auto"/>
              </w:rPr>
            </w:pPr>
          </w:p>
        </w:tc>
        <w:tc>
          <w:tcPr>
            <w:tcW w:w="2060" w:type="dxa"/>
            <w:vAlign w:val="bottom"/>
          </w:tcPr>
          <w:p>
            <w:pPr>
              <w:spacing w:after="0"/>
              <w:rPr>
                <w:sz w:val="22"/>
                <w:szCs w:val="22"/>
                <w:color w:val="auto"/>
              </w:rPr>
            </w:pPr>
          </w:p>
        </w:tc>
        <w:tc>
          <w:tcPr>
            <w:tcW w:w="5500" w:type="dxa"/>
            <w:vAlign w:val="bottom"/>
            <w:gridSpan w:val="2"/>
          </w:tcPr>
          <w:p>
            <w:pPr>
              <w:ind w:left="840"/>
              <w:spacing w:after="0"/>
              <w:rPr>
                <w:sz w:val="20"/>
                <w:szCs w:val="20"/>
                <w:color w:val="auto"/>
              </w:rPr>
            </w:pPr>
            <w:r>
              <w:rPr>
                <w:rFonts w:ascii="Arial" w:cs="Arial" w:eastAsia="Arial" w:hAnsi="Arial"/>
                <w:sz w:val="20"/>
                <w:szCs w:val="20"/>
                <w:color w:val="auto"/>
              </w:rPr>
              <w:t>as a Financial Institution</w:t>
            </w:r>
          </w:p>
        </w:tc>
      </w:tr>
      <w:tr>
        <w:trPr>
          <w:trHeight w:val="695"/>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ind w:left="840"/>
              <w:spacing w:after="0"/>
              <w:rPr>
                <w:sz w:val="20"/>
                <w:szCs w:val="20"/>
                <w:color w:val="auto"/>
              </w:rPr>
            </w:pPr>
            <w:r>
              <w:rPr>
                <w:rFonts w:ascii="Arial" w:cs="Arial" w:eastAsia="Arial" w:hAnsi="Arial"/>
                <w:sz w:val="20"/>
                <w:szCs w:val="20"/>
                <w:color w:val="auto"/>
              </w:rPr>
              <w:t>By:</w:t>
            </w:r>
          </w:p>
        </w:tc>
        <w:tc>
          <w:tcPr>
            <w:tcW w:w="4020" w:type="dxa"/>
            <w:vAlign w:val="bottom"/>
          </w:tcPr>
          <w:p>
            <w:pPr>
              <w:jc w:val="right"/>
              <w:ind w:right="45"/>
              <w:spacing w:after="0"/>
              <w:rPr>
                <w:sz w:val="20"/>
                <w:szCs w:val="20"/>
                <w:color w:val="auto"/>
              </w:rPr>
            </w:pPr>
            <w:r>
              <w:rPr>
                <w:rFonts w:ascii="Arial" w:cs="Arial" w:eastAsia="Arial" w:hAnsi="Arial"/>
                <w:sz w:val="20"/>
                <w:szCs w:val="20"/>
                <w:color w:val="auto"/>
                <w:w w:val="91"/>
              </w:rPr>
              <w:t>______________________________________</w:t>
            </w:r>
          </w:p>
        </w:tc>
      </w:tr>
      <w:tr>
        <w:trPr>
          <w:trHeight w:val="243"/>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40"/>
              <w:spacing w:after="0"/>
              <w:rPr>
                <w:sz w:val="20"/>
                <w:szCs w:val="20"/>
                <w:color w:val="auto"/>
              </w:rPr>
            </w:pPr>
            <w:r>
              <w:rPr>
                <w:rFonts w:ascii="Arial" w:cs="Arial" w:eastAsia="Arial" w:hAnsi="Arial"/>
                <w:sz w:val="20"/>
                <w:szCs w:val="20"/>
                <w:color w:val="auto"/>
              </w:rPr>
              <w:t>Name:</w:t>
            </w:r>
          </w:p>
        </w:tc>
        <w:tc>
          <w:tcPr>
            <w:tcW w:w="402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40"/>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1"/>
                <w:szCs w:val="2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S-3</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31938977-NYCSR07A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73025</wp:posOffset>
            </wp:positionV>
            <wp:extent cx="554863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980" w:type="dxa"/>
            <w:vAlign w:val="bottom"/>
          </w:tcPr>
          <w:p>
            <w:pPr>
              <w:jc w:val="right"/>
              <w:spacing w:after="0"/>
              <w:rPr>
                <w:sz w:val="20"/>
                <w:szCs w:val="20"/>
                <w:color w:val="auto"/>
              </w:rPr>
            </w:pPr>
            <w:r>
              <w:rPr>
                <w:rFonts w:ascii="Arial" w:cs="Arial" w:eastAsia="Arial" w:hAnsi="Arial"/>
                <w:sz w:val="18"/>
                <w:szCs w:val="18"/>
                <w:i w:val="1"/>
                <w:iCs w:val="1"/>
                <w:color w:val="auto"/>
              </w:rPr>
              <w:t>Amendment No. 8 to</w:t>
            </w:r>
          </w:p>
        </w:tc>
      </w:tr>
      <w:tr>
        <w:trPr>
          <w:trHeight w:val="230"/>
        </w:trPr>
        <w:tc>
          <w:tcPr>
            <w:tcW w:w="1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980" w:type="dxa"/>
            <w:vAlign w:val="bottom"/>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1118"/>
        </w:trPr>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VICTORY RECEIVABLES CORPORATION,</w:t>
            </w:r>
          </w:p>
        </w:tc>
      </w:tr>
      <w:tr>
        <w:trPr>
          <w:trHeight w:val="250"/>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as a Company</w:t>
            </w:r>
          </w:p>
        </w:tc>
      </w:tr>
      <w:tr>
        <w:trPr>
          <w:trHeight w:val="695"/>
        </w:trPr>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ind w:left="820"/>
              <w:spacing w:after="0"/>
              <w:rPr>
                <w:sz w:val="20"/>
                <w:szCs w:val="20"/>
                <w:color w:val="auto"/>
              </w:rPr>
            </w:pPr>
            <w:r>
              <w:rPr>
                <w:rFonts w:ascii="Arial" w:cs="Arial" w:eastAsia="Arial" w:hAnsi="Arial"/>
                <w:sz w:val="20"/>
                <w:szCs w:val="20"/>
                <w:color w:val="auto"/>
              </w:rPr>
              <w:t>By:</w:t>
            </w:r>
          </w:p>
        </w:tc>
        <w:tc>
          <w:tcPr>
            <w:tcW w:w="3980" w:type="dxa"/>
            <w:vAlign w:val="bottom"/>
          </w:tcPr>
          <w:p>
            <w:pPr>
              <w:jc w:val="right"/>
              <w:ind w:right="25"/>
              <w:spacing w:after="0"/>
              <w:rPr>
                <w:sz w:val="20"/>
                <w:szCs w:val="20"/>
                <w:color w:val="auto"/>
              </w:rPr>
            </w:pPr>
            <w:r>
              <w:rPr>
                <w:rFonts w:ascii="Arial" w:cs="Arial" w:eastAsia="Arial" w:hAnsi="Arial"/>
                <w:sz w:val="20"/>
                <w:szCs w:val="20"/>
                <w:color w:val="auto"/>
                <w:w w:val="93"/>
              </w:rPr>
              <w:t>_____________________________________</w:t>
            </w:r>
          </w:p>
        </w:tc>
      </w:tr>
      <w:tr>
        <w:trPr>
          <w:trHeight w:val="243"/>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540" w:type="dxa"/>
            <w:vAlign w:val="bottom"/>
          </w:tcPr>
          <w:p>
            <w:pPr>
              <w:ind w:left="820"/>
              <w:spacing w:after="0"/>
              <w:rPr>
                <w:sz w:val="20"/>
                <w:szCs w:val="20"/>
                <w:color w:val="auto"/>
              </w:rPr>
            </w:pPr>
            <w:r>
              <w:rPr>
                <w:rFonts w:ascii="Arial" w:cs="Arial" w:eastAsia="Arial" w:hAnsi="Arial"/>
                <w:sz w:val="20"/>
                <w:szCs w:val="20"/>
                <w:color w:val="auto"/>
              </w:rPr>
              <w:t>Name:</w:t>
            </w:r>
          </w:p>
        </w:tc>
        <w:tc>
          <w:tcPr>
            <w:tcW w:w="398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540" w:type="dxa"/>
            <w:vAlign w:val="bottom"/>
          </w:tcPr>
          <w:p>
            <w:pPr>
              <w:ind w:left="820"/>
              <w:spacing w:after="0"/>
              <w:rPr>
                <w:sz w:val="20"/>
                <w:szCs w:val="20"/>
                <w:color w:val="auto"/>
              </w:rPr>
            </w:pPr>
            <w:r>
              <w:rPr>
                <w:rFonts w:ascii="Arial" w:cs="Arial" w:eastAsia="Arial" w:hAnsi="Arial"/>
                <w:sz w:val="20"/>
                <w:szCs w:val="20"/>
                <w:color w:val="auto"/>
              </w:rPr>
              <w:t>Title:</w:t>
            </w:r>
          </w:p>
        </w:tc>
        <w:tc>
          <w:tcPr>
            <w:tcW w:w="3980" w:type="dxa"/>
            <w:vAlign w:val="bottom"/>
          </w:tcPr>
          <w:p>
            <w:pPr>
              <w:spacing w:after="0"/>
              <w:rPr>
                <w:sz w:val="21"/>
                <w:szCs w:val="21"/>
                <w:color w:val="auto"/>
              </w:rPr>
            </w:pPr>
          </w:p>
        </w:tc>
      </w:tr>
      <w:tr>
        <w:trPr>
          <w:trHeight w:val="928"/>
        </w:trPr>
        <w:tc>
          <w:tcPr>
            <w:tcW w:w="3100" w:type="dxa"/>
            <w:vAlign w:val="bottom"/>
            <w:gridSpan w:val="2"/>
          </w:tcPr>
          <w:p>
            <w:pPr>
              <w:spacing w:after="0"/>
              <w:rPr>
                <w:sz w:val="20"/>
                <w:szCs w:val="20"/>
                <w:color w:val="auto"/>
              </w:rPr>
            </w:pPr>
            <w:r>
              <w:rPr>
                <w:rFonts w:ascii="Arial" w:cs="Arial" w:eastAsia="Arial" w:hAnsi="Arial"/>
                <w:sz w:val="20"/>
                <w:szCs w:val="20"/>
                <w:color w:val="auto"/>
              </w:rPr>
              <w:t>Commitment: $127,500,000</w:t>
            </w: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THE BANK OF TOKYO-MITSUBISHI UFJ, LTD.,</w:t>
            </w:r>
          </w:p>
        </w:tc>
      </w:tr>
      <w:tr>
        <w:trPr>
          <w:trHeight w:val="254"/>
        </w:trPr>
        <w:tc>
          <w:tcPr>
            <w:tcW w:w="1060" w:type="dxa"/>
            <w:vAlign w:val="bottom"/>
            <w:tcBorders>
              <w:top w:val="single" w:sz="8" w:color="auto"/>
            </w:tcBorders>
          </w:tcPr>
          <w:p>
            <w:pPr>
              <w:spacing w:after="0"/>
              <w:rPr>
                <w:sz w:val="22"/>
                <w:szCs w:val="22"/>
                <w:color w:val="auto"/>
              </w:rPr>
            </w:pPr>
          </w:p>
        </w:tc>
        <w:tc>
          <w:tcPr>
            <w:tcW w:w="2040" w:type="dxa"/>
            <w:vAlign w:val="bottom"/>
          </w:tcPr>
          <w:p>
            <w:pPr>
              <w:spacing w:after="0"/>
              <w:rPr>
                <w:sz w:val="22"/>
                <w:szCs w:val="22"/>
                <w:color w:val="auto"/>
              </w:rPr>
            </w:pP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NEW YORK BRANCH, as a Financial Institution</w:t>
            </w:r>
          </w:p>
        </w:tc>
      </w:tr>
      <w:tr>
        <w:trPr>
          <w:trHeight w:val="695"/>
        </w:trPr>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ind w:left="820"/>
              <w:spacing w:after="0"/>
              <w:rPr>
                <w:sz w:val="20"/>
                <w:szCs w:val="20"/>
                <w:color w:val="auto"/>
              </w:rPr>
            </w:pPr>
            <w:r>
              <w:rPr>
                <w:rFonts w:ascii="Arial" w:cs="Arial" w:eastAsia="Arial" w:hAnsi="Arial"/>
                <w:sz w:val="20"/>
                <w:szCs w:val="20"/>
                <w:color w:val="auto"/>
              </w:rPr>
              <w:t>By:</w:t>
            </w:r>
          </w:p>
        </w:tc>
        <w:tc>
          <w:tcPr>
            <w:tcW w:w="3980" w:type="dxa"/>
            <w:vAlign w:val="bottom"/>
          </w:tcPr>
          <w:p>
            <w:pPr>
              <w:jc w:val="right"/>
              <w:ind w:right="25"/>
              <w:spacing w:after="0"/>
              <w:rPr>
                <w:sz w:val="20"/>
                <w:szCs w:val="20"/>
                <w:color w:val="auto"/>
              </w:rPr>
            </w:pPr>
            <w:r>
              <w:rPr>
                <w:rFonts w:ascii="Arial" w:cs="Arial" w:eastAsia="Arial" w:hAnsi="Arial"/>
                <w:sz w:val="20"/>
                <w:szCs w:val="20"/>
                <w:color w:val="auto"/>
                <w:w w:val="93"/>
              </w:rPr>
              <w:t>_____________________________________</w:t>
            </w:r>
          </w:p>
        </w:tc>
      </w:tr>
      <w:tr>
        <w:trPr>
          <w:trHeight w:val="243"/>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540" w:type="dxa"/>
            <w:vAlign w:val="bottom"/>
          </w:tcPr>
          <w:p>
            <w:pPr>
              <w:ind w:left="820"/>
              <w:spacing w:after="0"/>
              <w:rPr>
                <w:sz w:val="20"/>
                <w:szCs w:val="20"/>
                <w:color w:val="auto"/>
              </w:rPr>
            </w:pPr>
            <w:r>
              <w:rPr>
                <w:rFonts w:ascii="Arial" w:cs="Arial" w:eastAsia="Arial" w:hAnsi="Arial"/>
                <w:sz w:val="20"/>
                <w:szCs w:val="20"/>
                <w:color w:val="auto"/>
              </w:rPr>
              <w:t>Name:</w:t>
            </w:r>
          </w:p>
        </w:tc>
        <w:tc>
          <w:tcPr>
            <w:tcW w:w="398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540" w:type="dxa"/>
            <w:vAlign w:val="bottom"/>
          </w:tcPr>
          <w:p>
            <w:pPr>
              <w:ind w:left="820"/>
              <w:spacing w:after="0"/>
              <w:rPr>
                <w:sz w:val="20"/>
                <w:szCs w:val="20"/>
                <w:color w:val="auto"/>
              </w:rPr>
            </w:pPr>
            <w:r>
              <w:rPr>
                <w:rFonts w:ascii="Arial" w:cs="Arial" w:eastAsia="Arial" w:hAnsi="Arial"/>
                <w:sz w:val="20"/>
                <w:szCs w:val="20"/>
                <w:color w:val="auto"/>
              </w:rPr>
              <w:t>Title:</w:t>
            </w:r>
          </w:p>
        </w:tc>
        <w:tc>
          <w:tcPr>
            <w:tcW w:w="3980" w:type="dxa"/>
            <w:vAlign w:val="bottom"/>
          </w:tcPr>
          <w:p>
            <w:pPr>
              <w:spacing w:after="0"/>
              <w:rPr>
                <w:sz w:val="21"/>
                <w:szCs w:val="2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S-4</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41938977-NYCSR07A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73025</wp:posOffset>
            </wp:positionV>
            <wp:extent cx="554863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i w:val="1"/>
                <w:iCs w:val="1"/>
                <w:color w:val="auto"/>
              </w:rPr>
              <w:t>Amendment No. 8 to</w:t>
            </w:r>
          </w:p>
        </w:tc>
      </w:tr>
      <w:tr>
        <w:trPr>
          <w:trHeight w:val="230"/>
        </w:trPr>
        <w:tc>
          <w:tcPr>
            <w:tcW w:w="1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20" w:type="dxa"/>
            <w:vAlign w:val="bottom"/>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888"/>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500" w:type="dxa"/>
            <w:vAlign w:val="bottom"/>
            <w:gridSpan w:val="2"/>
          </w:tcPr>
          <w:p>
            <w:pPr>
              <w:ind w:left="820"/>
              <w:spacing w:after="0"/>
              <w:rPr>
                <w:sz w:val="20"/>
                <w:szCs w:val="20"/>
                <w:color w:val="auto"/>
              </w:rPr>
            </w:pPr>
            <w:r>
              <w:rPr>
                <w:rFonts w:ascii="Arial" w:cs="Arial" w:eastAsia="Arial" w:hAnsi="Arial"/>
                <w:sz w:val="20"/>
                <w:szCs w:val="20"/>
                <w:color w:val="auto"/>
              </w:rPr>
              <w:t>PNC BANK, NATIONAL ASSOCIATION,</w:t>
            </w:r>
          </w:p>
        </w:tc>
      </w:tr>
      <w:tr>
        <w:trPr>
          <w:trHeight w:val="250"/>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500" w:type="dxa"/>
            <w:vAlign w:val="bottom"/>
            <w:gridSpan w:val="2"/>
          </w:tcPr>
          <w:p>
            <w:pPr>
              <w:ind w:left="820"/>
              <w:spacing w:after="0"/>
              <w:rPr>
                <w:sz w:val="20"/>
                <w:szCs w:val="20"/>
                <w:color w:val="auto"/>
              </w:rPr>
            </w:pPr>
            <w:r>
              <w:rPr>
                <w:rFonts w:ascii="Arial" w:cs="Arial" w:eastAsia="Arial" w:hAnsi="Arial"/>
                <w:sz w:val="20"/>
                <w:szCs w:val="20"/>
                <w:color w:val="auto"/>
              </w:rPr>
              <w:t>as a Company</w:t>
            </w:r>
          </w:p>
        </w:tc>
      </w:tr>
      <w:tr>
        <w:trPr>
          <w:trHeight w:val="695"/>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By:</w:t>
            </w:r>
          </w:p>
        </w:tc>
        <w:tc>
          <w:tcPr>
            <w:tcW w:w="4020" w:type="dxa"/>
            <w:vAlign w:val="bottom"/>
          </w:tcPr>
          <w:p>
            <w:pPr>
              <w:jc w:val="right"/>
              <w:ind w:right="45"/>
              <w:spacing w:after="0"/>
              <w:rPr>
                <w:sz w:val="20"/>
                <w:szCs w:val="20"/>
                <w:color w:val="auto"/>
              </w:rPr>
            </w:pPr>
            <w:r>
              <w:rPr>
                <w:rFonts w:ascii="Arial" w:cs="Arial" w:eastAsia="Arial" w:hAnsi="Arial"/>
                <w:sz w:val="20"/>
                <w:szCs w:val="20"/>
                <w:color w:val="auto"/>
                <w:w w:val="91"/>
              </w:rPr>
              <w:t>______________________________________</w:t>
            </w:r>
          </w:p>
        </w:tc>
      </w:tr>
      <w:tr>
        <w:trPr>
          <w:trHeight w:val="243"/>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Name:</w:t>
            </w:r>
          </w:p>
        </w:tc>
        <w:tc>
          <w:tcPr>
            <w:tcW w:w="402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1"/>
                <w:szCs w:val="21"/>
                <w:color w:val="auto"/>
              </w:rPr>
            </w:pPr>
          </w:p>
        </w:tc>
      </w:tr>
      <w:tr>
        <w:trPr>
          <w:trHeight w:val="928"/>
        </w:trPr>
        <w:tc>
          <w:tcPr>
            <w:tcW w:w="3120" w:type="dxa"/>
            <w:vAlign w:val="bottom"/>
            <w:gridSpan w:val="2"/>
          </w:tcPr>
          <w:p>
            <w:pPr>
              <w:spacing w:after="0"/>
              <w:rPr>
                <w:sz w:val="20"/>
                <w:szCs w:val="20"/>
                <w:color w:val="auto"/>
              </w:rPr>
            </w:pPr>
            <w:r>
              <w:rPr>
                <w:rFonts w:ascii="Arial" w:cs="Arial" w:eastAsia="Arial" w:hAnsi="Arial"/>
                <w:sz w:val="20"/>
                <w:szCs w:val="20"/>
                <w:color w:val="auto"/>
              </w:rPr>
              <w:t>Commitment: $125,000,000</w:t>
            </w:r>
          </w:p>
        </w:tc>
        <w:tc>
          <w:tcPr>
            <w:tcW w:w="5500" w:type="dxa"/>
            <w:vAlign w:val="bottom"/>
            <w:gridSpan w:val="2"/>
          </w:tcPr>
          <w:p>
            <w:pPr>
              <w:ind w:left="820"/>
              <w:spacing w:after="0"/>
              <w:rPr>
                <w:sz w:val="20"/>
                <w:szCs w:val="20"/>
                <w:color w:val="auto"/>
              </w:rPr>
            </w:pPr>
            <w:r>
              <w:rPr>
                <w:rFonts w:ascii="Arial" w:cs="Arial" w:eastAsia="Arial" w:hAnsi="Arial"/>
                <w:sz w:val="20"/>
                <w:szCs w:val="20"/>
                <w:color w:val="auto"/>
              </w:rPr>
              <w:t>PNC BANK, NATIONAL ASSOCIATION,</w:t>
            </w:r>
          </w:p>
        </w:tc>
      </w:tr>
      <w:tr>
        <w:trPr>
          <w:trHeight w:val="254"/>
        </w:trPr>
        <w:tc>
          <w:tcPr>
            <w:tcW w:w="1060" w:type="dxa"/>
            <w:vAlign w:val="bottom"/>
            <w:tcBorders>
              <w:top w:val="single" w:sz="8" w:color="auto"/>
            </w:tcBorders>
          </w:tcPr>
          <w:p>
            <w:pPr>
              <w:spacing w:after="0"/>
              <w:rPr>
                <w:sz w:val="22"/>
                <w:szCs w:val="22"/>
                <w:color w:val="auto"/>
              </w:rPr>
            </w:pPr>
          </w:p>
        </w:tc>
        <w:tc>
          <w:tcPr>
            <w:tcW w:w="2060" w:type="dxa"/>
            <w:vAlign w:val="bottom"/>
          </w:tcPr>
          <w:p>
            <w:pPr>
              <w:spacing w:after="0"/>
              <w:rPr>
                <w:sz w:val="22"/>
                <w:szCs w:val="22"/>
                <w:color w:val="auto"/>
              </w:rPr>
            </w:pPr>
          </w:p>
        </w:tc>
        <w:tc>
          <w:tcPr>
            <w:tcW w:w="5500" w:type="dxa"/>
            <w:vAlign w:val="bottom"/>
            <w:gridSpan w:val="2"/>
          </w:tcPr>
          <w:p>
            <w:pPr>
              <w:ind w:left="820"/>
              <w:spacing w:after="0"/>
              <w:rPr>
                <w:sz w:val="20"/>
                <w:szCs w:val="20"/>
                <w:color w:val="auto"/>
              </w:rPr>
            </w:pPr>
            <w:r>
              <w:rPr>
                <w:rFonts w:ascii="Arial" w:cs="Arial" w:eastAsia="Arial" w:hAnsi="Arial"/>
                <w:sz w:val="20"/>
                <w:szCs w:val="20"/>
                <w:color w:val="auto"/>
              </w:rPr>
              <w:t>as a Financial Institution</w:t>
            </w:r>
          </w:p>
        </w:tc>
      </w:tr>
      <w:tr>
        <w:trPr>
          <w:trHeight w:val="695"/>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By:</w:t>
            </w:r>
          </w:p>
        </w:tc>
        <w:tc>
          <w:tcPr>
            <w:tcW w:w="4020" w:type="dxa"/>
            <w:vAlign w:val="bottom"/>
          </w:tcPr>
          <w:p>
            <w:pPr>
              <w:jc w:val="right"/>
              <w:ind w:right="45"/>
              <w:spacing w:after="0"/>
              <w:rPr>
                <w:sz w:val="20"/>
                <w:szCs w:val="20"/>
                <w:color w:val="auto"/>
              </w:rPr>
            </w:pPr>
            <w:r>
              <w:rPr>
                <w:rFonts w:ascii="Arial" w:cs="Arial" w:eastAsia="Arial" w:hAnsi="Arial"/>
                <w:sz w:val="20"/>
                <w:szCs w:val="20"/>
                <w:color w:val="auto"/>
                <w:w w:val="91"/>
              </w:rPr>
              <w:t>______________________________________</w:t>
            </w:r>
          </w:p>
        </w:tc>
      </w:tr>
      <w:tr>
        <w:trPr>
          <w:trHeight w:val="243"/>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Name:</w:t>
            </w:r>
          </w:p>
        </w:tc>
        <w:tc>
          <w:tcPr>
            <w:tcW w:w="402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-1845945</wp:posOffset>
            </wp:positionV>
            <wp:extent cx="31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-327660</wp:posOffset>
            </wp:positionV>
            <wp:extent cx="31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S-5</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51938977-NYCSR07A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73025</wp:posOffset>
            </wp:positionV>
            <wp:extent cx="554863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jc w:val="right"/>
              <w:spacing w:after="0"/>
              <w:rPr>
                <w:sz w:val="20"/>
                <w:szCs w:val="20"/>
                <w:color w:val="auto"/>
              </w:rPr>
            </w:pPr>
            <w:r>
              <w:rPr>
                <w:rFonts w:ascii="Arial" w:cs="Arial" w:eastAsia="Arial" w:hAnsi="Arial"/>
                <w:sz w:val="18"/>
                <w:szCs w:val="18"/>
                <w:i w:val="1"/>
                <w:iCs w:val="1"/>
                <w:color w:val="auto"/>
              </w:rPr>
              <w:t>Amendment No. 8 to</w:t>
            </w:r>
          </w:p>
        </w:tc>
      </w:tr>
      <w:tr>
        <w:trPr>
          <w:trHeight w:val="230"/>
        </w:trPr>
        <w:tc>
          <w:tcPr>
            <w:tcW w:w="1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40" w:type="dxa"/>
            <w:vAlign w:val="bottom"/>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888"/>
        </w:trPr>
        <w:tc>
          <w:tcPr>
            <w:tcW w:w="1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560" w:type="dxa"/>
            <w:vAlign w:val="bottom"/>
            <w:gridSpan w:val="2"/>
          </w:tcPr>
          <w:p>
            <w:pPr>
              <w:ind w:left="880"/>
              <w:spacing w:after="0"/>
              <w:rPr>
                <w:sz w:val="20"/>
                <w:szCs w:val="20"/>
                <w:color w:val="auto"/>
              </w:rPr>
            </w:pPr>
            <w:r>
              <w:rPr>
                <w:rFonts w:ascii="Arial" w:cs="Arial" w:eastAsia="Arial" w:hAnsi="Arial"/>
                <w:sz w:val="20"/>
                <w:szCs w:val="20"/>
                <w:color w:val="auto"/>
              </w:rPr>
              <w:t>BRANCH BANKING AND TRUST COMPANY,</w:t>
            </w:r>
          </w:p>
        </w:tc>
      </w:tr>
      <w:tr>
        <w:trPr>
          <w:trHeight w:val="250"/>
        </w:trPr>
        <w:tc>
          <w:tcPr>
            <w:tcW w:w="1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560" w:type="dxa"/>
            <w:vAlign w:val="bottom"/>
            <w:gridSpan w:val="2"/>
          </w:tcPr>
          <w:p>
            <w:pPr>
              <w:ind w:left="880"/>
              <w:spacing w:after="0"/>
              <w:rPr>
                <w:sz w:val="20"/>
                <w:szCs w:val="20"/>
                <w:color w:val="auto"/>
              </w:rPr>
            </w:pPr>
            <w:r>
              <w:rPr>
                <w:rFonts w:ascii="Arial" w:cs="Arial" w:eastAsia="Arial" w:hAnsi="Arial"/>
                <w:sz w:val="20"/>
                <w:szCs w:val="20"/>
                <w:color w:val="auto"/>
              </w:rPr>
              <w:t>as a Company</w:t>
            </w:r>
          </w:p>
        </w:tc>
      </w:tr>
      <w:tr>
        <w:trPr>
          <w:trHeight w:val="695"/>
        </w:trPr>
        <w:tc>
          <w:tcPr>
            <w:tcW w:w="1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tcPr>
          <w:p>
            <w:pPr>
              <w:ind w:left="880"/>
              <w:spacing w:after="0"/>
              <w:rPr>
                <w:sz w:val="20"/>
                <w:szCs w:val="20"/>
                <w:color w:val="auto"/>
              </w:rPr>
            </w:pPr>
            <w:r>
              <w:rPr>
                <w:rFonts w:ascii="Arial" w:cs="Arial" w:eastAsia="Arial" w:hAnsi="Arial"/>
                <w:sz w:val="20"/>
                <w:szCs w:val="20"/>
                <w:color w:val="auto"/>
              </w:rPr>
              <w:t>By:</w:t>
            </w:r>
          </w:p>
        </w:tc>
        <w:tc>
          <w:tcPr>
            <w:tcW w:w="4040" w:type="dxa"/>
            <w:vAlign w:val="bottom"/>
          </w:tcPr>
          <w:p>
            <w:pPr>
              <w:jc w:val="right"/>
              <w:ind w:right="65"/>
              <w:spacing w:after="0"/>
              <w:rPr>
                <w:sz w:val="20"/>
                <w:szCs w:val="20"/>
                <w:color w:val="auto"/>
              </w:rPr>
            </w:pPr>
            <w:r>
              <w:rPr>
                <w:rFonts w:ascii="Arial" w:cs="Arial" w:eastAsia="Arial" w:hAnsi="Arial"/>
                <w:sz w:val="20"/>
                <w:szCs w:val="20"/>
                <w:color w:val="auto"/>
                <w:w w:val="91"/>
              </w:rPr>
              <w:t>______________________________________</w:t>
            </w:r>
          </w:p>
        </w:tc>
      </w:tr>
      <w:tr>
        <w:trPr>
          <w:trHeight w:val="243"/>
        </w:trPr>
        <w:tc>
          <w:tcPr>
            <w:tcW w:w="1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20" w:type="dxa"/>
            <w:vAlign w:val="bottom"/>
          </w:tcPr>
          <w:p>
            <w:pPr>
              <w:ind w:left="880"/>
              <w:spacing w:after="0"/>
              <w:rPr>
                <w:sz w:val="20"/>
                <w:szCs w:val="20"/>
                <w:color w:val="auto"/>
              </w:rPr>
            </w:pPr>
            <w:r>
              <w:rPr>
                <w:rFonts w:ascii="Arial" w:cs="Arial" w:eastAsia="Arial" w:hAnsi="Arial"/>
                <w:sz w:val="20"/>
                <w:szCs w:val="20"/>
                <w:color w:val="auto"/>
              </w:rPr>
              <w:t>Name:</w:t>
            </w:r>
          </w:p>
        </w:tc>
        <w:tc>
          <w:tcPr>
            <w:tcW w:w="404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20" w:type="dxa"/>
            <w:vAlign w:val="bottom"/>
          </w:tcPr>
          <w:p>
            <w:pPr>
              <w:ind w:left="880"/>
              <w:spacing w:after="0"/>
              <w:rPr>
                <w:sz w:val="20"/>
                <w:szCs w:val="20"/>
                <w:color w:val="auto"/>
              </w:rPr>
            </w:pPr>
            <w:r>
              <w:rPr>
                <w:rFonts w:ascii="Arial" w:cs="Arial" w:eastAsia="Arial" w:hAnsi="Arial"/>
                <w:sz w:val="20"/>
                <w:szCs w:val="20"/>
                <w:color w:val="auto"/>
              </w:rPr>
              <w:t>Title:</w:t>
            </w:r>
          </w:p>
        </w:tc>
        <w:tc>
          <w:tcPr>
            <w:tcW w:w="4040" w:type="dxa"/>
            <w:vAlign w:val="bottom"/>
          </w:tcPr>
          <w:p>
            <w:pPr>
              <w:spacing w:after="0"/>
              <w:rPr>
                <w:sz w:val="21"/>
                <w:szCs w:val="21"/>
                <w:color w:val="auto"/>
              </w:rPr>
            </w:pPr>
          </w:p>
        </w:tc>
      </w:tr>
      <w:tr>
        <w:trPr>
          <w:trHeight w:val="928"/>
        </w:trPr>
        <w:tc>
          <w:tcPr>
            <w:tcW w:w="3060" w:type="dxa"/>
            <w:vAlign w:val="bottom"/>
            <w:gridSpan w:val="2"/>
          </w:tcPr>
          <w:p>
            <w:pPr>
              <w:spacing w:after="0"/>
              <w:rPr>
                <w:sz w:val="20"/>
                <w:szCs w:val="20"/>
                <w:color w:val="auto"/>
              </w:rPr>
            </w:pPr>
            <w:r>
              <w:rPr>
                <w:rFonts w:ascii="Arial" w:cs="Arial" w:eastAsia="Arial" w:hAnsi="Arial"/>
                <w:sz w:val="20"/>
                <w:szCs w:val="20"/>
                <w:color w:val="auto"/>
              </w:rPr>
              <w:t>Commitment: $75,000,000</w:t>
            </w:r>
          </w:p>
        </w:tc>
        <w:tc>
          <w:tcPr>
            <w:tcW w:w="5560" w:type="dxa"/>
            <w:vAlign w:val="bottom"/>
            <w:gridSpan w:val="2"/>
          </w:tcPr>
          <w:p>
            <w:pPr>
              <w:ind w:left="880"/>
              <w:spacing w:after="0"/>
              <w:rPr>
                <w:sz w:val="20"/>
                <w:szCs w:val="20"/>
                <w:color w:val="auto"/>
              </w:rPr>
            </w:pPr>
            <w:r>
              <w:rPr>
                <w:rFonts w:ascii="Arial" w:cs="Arial" w:eastAsia="Arial" w:hAnsi="Arial"/>
                <w:sz w:val="20"/>
                <w:szCs w:val="20"/>
                <w:color w:val="auto"/>
              </w:rPr>
              <w:t>BRANCH BANKING AND TRUST COMPANY,</w:t>
            </w:r>
          </w:p>
        </w:tc>
      </w:tr>
      <w:tr>
        <w:trPr>
          <w:trHeight w:val="254"/>
        </w:trPr>
        <w:tc>
          <w:tcPr>
            <w:tcW w:w="1060" w:type="dxa"/>
            <w:vAlign w:val="bottom"/>
            <w:tcBorders>
              <w:top w:val="single" w:sz="8" w:color="auto"/>
            </w:tcBorders>
          </w:tcPr>
          <w:p>
            <w:pPr>
              <w:spacing w:after="0"/>
              <w:rPr>
                <w:sz w:val="22"/>
                <w:szCs w:val="22"/>
                <w:color w:val="auto"/>
              </w:rPr>
            </w:pPr>
          </w:p>
        </w:tc>
        <w:tc>
          <w:tcPr>
            <w:tcW w:w="2000" w:type="dxa"/>
            <w:vAlign w:val="bottom"/>
          </w:tcPr>
          <w:p>
            <w:pPr>
              <w:spacing w:after="0"/>
              <w:rPr>
                <w:sz w:val="22"/>
                <w:szCs w:val="22"/>
                <w:color w:val="auto"/>
              </w:rPr>
            </w:pPr>
          </w:p>
        </w:tc>
        <w:tc>
          <w:tcPr>
            <w:tcW w:w="5560" w:type="dxa"/>
            <w:vAlign w:val="bottom"/>
            <w:gridSpan w:val="2"/>
          </w:tcPr>
          <w:p>
            <w:pPr>
              <w:ind w:left="880"/>
              <w:spacing w:after="0"/>
              <w:rPr>
                <w:sz w:val="20"/>
                <w:szCs w:val="20"/>
                <w:color w:val="auto"/>
              </w:rPr>
            </w:pPr>
            <w:r>
              <w:rPr>
                <w:rFonts w:ascii="Arial" w:cs="Arial" w:eastAsia="Arial" w:hAnsi="Arial"/>
                <w:sz w:val="20"/>
                <w:szCs w:val="20"/>
                <w:color w:val="auto"/>
              </w:rPr>
              <w:t>as a Financial Institution</w:t>
            </w:r>
          </w:p>
        </w:tc>
      </w:tr>
      <w:tr>
        <w:trPr>
          <w:trHeight w:val="695"/>
        </w:trPr>
        <w:tc>
          <w:tcPr>
            <w:tcW w:w="1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tcPr>
          <w:p>
            <w:pPr>
              <w:ind w:left="880"/>
              <w:spacing w:after="0"/>
              <w:rPr>
                <w:sz w:val="20"/>
                <w:szCs w:val="20"/>
                <w:color w:val="auto"/>
              </w:rPr>
            </w:pPr>
            <w:r>
              <w:rPr>
                <w:rFonts w:ascii="Arial" w:cs="Arial" w:eastAsia="Arial" w:hAnsi="Arial"/>
                <w:sz w:val="20"/>
                <w:szCs w:val="20"/>
                <w:color w:val="auto"/>
              </w:rPr>
              <w:t>By:</w:t>
            </w:r>
          </w:p>
        </w:tc>
        <w:tc>
          <w:tcPr>
            <w:tcW w:w="4040" w:type="dxa"/>
            <w:vAlign w:val="bottom"/>
          </w:tcPr>
          <w:p>
            <w:pPr>
              <w:jc w:val="right"/>
              <w:ind w:right="65"/>
              <w:spacing w:after="0"/>
              <w:rPr>
                <w:sz w:val="20"/>
                <w:szCs w:val="20"/>
                <w:color w:val="auto"/>
              </w:rPr>
            </w:pPr>
            <w:r>
              <w:rPr>
                <w:rFonts w:ascii="Arial" w:cs="Arial" w:eastAsia="Arial" w:hAnsi="Arial"/>
                <w:sz w:val="20"/>
                <w:szCs w:val="20"/>
                <w:color w:val="auto"/>
                <w:w w:val="91"/>
              </w:rPr>
              <w:t>______________________________________</w:t>
            </w:r>
          </w:p>
        </w:tc>
      </w:tr>
      <w:tr>
        <w:trPr>
          <w:trHeight w:val="243"/>
        </w:trPr>
        <w:tc>
          <w:tcPr>
            <w:tcW w:w="1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20" w:type="dxa"/>
            <w:vAlign w:val="bottom"/>
          </w:tcPr>
          <w:p>
            <w:pPr>
              <w:ind w:left="880"/>
              <w:spacing w:after="0"/>
              <w:rPr>
                <w:sz w:val="20"/>
                <w:szCs w:val="20"/>
                <w:color w:val="auto"/>
              </w:rPr>
            </w:pPr>
            <w:r>
              <w:rPr>
                <w:rFonts w:ascii="Arial" w:cs="Arial" w:eastAsia="Arial" w:hAnsi="Arial"/>
                <w:sz w:val="20"/>
                <w:szCs w:val="20"/>
                <w:color w:val="auto"/>
              </w:rPr>
              <w:t>Name:</w:t>
            </w:r>
          </w:p>
        </w:tc>
        <w:tc>
          <w:tcPr>
            <w:tcW w:w="404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20" w:type="dxa"/>
            <w:vAlign w:val="bottom"/>
          </w:tcPr>
          <w:p>
            <w:pPr>
              <w:ind w:left="880"/>
              <w:spacing w:after="0"/>
              <w:rPr>
                <w:sz w:val="20"/>
                <w:szCs w:val="20"/>
                <w:color w:val="auto"/>
              </w:rPr>
            </w:pPr>
            <w:r>
              <w:rPr>
                <w:rFonts w:ascii="Arial" w:cs="Arial" w:eastAsia="Arial" w:hAnsi="Arial"/>
                <w:sz w:val="20"/>
                <w:szCs w:val="20"/>
                <w:color w:val="auto"/>
              </w:rPr>
              <w:t>Title:</w:t>
            </w:r>
          </w:p>
        </w:tc>
        <w:tc>
          <w:tcPr>
            <w:tcW w:w="40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S-6</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61938977-NYCSR07A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73025</wp:posOffset>
            </wp:positionV>
            <wp:extent cx="554863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i w:val="1"/>
                <w:iCs w:val="1"/>
                <w:color w:val="auto"/>
              </w:rPr>
              <w:t>Amendment No. 8 to</w:t>
            </w:r>
          </w:p>
        </w:tc>
      </w:tr>
      <w:tr>
        <w:trPr>
          <w:trHeight w:val="230"/>
        </w:trPr>
        <w:tc>
          <w:tcPr>
            <w:tcW w:w="1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20" w:type="dxa"/>
            <w:vAlign w:val="bottom"/>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888"/>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500" w:type="dxa"/>
            <w:vAlign w:val="bottom"/>
            <w:gridSpan w:val="2"/>
          </w:tcPr>
          <w:p>
            <w:pPr>
              <w:ind w:left="820"/>
              <w:spacing w:after="0"/>
              <w:rPr>
                <w:sz w:val="20"/>
                <w:szCs w:val="20"/>
                <w:color w:val="auto"/>
              </w:rPr>
            </w:pPr>
            <w:r>
              <w:rPr>
                <w:rFonts w:ascii="Arial" w:cs="Arial" w:eastAsia="Arial" w:hAnsi="Arial"/>
                <w:sz w:val="20"/>
                <w:szCs w:val="20"/>
                <w:color w:val="auto"/>
              </w:rPr>
              <w:t>WELLS FARGO BANK, NATIONAL ASSOCIATION,</w:t>
            </w:r>
          </w:p>
        </w:tc>
      </w:tr>
      <w:tr>
        <w:trPr>
          <w:trHeight w:val="250"/>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500" w:type="dxa"/>
            <w:vAlign w:val="bottom"/>
            <w:gridSpan w:val="2"/>
          </w:tcPr>
          <w:p>
            <w:pPr>
              <w:ind w:left="820"/>
              <w:spacing w:after="0"/>
              <w:rPr>
                <w:sz w:val="20"/>
                <w:szCs w:val="20"/>
                <w:color w:val="auto"/>
              </w:rPr>
            </w:pPr>
            <w:r>
              <w:rPr>
                <w:rFonts w:ascii="Arial" w:cs="Arial" w:eastAsia="Arial" w:hAnsi="Arial"/>
                <w:sz w:val="20"/>
                <w:szCs w:val="20"/>
                <w:color w:val="auto"/>
              </w:rPr>
              <w:t>as a Company</w:t>
            </w:r>
          </w:p>
        </w:tc>
      </w:tr>
      <w:tr>
        <w:trPr>
          <w:trHeight w:val="695"/>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By:</w:t>
            </w:r>
          </w:p>
        </w:tc>
        <w:tc>
          <w:tcPr>
            <w:tcW w:w="4020" w:type="dxa"/>
            <w:vAlign w:val="bottom"/>
          </w:tcPr>
          <w:p>
            <w:pPr>
              <w:jc w:val="right"/>
              <w:ind w:right="45"/>
              <w:spacing w:after="0"/>
              <w:rPr>
                <w:sz w:val="20"/>
                <w:szCs w:val="20"/>
                <w:color w:val="auto"/>
              </w:rPr>
            </w:pPr>
            <w:r>
              <w:rPr>
                <w:rFonts w:ascii="Arial" w:cs="Arial" w:eastAsia="Arial" w:hAnsi="Arial"/>
                <w:sz w:val="20"/>
                <w:szCs w:val="20"/>
                <w:color w:val="auto"/>
                <w:w w:val="91"/>
              </w:rPr>
              <w:t>______________________________________</w:t>
            </w:r>
          </w:p>
        </w:tc>
      </w:tr>
      <w:tr>
        <w:trPr>
          <w:trHeight w:val="243"/>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Name:</w:t>
            </w:r>
          </w:p>
        </w:tc>
        <w:tc>
          <w:tcPr>
            <w:tcW w:w="402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1"/>
                <w:szCs w:val="21"/>
                <w:color w:val="auto"/>
              </w:rPr>
            </w:pPr>
          </w:p>
        </w:tc>
      </w:tr>
      <w:tr>
        <w:trPr>
          <w:trHeight w:val="928"/>
        </w:trPr>
        <w:tc>
          <w:tcPr>
            <w:tcW w:w="3120" w:type="dxa"/>
            <w:vAlign w:val="bottom"/>
            <w:gridSpan w:val="2"/>
          </w:tcPr>
          <w:p>
            <w:pPr>
              <w:spacing w:after="0"/>
              <w:rPr>
                <w:sz w:val="20"/>
                <w:szCs w:val="20"/>
                <w:color w:val="auto"/>
              </w:rPr>
            </w:pPr>
            <w:r>
              <w:rPr>
                <w:rFonts w:ascii="Arial" w:cs="Arial" w:eastAsia="Arial" w:hAnsi="Arial"/>
                <w:sz w:val="20"/>
                <w:szCs w:val="20"/>
                <w:color w:val="auto"/>
              </w:rPr>
              <w:t>Commitment: $150,000,000</w:t>
            </w:r>
          </w:p>
        </w:tc>
        <w:tc>
          <w:tcPr>
            <w:tcW w:w="5500" w:type="dxa"/>
            <w:vAlign w:val="bottom"/>
            <w:gridSpan w:val="2"/>
          </w:tcPr>
          <w:p>
            <w:pPr>
              <w:ind w:left="820"/>
              <w:spacing w:after="0"/>
              <w:rPr>
                <w:sz w:val="20"/>
                <w:szCs w:val="20"/>
                <w:color w:val="auto"/>
              </w:rPr>
            </w:pPr>
            <w:r>
              <w:rPr>
                <w:rFonts w:ascii="Arial" w:cs="Arial" w:eastAsia="Arial" w:hAnsi="Arial"/>
                <w:sz w:val="20"/>
                <w:szCs w:val="20"/>
                <w:color w:val="auto"/>
              </w:rPr>
              <w:t>WELLS FARGO BANK, NATIONAL ASSOCIATION,</w:t>
            </w:r>
          </w:p>
        </w:tc>
      </w:tr>
      <w:tr>
        <w:trPr>
          <w:trHeight w:val="254"/>
        </w:trPr>
        <w:tc>
          <w:tcPr>
            <w:tcW w:w="1060" w:type="dxa"/>
            <w:vAlign w:val="bottom"/>
            <w:tcBorders>
              <w:top w:val="single" w:sz="8" w:color="auto"/>
            </w:tcBorders>
          </w:tcPr>
          <w:p>
            <w:pPr>
              <w:spacing w:after="0"/>
              <w:rPr>
                <w:sz w:val="22"/>
                <w:szCs w:val="22"/>
                <w:color w:val="auto"/>
              </w:rPr>
            </w:pPr>
          </w:p>
        </w:tc>
        <w:tc>
          <w:tcPr>
            <w:tcW w:w="2060" w:type="dxa"/>
            <w:vAlign w:val="bottom"/>
          </w:tcPr>
          <w:p>
            <w:pPr>
              <w:spacing w:after="0"/>
              <w:rPr>
                <w:sz w:val="22"/>
                <w:szCs w:val="22"/>
                <w:color w:val="auto"/>
              </w:rPr>
            </w:pPr>
          </w:p>
        </w:tc>
        <w:tc>
          <w:tcPr>
            <w:tcW w:w="5500" w:type="dxa"/>
            <w:vAlign w:val="bottom"/>
            <w:gridSpan w:val="2"/>
          </w:tcPr>
          <w:p>
            <w:pPr>
              <w:ind w:left="820"/>
              <w:spacing w:after="0"/>
              <w:rPr>
                <w:sz w:val="20"/>
                <w:szCs w:val="20"/>
                <w:color w:val="auto"/>
              </w:rPr>
            </w:pPr>
            <w:r>
              <w:rPr>
                <w:rFonts w:ascii="Arial" w:cs="Arial" w:eastAsia="Arial" w:hAnsi="Arial"/>
                <w:sz w:val="20"/>
                <w:szCs w:val="20"/>
                <w:color w:val="auto"/>
              </w:rPr>
              <w:t>as a Financial Institution</w:t>
            </w:r>
          </w:p>
        </w:tc>
      </w:tr>
      <w:tr>
        <w:trPr>
          <w:trHeight w:val="695"/>
        </w:trPr>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By:</w:t>
            </w:r>
          </w:p>
        </w:tc>
        <w:tc>
          <w:tcPr>
            <w:tcW w:w="4020" w:type="dxa"/>
            <w:vAlign w:val="bottom"/>
          </w:tcPr>
          <w:p>
            <w:pPr>
              <w:jc w:val="right"/>
              <w:ind w:right="45"/>
              <w:spacing w:after="0"/>
              <w:rPr>
                <w:sz w:val="20"/>
                <w:szCs w:val="20"/>
                <w:color w:val="auto"/>
              </w:rPr>
            </w:pPr>
            <w:r>
              <w:rPr>
                <w:rFonts w:ascii="Arial" w:cs="Arial" w:eastAsia="Arial" w:hAnsi="Arial"/>
                <w:sz w:val="20"/>
                <w:szCs w:val="20"/>
                <w:color w:val="auto"/>
                <w:w w:val="91"/>
              </w:rPr>
              <w:t>______________________________________</w:t>
            </w:r>
          </w:p>
        </w:tc>
      </w:tr>
      <w:tr>
        <w:trPr>
          <w:trHeight w:val="243"/>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Name:</w:t>
            </w:r>
          </w:p>
        </w:tc>
        <w:tc>
          <w:tcPr>
            <w:tcW w:w="402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S-7</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71938977-NYCSR07A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73025</wp:posOffset>
            </wp:positionV>
            <wp:extent cx="554863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40" w:type="dxa"/>
            <w:vAlign w:val="bottom"/>
          </w:tcPr>
          <w:p>
            <w:pPr>
              <w:jc w:val="right"/>
              <w:spacing w:after="0"/>
              <w:rPr>
                <w:sz w:val="20"/>
                <w:szCs w:val="20"/>
                <w:color w:val="auto"/>
              </w:rPr>
            </w:pPr>
            <w:r>
              <w:rPr>
                <w:rFonts w:ascii="Arial" w:cs="Arial" w:eastAsia="Arial" w:hAnsi="Arial"/>
                <w:sz w:val="18"/>
                <w:szCs w:val="18"/>
                <w:i w:val="1"/>
                <w:iCs w:val="1"/>
                <w:color w:val="auto"/>
              </w:rPr>
              <w:t>Amendment No. 8 to</w:t>
            </w:r>
          </w:p>
        </w:tc>
      </w:tr>
      <w:tr>
        <w:trPr>
          <w:trHeight w:val="230"/>
        </w:trPr>
        <w:tc>
          <w:tcPr>
            <w:tcW w:w="1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40" w:type="dxa"/>
            <w:vAlign w:val="bottom"/>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888"/>
        </w:trPr>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MANHATTAN ASSET FUNDING</w:t>
            </w:r>
          </w:p>
        </w:tc>
      </w:tr>
      <w:tr>
        <w:trPr>
          <w:trHeight w:val="250"/>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COMPANY LLC, as a Company</w:t>
            </w:r>
          </w:p>
        </w:tc>
      </w:tr>
      <w:tr>
        <w:trPr>
          <w:trHeight w:val="473"/>
        </w:trPr>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By:</w:t>
            </w:r>
          </w:p>
        </w:tc>
        <w:tc>
          <w:tcPr>
            <w:tcW w:w="4040" w:type="dxa"/>
            <w:vAlign w:val="bottom"/>
          </w:tcPr>
          <w:p>
            <w:pPr>
              <w:ind w:left="120"/>
              <w:spacing w:after="0"/>
              <w:rPr>
                <w:sz w:val="20"/>
                <w:szCs w:val="20"/>
                <w:color w:val="auto"/>
              </w:rPr>
            </w:pPr>
            <w:r>
              <w:rPr>
                <w:rFonts w:ascii="Arial" w:cs="Arial" w:eastAsia="Arial" w:hAnsi="Arial"/>
                <w:sz w:val="20"/>
                <w:szCs w:val="20"/>
                <w:color w:val="auto"/>
              </w:rPr>
              <w:t>MAF Receivables Corp., its member</w:t>
            </w:r>
          </w:p>
        </w:tc>
      </w:tr>
      <w:tr>
        <w:trPr>
          <w:trHeight w:val="695"/>
        </w:trPr>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By:</w:t>
            </w:r>
          </w:p>
        </w:tc>
        <w:tc>
          <w:tcPr>
            <w:tcW w:w="4040" w:type="dxa"/>
            <w:vAlign w:val="bottom"/>
          </w:tcPr>
          <w:p>
            <w:pPr>
              <w:ind w:left="120"/>
              <w:spacing w:after="0"/>
              <w:rPr>
                <w:sz w:val="20"/>
                <w:szCs w:val="20"/>
                <w:color w:val="auto"/>
              </w:rPr>
            </w:pPr>
            <w:r>
              <w:rPr>
                <w:rFonts w:ascii="Arial" w:cs="Arial" w:eastAsia="Arial" w:hAnsi="Arial"/>
                <w:sz w:val="20"/>
                <w:szCs w:val="20"/>
                <w:color w:val="auto"/>
                <w:w w:val="92"/>
              </w:rPr>
              <w:t>______________________________________</w:t>
            </w:r>
          </w:p>
        </w:tc>
      </w:tr>
      <w:tr>
        <w:trPr>
          <w:trHeight w:val="243"/>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Name:</w:t>
            </w:r>
          </w:p>
        </w:tc>
        <w:tc>
          <w:tcPr>
            <w:tcW w:w="404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Title:</w:t>
            </w:r>
          </w:p>
        </w:tc>
        <w:tc>
          <w:tcPr>
            <w:tcW w:w="4040" w:type="dxa"/>
            <w:vAlign w:val="bottom"/>
          </w:tcPr>
          <w:p>
            <w:pPr>
              <w:spacing w:after="0"/>
              <w:rPr>
                <w:sz w:val="21"/>
                <w:szCs w:val="21"/>
                <w:color w:val="auto"/>
              </w:rPr>
            </w:pPr>
          </w:p>
        </w:tc>
      </w:tr>
      <w:tr>
        <w:trPr>
          <w:trHeight w:val="952"/>
        </w:trPr>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SMBC NIKKO SECURITIES AMERICA, INC.,</w:t>
            </w:r>
          </w:p>
        </w:tc>
      </w:tr>
      <w:tr>
        <w:trPr>
          <w:trHeight w:val="250"/>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as agent for the SMBC Company</w:t>
            </w:r>
          </w:p>
        </w:tc>
      </w:tr>
      <w:tr>
        <w:trPr>
          <w:trHeight w:val="695"/>
        </w:trPr>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By:</w:t>
            </w:r>
          </w:p>
        </w:tc>
        <w:tc>
          <w:tcPr>
            <w:tcW w:w="4040" w:type="dxa"/>
            <w:vAlign w:val="bottom"/>
          </w:tcPr>
          <w:p>
            <w:pPr>
              <w:ind w:left="120"/>
              <w:spacing w:after="0"/>
              <w:rPr>
                <w:sz w:val="20"/>
                <w:szCs w:val="20"/>
                <w:color w:val="auto"/>
              </w:rPr>
            </w:pPr>
            <w:r>
              <w:rPr>
                <w:rFonts w:ascii="Arial" w:cs="Arial" w:eastAsia="Arial" w:hAnsi="Arial"/>
                <w:sz w:val="20"/>
                <w:szCs w:val="20"/>
                <w:color w:val="auto"/>
                <w:w w:val="92"/>
              </w:rPr>
              <w:t>______________________________________</w:t>
            </w:r>
          </w:p>
        </w:tc>
      </w:tr>
      <w:tr>
        <w:trPr>
          <w:trHeight w:val="243"/>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Name:</w:t>
            </w:r>
          </w:p>
        </w:tc>
        <w:tc>
          <w:tcPr>
            <w:tcW w:w="404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Title:</w:t>
            </w:r>
          </w:p>
        </w:tc>
        <w:tc>
          <w:tcPr>
            <w:tcW w:w="4040" w:type="dxa"/>
            <w:vAlign w:val="bottom"/>
          </w:tcPr>
          <w:p>
            <w:pPr>
              <w:spacing w:after="0"/>
              <w:rPr>
                <w:sz w:val="21"/>
                <w:szCs w:val="21"/>
                <w:color w:val="auto"/>
              </w:rPr>
            </w:pPr>
          </w:p>
        </w:tc>
      </w:tr>
      <w:tr>
        <w:trPr>
          <w:trHeight w:val="928"/>
        </w:trPr>
        <w:tc>
          <w:tcPr>
            <w:tcW w:w="3100" w:type="dxa"/>
            <w:vAlign w:val="bottom"/>
            <w:gridSpan w:val="2"/>
          </w:tcPr>
          <w:p>
            <w:pPr>
              <w:spacing w:after="0"/>
              <w:rPr>
                <w:sz w:val="20"/>
                <w:szCs w:val="20"/>
                <w:color w:val="auto"/>
              </w:rPr>
            </w:pPr>
            <w:r>
              <w:rPr>
                <w:rFonts w:ascii="Arial" w:cs="Arial" w:eastAsia="Arial" w:hAnsi="Arial"/>
                <w:sz w:val="20"/>
                <w:szCs w:val="20"/>
                <w:color w:val="auto"/>
              </w:rPr>
              <w:t>Commitment: $127,500,000</w:t>
            </w: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SUMITOMO MITSUI BANKING CORPORATION, as</w:t>
            </w:r>
          </w:p>
        </w:tc>
      </w:tr>
      <w:tr>
        <w:trPr>
          <w:trHeight w:val="254"/>
        </w:trPr>
        <w:tc>
          <w:tcPr>
            <w:tcW w:w="1060" w:type="dxa"/>
            <w:vAlign w:val="bottom"/>
            <w:tcBorders>
              <w:top w:val="single" w:sz="8" w:color="auto"/>
            </w:tcBorders>
          </w:tcPr>
          <w:p>
            <w:pPr>
              <w:spacing w:after="0"/>
              <w:rPr>
                <w:sz w:val="22"/>
                <w:szCs w:val="22"/>
                <w:color w:val="auto"/>
              </w:rPr>
            </w:pPr>
          </w:p>
        </w:tc>
        <w:tc>
          <w:tcPr>
            <w:tcW w:w="2040" w:type="dxa"/>
            <w:vAlign w:val="bottom"/>
          </w:tcPr>
          <w:p>
            <w:pPr>
              <w:spacing w:after="0"/>
              <w:rPr>
                <w:sz w:val="22"/>
                <w:szCs w:val="22"/>
                <w:color w:val="auto"/>
              </w:rPr>
            </w:pPr>
          </w:p>
        </w:tc>
        <w:tc>
          <w:tcPr>
            <w:tcW w:w="5520" w:type="dxa"/>
            <w:vAlign w:val="bottom"/>
            <w:gridSpan w:val="2"/>
          </w:tcPr>
          <w:p>
            <w:pPr>
              <w:ind w:left="820"/>
              <w:spacing w:after="0"/>
              <w:rPr>
                <w:sz w:val="20"/>
                <w:szCs w:val="20"/>
                <w:color w:val="auto"/>
              </w:rPr>
            </w:pPr>
            <w:r>
              <w:rPr>
                <w:rFonts w:ascii="Arial" w:cs="Arial" w:eastAsia="Arial" w:hAnsi="Arial"/>
                <w:sz w:val="20"/>
                <w:szCs w:val="20"/>
                <w:color w:val="auto"/>
              </w:rPr>
              <w:t>a Financial Institution</w:t>
            </w:r>
          </w:p>
        </w:tc>
      </w:tr>
      <w:tr>
        <w:trPr>
          <w:trHeight w:val="695"/>
        </w:trPr>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By:</w:t>
            </w:r>
          </w:p>
        </w:tc>
        <w:tc>
          <w:tcPr>
            <w:tcW w:w="4040" w:type="dxa"/>
            <w:vAlign w:val="bottom"/>
          </w:tcPr>
          <w:p>
            <w:pPr>
              <w:ind w:left="120"/>
              <w:spacing w:after="0"/>
              <w:rPr>
                <w:sz w:val="20"/>
                <w:szCs w:val="20"/>
                <w:color w:val="auto"/>
              </w:rPr>
            </w:pPr>
            <w:r>
              <w:rPr>
                <w:rFonts w:ascii="Arial" w:cs="Arial" w:eastAsia="Arial" w:hAnsi="Arial"/>
                <w:sz w:val="20"/>
                <w:szCs w:val="20"/>
                <w:color w:val="auto"/>
                <w:w w:val="92"/>
              </w:rPr>
              <w:t>______________________________________</w:t>
            </w:r>
          </w:p>
        </w:tc>
      </w:tr>
      <w:tr>
        <w:trPr>
          <w:trHeight w:val="243"/>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Name:</w:t>
            </w:r>
          </w:p>
        </w:tc>
        <w:tc>
          <w:tcPr>
            <w:tcW w:w="4040" w:type="dxa"/>
            <w:vAlign w:val="bottom"/>
          </w:tcPr>
          <w:p>
            <w:pPr>
              <w:spacing w:after="0"/>
              <w:rPr>
                <w:sz w:val="21"/>
                <w:szCs w:val="21"/>
                <w:color w:val="auto"/>
              </w:rPr>
            </w:pPr>
          </w:p>
        </w:tc>
      </w:tr>
      <w:tr>
        <w:trPr>
          <w:trHeight w:val="250"/>
        </w:trPr>
        <w:tc>
          <w:tcPr>
            <w:tcW w:w="10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Arial" w:cs="Arial" w:eastAsia="Arial" w:hAnsi="Arial"/>
                <w:sz w:val="20"/>
                <w:szCs w:val="20"/>
                <w:color w:val="auto"/>
              </w:rPr>
              <w:t>Title:</w:t>
            </w:r>
          </w:p>
        </w:tc>
        <w:tc>
          <w:tcPr>
            <w:tcW w:w="4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-1845945</wp:posOffset>
            </wp:positionV>
            <wp:extent cx="31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-327660</wp:posOffset>
            </wp:positionV>
            <wp:extent cx="311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S-8</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81938977-NYCSR07A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73025</wp:posOffset>
            </wp:positionV>
            <wp:extent cx="554863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3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661225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KEVIN MORIARTY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66122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April 2, 2016 (the “Report”), I, Richard Hamada, Chief Executive Officer of Avnet, Inc., (the “Company”) hereby certify that:</w:t>
      </w:r>
    </w:p>
    <w:p>
      <w:pPr>
        <w:spacing w:after="0" w:line="62"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Richard Hamada</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April 2, 2016 (the “Report”), I, Kevin Moriarty, Chief Financial Officer of Avnet, Inc., (the “Company”) hereby certify that:</w:t>
      </w:r>
    </w:p>
    <w:p>
      <w:pPr>
        <w:spacing w:after="0" w:line="62"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Kevin Moriarty</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3"/>
    </w:lvl>
  </w:abstractNum>
  <w:abstractNum w:abstractNumId="2">
    <w:nsid w:val="216231B"/>
    <w:multiLevelType w:val="hybridMultilevel"/>
    <w:lvl w:ilvl="0">
      <w:lvlJc w:val="left"/>
      <w:lvlText w:val="(%1)"/>
      <w:numFmt w:val="lowerRoman"/>
      <w:start w:val="2"/>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3"/>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2019-12-29T11:37:36Z</dcterms:created>
  <dcterms:modified xsi:type="dcterms:W3CDTF">2019-12-29T11:37:36Z</dcterms:modified>
</cp:coreProperties>
</file>