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577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109220</wp:posOffset>
            </wp:positionV>
            <wp:extent cx="6577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158750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92710</wp:posOffset>
            </wp:positionV>
            <wp:extent cx="16376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520" w:hanging="519"/>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2018</w:t>
      </w:r>
    </w:p>
    <w:p>
      <w:pPr>
        <w:spacing w:after="0" w:line="225" w:lineRule="exact"/>
        <w:rPr>
          <w:sz w:val="24"/>
          <w:szCs w:val="24"/>
          <w:color w:val="auto"/>
        </w:rPr>
      </w:pPr>
    </w:p>
    <w:p>
      <w:pPr>
        <w:ind w:left="520" w:hanging="519"/>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highlight w:val="black"/>
        </w:rPr>
      </w:pPr>
    </w:p>
    <w:p>
      <w:pPr>
        <w:ind w:left="342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85725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60"/>
          </w:cols>
          <w:pgMar w:left="780" w:top="233" w:right="759" w:bottom="1440" w:gutter="0" w:footer="0" w:header="0"/>
        </w:sectPr>
      </w:pPr>
    </w:p>
    <w:p>
      <w:pPr>
        <w:spacing w:after="0" w:line="111" w:lineRule="exact"/>
        <w:rPr>
          <w:sz w:val="24"/>
          <w:szCs w:val="24"/>
          <w:color w:val="auto"/>
        </w:rPr>
      </w:pPr>
    </w:p>
    <w:p>
      <w:pPr>
        <w:jc w:val="center"/>
        <w:ind w:right="41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1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jc w:val="center"/>
        <w:ind w:right="4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11-1890605</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2">
            <w:col w:w="7400" w:space="720"/>
            <w:col w:w="2240"/>
          </w:cols>
          <w:pgMar w:left="780" w:top="233" w:right="759" w:bottom="1440" w:gutter="0" w:footer="0" w:header="0"/>
          <w:type w:val="continuous"/>
        </w:sectPr>
      </w:pP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50" w:lineRule="exact"/>
        <w:rPr>
          <w:sz w:val="24"/>
          <w:szCs w:val="24"/>
          <w:color w:val="auto"/>
        </w:rPr>
      </w:pPr>
    </w:p>
    <w:p>
      <w:pPr>
        <w:jc w:val="center"/>
        <w:ind w:right="16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85034</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(Zip Code)</w:t>
      </w:r>
    </w:p>
    <w:p>
      <w:pPr>
        <w:spacing w:after="0" w:line="125" w:lineRule="exact"/>
        <w:rPr>
          <w:sz w:val="24"/>
          <w:szCs w:val="24"/>
          <w:color w:val="auto"/>
        </w:rPr>
      </w:pPr>
    </w:p>
    <w:p>
      <w:pPr>
        <w:sectPr>
          <w:pgSz w:w="11900" w:h="16838" w:orient="portrait"/>
          <w:cols w:equalWidth="0" w:num="2">
            <w:col w:w="6740" w:space="720"/>
            <w:col w:w="2900"/>
          </w:cols>
          <w:pgMar w:left="780" w:top="233" w:right="759" w:bottom="1440"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(480) 643-2000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and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183515</wp:posOffset>
            </wp:positionV>
            <wp:extent cx="1637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ectPr>
          <w:pgSz w:w="11900" w:h="16838" w:orient="portrait"/>
          <w:cols w:equalWidth="0" w:num="1">
            <w:col w:w="10360"/>
          </w:cols>
          <w:pgMar w:left="780" w:top="233" w:right="759"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jc w:val="both"/>
        <w:ind w:right="20" w:firstLine="427"/>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60"/>
          </w:cols>
          <w:pgMar w:left="780" w:top="233" w:right="759" w:bottom="1440" w:gutter="0" w:footer="0" w:header="0"/>
          <w:type w:val="continuous"/>
        </w:sectPr>
      </w:pPr>
    </w:p>
    <w:p>
      <w:pPr>
        <w:spacing w:after="0" w:line="4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18"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4"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right="20" w:firstLine="427"/>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right="20" w:firstLine="427"/>
        <w:spacing w:after="0" w:line="277" w:lineRule="auto"/>
        <w:rPr>
          <w:sz w:val="20"/>
          <w:szCs w:val="20"/>
          <w:color w:val="auto"/>
        </w:rPr>
      </w:pPr>
      <w:r>
        <w:rPr>
          <w:rFonts w:ascii="Arial" w:cs="Arial" w:eastAsia="Arial" w:hAnsi="Arial"/>
          <w:sz w:val="18"/>
          <w:szCs w:val="18"/>
          <w:color w:val="auto"/>
        </w:rPr>
        <w:t>As of November 1, 2018, the total number of shares outstanding of the registrant’s Common Stock was 111,226,195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577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91440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717550</wp:posOffset>
            </wp:positionV>
            <wp:extent cx="65779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ectPr>
          <w:pgSz w:w="11900" w:h="16838" w:orient="portrait"/>
          <w:cols w:equalWidth="0" w:num="1">
            <w:col w:w="10360"/>
          </w:cols>
          <w:pgMar w:left="78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7"/>
            <w:vMerge w:val="restart"/>
          </w:tcPr>
          <w:p>
            <w:pPr>
              <w:jc w:val="center"/>
              <w:ind w:right="2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2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tcBorders>
              <w:bottom w:val="single" w:sz="8" w:color="0000EE"/>
            </w:tcBorders>
            <w:gridSpan w:val="7"/>
            <w:vMerge w:val="continue"/>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September 29, 2018 and June 30, 2018</w:t>
              </w:r>
            </w:hyperlink>
          </w:p>
        </w:tc>
        <w:tc>
          <w:tcPr>
            <w:tcW w:w="264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first quarters ended September 29, 2018 and September 30,</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500" w:type="dxa"/>
            <w:vAlign w:val="bottom"/>
            <w:tcBorders>
              <w:top w:val="single" w:sz="8" w:color="0000EE"/>
            </w:tcBorders>
            <w:gridSpan w:val="2"/>
          </w:tcPr>
          <w:p>
            <w:pPr>
              <w:ind w:left="140"/>
              <w:spacing w:after="0" w:line="18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for the first quarters ended September 29, 2018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2017</w:t>
              </w:r>
            </w:hyperlink>
          </w:p>
        </w:tc>
        <w:tc>
          <w:tcPr>
            <w:tcW w:w="5900" w:type="dxa"/>
            <w:vAlign w:val="bottom"/>
            <w:tcBorders>
              <w:top w:val="single" w:sz="8" w:color="0000EE"/>
            </w:tcBorders>
            <w:gridSpan w:val="12"/>
          </w:tcPr>
          <w:p>
            <w:pPr>
              <w:spacing w:after="0"/>
              <w:rPr>
                <w:sz w:val="17"/>
                <w:szCs w:val="17"/>
                <w:color w:val="auto"/>
              </w:rPr>
            </w:pPr>
          </w:p>
        </w:tc>
        <w:tc>
          <w:tcPr>
            <w:tcW w:w="280" w:type="dxa"/>
            <w:vAlign w:val="bottom"/>
            <w:gridSpan w:val="3"/>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first quarters ended September 29, 2018 and September 30,</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50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60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280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6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0"/>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58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tcPr>
          <w:p>
            <w:pPr>
              <w:jc w:val="center"/>
              <w:ind w:left="119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8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AVNET, INC. AND SUBSIDIARIES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80" w:type="dxa"/>
            <w:vAlign w:val="bottom"/>
          </w:tcPr>
          <w:p>
            <w:pPr>
              <w:jc w:val="center"/>
              <w:ind w:left="11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9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58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365,852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$49,645 and $48,959, respectively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3,682,512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3,641,139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7,610,599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9,453,774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9,596,845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58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2,352,771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2,269,478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534,603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2,864,832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9"/>
              </w:rPr>
              <w:t>2,969,461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1,489,219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413,147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453,084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4,832,701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4,911,764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Common stock $1.00 par; authorized 300,000,000 shares; issued 113,030,625 shares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and 115,825,062 shares, respectively</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1,528,713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3,235,894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(195,351)</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4,621,073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4,685,081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9,453,774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9,596,845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First Quarters Ended</w:t>
            </w:r>
          </w:p>
        </w:tc>
      </w:tr>
      <w:tr>
        <w:trPr>
          <w:trHeight w:val="189"/>
        </w:trPr>
        <w:tc>
          <w:tcPr>
            <w:tcW w:w="5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6"/>
              </w:rPr>
              <w:t>September 29,</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September 30,</w:t>
            </w:r>
          </w:p>
        </w:tc>
        <w:tc>
          <w:tcPr>
            <w:tcW w:w="180" w:type="dxa"/>
            <w:vAlign w:val="bottom"/>
          </w:tcPr>
          <w:p>
            <w:pPr>
              <w:spacing w:after="0"/>
              <w:rPr>
                <w:sz w:val="16"/>
                <w:szCs w:val="16"/>
                <w:color w:val="auto"/>
              </w:rPr>
            </w:pPr>
          </w:p>
        </w:tc>
      </w:tr>
      <w:tr>
        <w:trPr>
          <w:trHeight w:val="223"/>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9"/>
                <w:szCs w:val="19"/>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2"/>
              </w:rPr>
              <w:t>(Thousands, except per share amounts)</w:t>
            </w:r>
          </w:p>
        </w:tc>
        <w:tc>
          <w:tcPr>
            <w:tcW w:w="1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5,089,879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4,660,943</w:t>
            </w:r>
          </w:p>
        </w:tc>
        <w:tc>
          <w:tcPr>
            <w:tcW w:w="180" w:type="dxa"/>
            <w:vAlign w:val="bottom"/>
            <w:shd w:val="clear" w:color="auto" w:fill="CCEEFF"/>
          </w:tcPr>
          <w:p>
            <w:pPr>
              <w:spacing w:after="0"/>
              <w:rPr>
                <w:sz w:val="17"/>
                <w:szCs w:val="17"/>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4,453,129</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4,048,388</w:t>
            </w:r>
          </w:p>
        </w:tc>
        <w:tc>
          <w:tcPr>
            <w:tcW w:w="180" w:type="dxa"/>
            <w:vAlign w:val="bottom"/>
            <w:tcBorders>
              <w:bottom w:val="single" w:sz="8" w:color="CCEEFF"/>
            </w:tcBorders>
          </w:tcPr>
          <w:p>
            <w:pPr>
              <w:spacing w:after="0"/>
              <w:rPr>
                <w:sz w:val="18"/>
                <w:szCs w:val="18"/>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612,555</w:t>
            </w:r>
          </w:p>
        </w:tc>
        <w:tc>
          <w:tcPr>
            <w:tcW w:w="18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475,146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501,593</w:t>
            </w:r>
          </w:p>
        </w:tc>
        <w:tc>
          <w:tcPr>
            <w:tcW w:w="180" w:type="dxa"/>
            <w:vAlign w:val="bottom"/>
          </w:tcPr>
          <w:p>
            <w:pPr>
              <w:spacing w:after="0"/>
              <w:rPr>
                <w:sz w:val="17"/>
                <w:szCs w:val="17"/>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Restructuring, integration and 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14,788</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46,394</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0"/>
        </w:trPr>
        <w:tc>
          <w:tcPr>
            <w:tcW w:w="562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146,816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64,568</w:t>
            </w:r>
          </w:p>
        </w:tc>
        <w:tc>
          <w:tcPr>
            <w:tcW w:w="180" w:type="dxa"/>
            <w:vAlign w:val="bottom"/>
          </w:tcPr>
          <w:p>
            <w:pPr>
              <w:spacing w:after="0"/>
              <w:rPr>
                <w:sz w:val="16"/>
                <w:szCs w:val="16"/>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(1,892)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18,921</w:t>
            </w:r>
          </w:p>
        </w:tc>
        <w:tc>
          <w:tcPr>
            <w:tcW w:w="180" w:type="dxa"/>
            <w:vAlign w:val="bottom"/>
            <w:shd w:val="clear" w:color="auto" w:fill="CCEEFF"/>
          </w:tcPr>
          <w:p>
            <w:pPr>
              <w:spacing w:after="0"/>
              <w:rPr>
                <w:sz w:val="17"/>
                <w:szCs w:val="17"/>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6"/>
                <w:szCs w:val="16"/>
                <w:color w:val="auto"/>
              </w:rPr>
              <w:t>Interest and other financing expenses, net</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(30,093)</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(22,015)</w:t>
            </w:r>
          </w:p>
        </w:tc>
      </w:tr>
      <w:tr>
        <w:trPr>
          <w:trHeight w:val="203"/>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continuing operations before taxes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114,831</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61,474</w:t>
            </w:r>
          </w:p>
        </w:tc>
        <w:tc>
          <w:tcPr>
            <w:tcW w:w="180" w:type="dxa"/>
            <w:vAlign w:val="bottom"/>
            <w:tcBorders>
              <w:top w:val="single" w:sz="8" w:color="CCEEFF"/>
            </w:tcBorders>
            <w:shd w:val="clear" w:color="auto" w:fill="CCEEFF"/>
          </w:tcPr>
          <w:p>
            <w:pPr>
              <w:spacing w:after="0"/>
              <w:rPr>
                <w:sz w:val="17"/>
                <w:szCs w:val="17"/>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31,302</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180" w:type="dxa"/>
            <w:vAlign w:val="bottom"/>
            <w:tcBorders>
              <w:bottom w:val="single" w:sz="8" w:color="CCEEFF"/>
            </w:tcBorders>
          </w:tcPr>
          <w:p>
            <w:pPr>
              <w:spacing w:after="0"/>
              <w:rPr>
                <w:sz w:val="18"/>
                <w:szCs w:val="18"/>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net of tax</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83,529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58,182</w:t>
            </w:r>
          </w:p>
        </w:tc>
        <w:tc>
          <w:tcPr>
            <w:tcW w:w="180" w:type="dxa"/>
            <w:vAlign w:val="bottom"/>
            <w:shd w:val="clear" w:color="auto" w:fill="CCEEFF"/>
          </w:tcPr>
          <w:p>
            <w:pPr>
              <w:spacing w:after="0"/>
              <w:rPr>
                <w:sz w:val="17"/>
                <w:szCs w:val="17"/>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from discontinued operations, net of tax</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Borders>
              <w:bottom w:val="single" w:sz="8" w:color="CCEEFF"/>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83,724</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0.73</w:t>
            </w:r>
          </w:p>
        </w:tc>
        <w:tc>
          <w:tcPr>
            <w:tcW w:w="2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0.48</w:t>
            </w:r>
          </w:p>
        </w:tc>
        <w:tc>
          <w:tcPr>
            <w:tcW w:w="180" w:type="dxa"/>
            <w:vAlign w:val="bottom"/>
          </w:tcPr>
          <w:p>
            <w:pPr>
              <w:spacing w:after="0"/>
              <w:rPr>
                <w:sz w:val="17"/>
                <w:szCs w:val="17"/>
                <w:color w:val="auto"/>
              </w:rPr>
            </w:pPr>
          </w:p>
        </w:tc>
      </w:tr>
      <w:tr>
        <w:trPr>
          <w:trHeight w:val="223"/>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7"/>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income per share basic</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80" w:type="dxa"/>
            <w:vAlign w:val="bottom"/>
            <w:tcBorders>
              <w:bottom w:val="single" w:sz="8" w:color="CCEEFF"/>
            </w:tcBorders>
          </w:tcPr>
          <w:p>
            <w:pPr>
              <w:spacing w:after="0"/>
              <w:rPr>
                <w:sz w:val="17"/>
                <w:szCs w:val="17"/>
                <w:color w:val="auto"/>
              </w:rPr>
            </w:pPr>
          </w:p>
        </w:tc>
      </w:tr>
      <w:tr>
        <w:trPr>
          <w:trHeight w:val="203"/>
        </w:trPr>
        <w:tc>
          <w:tcPr>
            <w:tcW w:w="5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80" w:type="dxa"/>
            <w:vAlign w:val="bottom"/>
            <w:shd w:val="clear" w:color="auto" w:fill="CCEEFF"/>
          </w:tcPr>
          <w:p>
            <w:pPr>
              <w:spacing w:after="0"/>
              <w:rPr>
                <w:sz w:val="17"/>
                <w:szCs w:val="17"/>
                <w:color w:val="auto"/>
              </w:rPr>
            </w:pPr>
          </w:p>
        </w:tc>
      </w:tr>
      <w:tr>
        <w:trPr>
          <w:trHeight w:val="210"/>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Discontinued operations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80" w:type="dxa"/>
            <w:vAlign w:val="bottom"/>
            <w:tcBorders>
              <w:bottom w:val="single" w:sz="8" w:color="CCEEFF"/>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per share diluted</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earnings per share: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115,260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122,685</w:t>
            </w:r>
          </w:p>
        </w:tc>
        <w:tc>
          <w:tcPr>
            <w:tcW w:w="180" w:type="dxa"/>
            <w:vAlign w:val="bottom"/>
            <w:tcBorders>
              <w:bottom w:val="single" w:sz="8" w:color="CCEEFF"/>
            </w:tcBorders>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116,471</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123,984</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7"/>
        </w:trPr>
        <w:tc>
          <w:tcPr>
            <w:tcW w:w="5620" w:type="dxa"/>
            <w:vAlign w:val="bottom"/>
          </w:tcPr>
          <w:p>
            <w:pPr>
              <w:spacing w:after="0"/>
              <w:rPr>
                <w:sz w:val="20"/>
                <w:szCs w:val="20"/>
                <w:color w:val="auto"/>
              </w:rPr>
            </w:pPr>
            <w:r>
              <w:rPr>
                <w:rFonts w:ascii="Arial" w:cs="Arial" w:eastAsia="Arial" w:hAnsi="Arial"/>
                <w:sz w:val="16"/>
                <w:szCs w:val="16"/>
                <w:color w:val="auto"/>
              </w:rPr>
              <w:t>Cash dividends paid per common share</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6480" w:type="dxa"/>
            <w:vAlign w:val="bottom"/>
          </w:tcPr>
          <w:p>
            <w:pPr>
              <w:spacing w:after="0"/>
              <w:rPr>
                <w:sz w:val="17"/>
                <w:szCs w:val="17"/>
                <w:color w:val="auto"/>
              </w:rPr>
            </w:pPr>
          </w:p>
        </w:tc>
        <w:tc>
          <w:tcPr>
            <w:tcW w:w="14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29,</w:t>
            </w:r>
          </w:p>
        </w:tc>
        <w:tc>
          <w:tcPr>
            <w:tcW w:w="11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7"/>
                <w:szCs w:val="17"/>
                <w:color w:val="auto"/>
              </w:rPr>
            </w:pPr>
          </w:p>
        </w:tc>
      </w:tr>
      <w:tr>
        <w:trPr>
          <w:trHeight w:val="241"/>
        </w:trPr>
        <w:tc>
          <w:tcPr>
            <w:tcW w:w="6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Pr>
          <w:p>
            <w:pPr>
              <w:spacing w:after="0"/>
              <w:rPr>
                <w:sz w:val="20"/>
                <w:szCs w:val="20"/>
                <w:color w:val="auto"/>
              </w:rPr>
            </w:pPr>
          </w:p>
        </w:tc>
      </w:tr>
      <w:tr>
        <w:trPr>
          <w:trHeight w:val="216"/>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(Thousands)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83,724</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58,303</w:t>
            </w:r>
          </w:p>
        </w:tc>
        <w:tc>
          <w:tcPr>
            <w:tcW w:w="40" w:type="dxa"/>
            <w:vAlign w:val="bottom"/>
            <w:shd w:val="clear" w:color="auto" w:fill="CCEEFF"/>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88,843</w:t>
            </w:r>
          </w:p>
        </w:tc>
        <w:tc>
          <w:tcPr>
            <w:tcW w:w="40" w:type="dxa"/>
            <w:vAlign w:val="bottom"/>
            <w:shd w:val="clear" w:color="auto" w:fill="CCEEFF"/>
          </w:tcPr>
          <w:p>
            <w:pPr>
              <w:spacing w:after="0"/>
              <w:rPr>
                <w:sz w:val="19"/>
                <w:szCs w:val="19"/>
                <w:color w:val="auto"/>
              </w:rPr>
            </w:pPr>
          </w:p>
        </w:tc>
      </w:tr>
      <w:tr>
        <w:trPr>
          <w:trHeight w:val="223"/>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40" w:type="dxa"/>
            <w:vAlign w:val="bottom"/>
            <w:tcBorders>
              <w:bottom w:val="single" w:sz="8" w:color="CCEEFF"/>
            </w:tcBorders>
          </w:tcPr>
          <w:p>
            <w:pPr>
              <w:spacing w:after="0"/>
              <w:rPr>
                <w:sz w:val="19"/>
                <w:szCs w:val="19"/>
                <w:color w:val="auto"/>
              </w:rPr>
            </w:pPr>
          </w:p>
        </w:tc>
      </w:tr>
      <w:tr>
        <w:trPr>
          <w:trHeight w:val="223"/>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93,281</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148,085</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5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1"/>
              </w:rPr>
              <w:t>September 29,</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6"/>
                <w:szCs w:val="16"/>
                <w:color w:val="auto"/>
              </w:rPr>
            </w:pPr>
          </w:p>
        </w:tc>
      </w:tr>
      <w:tr>
        <w:trPr>
          <w:trHeight w:val="223"/>
        </w:trPr>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19"/>
                <w:szCs w:val="19"/>
                <w:color w:val="auto"/>
              </w:rPr>
            </w:pPr>
          </w:p>
        </w:tc>
      </w:tr>
      <w:tr>
        <w:trPr>
          <w:trHeight w:val="402"/>
        </w:trPr>
        <w:tc>
          <w:tcPr>
            <w:tcW w:w="5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(Thousands)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83,724</w:t>
            </w:r>
          </w:p>
        </w:tc>
        <w:tc>
          <w:tcPr>
            <w:tcW w:w="80" w:type="dxa"/>
            <w:vAlign w:val="bottom"/>
          </w:tcPr>
          <w:p>
            <w:pPr>
              <w:spacing w:after="0"/>
              <w:rPr>
                <w:sz w:val="17"/>
                <w:szCs w:val="17"/>
                <w:color w:val="auto"/>
              </w:rPr>
            </w:pPr>
          </w:p>
        </w:tc>
        <w:tc>
          <w:tcPr>
            <w:tcW w:w="46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58,303</w:t>
            </w:r>
          </w:p>
        </w:tc>
        <w:tc>
          <w:tcPr>
            <w:tcW w:w="100" w:type="dxa"/>
            <w:vAlign w:val="bottom"/>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Income from discontinued operations, net of tax</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0"/>
        </w:trPr>
        <w:tc>
          <w:tcPr>
            <w:tcW w:w="5900" w:type="dxa"/>
            <w:vAlign w:val="bottom"/>
          </w:tcPr>
          <w:p>
            <w:pPr>
              <w:ind w:left="120"/>
              <w:spacing w:after="0"/>
              <w:rPr>
                <w:sz w:val="20"/>
                <w:szCs w:val="20"/>
                <w:color w:val="auto"/>
              </w:rPr>
            </w:pPr>
            <w:r>
              <w:rPr>
                <w:rFonts w:ascii="Arial" w:cs="Arial" w:eastAsia="Arial" w:hAnsi="Arial"/>
                <w:sz w:val="16"/>
                <w:szCs w:val="16"/>
                <w:color w:val="auto"/>
              </w:rPr>
              <w:t>Income from continuing operations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58,182</w:t>
            </w:r>
          </w:p>
        </w:tc>
        <w:tc>
          <w:tcPr>
            <w:tcW w:w="100" w:type="dxa"/>
            <w:vAlign w:val="bottom"/>
          </w:tcPr>
          <w:p>
            <w:pPr>
              <w:spacing w:after="0"/>
              <w:rPr>
                <w:sz w:val="16"/>
                <w:szCs w:val="16"/>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Non-cash and other reconciling items: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38,263</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25,506</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(23,436)</w:t>
            </w: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8,609</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Changes in (net of effects from businesses acquired and divested):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(32,409)</w:t>
            </w: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(269,649)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(266,998)</w:t>
            </w: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37,252</w:t>
            </w:r>
          </w:p>
        </w:tc>
        <w:tc>
          <w:tcPr>
            <w:tcW w:w="100" w:type="dxa"/>
            <w:vAlign w:val="bottom"/>
            <w:shd w:val="clear" w:color="auto" w:fill="CCEEFF"/>
          </w:tcPr>
          <w:p>
            <w:pPr>
              <w:spacing w:after="0"/>
              <w:rPr>
                <w:sz w:val="17"/>
                <w:szCs w:val="17"/>
                <w:color w:val="auto"/>
              </w:rPr>
            </w:pPr>
          </w:p>
        </w:tc>
      </w:tr>
      <w:tr>
        <w:trPr>
          <w:trHeight w:val="210"/>
        </w:trPr>
        <w:tc>
          <w:tcPr>
            <w:tcW w:w="5900" w:type="dxa"/>
            <w:vAlign w:val="bottom"/>
          </w:tcPr>
          <w:p>
            <w:pPr>
              <w:ind w:left="320"/>
              <w:spacing w:after="0"/>
              <w:rPr>
                <w:sz w:val="20"/>
                <w:szCs w:val="20"/>
                <w:color w:val="auto"/>
              </w:rPr>
            </w:pPr>
            <w:r>
              <w:rPr>
                <w:rFonts w:ascii="Arial" w:cs="Arial" w:eastAsia="Arial" w:hAnsi="Arial"/>
                <w:sz w:val="16"/>
                <w:szCs w:val="16"/>
                <w:color w:val="auto"/>
              </w:rPr>
              <w:t>Accrued expenses and other, net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(81,753)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22,140</w:t>
            </w:r>
          </w:p>
        </w:tc>
        <w:tc>
          <w:tcPr>
            <w:tcW w:w="100" w:type="dxa"/>
            <w:vAlign w:val="bottom"/>
          </w:tcPr>
          <w:p>
            <w:pPr>
              <w:spacing w:after="0"/>
              <w:rPr>
                <w:sz w:val="18"/>
                <w:szCs w:val="18"/>
                <w:color w:val="auto"/>
              </w:rPr>
            </w:pPr>
          </w:p>
        </w:tc>
      </w:tr>
      <w:tr>
        <w:trPr>
          <w:trHeight w:val="223"/>
        </w:trPr>
        <w:tc>
          <w:tcPr>
            <w:tcW w:w="59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operating activities - continuing operations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(127,989)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r>
      <w:tr>
        <w:trPr>
          <w:trHeight w:val="210"/>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operating activities</w:t>
            </w: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(127,989)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3"/>
        </w:trPr>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under senior unsecured credit facility, net</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(50,330)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(92,471)</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Repayments under bank credit facilities and other debt, net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(24,888)</w:t>
            </w: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(149,094)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(68,113)</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Dividends paid on common stock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(22,932)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(22,012)</w:t>
            </w:r>
          </w:p>
        </w:tc>
      </w:tr>
      <w:tr>
        <w:trPr>
          <w:trHeight w:val="22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(579)</w:t>
            </w:r>
          </w:p>
        </w:tc>
      </w:tr>
      <w:tr>
        <w:trPr>
          <w:trHeight w:val="197"/>
        </w:trPr>
        <w:tc>
          <w:tcPr>
            <w:tcW w:w="5900" w:type="dxa"/>
            <w:vAlign w:val="bottom"/>
            <w:tcBorders>
              <w:top w:val="single" w:sz="8" w:color="CCEEFF"/>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76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(246,245)</w:t>
            </w:r>
          </w:p>
        </w:tc>
        <w:tc>
          <w:tcPr>
            <w:tcW w:w="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(180,063)</w:t>
            </w:r>
          </w:p>
        </w:tc>
        <w:tc>
          <w:tcPr>
            <w:tcW w:w="100" w:type="dxa"/>
            <w:vAlign w:val="bottom"/>
            <w:tcBorders>
              <w:top w:val="single" w:sz="8" w:color="CCEEFF"/>
              <w:bottom w:val="single" w:sz="8" w:color="CCEEFF"/>
            </w:tcBorders>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financing activities - discontinued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financing activities</w:t>
            </w: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(246,245)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(180,063)</w:t>
            </w:r>
          </w:p>
        </w:tc>
        <w:tc>
          <w:tcPr>
            <w:tcW w:w="100" w:type="dxa"/>
            <w:vAlign w:val="bottom"/>
            <w:tcBorders>
              <w:bottom w:val="single" w:sz="8" w:color="CCEEFF"/>
            </w:tcBorders>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(26,659)</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(14,661)</w:t>
            </w:r>
          </w:p>
        </w:tc>
      </w:tr>
      <w:tr>
        <w:trPr>
          <w:trHeight w:val="223"/>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(40,109)</w:t>
            </w:r>
          </w:p>
        </w:tc>
        <w:tc>
          <w:tcPr>
            <w:tcW w:w="100" w:type="dxa"/>
            <w:vAlign w:val="bottom"/>
            <w:tcBorders>
              <w:bottom w:val="single" w:sz="8" w:color="CCEEFF"/>
            </w:tcBorders>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investing activities</w:t>
            </w: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79,058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5,282</w:t>
            </w:r>
          </w:p>
        </w:tc>
        <w:tc>
          <w:tcPr>
            <w:tcW w:w="100" w:type="dxa"/>
            <w:vAlign w:val="bottom"/>
            <w:tcBorders>
              <w:bottom w:val="single" w:sz="8" w:color="CCEEFF"/>
            </w:tcBorders>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6,065</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 decrease</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(255,273)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(296,705)</w:t>
            </w: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at beginning of period</w:t>
            </w: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621,125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836,384</w:t>
            </w:r>
          </w:p>
        </w:tc>
        <w:tc>
          <w:tcPr>
            <w:tcW w:w="100" w:type="dxa"/>
            <w:vAlign w:val="bottom"/>
            <w:tcBorders>
              <w:bottom w:val="single" w:sz="8" w:color="CCEEFF"/>
            </w:tcBorders>
          </w:tcPr>
          <w:p>
            <w:pPr>
              <w:spacing w:after="0"/>
              <w:rPr>
                <w:sz w:val="18"/>
                <w:szCs w:val="18"/>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539,679</w:t>
            </w:r>
          </w:p>
        </w:tc>
        <w:tc>
          <w:tcPr>
            <w:tcW w:w="100" w:type="dxa"/>
            <w:vAlign w:val="bottom"/>
            <w:tcBorders>
              <w:bottom w:val="single" w:sz="8" w:color="CCEEFF"/>
            </w:tcBorders>
            <w:shd w:val="clear" w:color="auto" w:fill="CCEEFF"/>
          </w:tcPr>
          <w:p>
            <w:pPr>
              <w:spacing w:after="0"/>
              <w:rPr>
                <w:sz w:val="18"/>
                <w:szCs w:val="18"/>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30, 2018.</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to conform to the current period presentation including reclassifications as a result of recently adopted accounting pronouncements.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and collectively with its related subsequent amendments, “Topic 606”). Topic 606 supersedes previous revenue recognition guidance and requires the Company to recognize revenue to depict the transfer of promised goods or services to customers in an amount that reflects the consideration to which the Company expects to be entitled in exchange for such goods or services. The Company adopted Topic 606 on July 1, 2018 using the modified retrospective transition method applied to those contracts which were not completed as of July 1, 2018. Under this transition method, the Company’s results in the consolidated statements of operations for the three months ended September 29, 2018 are presented under Topic 606, while the comparative results for the three months ended September 30, 2017 were not retrospectively adjusted, as such results were recognized in accordance with the revenue recognition policy discussed under Summary of Significant Accounting Policies in Note 1 of the Company’s Fiscal 2018 Annual Report on Form 10-K.</w:t>
      </w:r>
    </w:p>
    <w:p>
      <w:pPr>
        <w:spacing w:after="0" w:line="18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adoption of Topic 606 did not have a material impact on the Company’s consolidated financial statements as of the adoption date and as of and for the three months ended September 29, 2018. Substantially all of the Company’s sales continue to be recognized when products are shipped from the Company’s facilities or delivered to customers, depending on the respective contractual terms. For a nominal portion of the Company’s contracts where the accounting did change, the adoption of Topic 606 resulted in an increase to the opening balance of retained earnings of $2.0 million as of July 1, 2018. This impact was primarily due to the acceleration of recognition of net sales and associated gross profit related to certain uncompleted contracts for the manufacture of goods with no alternative use and for which the Company has an enforceable right to payment, including a reasonable profit margin, from the customer for performance completed to date. For these contracts, the Company now recognizes revenue over time as control of the goods transfers through the manufacturing process, rather than when the goods are delivered, and title, risk and reward of ownership are passed to the customer, as under previous revenue recognition guidance.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2 herein for further discussion regarding revenue recognition and related policies.</w:t>
      </w:r>
    </w:p>
    <w:p>
      <w:pPr>
        <w:spacing w:after="0" w:line="22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In March 2017, the FASB issued Accounting Standards Update No. 2017-07,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715)- Improving the Presentation of Net Periodic Cost and Net Periodic Postretirement Benefit Cost </w:t>
      </w:r>
      <w:r>
        <w:rPr>
          <w:rFonts w:ascii="Arial" w:cs="Arial" w:eastAsia="Arial" w:hAnsi="Arial"/>
          <w:sz w:val="16"/>
          <w:szCs w:val="16"/>
          <w:color w:val="auto"/>
        </w:rPr>
        <w:t>("ASU No. 2017-07"). ASU No. 2017-07 requires that the service cost component of net periodic pension costs be included in the same line item as other compensation costs arising from services rendered by employees during the period, with the other components of the net periodic pension costs reported separately from the service cost component and below operating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The Company adopted this standard effective the first quarter of fiscal year 2019, which required changes to the classification of net periodic pension costs in the consolidated statements of operations for all periods presented. The service cost component of the net periodic pension cost is now included in “Selling, general and administrative expenses” with all other components of net periodic pension costs within “Other income (expense), net” in the consolidated statements of operations. The adoption of ASU No. 2017-07 did not have any impact on the Company’s reported amount of income from continuing operations before taxes.</w:t>
      </w:r>
    </w:p>
    <w:p>
      <w:pPr>
        <w:spacing w:after="0" w:line="19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During the first quarter of fiscal 2019, the Company adopted ASU 2016-16 - </w:t>
      </w:r>
      <w:r>
        <w:rPr>
          <w:rFonts w:ascii="Arial" w:cs="Arial" w:eastAsia="Arial" w:hAnsi="Arial"/>
          <w:sz w:val="18"/>
          <w:szCs w:val="18"/>
          <w:i w:val="1"/>
          <w:iCs w:val="1"/>
          <w:color w:val="auto"/>
        </w:rPr>
        <w:t>Income Taxes (Topic 740): Intra-Entity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Transfers of Assets Other Than Inventory. </w:t>
      </w:r>
      <w:r>
        <w:rPr>
          <w:rFonts w:ascii="Arial" w:cs="Arial" w:eastAsia="Arial" w:hAnsi="Arial"/>
          <w:sz w:val="18"/>
          <w:szCs w:val="18"/>
          <w:color w:val="auto"/>
        </w:rPr>
        <w:t>This update addresses the recognition of current and deferred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an intra-entity transfer of any asset other than inventory. This update has been applied on a modified retrospective basis through a cumulative-effect adjustment directly to retained earnings. The adoption of this update resulted in a cumulative reduction to the opening balance of retained earnings of $5.8 million and a reduction to other assets of $5.8 million.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In August 2018, the FASB issued Accounting Standards Update No. 2018-15,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Internal-Use Software (Subtopic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2018-15 aligns 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92"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 xml:space="preserve">In February 2018, the FASB issued Accounting Standards Update 2018-02,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(Topic 220):</w:t>
      </w:r>
      <w:r>
        <w:rPr>
          <w:rFonts w:ascii="Arial" w:cs="Arial" w:eastAsia="Arial" w:hAnsi="Arial"/>
          <w:sz w:val="16"/>
          <w:szCs w:val="16"/>
          <w:color w:val="auto"/>
        </w:rPr>
        <w:t>-</w:t>
      </w:r>
      <w:r>
        <w:rPr>
          <w:rFonts w:ascii="Arial" w:cs="Arial" w:eastAsia="Arial" w:hAnsi="Arial"/>
          <w:sz w:val="16"/>
          <w:szCs w:val="16"/>
          <w:i w:val="1"/>
          <w:iCs w:val="1"/>
          <w:color w:val="auto"/>
        </w:rPr>
        <w:t xml:space="preserve">Reclassification of Certain Tax Effects from Accumulated Other Comprehensive Income </w:t>
      </w:r>
      <w:r>
        <w:rPr>
          <w:rFonts w:ascii="Arial" w:cs="Arial" w:eastAsia="Arial" w:hAnsi="Arial"/>
          <w:sz w:val="16"/>
          <w:szCs w:val="16"/>
          <w:color w:val="auto"/>
        </w:rPr>
        <w:t>(“ASU 2018-02”), which allows entities to reclassify accumulated other comprehensive income to retained earnings for stranded tax effects resulting from the tax legislation enacted by the U.S. federal governments on December 22, 2017 (the “Act”).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is currently evaluating the impact of the adoption of ASU 2018-02 on its consolidated financial statements.</w:t>
      </w:r>
    </w:p>
    <w:p>
      <w:pPr>
        <w:spacing w:after="0" w:line="16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Targeted Improvements to Accounting for Hedging Activities </w:t>
      </w:r>
      <w:r>
        <w:rPr>
          <w:rFonts w:ascii="Arial" w:cs="Arial" w:eastAsia="Arial" w:hAnsi="Arial"/>
          <w:sz w:val="18"/>
          <w:szCs w:val="18"/>
          <w:color w:val="auto"/>
        </w:rPr>
        <w:t>(“ASU 2017-12”), which improves the financial reporting of</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to better portray the economic results of an entity’s risk management activities in its financial statements and makes certain targeted improvements to simplify the qualification and application of the hedge accounting compared to current GAAP. This update is effective for fiscal years beginning after December 15, 2018, with early adoption permitted. The Company is currently evaluating the impact of the adoption of ASU 2017-12 on its consolidated financial statements.</w:t>
      </w:r>
    </w:p>
    <w:p>
      <w:pPr>
        <w:spacing w:after="0" w:line="18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issued subsequent amendments to the initial guidance in September 2017 within ASU 2017-13 (collectively, Topic 842). Topic 842 requires companies to generally recognize operating and financing lease liabilities on the balance sheet and corresponding right-of-use assets created by those leases with lease terms of more than 12 months. The Company intends to adopt Topic 842 when it becomes effective in the first quarter of fiscal 2020 using a modified retrospective approach. The Company is currently evaluating the impact of its pending adoption of Topic 842 on its consolidated financial statements and expects that most of its operating lease commitments related to the Company’s real estate portfolio will be subject to the new standard and recognized as operating lease liabilities and right-of-use assets upon adoption, which will materially increase total assets and total liabilities relative to such amounts prior to adoption.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Prior to the adoption of Topic 606, the Company’s revenue recognition policy was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July 1, 2018, the Company adopted Topic 606 using the modified retrospective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resulting in accounting policy changes surrounding revenue recognition which replace revenue recognition policies discussed in the Summary of Significant Accounting Policies in Note 1 of the Company’s Fiscal 2018 Annual Report on Form 10-K. The adoption of Topic 606 did not have a material impact on the Company’s consolidated financial statements.</w:t>
      </w:r>
    </w:p>
    <w:p>
      <w:pPr>
        <w:spacing w:after="0" w:line="158"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revenues are generated from the distribution and sale of electronic components including semiconductors, interconnect, passive and electromechanical (“IP&amp;E”) devices and other integrated electronic components from the world’s leading electronic component manufacturers. The Company’s expertise in design, supply chain and logistics enable it to sell to customers of all sizes from startups and mid-sized businesses to enterprise-level original equipment manufacturers (“OEMs”), electronic manufacturing services (“EMS”) providers and original design manufacturers (“ODMs”). The Company sells to a variety of markets ranging from automotive to medical to defense and aerospace. The Company also sells integrated solutions including the assembly or manufacture of embedded electronic component products and systems, touch and passive displays, and standard or specialized boards. The Company’s revenue arrangements primarily consist of performance obligations related to the transfer of promised products. The Company considers customer purchase orders, which in some cases are governed by master agreements, to be the contracts with a customer. All revenue is generated from contracts with customers.</w:t>
      </w:r>
    </w:p>
    <w:p>
      <w:pPr>
        <w:spacing w:after="0" w:line="183"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Revenue is recognized at the point at which control of the underlying products are transferred to the customer, which includes determining whether products are distinct and separate performance obligations. For electronic component and related product sales, this generally occurs upon shipment of the products, however, this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as the assurance type product warranties provided by the component manufacturers are passed through to the Company’s customers.</w:t>
      </w:r>
    </w:p>
    <w:p>
      <w:pPr>
        <w:spacing w:after="0" w:line="167"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 as these contracts represent less than 2% of the Company’s total sales.</w:t>
      </w:r>
    </w:p>
    <w:p>
      <w:pPr>
        <w:spacing w:after="0" w:line="154"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considers the following indicators amongst others when determining whether it is acting as a principal in the contract and recording revenue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contacts have an original duration of one year or less. The Company does not have any payment terms that exceed one year from the point it has satisfied the related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adjustment of $120.0 million and a final geographic allocation of the TS business sales price for tax reporting purposes. The incremental consideration received from the sale of the TS business has been classified as cash flow from discontinued operations investing activities.</w:t>
      </w:r>
    </w:p>
    <w:p>
      <w:pPr>
        <w:spacing w:after="0" w:line="193"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In fiscal 2018, the Buyer formally terminated substantially all TSA services outside of certain minor information technology services and all remaining TSA services are expected to be terminated during the first half of fiscal 2019.</w:t>
      </w:r>
    </w:p>
    <w:p>
      <w:pPr>
        <w:spacing w:after="0" w:line="202" w:lineRule="exact"/>
        <w:rPr>
          <w:sz w:val="20"/>
          <w:szCs w:val="20"/>
          <w:color w:val="auto"/>
        </w:rPr>
      </w:pPr>
    </w:p>
    <w:p>
      <w:pPr>
        <w:ind w:left="440" w:right="6560" w:hanging="437"/>
        <w:spacing w:after="0" w:line="503"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long-lived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 in goodwill by reportable segment for the three months ended September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Electronic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Premier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Components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4"/>
              </w:rPr>
              <w:t>Farnell</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June 30, 2018 </w:t>
            </w:r>
            <w:r>
              <w:rPr>
                <w:rFonts w:ascii="Arial" w:cs="Arial" w:eastAsia="Arial" w:hAnsi="Arial"/>
                <w:sz w:val="8"/>
                <w:szCs w:val="8"/>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10"/>
        </w:trPr>
        <w:tc>
          <w:tcPr>
            <w:tcW w:w="402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Carrying value at September 29, 2018 </w:t>
            </w:r>
            <w:r>
              <w:rPr>
                <w:rFonts w:ascii="Arial" w:cs="Arial" w:eastAsia="Arial" w:hAnsi="Arial"/>
                <w:sz w:val="8"/>
                <w:szCs w:val="8"/>
                <w:color w:val="auto"/>
              </w:rPr>
              <w:t>(1)</w:t>
            </w:r>
          </w:p>
        </w:tc>
        <w:tc>
          <w:tcPr>
            <w:tcW w:w="11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480,403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501,903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982,306</w:t>
            </w:r>
          </w:p>
        </w:tc>
      </w:tr>
      <w:tr>
        <w:trPr>
          <w:trHeight w:val="108"/>
        </w:trPr>
        <w:tc>
          <w:tcPr>
            <w:tcW w:w="2280" w:type="dxa"/>
            <w:vAlign w:val="bottom"/>
            <w:tcBorders>
              <w:bottom w:val="single" w:sz="8" w:color="0D0D0D"/>
            </w:tcBorders>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bl>
    <w:p>
      <w:pPr>
        <w:ind w:left="700" w:hanging="697"/>
        <w:spacing w:after="0" w:line="233" w:lineRule="auto"/>
        <w:tabs>
          <w:tab w:leader="none" w:pos="700" w:val="left"/>
        </w:tabs>
        <w:numPr>
          <w:ilvl w:val="0"/>
          <w:numId w:val="4"/>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$1,045,110 from fiscal 2009 and $181,440 from fiscal 2018</w:t>
      </w:r>
    </w:p>
    <w:p>
      <w:pPr>
        <w:spacing w:after="0" w:line="182"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reporting units is less than its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the macroeconomic or industry environments, (iii) the results of and the amount of time passed since the last goodwill impairment test and (iv) the long-term expected financial performance of its reporting units. During the first quarter of fiscal 2019, the Company concluded that an interim goodwill impairment test was not required.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September 29, 2018, and June 30,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w w:val="88"/>
              </w:rPr>
              <w:t>September 29, 2018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3"/>
              </w:rPr>
              <w:t>Net Book</w:t>
            </w:r>
          </w:p>
        </w:tc>
        <w:tc>
          <w:tcPr>
            <w:tcW w:w="18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Acquired</w:t>
            </w:r>
          </w:p>
        </w:tc>
        <w:tc>
          <w:tcPr>
            <w:tcW w:w="200" w:type="dxa"/>
            <w:vAlign w:val="bottom"/>
          </w:tcPr>
          <w:p>
            <w:pPr>
              <w:spacing w:after="0"/>
              <w:rPr>
                <w:sz w:val="17"/>
                <w:szCs w:val="17"/>
                <w:color w:val="auto"/>
              </w:rPr>
            </w:pPr>
          </w:p>
        </w:tc>
        <w:tc>
          <w:tcPr>
            <w:tcW w:w="13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$ 300,707</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$ 135,602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300,126</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151,710</w:t>
            </w:r>
          </w:p>
        </w:tc>
        <w:tc>
          <w:tcPr>
            <w:tcW w:w="4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name</w:t>
            </w:r>
          </w:p>
        </w:tc>
        <w:tc>
          <w:tcPr>
            <w:tcW w:w="780" w:type="dxa"/>
            <w:vAlign w:val="bottom"/>
          </w:tcPr>
          <w:p>
            <w:pPr>
              <w:jc w:val="right"/>
              <w:spacing w:after="0"/>
              <w:rPr>
                <w:sz w:val="20"/>
                <w:szCs w:val="20"/>
                <w:color w:val="auto"/>
              </w:rPr>
            </w:pPr>
            <w:r>
              <w:rPr>
                <w:rFonts w:ascii="Arial" w:cs="Arial" w:eastAsia="Arial" w:hAnsi="Arial"/>
                <w:sz w:val="18"/>
                <w:szCs w:val="18"/>
                <w:color w:val="auto"/>
              </w:rPr>
              <w:t>54,487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(18,952)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35,535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(16,711)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37,680</w:t>
            </w:r>
          </w:p>
        </w:tc>
        <w:tc>
          <w:tcPr>
            <w:tcW w:w="40" w:type="dxa"/>
            <w:vAlign w:val="bottom"/>
          </w:tcPr>
          <w:p>
            <w:pPr>
              <w:spacing w:after="0"/>
              <w:rPr>
                <w:sz w:val="18"/>
                <w:szCs w:val="18"/>
                <w:color w:val="auto"/>
              </w:rPr>
            </w:pPr>
          </w:p>
        </w:tc>
      </w:tr>
      <w:tr>
        <w:trPr>
          <w:trHeight w:val="23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28,242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40" w:type="dxa"/>
            <w:vAlign w:val="bottom"/>
            <w:shd w:val="clear" w:color="auto" w:fill="CCEEFF"/>
          </w:tcPr>
          <w:p>
            <w:pPr>
              <w:spacing w:after="0"/>
              <w:rPr>
                <w:sz w:val="20"/>
                <w:szCs w:val="20"/>
                <w:color w:val="auto"/>
              </w:rPr>
            </w:pPr>
          </w:p>
        </w:tc>
      </w:tr>
      <w:tr>
        <w:trPr>
          <w:trHeight w:val="210"/>
        </w:trPr>
        <w:tc>
          <w:tcPr>
            <w:tcW w:w="254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$ 408,158</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(208,779)</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$ 199,379</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407,310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(187,397)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219,913</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Intangible asset amortization expense from continuing operations was $20.8 million and $25.5 million for the first quarters of fiscal 2019 and 2018, respectively. Intangible assets have a weighted average remaining useful life of approximately 3 years. The following table presents the estimated future amortization expense for the remainder of fiscal 2019 and the next five fiscal years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2019</w:t>
            </w:r>
          </w:p>
        </w:tc>
        <w:tc>
          <w:tcPr>
            <w:tcW w:w="3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81,311</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39,148</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2022</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12,358</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r>
      <w:tr>
        <w:trPr>
          <w:trHeight w:val="223"/>
        </w:trPr>
        <w:tc>
          <w:tcPr>
            <w:tcW w:w="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199,379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September 29, 2018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7"/>
              </w:rPr>
              <w:t>June 30, 2018</w:t>
            </w:r>
          </w:p>
        </w:tc>
        <w:tc>
          <w:tcPr>
            <w:tcW w:w="20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29, 2018</w:t>
            </w:r>
          </w:p>
        </w:tc>
        <w:tc>
          <w:tcPr>
            <w:tcW w:w="2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June 30, 2018</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4"/>
              </w:rPr>
              <w:t>Carrying Balance</w:t>
            </w:r>
          </w:p>
        </w:tc>
        <w:tc>
          <w:tcPr>
            <w:tcW w:w="68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6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3.11 %</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2.91 %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securitization</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105,000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program</w:t>
            </w:r>
          </w:p>
        </w:tc>
        <w:tc>
          <w:tcPr>
            <w:tcW w:w="1640" w:type="dxa"/>
            <w:vAlign w:val="bottom"/>
            <w:tcBorders>
              <w:bottom w:val="single" w:sz="8" w:color="CCEEFF"/>
            </w:tcBorders>
          </w:tcPr>
          <w:p>
            <w:pPr>
              <w:jc w:val="right"/>
              <w:ind w:right="9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ind w:right="350"/>
              <w:spacing w:after="0"/>
              <w:rPr>
                <w:sz w:val="20"/>
                <w:szCs w:val="20"/>
                <w:color w:val="auto"/>
              </w:rPr>
            </w:pPr>
            <w:r>
              <w:rPr>
                <w:rFonts w:ascii="Arial" w:cs="Arial" w:eastAsia="Arial" w:hAnsi="Arial"/>
                <w:sz w:val="18"/>
                <w:szCs w:val="18"/>
                <w:color w:val="auto"/>
              </w:rPr>
              <w:t>2.63 %</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6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165,380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September 29, 2018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0"/>
              </w:rPr>
              <w:t>September 29, 2018</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June 30, 2018</w:t>
            </w:r>
          </w:p>
        </w:tc>
      </w:tr>
      <w:tr>
        <w:trPr>
          <w:trHeight w:val="183"/>
        </w:trPr>
        <w:tc>
          <w:tcPr>
            <w:tcW w:w="3600" w:type="dxa"/>
            <w:vAlign w:val="bottom"/>
            <w:tcBorders>
              <w:bottom w:val="single" w:sz="8" w:color="CCEEFF"/>
            </w:tcBorders>
          </w:tcPr>
          <w:p>
            <w:pPr>
              <w:spacing w:after="0"/>
              <w:rPr>
                <w:sz w:val="15"/>
                <w:szCs w:val="15"/>
                <w:color w:val="auto"/>
              </w:rPr>
            </w:pPr>
          </w:p>
        </w:tc>
        <w:tc>
          <w:tcPr>
            <w:tcW w:w="2640" w:type="dxa"/>
            <w:vAlign w:val="bottom"/>
            <w:tcBorders>
              <w:top w:val="single" w:sz="8" w:color="auto"/>
              <w:bottom w:val="single" w:sz="8" w:color="auto"/>
            </w:tcBorders>
            <w:gridSpan w:val="2"/>
          </w:tcPr>
          <w:p>
            <w:pPr>
              <w:jc w:val="right"/>
              <w:ind w:right="799"/>
              <w:spacing w:after="0" w:line="176" w:lineRule="exact"/>
              <w:rPr>
                <w:sz w:val="20"/>
                <w:szCs w:val="20"/>
                <w:color w:val="auto"/>
              </w:rPr>
            </w:pPr>
            <w:r>
              <w:rPr>
                <w:rFonts w:ascii="Arial" w:cs="Arial" w:eastAsia="Arial" w:hAnsi="Arial"/>
                <w:sz w:val="16"/>
                <w:szCs w:val="16"/>
                <w:b w:val="1"/>
                <w:bCs w:val="1"/>
                <w:color w:val="auto"/>
              </w:rPr>
              <w:t>Interest Rate</w:t>
            </w:r>
          </w:p>
        </w:tc>
        <w:tc>
          <w:tcPr>
            <w:tcW w:w="1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gridSpan w:val="4"/>
          </w:tcPr>
          <w:p>
            <w:pPr>
              <w:jc w:val="right"/>
              <w:ind w:right="619"/>
              <w:spacing w:after="0" w:line="176" w:lineRule="exact"/>
              <w:rPr>
                <w:sz w:val="20"/>
                <w:szCs w:val="20"/>
                <w:color w:val="auto"/>
              </w:rPr>
            </w:pPr>
            <w:r>
              <w:rPr>
                <w:rFonts w:ascii="Arial" w:cs="Arial" w:eastAsia="Arial" w:hAnsi="Arial"/>
                <w:sz w:val="16"/>
                <w:szCs w:val="16"/>
                <w:b w:val="1"/>
                <w:bCs w:val="1"/>
                <w:color w:val="auto"/>
              </w:rPr>
              <w:t>Carrying Balance</w:t>
            </w:r>
          </w:p>
        </w:tc>
        <w:tc>
          <w:tcPr>
            <w:tcW w:w="40" w:type="dxa"/>
            <w:vAlign w:val="bottom"/>
            <w:tcBorders>
              <w:bottom w:val="single" w:sz="8" w:color="CCEEFF"/>
            </w:tcBorders>
          </w:tcPr>
          <w:p>
            <w:pPr>
              <w:spacing w:after="0"/>
              <w:rPr>
                <w:sz w:val="15"/>
                <w:szCs w:val="15"/>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Revolving credit facilities:</w:t>
            </w: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600" w:type="dxa"/>
            <w:vAlign w:val="bottom"/>
          </w:tcPr>
          <w:p>
            <w:pPr>
              <w:ind w:left="120"/>
              <w:spacing w:after="0" w:line="176" w:lineRule="exact"/>
              <w:rPr>
                <w:sz w:val="20"/>
                <w:szCs w:val="20"/>
                <w:color w:val="auto"/>
              </w:rPr>
            </w:pPr>
            <w:r>
              <w:rPr>
                <w:rFonts w:ascii="Arial" w:cs="Arial" w:eastAsia="Arial" w:hAnsi="Arial"/>
                <w:sz w:val="16"/>
                <w:szCs w:val="16"/>
                <w:color w:val="auto"/>
              </w:rPr>
              <w:t>Accounts receivable securitization program</w:t>
            </w:r>
          </w:p>
        </w:tc>
        <w:tc>
          <w:tcPr>
            <w:tcW w:w="1500" w:type="dxa"/>
            <w:vAlign w:val="bottom"/>
          </w:tcPr>
          <w:p>
            <w:pPr>
              <w:jc w:val="right"/>
              <w:ind w:right="699"/>
              <w:spacing w:after="0" w:line="176" w:lineRule="exact"/>
              <w:rPr>
                <w:sz w:val="20"/>
                <w:szCs w:val="20"/>
                <w:color w:val="auto"/>
              </w:rPr>
            </w:pPr>
            <w:r>
              <w:rPr>
                <w:rFonts w:ascii="Arial" w:cs="Arial" w:eastAsia="Arial" w:hAnsi="Arial"/>
                <w:sz w:val="16"/>
                <w:szCs w:val="16"/>
                <w:color w:val="auto"/>
              </w:rPr>
              <w:t>2.99 %</w:t>
            </w:r>
          </w:p>
        </w:tc>
        <w:tc>
          <w:tcPr>
            <w:tcW w:w="114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22"/>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65,000</w:t>
            </w:r>
          </w:p>
        </w:tc>
        <w:tc>
          <w:tcPr>
            <w:tcW w:w="160" w:type="dxa"/>
            <w:vAlign w:val="bottom"/>
          </w:tcPr>
          <w:p>
            <w:pPr>
              <w:spacing w:after="0"/>
              <w:rPr>
                <w:sz w:val="15"/>
                <w:szCs w:val="15"/>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Public notes due:</w:t>
            </w: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600" w:type="dxa"/>
            <w:vAlign w:val="bottom"/>
          </w:tcPr>
          <w:p>
            <w:pPr>
              <w:ind w:left="120"/>
              <w:spacing w:after="0" w:line="176" w:lineRule="exact"/>
              <w:rPr>
                <w:sz w:val="20"/>
                <w:szCs w:val="20"/>
                <w:color w:val="auto"/>
              </w:rPr>
            </w:pPr>
            <w:r>
              <w:rPr>
                <w:rFonts w:ascii="Arial" w:cs="Arial" w:eastAsia="Arial" w:hAnsi="Arial"/>
                <w:sz w:val="16"/>
                <w:szCs w:val="16"/>
                <w:color w:val="auto"/>
              </w:rPr>
              <w:t>June 2020</w:t>
            </w:r>
          </w:p>
        </w:tc>
        <w:tc>
          <w:tcPr>
            <w:tcW w:w="1500" w:type="dxa"/>
            <w:vAlign w:val="bottom"/>
          </w:tcPr>
          <w:p>
            <w:pPr>
              <w:jc w:val="right"/>
              <w:ind w:right="699"/>
              <w:spacing w:after="0" w:line="176" w:lineRule="exact"/>
              <w:rPr>
                <w:sz w:val="20"/>
                <w:szCs w:val="20"/>
                <w:color w:val="auto"/>
              </w:rPr>
            </w:pPr>
            <w:r>
              <w:rPr>
                <w:rFonts w:ascii="Arial" w:cs="Arial" w:eastAsia="Arial" w:hAnsi="Arial"/>
                <w:sz w:val="16"/>
                <w:szCs w:val="16"/>
                <w:color w:val="auto"/>
              </w:rPr>
              <w:t>5.88 %</w:t>
            </w:r>
          </w:p>
        </w:tc>
        <w:tc>
          <w:tcPr>
            <w:tcW w:w="114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5.88 %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300,000</w:t>
            </w:r>
          </w:p>
        </w:tc>
        <w:tc>
          <w:tcPr>
            <w:tcW w:w="40" w:type="dxa"/>
            <w:vAlign w:val="bottom"/>
          </w:tcPr>
          <w:p>
            <w:pPr>
              <w:spacing w:after="0"/>
              <w:rPr>
                <w:sz w:val="15"/>
                <w:szCs w:val="15"/>
                <w:color w:val="auto"/>
              </w:rPr>
            </w:pPr>
          </w:p>
        </w:tc>
      </w:tr>
      <w:tr>
        <w:trPr>
          <w:trHeight w:val="176"/>
        </w:trPr>
        <w:tc>
          <w:tcPr>
            <w:tcW w:w="360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December 2021</w:t>
            </w:r>
          </w:p>
        </w:tc>
        <w:tc>
          <w:tcPr>
            <w:tcW w:w="1500" w:type="dxa"/>
            <w:vAlign w:val="bottom"/>
            <w:shd w:val="clear" w:color="auto" w:fill="CCEEFF"/>
          </w:tcPr>
          <w:p>
            <w:pPr>
              <w:jc w:val="right"/>
              <w:ind w:right="699"/>
              <w:spacing w:after="0" w:line="176" w:lineRule="exact"/>
              <w:rPr>
                <w:sz w:val="20"/>
                <w:szCs w:val="20"/>
                <w:color w:val="auto"/>
              </w:rPr>
            </w:pPr>
            <w:r>
              <w:rPr>
                <w:rFonts w:ascii="Arial" w:cs="Arial" w:eastAsia="Arial" w:hAnsi="Arial"/>
                <w:sz w:val="16"/>
                <w:szCs w:val="16"/>
                <w:color w:val="auto"/>
              </w:rPr>
              <w:t>3.75 %</w:t>
            </w:r>
          </w:p>
        </w:tc>
        <w:tc>
          <w:tcPr>
            <w:tcW w:w="1140" w:type="dxa"/>
            <w:vAlign w:val="bottom"/>
            <w:shd w:val="clear" w:color="auto" w:fill="CCEEFF"/>
          </w:tcPr>
          <w:p>
            <w:pPr>
              <w:jc w:val="right"/>
              <w:ind w:right="259"/>
              <w:spacing w:after="0" w:line="176" w:lineRule="exact"/>
              <w:rPr>
                <w:sz w:val="20"/>
                <w:szCs w:val="20"/>
                <w:color w:val="auto"/>
              </w:rPr>
            </w:pPr>
            <w:r>
              <w:rPr>
                <w:rFonts w:ascii="Arial" w:cs="Arial" w:eastAsia="Arial" w:hAnsi="Arial"/>
                <w:sz w:val="16"/>
                <w:szCs w:val="16"/>
                <w:color w:val="auto"/>
              </w:rPr>
              <w:t>3.75 %</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300,000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300,000</w:t>
            </w:r>
          </w:p>
        </w:tc>
        <w:tc>
          <w:tcPr>
            <w:tcW w:w="40" w:type="dxa"/>
            <w:vAlign w:val="bottom"/>
            <w:shd w:val="clear" w:color="auto" w:fill="CCEEFF"/>
          </w:tcPr>
          <w:p>
            <w:pPr>
              <w:spacing w:after="0"/>
              <w:rPr>
                <w:sz w:val="15"/>
                <w:szCs w:val="15"/>
                <w:color w:val="auto"/>
              </w:rPr>
            </w:pPr>
          </w:p>
        </w:tc>
      </w:tr>
      <w:tr>
        <w:trPr>
          <w:trHeight w:val="176"/>
        </w:trPr>
        <w:tc>
          <w:tcPr>
            <w:tcW w:w="3600" w:type="dxa"/>
            <w:vAlign w:val="bottom"/>
          </w:tcPr>
          <w:p>
            <w:pPr>
              <w:ind w:left="120"/>
              <w:spacing w:after="0" w:line="176" w:lineRule="exact"/>
              <w:rPr>
                <w:sz w:val="20"/>
                <w:szCs w:val="20"/>
                <w:color w:val="auto"/>
              </w:rPr>
            </w:pPr>
            <w:r>
              <w:rPr>
                <w:rFonts w:ascii="Arial" w:cs="Arial" w:eastAsia="Arial" w:hAnsi="Arial"/>
                <w:sz w:val="16"/>
                <w:szCs w:val="16"/>
                <w:color w:val="auto"/>
              </w:rPr>
              <w:t>December 2022</w:t>
            </w:r>
          </w:p>
        </w:tc>
        <w:tc>
          <w:tcPr>
            <w:tcW w:w="1500" w:type="dxa"/>
            <w:vAlign w:val="bottom"/>
          </w:tcPr>
          <w:p>
            <w:pPr>
              <w:jc w:val="right"/>
              <w:ind w:right="699"/>
              <w:spacing w:after="0" w:line="176" w:lineRule="exact"/>
              <w:rPr>
                <w:sz w:val="20"/>
                <w:szCs w:val="20"/>
                <w:color w:val="auto"/>
              </w:rPr>
            </w:pPr>
            <w:r>
              <w:rPr>
                <w:rFonts w:ascii="Arial" w:cs="Arial" w:eastAsia="Arial" w:hAnsi="Arial"/>
                <w:sz w:val="16"/>
                <w:szCs w:val="16"/>
                <w:color w:val="auto"/>
              </w:rPr>
              <w:t>4.88 %</w:t>
            </w:r>
          </w:p>
        </w:tc>
        <w:tc>
          <w:tcPr>
            <w:tcW w:w="114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4.88 %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350,000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350,000</w:t>
            </w:r>
          </w:p>
        </w:tc>
        <w:tc>
          <w:tcPr>
            <w:tcW w:w="40" w:type="dxa"/>
            <w:vAlign w:val="bottom"/>
          </w:tcPr>
          <w:p>
            <w:pPr>
              <w:spacing w:after="0"/>
              <w:rPr>
                <w:sz w:val="15"/>
                <w:szCs w:val="15"/>
                <w:color w:val="auto"/>
              </w:rPr>
            </w:pPr>
          </w:p>
        </w:tc>
      </w:tr>
      <w:tr>
        <w:trPr>
          <w:trHeight w:val="176"/>
        </w:trPr>
        <w:tc>
          <w:tcPr>
            <w:tcW w:w="360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rPr>
              <w:t>April 2026</w:t>
            </w:r>
          </w:p>
        </w:tc>
        <w:tc>
          <w:tcPr>
            <w:tcW w:w="1500" w:type="dxa"/>
            <w:vAlign w:val="bottom"/>
            <w:shd w:val="clear" w:color="auto" w:fill="CCEEFF"/>
          </w:tcPr>
          <w:p>
            <w:pPr>
              <w:jc w:val="right"/>
              <w:ind w:right="699"/>
              <w:spacing w:after="0" w:line="176" w:lineRule="exact"/>
              <w:rPr>
                <w:sz w:val="20"/>
                <w:szCs w:val="20"/>
                <w:color w:val="auto"/>
              </w:rPr>
            </w:pPr>
            <w:r>
              <w:rPr>
                <w:rFonts w:ascii="Arial" w:cs="Arial" w:eastAsia="Arial" w:hAnsi="Arial"/>
                <w:sz w:val="16"/>
                <w:szCs w:val="16"/>
                <w:color w:val="auto"/>
              </w:rPr>
              <w:t>4.63 %</w:t>
            </w:r>
          </w:p>
        </w:tc>
        <w:tc>
          <w:tcPr>
            <w:tcW w:w="1140" w:type="dxa"/>
            <w:vAlign w:val="bottom"/>
            <w:shd w:val="clear" w:color="auto" w:fill="CCEEFF"/>
          </w:tcPr>
          <w:p>
            <w:pPr>
              <w:jc w:val="right"/>
              <w:ind w:right="259"/>
              <w:spacing w:after="0" w:line="176" w:lineRule="exact"/>
              <w:rPr>
                <w:sz w:val="20"/>
                <w:szCs w:val="20"/>
                <w:color w:val="auto"/>
              </w:rPr>
            </w:pPr>
            <w:r>
              <w:rPr>
                <w:rFonts w:ascii="Arial" w:cs="Arial" w:eastAsia="Arial" w:hAnsi="Arial"/>
                <w:sz w:val="16"/>
                <w:szCs w:val="16"/>
                <w:color w:val="auto"/>
              </w:rPr>
              <w:t>4.63 %</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550,000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550,000</w:t>
            </w:r>
          </w:p>
        </w:tc>
        <w:tc>
          <w:tcPr>
            <w:tcW w:w="40" w:type="dxa"/>
            <w:vAlign w:val="bottom"/>
            <w:shd w:val="clear" w:color="auto" w:fill="CCEEFF"/>
          </w:tcPr>
          <w:p>
            <w:pPr>
              <w:spacing w:after="0"/>
              <w:rPr>
                <w:sz w:val="15"/>
                <w:szCs w:val="15"/>
                <w:color w:val="auto"/>
              </w:rPr>
            </w:pPr>
          </w:p>
        </w:tc>
      </w:tr>
      <w:tr>
        <w:trPr>
          <w:trHeight w:val="183"/>
        </w:trPr>
        <w:tc>
          <w:tcPr>
            <w:tcW w:w="36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long-term debt</w:t>
            </w:r>
          </w:p>
        </w:tc>
        <w:tc>
          <w:tcPr>
            <w:tcW w:w="1500" w:type="dxa"/>
            <w:vAlign w:val="bottom"/>
            <w:tcBorders>
              <w:bottom w:val="single" w:sz="8" w:color="CCEEFF"/>
            </w:tcBorders>
          </w:tcPr>
          <w:p>
            <w:pPr>
              <w:jc w:val="right"/>
              <w:ind w:right="699"/>
              <w:spacing w:after="0" w:line="176" w:lineRule="exact"/>
              <w:rPr>
                <w:sz w:val="20"/>
                <w:szCs w:val="20"/>
                <w:color w:val="auto"/>
              </w:rPr>
            </w:pPr>
            <w:r>
              <w:rPr>
                <w:rFonts w:ascii="Arial" w:cs="Arial" w:eastAsia="Arial" w:hAnsi="Arial"/>
                <w:sz w:val="16"/>
                <w:szCs w:val="16"/>
                <w:color w:val="auto"/>
              </w:rPr>
              <w:t>1.01 %</w:t>
            </w:r>
          </w:p>
        </w:tc>
        <w:tc>
          <w:tcPr>
            <w:tcW w:w="1140" w:type="dxa"/>
            <w:vAlign w:val="bottom"/>
            <w:tcBorders>
              <w:bottom w:val="single" w:sz="8" w:color="CCEEFF"/>
            </w:tcBorders>
          </w:tcPr>
          <w:p>
            <w:pPr>
              <w:jc w:val="right"/>
              <w:ind w:right="259"/>
              <w:spacing w:after="0" w:line="176" w:lineRule="exact"/>
              <w:rPr>
                <w:sz w:val="20"/>
                <w:szCs w:val="20"/>
                <w:color w:val="auto"/>
              </w:rPr>
            </w:pPr>
            <w:r>
              <w:rPr>
                <w:rFonts w:ascii="Arial" w:cs="Arial" w:eastAsia="Arial" w:hAnsi="Arial"/>
                <w:sz w:val="16"/>
                <w:szCs w:val="16"/>
                <w:color w:val="auto"/>
              </w:rPr>
              <w:t>1.26 %</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383</w:t>
            </w:r>
          </w:p>
        </w:tc>
        <w:tc>
          <w:tcPr>
            <w:tcW w:w="40" w:type="dxa"/>
            <w:vAlign w:val="bottom"/>
            <w:tcBorders>
              <w:bottom w:val="single" w:sz="8" w:color="CCEEFF"/>
            </w:tcBorders>
          </w:tcPr>
          <w:p>
            <w:pPr>
              <w:spacing w:after="0"/>
              <w:rPr>
                <w:sz w:val="15"/>
                <w:szCs w:val="15"/>
                <w:color w:val="auto"/>
              </w:rPr>
            </w:pPr>
          </w:p>
        </w:tc>
      </w:tr>
      <w:tr>
        <w:trPr>
          <w:trHeight w:val="139"/>
        </w:trPr>
        <w:tc>
          <w:tcPr>
            <w:tcW w:w="360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Long-term debt before discount and debt issuance</w:t>
            </w:r>
          </w:p>
        </w:tc>
        <w:tc>
          <w:tcPr>
            <w:tcW w:w="15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9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costs</w:t>
            </w: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1,565,293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1,500,383</w:t>
            </w:r>
          </w:p>
        </w:tc>
        <w:tc>
          <w:tcPr>
            <w:tcW w:w="40" w:type="dxa"/>
            <w:vAlign w:val="bottom"/>
            <w:shd w:val="clear" w:color="auto" w:fill="CCEEFF"/>
          </w:tcPr>
          <w:p>
            <w:pPr>
              <w:spacing w:after="0"/>
              <w:rPr>
                <w:sz w:val="17"/>
                <w:szCs w:val="17"/>
                <w:color w:val="auto"/>
              </w:rPr>
            </w:pPr>
          </w:p>
        </w:tc>
      </w:tr>
      <w:tr>
        <w:trPr>
          <w:trHeight w:val="183"/>
        </w:trPr>
        <w:tc>
          <w:tcPr>
            <w:tcW w:w="3600" w:type="dxa"/>
            <w:vAlign w:val="bottom"/>
          </w:tcPr>
          <w:p>
            <w:pPr>
              <w:spacing w:after="0" w:line="176" w:lineRule="exact"/>
              <w:rPr>
                <w:sz w:val="20"/>
                <w:szCs w:val="20"/>
                <w:color w:val="auto"/>
              </w:rPr>
            </w:pPr>
            <w:r>
              <w:rPr>
                <w:rFonts w:ascii="Arial" w:cs="Arial" w:eastAsia="Arial" w:hAnsi="Arial"/>
                <w:sz w:val="16"/>
                <w:szCs w:val="16"/>
                <w:color w:val="auto"/>
              </w:rPr>
              <w:t>Discount and debt issuance costs – unamortized</w:t>
            </w: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rPr>
              <w:t>(10,571)</w:t>
            </w:r>
          </w:p>
        </w:tc>
        <w:tc>
          <w:tcPr>
            <w:tcW w:w="200" w:type="dxa"/>
            <w:vAlign w:val="bottom"/>
          </w:tcPr>
          <w:p>
            <w:pPr>
              <w:spacing w:after="0"/>
              <w:rPr>
                <w:sz w:val="15"/>
                <w:szCs w:val="15"/>
                <w:color w:val="auto"/>
              </w:rPr>
            </w:pPr>
          </w:p>
        </w:tc>
        <w:tc>
          <w:tcPr>
            <w:tcW w:w="88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(11,164)</w:t>
            </w:r>
          </w:p>
        </w:tc>
      </w:tr>
      <w:tr>
        <w:trPr>
          <w:trHeight w:val="183"/>
        </w:trPr>
        <w:tc>
          <w:tcPr>
            <w:tcW w:w="3600" w:type="dxa"/>
            <w:vAlign w:val="bottom"/>
            <w:tcBorders>
              <w:top w:val="single" w:sz="8" w:color="CCEEFF"/>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6"/>
                <w:szCs w:val="16"/>
                <w:color w:val="auto"/>
              </w:rPr>
              <w:t>Long-term debt</w:t>
            </w: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1,554,722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1,489,219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August 2018, the Company amended and extended its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$767.7 million and $790.5 million at September 29, 2018, and June 30, 2018,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September 29, 2018, and June 30, 2018. The Securitization Program expires in August 2020 and as a result the Company has classified outstanding balances as long-term debt as of September 29, 2018. Interest on borrowings is calculated using a one-month LIBOR rate plus a spread of 0.75%. The facility fee on the unused balance of the facility is up to 0.35%.</w:t>
      </w:r>
    </w:p>
    <w:p>
      <w:pPr>
        <w:spacing w:after="0" w:line="1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September 29, 2018, and June 30, 2018. As of September 29, 2018, and June 30, 2018, there were $3.0 million and $2.0 million, respectively, in letters of credit issued under the Credit Facility.</w:t>
      </w:r>
    </w:p>
    <w:p>
      <w:pPr>
        <w:spacing w:after="0" w:line="16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September 29, 2018, the carrying value and fair value of the Company’s total debt was $1.57 billion and $1.59 billion, respectively. At June 30, 2018, the carrying value and fair value of the Company’s total debt was $1.65 billion and $1.67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right="20" w:firstLine="428"/>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September 29, 2018, and June 30, 2018.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5"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right="2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September 29,</w:t>
            </w:r>
          </w:p>
        </w:tc>
        <w:tc>
          <w:tcPr>
            <w:tcW w:w="3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treatment recorded in:</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6,069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2,259</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4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29,</w:t>
            </w:r>
          </w:p>
        </w:tc>
        <w:tc>
          <w:tcPr>
            <w:tcW w:w="140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8"/>
              </w:rPr>
              <w:t>(Thousands)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w:t>
            </w:r>
          </w:p>
        </w:tc>
        <w:tc>
          <w:tcPr>
            <w:tcW w:w="2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2,792</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September 29, 2018 and June 30, 2018, the Company had aggregate estimated liabilities of $14.7 million and $14.2 million, respectively, classified within accrued expenses and other for such compliance-related matters that were reasonably estimable as of such 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effective tax rate on its income before income taxes from continuing operations was 27.3% in the first quarter of fiscal 2019 as compared with 5.4% in the first quarter of fiscal 2018. During the first quarter of fiscal 2019, the Company’s effective tax rate was unfavorably impacted primarily by (i) an adjustment to the provisional estimate for the one-time mandatory deemed repatriation tax liability recorded under the requirements of the Act and (ii) increases in unrecognized tax benefits, partially offset by (iii) an adjustment to the provisional deferred tax impacts of the Act and (iv) the mix of income in lower tax jurisdictions. During the first quarter of fiscal 2018, the Company’s effective tax rate was favorably impacted primarily by (i) the mix of income in lower tax jurisdictions and (ii) the release of unrecognized tax benefit reserves primarily due to the negotiation of a favorable outcome in a foreign jurisdiction.</w:t>
      </w:r>
    </w:p>
    <w:p>
      <w:pPr>
        <w:spacing w:after="0" w:line="1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fiscal 2018, the Company recorded a provisional amount for the one-time mandatory deemed repatriation tax liability (the “transition tax”) of $230.0 million. The Company increased this provisional estimate by $16.7 million during the first quarter of fiscal 2019, as a result of additional analysis performed on foreign based-earnings and profits and further refinement of the state tax impacts of the Act. The Company will finalize the transition tax during the second quarter of fiscal 2019, which corresponds to the end of the measurement period allowed for under Staff Accounting Bulletin 118 (“SAB 118”) primarily as a result of further substantiation of foreign-based earnings and profits and foreign tax credits and for evaluation related to the utilization of those foreign tax credits. Additionally, provisional estimates of the transition tax may change due to new guidance from federal and state regulators, interpretation of the law, and refinement of the Company’s estimates from ongoing analysis of tax positions. Any final changes in the provisional amount will be reflected in income tax expense in the second quarter of fiscal 2019, and may be material.</w:t>
      </w:r>
    </w:p>
    <w:p>
      <w:pPr>
        <w:spacing w:after="0" w:line="17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fiscal year 2018, the Company recorded a provisional expense to account for the deferred tax impacts of the Act, which was reduced by $8.4 million in the first quarter of fiscal 2019 as a result of the Company making certain elections related to the fiscal year 2018 federal net operating loss. The estimates related to deferred taxes are provisional and may change as the Company continues to analyze the impacts of the Act, including state income tax conformity considerations.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continues to evaluate the impact of the Act including the Company’s historical assertion related to ASC 740 Income Taxes unremitted earnings. The Company has not changed its historical assertion as of September 29, 2018 that its ASC 740 unremitted earnings are permanently reinvested. The Company believes any unrecorded liabilities related to this assertion are not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Company has a noncontributory defined benefit pension plan that covers substantially all U.S. employees and an acquired closed noncontributory defined benefit pension plan covering certain current or former Premier Farnell U.S. employees (the “Plans”). Components of net periodic pension cost for the Plans were as follows, which reflect the adoption of ASU 2017-07 as discussed further in Note 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6"/>
          </w:tcPr>
          <w:p>
            <w:pPr>
              <w:ind w:left="88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September 29,</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5"/>
          </w:tcPr>
          <w:p>
            <w:pPr>
              <w:jc w:val="right"/>
              <w:ind w:right="135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Borders>
              <w:top w:val="single" w:sz="8" w:color="CCEEFF"/>
            </w:tcBorders>
          </w:tcPr>
          <w:p>
            <w:pPr>
              <w:ind w:left="100"/>
              <w:spacing w:after="0" w:line="176" w:lineRule="exact"/>
              <w:rPr>
                <w:sz w:val="20"/>
                <w:szCs w:val="20"/>
                <w:color w:val="auto"/>
              </w:rPr>
            </w:pPr>
            <w:r>
              <w:rPr>
                <w:rFonts w:ascii="Arial" w:cs="Arial" w:eastAsia="Arial" w:hAnsi="Arial"/>
                <w:sz w:val="18"/>
                <w:szCs w:val="18"/>
                <w:color w:val="auto"/>
              </w:rPr>
              <w:t>Total net periodic pension cost within selling, general and</w:t>
            </w: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6,614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ind w:left="100"/>
              <w:spacing w:after="0" w:line="176" w:lineRule="exact"/>
              <w:rPr>
                <w:sz w:val="20"/>
                <w:szCs w:val="20"/>
                <w:color w:val="auto"/>
              </w:rPr>
            </w:pPr>
            <w:r>
              <w:rPr>
                <w:rFonts w:ascii="Arial" w:cs="Arial" w:eastAsia="Arial" w:hAnsi="Arial"/>
                <w:sz w:val="18"/>
                <w:szCs w:val="18"/>
                <w:color w:val="auto"/>
                <w:w w:val="93"/>
              </w:rPr>
              <w:t>Total net periodic pension benefit within other income (expense),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(4,545)</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40" w:firstLine="428"/>
        <w:spacing w:after="0" w:line="279" w:lineRule="auto"/>
        <w:rPr>
          <w:sz w:val="20"/>
          <w:szCs w:val="20"/>
          <w:color w:val="auto"/>
        </w:rPr>
      </w:pPr>
      <w:r>
        <w:rPr>
          <w:rFonts w:ascii="Arial" w:cs="Arial" w:eastAsia="Arial" w:hAnsi="Arial"/>
          <w:sz w:val="17"/>
          <w:szCs w:val="17"/>
          <w:color w:val="auto"/>
        </w:rPr>
        <w:t>In connection with the adoption of ASU No. 2017-07, the Company now classifies service cost as a component of selling, general and administrative expenses and other components of net periodic pension costs within other income (expense), net. The Company contributed $8.0 million to the Plans during the first quarter of fiscal 2019 and expects to make an additional contribution to the Plans of $8.0 million in the remainder of fiscal 2019.</w:t>
      </w:r>
    </w:p>
    <w:p>
      <w:pPr>
        <w:spacing w:after="0" w:line="171"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net of tax, to other income (expense), net during the first quarters of fiscal 2019 and fiscal 2018 were not material and substantially all related to net periodic pension costs including recognition of actuarial losses and amortization of prior service credits.</w:t>
      </w:r>
    </w:p>
    <w:p>
      <w:pPr>
        <w:spacing w:after="0" w:line="166"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 connection with the sale of the TS business, a significant number of former employees became terminated vested employees under the Plan. During fiscal 2018, the aggregate amount of former employee withdrawals from the Plan exceeded the pension accounting settlement threshold for fiscal 2018, which required a settlement expense under ASC 715 pension accounting.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740" w:hanging="437"/>
        <w:spacing w:after="0" w:line="566" w:lineRule="auto"/>
        <w:tabs>
          <w:tab w:leader="none" w:pos="28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right="40" w:firstLine="428"/>
        <w:spacing w:after="0" w:line="293" w:lineRule="auto"/>
        <w:rPr>
          <w:sz w:val="20"/>
          <w:szCs w:val="20"/>
          <w:color w:val="auto"/>
        </w:rPr>
      </w:pPr>
      <w:r>
        <w:rPr>
          <w:rFonts w:ascii="Arial" w:cs="Arial" w:eastAsia="Arial" w:hAnsi="Arial"/>
          <w:sz w:val="16"/>
          <w:szCs w:val="16"/>
          <w:color w:val="auto"/>
        </w:rPr>
        <w:t>In August 2018, the Company’s Board of Directors authorized a $500 million increase in the Company’s existing share repurchase program. With this increase, the Company’s may repurchase up to $2.45 billion of common stock in the open market or through privately negotiated transactions. The timing and actual number of shares repurchased will depend on a variety of factors such as share price, corporate and regulatory requirements, and prevailing market conditions. During the three months ended September 29, 2018, the Company repurchased 3.3 million under this program for a total cost of $156.9 million. As of September 29, 2018, the Company had $615.2 million remaining under its share repurchase authorization.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In August 2018, the Company’s Board of Directors approved a dividend of $0.20 per common share and dividend payments of $22.9 million were made in September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11. Earnings per share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First Quarters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September 29,</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(Thousands, except per share data)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line="203"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83,724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58,303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 based compensation awards</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116,471</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123,984</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3" w:lineRule="exact"/>
              <w:rPr>
                <w:sz w:val="20"/>
                <w:szCs w:val="20"/>
                <w:color w:val="auto"/>
              </w:rPr>
            </w:pPr>
            <w:r>
              <w:rPr>
                <w:rFonts w:ascii="Arial" w:cs="Arial" w:eastAsia="Arial" w:hAnsi="Arial"/>
                <w:sz w:val="18"/>
                <w:szCs w:val="18"/>
                <w:color w:val="auto"/>
              </w:rPr>
              <w:t>Basic earnings per share - continuing operations</w:t>
            </w:r>
          </w:p>
        </w:tc>
        <w:tc>
          <w:tcPr>
            <w:tcW w:w="3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 share</w:t>
            </w:r>
          </w:p>
        </w:tc>
        <w:tc>
          <w:tcPr>
            <w:tcW w:w="30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earnings per share - discontinued operations</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line="176" w:lineRule="exact"/>
              <w:rPr>
                <w:sz w:val="20"/>
                <w:szCs w:val="20"/>
                <w:color w:val="auto"/>
              </w:rPr>
            </w:pPr>
            <w:r>
              <w:rPr>
                <w:rFonts w:ascii="Arial" w:cs="Arial" w:eastAsia="Arial" w:hAnsi="Arial"/>
                <w:sz w:val="18"/>
                <w:szCs w:val="18"/>
                <w:color w:val="auto"/>
                <w:w w:val="95"/>
              </w:rPr>
              <w:t>Stock options excluded from earnings per share calculation due to anti-dilutive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effect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r>
      <w:tr>
        <w:trPr>
          <w:trHeight w:val="198"/>
        </w:trPr>
        <w:tc>
          <w:tcPr>
            <w:tcW w:w="6420" w:type="dxa"/>
            <w:vAlign w:val="bottom"/>
          </w:tcPr>
          <w:p>
            <w:pPr>
              <w:spacing w:after="0"/>
              <w:rPr>
                <w:sz w:val="17"/>
                <w:szCs w:val="17"/>
                <w:color w:val="auto"/>
              </w:rPr>
            </w:pPr>
          </w:p>
        </w:tc>
        <w:tc>
          <w:tcPr>
            <w:tcW w:w="12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5"/>
              </w:rPr>
              <w:t>September 29,</w:t>
            </w:r>
          </w:p>
        </w:tc>
        <w:tc>
          <w:tcPr>
            <w:tcW w:w="124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r>
      <w:tr>
        <w:trPr>
          <w:trHeight w:val="241"/>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20"/>
                <w:szCs w:val="20"/>
                <w:color w:val="auto"/>
              </w:rPr>
            </w:pPr>
          </w:p>
        </w:tc>
      </w:tr>
      <w:tr>
        <w:trPr>
          <w:trHeight w:val="216"/>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(Thousands)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9,690</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23,176</w:t>
            </w: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sale of marketable securities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share repurchases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11,228</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13,826</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80" w:type="dxa"/>
            <w:vAlign w:val="bottom"/>
            <w:shd w:val="clear" w:color="auto" w:fill="CCEEFF"/>
          </w:tcPr>
          <w:p>
            <w:pPr>
              <w:spacing w:after="0"/>
              <w:rPr>
                <w:sz w:val="18"/>
                <w:szCs w:val="18"/>
                <w:color w:val="auto"/>
              </w:rPr>
            </w:pPr>
          </w:p>
        </w:tc>
      </w:tr>
      <w:tr>
        <w:trPr>
          <w:trHeight w:val="230"/>
        </w:trPr>
        <w:tc>
          <w:tcPr>
            <w:tcW w:w="642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54,519</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18,362</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September 29, 2018 and June 30, 2018 was $5.4 million and $6.1 million, respectively, of cash equivalents, which was primarily comprised of investment grade money market funds and overnight time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24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6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First Quarters Ended</w:t>
            </w:r>
          </w:p>
        </w:tc>
      </w:tr>
      <w:tr>
        <w:trPr>
          <w:trHeight w:val="198"/>
        </w:trPr>
        <w:tc>
          <w:tcPr>
            <w:tcW w:w="12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September 29,</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8"/>
              </w:rPr>
              <w:t>(Thousands)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4,710,825</w:t>
            </w:r>
          </w:p>
        </w:tc>
        <w:tc>
          <w:tcPr>
            <w:tcW w:w="22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4,307,251</w:t>
            </w:r>
          </w:p>
        </w:tc>
        <w:tc>
          <w:tcPr>
            <w:tcW w:w="20" w:type="dxa"/>
            <w:vAlign w:val="bottom"/>
          </w:tcPr>
          <w:p>
            <w:pPr>
              <w:spacing w:after="0"/>
              <w:rPr>
                <w:sz w:val="18"/>
                <w:szCs w:val="18"/>
                <w:color w:val="auto"/>
              </w:rPr>
            </w:pPr>
          </w:p>
        </w:tc>
      </w:tr>
      <w:tr>
        <w:trPr>
          <w:trHeight w:val="223"/>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379,054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353,692</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5,089,879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4,660,943</w:t>
            </w:r>
          </w:p>
        </w:tc>
        <w:tc>
          <w:tcPr>
            <w:tcW w:w="2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161,913</w:t>
            </w:r>
          </w:p>
        </w:tc>
        <w:tc>
          <w:tcPr>
            <w:tcW w:w="22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139,601</w:t>
            </w:r>
          </w:p>
        </w:tc>
        <w:tc>
          <w:tcPr>
            <w:tcW w:w="20" w:type="dxa"/>
            <w:vAlign w:val="bottom"/>
          </w:tcPr>
          <w:p>
            <w:pPr>
              <w:spacing w:after="0"/>
              <w:rPr>
                <w:sz w:val="18"/>
                <w:szCs w:val="18"/>
                <w:color w:val="auto"/>
              </w:rPr>
            </w:pPr>
          </w:p>
        </w:tc>
      </w:tr>
      <w:tr>
        <w:trPr>
          <w:trHeight w:val="223"/>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172,233</w:t>
            </w:r>
          </w:p>
        </w:tc>
        <w:tc>
          <w:tcPr>
            <w:tcW w:w="2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w:t>
            </w:r>
          </w:p>
        </w:tc>
        <w:tc>
          <w:tcPr>
            <w:tcW w:w="20" w:type="dxa"/>
            <w:vAlign w:val="bottom"/>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(14,788)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(46,394)</w:t>
            </w:r>
          </w:p>
        </w:tc>
        <w:tc>
          <w:tcPr>
            <w:tcW w:w="20" w:type="dxa"/>
            <w:vAlign w:val="bottom"/>
          </w:tcPr>
          <w:p>
            <w:pPr>
              <w:spacing w:after="0"/>
              <w:rPr>
                <w:sz w:val="18"/>
                <w:szCs w:val="18"/>
                <w:color w:val="auto"/>
              </w:rPr>
            </w:pPr>
          </w:p>
        </w:tc>
      </w:tr>
      <w:tr>
        <w:trPr>
          <w:trHeight w:val="23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(20,927)</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20" w:type="dxa"/>
            <w:vAlign w:val="bottom"/>
          </w:tcPr>
          <w:p>
            <w:pPr>
              <w:spacing w:after="0"/>
              <w:rPr>
                <w:sz w:val="20"/>
                <w:szCs w:val="20"/>
                <w:color w:val="auto"/>
              </w:rPr>
            </w:pPr>
          </w:p>
        </w:tc>
      </w:tr>
      <w:tr>
        <w:trPr>
          <w:trHeight w:val="210"/>
        </w:trPr>
        <w:tc>
          <w:tcPr>
            <w:tcW w:w="65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146,816</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64,568</w:t>
            </w:r>
          </w:p>
        </w:tc>
        <w:tc>
          <w:tcPr>
            <w:tcW w:w="2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Sales, by geographic area:</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1,271,793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1,185,485</w:t>
            </w:r>
          </w:p>
        </w:tc>
        <w:tc>
          <w:tcPr>
            <w:tcW w:w="20" w:type="dxa"/>
            <w:vAlign w:val="bottom"/>
          </w:tcPr>
          <w:p>
            <w:pPr>
              <w:spacing w:after="0"/>
              <w:rPr>
                <w:sz w:val="18"/>
                <w:szCs w:val="18"/>
                <w:color w:val="auto"/>
              </w:rPr>
            </w:pPr>
          </w:p>
        </w:tc>
      </w:tr>
      <w:tr>
        <w:trPr>
          <w:trHeight w:val="216"/>
        </w:trPr>
        <w:tc>
          <w:tcPr>
            <w:tcW w:w="6520" w:type="dxa"/>
            <w:vAlign w:val="bottom"/>
            <w:gridSpan w:val="2"/>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1,714,917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1,692,985</w:t>
            </w:r>
          </w:p>
        </w:tc>
        <w:tc>
          <w:tcPr>
            <w:tcW w:w="20" w:type="dxa"/>
            <w:vAlign w:val="bottom"/>
          </w:tcPr>
          <w:p>
            <w:pPr>
              <w:spacing w:after="0"/>
              <w:rPr>
                <w:sz w:val="18"/>
                <w:szCs w:val="18"/>
                <w:color w:val="auto"/>
              </w:rPr>
            </w:pPr>
          </w:p>
        </w:tc>
      </w:tr>
      <w:tr>
        <w:trPr>
          <w:trHeight w:val="236"/>
        </w:trPr>
        <w:tc>
          <w:tcPr>
            <w:tcW w:w="6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(4)</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2,103,169</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1,782,473</w:t>
            </w:r>
          </w:p>
        </w:tc>
        <w:tc>
          <w:tcPr>
            <w:tcW w:w="20" w:type="dxa"/>
            <w:vAlign w:val="bottom"/>
          </w:tcPr>
          <w:p>
            <w:pPr>
              <w:spacing w:after="0"/>
              <w:rPr>
                <w:sz w:val="20"/>
                <w:szCs w:val="20"/>
                <w:color w:val="auto"/>
              </w:rPr>
            </w:pPr>
          </w:p>
        </w:tc>
      </w:tr>
      <w:tr>
        <w:trPr>
          <w:trHeight w:val="210"/>
        </w:trPr>
        <w:tc>
          <w:tcPr>
            <w:tcW w:w="6520" w:type="dxa"/>
            <w:vAlign w:val="bottom"/>
            <w:gridSpan w:val="2"/>
          </w:tcPr>
          <w:p>
            <w:pPr>
              <w:spacing w:after="0" w:line="203" w:lineRule="exact"/>
              <w:rPr>
                <w:sz w:val="20"/>
                <w:szCs w:val="20"/>
                <w:color w:val="auto"/>
              </w:rPr>
            </w:pPr>
            <w:r>
              <w:rPr>
                <w:rFonts w:ascii="Arial" w:cs="Arial" w:eastAsia="Arial" w:hAnsi="Arial"/>
                <w:sz w:val="18"/>
                <w:szCs w:val="18"/>
                <w:color w:val="auto"/>
              </w:rPr>
              <w:t>Sales</w:t>
            </w: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5,089,879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4,660,943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jc w:val="both"/>
        <w:ind w:left="320" w:hanging="317"/>
        <w:spacing w:after="0" w:line="312" w:lineRule="auto"/>
        <w:tabs>
          <w:tab w:leader="none" w:pos="263" w:val="left"/>
        </w:tabs>
        <w:numPr>
          <w:ilvl w:val="0"/>
          <w:numId w:val="6"/>
        </w:numPr>
        <w:rPr>
          <w:rFonts w:ascii="Arial" w:cs="Arial" w:eastAsia="Arial" w:hAnsi="Arial"/>
          <w:sz w:val="8"/>
          <w:szCs w:val="8"/>
          <w:color w:val="auto"/>
        </w:rPr>
      </w:pPr>
      <w:r>
        <w:rPr>
          <w:rFonts w:ascii="Arial" w:cs="Arial" w:eastAsia="Arial" w:hAnsi="Arial"/>
          <w:sz w:val="16"/>
          <w:szCs w:val="16"/>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of profitability or assets and total Avnet amounts reported in the consolidated financial statements.</w:t>
      </w:r>
    </w:p>
    <w:p>
      <w:pPr>
        <w:spacing w:after="0" w:line="146" w:lineRule="exact"/>
        <w:rPr>
          <w:rFonts w:ascii="Arial" w:cs="Arial" w:eastAsia="Arial" w:hAnsi="Arial"/>
          <w:sz w:val="8"/>
          <w:szCs w:val="8"/>
          <w:color w:val="auto"/>
        </w:rPr>
      </w:pPr>
    </w:p>
    <w:p>
      <w:pPr>
        <w:ind w:left="320" w:hanging="317"/>
        <w:spacing w:after="0" w:line="277"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sales from the United States of $1.18 billion and $1.10 billion for the first quarters ended September 29, 2018 and September 30, 2017, respectively.</w:t>
      </w:r>
    </w:p>
    <w:p>
      <w:pPr>
        <w:spacing w:after="0" w:line="170"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sales from Germany and Belgium of $685.7 million and $280.1 million, respectively, for the first quarter ended September 29, 2018. Includes sales from Germany and Belgium of $681.0 million and $262.5 million, respectively, for the first quarter ended September 30, 2017.</w:t>
      </w:r>
    </w:p>
    <w:p>
      <w:pPr>
        <w:spacing w:after="0" w:line="181" w:lineRule="exact"/>
        <w:rPr>
          <w:rFonts w:ascii="Arial" w:cs="Arial" w:eastAsia="Arial" w:hAnsi="Arial"/>
          <w:sz w:val="9"/>
          <w:szCs w:val="9"/>
          <w:color w:val="auto"/>
        </w:rPr>
      </w:pPr>
    </w:p>
    <w:p>
      <w:pPr>
        <w:jc w:val="both"/>
        <w:ind w:left="320" w:hanging="317"/>
        <w:spacing w:after="0" w:line="259"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sales from China (including Hong Kong), Taiwan and Singapore of $693.1 million, $888.7 million and $280.4 million, respectively, for the first quarter ended September 29, 2018. Includes sales from China (including Hong Kong), Taiwan and Singapore of $655.4 million, $657.5 million and $228.9 million, respectively, for the first quarter ended September 30,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3"/>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272,398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276,156</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204,797</w:t>
            </w:r>
          </w:p>
        </w:tc>
        <w:tc>
          <w:tcPr>
            <w:tcW w:w="18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40,989</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41,956</w:t>
            </w:r>
          </w:p>
        </w:tc>
        <w:tc>
          <w:tcPr>
            <w:tcW w:w="180" w:type="dxa"/>
            <w:vAlign w:val="bottom"/>
            <w:tcBorders>
              <w:bottom w:val="single" w:sz="8" w:color="CCEEFF"/>
            </w:tcBorders>
          </w:tcPr>
          <w:p>
            <w:pPr>
              <w:spacing w:after="0"/>
              <w:rPr>
                <w:sz w:val="19"/>
                <w:szCs w:val="19"/>
                <w:color w:val="auto"/>
              </w:rPr>
            </w:pPr>
          </w:p>
        </w:tc>
      </w:tr>
      <w:tr>
        <w:trPr>
          <w:trHeight w:val="22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525,873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522,909</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320" w:right="200" w:hanging="317"/>
        <w:spacing w:after="0" w:line="277"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property, plant and equipment, net, of $267.5 million and $271.4 million as of September 29, 2018, and June 30, 2018, respectively, in the United States.</w:t>
      </w:r>
    </w:p>
    <w:p>
      <w:pPr>
        <w:spacing w:after="0" w:line="170" w:lineRule="exact"/>
        <w:rPr>
          <w:rFonts w:ascii="Arial" w:cs="Arial" w:eastAsia="Arial" w:hAnsi="Arial"/>
          <w:sz w:val="9"/>
          <w:szCs w:val="9"/>
          <w:color w:val="auto"/>
        </w:rPr>
      </w:pPr>
    </w:p>
    <w:p>
      <w:pPr>
        <w:jc w:val="both"/>
        <w:ind w:left="320" w:right="200" w:hanging="317"/>
        <w:spacing w:after="0" w:line="264"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property, plant and equipment, net, of $99.4 million, $50.8 million and $52.7 million in Germany, UK and Belgium, respectively, as of September 29, 2018; and $99.4 million, $52.5 million and $43.4 million in Germany, UK and Belgium, respectively, as of June 30, 2018.</w:t>
      </w:r>
    </w:p>
    <w:p>
      <w:pPr>
        <w:spacing w:after="0" w:line="177" w:lineRule="exact"/>
        <w:rPr>
          <w:sz w:val="20"/>
          <w:szCs w:val="20"/>
          <w:color w:val="auto"/>
        </w:rPr>
      </w:pPr>
    </w:p>
    <w:p>
      <w:pPr>
        <w:ind w:left="440" w:right="7200" w:hanging="437"/>
        <w:spacing w:after="0" w:line="566" w:lineRule="auto"/>
        <w:tabs>
          <w:tab w:leader="none" w:pos="28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expenses </w:t>
      </w:r>
      <w:r>
        <w:rPr>
          <w:rFonts w:ascii="Arial" w:cs="Arial" w:eastAsia="Arial" w:hAnsi="Arial"/>
          <w:sz w:val="16"/>
          <w:szCs w:val="16"/>
          <w:i w:val="1"/>
          <w:iCs w:val="1"/>
          <w:color w:val="auto"/>
        </w:rPr>
        <w:t>Fiscal 2019</w:t>
      </w:r>
    </w:p>
    <w:p>
      <w:pPr>
        <w:spacing w:after="0" w:line="1"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fiscal 2019, the Company executed certain restructuring actions in order to improve operating efficiencies and further integrate the acquisition of PF. Restructuring expenses are included as a component of restructuring, integration and other expenses in the Consolidated Statements of Operations. The activity related to the restructuring liabilities established during fiscal 2019 is presented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Facility</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and Contract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restart"/>
          </w:tcPr>
          <w:p>
            <w:pPr>
              <w:jc w:val="right"/>
              <w:ind w:right="4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Severance</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Exit Costs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(Thousands)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Fiscal 2019 restructuring expenses</w:t>
            </w:r>
          </w:p>
        </w:tc>
        <w:tc>
          <w:tcPr>
            <w:tcW w:w="9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203"/>
        </w:trPr>
        <w:tc>
          <w:tcPr>
            <w:tcW w:w="378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September 29, 2018</w:t>
            </w:r>
          </w:p>
        </w:tc>
        <w:tc>
          <w:tcPr>
            <w:tcW w:w="7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5,200</w:t>
            </w: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432"/>
        <w:spacing w:after="0" w:line="255" w:lineRule="auto"/>
        <w:rPr>
          <w:sz w:val="20"/>
          <w:szCs w:val="20"/>
          <w:color w:val="auto"/>
        </w:rPr>
      </w:pPr>
      <w:r>
        <w:rPr>
          <w:rFonts w:ascii="Arial" w:cs="Arial" w:eastAsia="Arial" w:hAnsi="Arial"/>
          <w:sz w:val="18"/>
          <w:szCs w:val="18"/>
          <w:color w:val="auto"/>
        </w:rPr>
        <w:t>Severance expense recorded in the first quarter of fiscal 2019 related to the reduction, or planned reduction, of approximately 50 employees, primarily in executive management, operations, warehouse, sales and business support functions. Facility and contract exit costs primarily consist of liabilities for remaining lease obligations for exited facilities and for contractual termination costs. Of the $7.5 million in restructuring expenses recorded during the first quarter of fiscal 2019, $7.3 million related to EC and $0.2 million related to PF. The Company expects the majority of the remaining amounts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 and prior</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2018 and prior, the Company incurred restructuring expenses related to various restructuring actions intended to achieve planned synergies from acquired businesses and to reduce future operating expenses. The following table presents the activity during the first quarter of fiscal 2019 related to the remaining restructuring liabilities from continuing operations established during fiscal 2018 and prior: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Facility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and Contract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Severance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Exit Costs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Impairments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rPr>
              <w:t>(Thousands)</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4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September 29, 2018</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7,502</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2,240</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the majority of the remaining amounts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September 29, 2018,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30, 2018.</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60" w:hanging="333"/>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Operating income excluding such amounts is referred to as “adjusted operating income.”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First Quarters Ended</w:t>
            </w:r>
          </w:p>
        </w:tc>
      </w:tr>
      <w:tr>
        <w:trPr>
          <w:trHeight w:val="198"/>
        </w:trPr>
        <w:tc>
          <w:tcPr>
            <w:tcW w:w="5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7"/>
              </w:rPr>
              <w:t>September 30,</w:t>
            </w:r>
          </w:p>
        </w:tc>
      </w:tr>
      <w:tr>
        <w:trPr>
          <w:trHeight w:val="241"/>
        </w:trPr>
        <w:tc>
          <w:tcPr>
            <w:tcW w:w="5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16"/>
        </w:trPr>
        <w:tc>
          <w:tcPr>
            <w:tcW w:w="5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146,816</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64,568</w:t>
            </w: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46,394</w:t>
            </w:r>
          </w:p>
        </w:tc>
      </w:tr>
      <w:tr>
        <w:trPr>
          <w:trHeight w:val="236"/>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 and other</w:t>
            </w: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25,585</w:t>
            </w:r>
          </w:p>
        </w:tc>
      </w:tr>
      <w:tr>
        <w:trPr>
          <w:trHeight w:val="210"/>
        </w:trPr>
        <w:tc>
          <w:tcPr>
            <w:tcW w:w="516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128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182,531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136,547</w:t>
            </w: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88"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Premier Farnell (“PF”). Both operating groups have operations in each of the three major economic regions of the world: the Americas, EMEA and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Sales for the first quarter of fiscal 2019 were $5.09 billion, an increase of 9.2% from sales for the first quarter of fiscal 2018 of $4.66 billion. The increase in sales was due to increased sales in both EC and PF. Sales in constant currency increased year over year by 9.9% with both EC and PF contributing to the increase.</w:t>
      </w:r>
    </w:p>
    <w:p>
      <w:pPr>
        <w:spacing w:after="0" w:line="181"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Gross profit margin for the first quarter of fiscal 2019 decreased 63 basis points compared to the first quarter of fiscal 2018. EC gross profit margin decreased year over year primarily due to a higher percentage of sales coming from the lower-margin Asia region. PF gross profit margin decreased year over year primarily driven by changes in product mix and the impact of foreign currency exchange rates.</w:t>
      </w:r>
    </w:p>
    <w:p>
      <w:pPr>
        <w:spacing w:after="0" w:line="187"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Avnet operating income margin was 2.9% in the first quarter of fiscal 2019 as compared with 1.4% in the first quarter of fiscal 2018. Both periods included amortization and restructuring, integration and other expenses. Excluding these expenses from both periods, adjusted operating income margin was 3.6% in the first quarter of fiscal 2019 as compared to 2.9% in the first quarter of fiscal 2018. The increase in operating income margin is primarily due to the year over year growth in sales and a reduction in expenses as a result of the Company’s restructuring and integration efforts, partially offset by the decline in gross profit margin.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jc w:val="both"/>
        <w:ind w:right="40" w:firstLine="428"/>
        <w:spacing w:after="0" w:line="246" w:lineRule="auto"/>
        <w:rPr>
          <w:sz w:val="20"/>
          <w:szCs w:val="20"/>
          <w:color w:val="auto"/>
        </w:rPr>
      </w:pPr>
      <w:r>
        <w:rPr>
          <w:rFonts w:ascii="Arial" w:cs="Arial" w:eastAsia="Arial" w:hAnsi="Arial"/>
          <w:sz w:val="18"/>
          <w:szCs w:val="18"/>
          <w:color w:val="auto"/>
        </w:rPr>
        <w:t>The following table presents reported and organic sales growth rates between fiscal 2019 and fiscal 2018 for the first quarter of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First Quarters Ended</w:t>
            </w:r>
          </w:p>
        </w:tc>
        <w:tc>
          <w:tcPr>
            <w:tcW w:w="1420" w:type="dxa"/>
            <w:vAlign w:val="bottom"/>
            <w:tcBorders>
              <w:bottom w:val="single" w:sz="8" w:color="auto"/>
            </w:tcBorders>
          </w:tcPr>
          <w:p>
            <w:pPr>
              <w:spacing w:after="0"/>
              <w:rPr>
                <w:sz w:val="19"/>
                <w:szCs w:val="19"/>
                <w:color w:val="auto"/>
              </w:rPr>
            </w:pPr>
          </w:p>
        </w:tc>
      </w:tr>
      <w:tr>
        <w:trPr>
          <w:trHeight w:val="189"/>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85"/>
              </w:rPr>
              <w:t>Sales</w:t>
            </w:r>
          </w:p>
        </w:tc>
        <w:tc>
          <w:tcPr>
            <w:tcW w:w="320" w:type="dxa"/>
            <w:vAlign w:val="bottom"/>
          </w:tcPr>
          <w:p>
            <w:pPr>
              <w:spacing w:after="0"/>
              <w:rPr>
                <w:sz w:val="16"/>
                <w:szCs w:val="16"/>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85"/>
              </w:rPr>
              <w:t>Sales</w:t>
            </w:r>
          </w:p>
        </w:tc>
        <w:tc>
          <w:tcPr>
            <w:tcW w:w="15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as Reported</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90"/>
              </w:rPr>
              <w:t>as Reported</w:t>
            </w:r>
          </w:p>
        </w:tc>
        <w:tc>
          <w:tcPr>
            <w:tcW w:w="15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and Organic</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94"/>
              </w:rPr>
              <w:t>and Organic</w:t>
            </w:r>
          </w:p>
        </w:tc>
        <w:tc>
          <w:tcPr>
            <w:tcW w:w="152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Organic</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Fiscal</w:t>
            </w:r>
          </w:p>
        </w:tc>
        <w:tc>
          <w:tcPr>
            <w:tcW w:w="320" w:type="dxa"/>
            <w:vAlign w:val="bottom"/>
          </w:tcPr>
          <w:p>
            <w:pPr>
              <w:spacing w:after="0"/>
              <w:rPr>
                <w:sz w:val="17"/>
                <w:szCs w:val="17"/>
                <w:color w:val="auto"/>
              </w:rPr>
            </w:pPr>
          </w:p>
        </w:tc>
        <w:tc>
          <w:tcPr>
            <w:tcW w:w="1400" w:type="dxa"/>
            <w:vAlign w:val="bottom"/>
          </w:tcPr>
          <w:p>
            <w:pPr>
              <w:jc w:val="center"/>
              <w:ind w:right="319"/>
              <w:spacing w:after="0"/>
              <w:rPr>
                <w:sz w:val="20"/>
                <w:szCs w:val="20"/>
                <w:color w:val="auto"/>
              </w:rPr>
            </w:pPr>
            <w:r>
              <w:rPr>
                <w:rFonts w:ascii="Arial" w:cs="Arial" w:eastAsia="Arial" w:hAnsi="Arial"/>
                <w:sz w:val="16"/>
                <w:szCs w:val="16"/>
                <w:b w:val="1"/>
                <w:bCs w:val="1"/>
                <w:color w:val="auto"/>
                <w:w w:val="88"/>
              </w:rPr>
              <w:t>Fiscal</w:t>
            </w: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Year-Year</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w w:val="89"/>
              </w:rPr>
              <w:t>2018</w:t>
            </w: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 Change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(Dollars in thousands)</w:t>
            </w: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5,089,879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4,660,943</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9.9 %</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Avnet by region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1,271,793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1,185,485</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7.3 %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7.3 %</w:t>
            </w: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EMEA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1,714,917</w:t>
            </w:r>
          </w:p>
        </w:tc>
        <w:tc>
          <w:tcPr>
            <w:tcW w:w="32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1,692,985</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1.3</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2.7</w:t>
            </w: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2,103,169</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1,782,473</w:t>
            </w: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18.0</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18.3</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Avnet by segment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4,710,825</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4,307,251</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9.4 %</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10.0 %</w:t>
            </w:r>
          </w:p>
        </w:tc>
      </w:tr>
      <w:tr>
        <w:trPr>
          <w:trHeight w:val="206"/>
        </w:trPr>
        <w:tc>
          <w:tcPr>
            <w:tcW w:w="2080" w:type="dxa"/>
            <w:vAlign w:val="bottom"/>
          </w:tcPr>
          <w:p>
            <w:pPr>
              <w:ind w:left="120"/>
              <w:spacing w:after="0"/>
              <w:rPr>
                <w:sz w:val="20"/>
                <w:szCs w:val="20"/>
                <w:color w:val="auto"/>
              </w:rPr>
            </w:pPr>
            <w:r>
              <w:rPr>
                <w:rFonts w:ascii="Arial" w:cs="Arial" w:eastAsia="Arial" w:hAnsi="Arial"/>
                <w:sz w:val="16"/>
                <w:szCs w:val="16"/>
                <w:color w:val="auto"/>
              </w:rPr>
              <w:t>PF</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379,054</w:t>
            </w:r>
          </w:p>
        </w:tc>
        <w:tc>
          <w:tcPr>
            <w:tcW w:w="32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353,692</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7.2</w:t>
            </w: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8.2</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first quarter of fiscal 2019 were $5.09 billion, an increase of 9.2%, or $428.9 million, from the prior year first quarter sales of $4.66 billion. Sales in constant currency increased 9.9% over the prior year first quarter with both operating groups contributing to this increase.</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 sales of $4.71 billion in the first quarter of fiscal 2019 increased $403.6 million or 9.4% from the prior year first quarter sales of $4.31 billion. This increase was primarily driven by increased sales in the Asia and Americas regions. PF sales for the first quarter of fiscal 2019 were $379.1 million, an increase of $25.4 million or 7.2% from the prior year first quarter sales of $353.7 million driven by growth in all three regions.</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discussed in Note 2 to the Company’s consolidated financial statements included in this Quarterly Report on Form 10-Q, the adoption of the new revenue recognition accounting standard during the first quarter of fiscal 2019 did not have a material impact on the amounts of sales reported or the comparability of sales and gross profit margins year over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for the first quarter of fiscal 2019 was $636.8 million, an increase of $24.2 million, or 3.9%, from the first quarter of fiscal 2018 gross profit of $612.6 million primarily driven by the increase in sales. Gross profit margin decreased 63 basis points to 12.5% from the first quarter of fiscal 2018 gross profit margin of 13.1%, with both operating groups contributing to the decrease.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 gross profit margin decreased year over year primarily due to a sales mix shift to the lower-margin Asia region. Asia sales represented approximately 43% of the total EC sales in the first quarter of fiscal 2019 as compared with approximately 40% in the first quarter of fiscal 2018. PF gross profit margin decreased year over year primarily driven by customer mix and the impact of foreign currency exchange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Selling, general and administrative expenses (“SG&amp;A expenses”) were $475.1 million in the first quarter of fiscal 2019, a decrease of $26.4 million, or 5.3%, from the first quarter of fiscal 2018. The year-over-year decrease in SG&amp;A expenses was primarily due to a reduction of expenses resulting from management’s restructuring programs.</w:t>
      </w:r>
    </w:p>
    <w:p>
      <w:pPr>
        <w:spacing w:after="0" w:line="16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first quarter of fiscal 2019, SG&amp;A expenses as a percentage of sales were 9.3% and as a percentage of gross profit were 74.6%, as compared with 10.8% and 81.9%, respectively, in the first quarter of fiscal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 a result of management’s focus on improving operating efficiencies and further integrating the acquisition of PF, the Company has incurred certain restructuring costs. In addition, the Company incurred integration, accelerated depreciation and other costs. Integration costs are primarily related to the integration of acquired businesses including PF, the integration of certain regional and global businesses including Avnet after the TS divestiture, and incremental costs incurred as part of the consolidation, relocation, and closure of warehouse and office facilities. Accelerated depreciation relates to the incremental depreciation expense incurred related to the shortening of the estimated useful life of the Company’s enterprise resource planning (“ERP”) system in the Americas compared to depreciation expense based on the original useful life of such ERP system. Other costs consist primarily of any other miscellaneous costs that relate to restructuring, integration and other expenses.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recorded restructuring, integration and other expenses of $14.8 million during the first quarter of fiscal 2019. The Company recorded $7.5 million of restructuring costs in the first quarter of fiscal 2019 in order to realize approximately $7.2 million in expected annualized operating cost savings once such restructuring actions initiated before the end of the first quarter of fiscal 2019 are completed. During the first quarter of fiscal 2019, the Company incurred integration costs of $2.9 million, accelerated depreciation of $3.1 million, other costs of $1.5 million and a reversal of $0.2 million for changes in estimates for costs associated with prior year restructuring actions. The after tax impact of restructuring, integration and other expenses were $11.5 million and $0.10 per share on a diluted basis.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Comparatively, in the first quarter of fiscal 2018, restructuring, integration and other expenses from continuing operations were $46.4 million. The after tax impact of restructuring, integration, and other expenses was $29.6 million and $0.24 per share on a diluted basis.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Operating income for the first quarter of fiscal 2019 was $146.8 million, an increase of $82.2 million, or 127.4%, from the first quarter of fiscal 2018 of $64.6 million. The year over year increase in operating income was primarily driven by the reduction in selling, general and administrative expenses and lower restructuring, integration and other expenses as compared to the prior year first quarter. Adjusted operating income for the first quarter of fiscal 2019 was $182.5 million, an increase of $46.0 million, or 33.7%, from the first quarter of fiscal 2018.</w:t>
      </w:r>
    </w:p>
    <w:p>
      <w:pPr>
        <w:spacing w:after="0" w:line="173"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EC operating income margin increased 20 basis points year over year to 3.4% and PF operating income margin increased 153 basis points year over year to 10.8%. The improvement in operating income margin at both operating groups was primarily due to the organic sales growth and from operating cost reductions related to restructuring and integration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Financing Expenses, and Other Income (Expense), Net</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Interest and other financing expenses in the first quarter of fiscal 2019 was $30.1 million, an increase of $8.1 million or 36.7%, as compared with interest and other financing expenses of $22.0 million in the first quarter of fiscal 2018. The increase in interest and other financing expenses in the first quarter of fiscal 2019 compared to the first quarter of fiscal 2018 was primarily related to increased expenses in Asia to finance working capital needs and from lower interest income from investments in cash equivalents between the fiscal years.</w:t>
      </w:r>
    </w:p>
    <w:p>
      <w:pPr>
        <w:spacing w:after="0" w:line="18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the first quarter of fiscal 2019, the Company had $1.9 million of other expense, net, as compared with $18.9 million of other income, net, in the first quarter of fiscal 2018. In the first quarter of fiscal 2019, the Company had foreign currency losses primarily due to the strengthening of the U.S. Dollar compared to certain currencies, partially offset by income related to the Company’s pension plans. In the first quarter of fiscal 2018, the Company had foreign currency gains primarily due to the strengthening of the Euro compared to the U.S. Dollar and British Pound and other income related to the Company’s pension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The Company’s effective tax rate on its income before income taxes from continuing operations was 27.3% in the first quarter of fiscal 2019 as compared with 5.4% in the first quarter of fiscal 2018. During the first quarter of fiscal 2019, the Company’s effective tax rate was unfavorably impacted primarily by (i) an adjustment to the provisional transition tax expense estimate recorded under the requirements of the Act and (ii) increases in unrecognized tax benefits, partially offset by (iii) an adjustment to the provisional deferred tax impacts of the Act and (iv) the mix of income in lower tax jurisdictions. During the first quarter of fiscal 2018, the Company’s effective tax rate was favorably impacted primarily by (i) the mix of income in lower tax jurisdictions and (ii) the release of unrecognized tax benefit reserves primarily due to the negotiation of a favorable outcome in a foreign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from discontinued operations was $0.2 million in the first quarter of fiscal 2019 as compared to $0.1 million in the first quarter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quarter of fiscal 2019 was $83.7 million, or $0.72 per share on a diluted basis, as compared with $58.3 million of net income, or $0.47 per share on a diluted basis, in the first quarter of fiscal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first quarter of fiscal 2019, the Company used $85.0 million of cash from its operating activities compared to $128.0 million in the first quarter of fiscal 2018. These operating cash flows were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net periodic pension costs) and (ii) cash flows used for, or generated from, working capital and other, excluding cash and cash equivalents. Cash used for working capital and other was $275.6 million during the first quarter of fiscal 2019, including increases in inventories of $269.6 million and accounts receivable of $19.3 million, a decrease in accrued expenses and other of $81.8 million, partially offset by an increase in accounts payable of $95.1 million. The Company utilized cash to invest in inventory primarily to support sales growth and for certain investments in additional inventories at PF. Comparatively, cash used for working capital and other was $240.0 million during the first quarter of fiscal 2018, including increases in inventories and accounts receivable of $267.0 million and $32.4 million, respectively. These increases were partially offset by increases in accounts payable and accrued expenses and other of $37.3 million and $22.1 million,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2019, the Company made net repayments of $40.0 million under the Securitization Program. Additionally, the Company repaid $50.3 million under the Company’s Credit Facility and $1.2 million from borrowings of various bank credit facilities. During the first quarter of fiscal 2019, the Company paid dividends on common stock of $22.9 million and repurchased $149.1 million of common stock. Additionally, included in other, net is approximately $17.6 million of cash received from the exercises of stock options.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quarter of fiscal 2018, the Company received net proceeds of $28.0 million under the Securitization Program. During the first quarter of fiscal 2018, the Company repaid $24.9 million from borrowings of various bank credit facilities and $92.5 million under the Company’s Credit Facility. During the first quarter of fiscal 2018, the Company paid dividends on common stock of $22.0 million and repurchased $68.1 million of 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quarter of fiscal 2019, the Company used $41.0 million for capital expenditures primarily related to warehouse and facilities, computer hardware and software purchases and information system development costs compared to $26.7 million for capital expenditures in the first quarter of fiscal 2018. During the first quarter of fiscal 2018, the Company used $14.7 million of cash for acquisitions, which is net of the cash acquired.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first quarter of fiscal 2019, the Company received $120.0 million of cash from investing activities – discontinued operations from the sale of the TS business. During the first quarter of fiscal 2018, the Company generated $45.4 million of cash from investing activities – discontinued operations as a result of the sale of marketable securities obtained through the sale of the 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30, 2018.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Securitization Program, and other outstanding debt as of September 29, 2018. The Company was in compliance with all covenants under the Credit Facility and the Securitization Program as of September 29, 2018.</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2019 was $0.6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$365.9 million as of September 29, 2018, of which $330.6 million was held outside the United States. As of June 30, 2018, the Company held cash and cash equivalents of $621.1 million, of which $545.3 million was held outside of the United States.</w:t>
      </w:r>
    </w:p>
    <w:p>
      <w:pPr>
        <w:spacing w:after="0" w:line="18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of the end of the first quarter of fiscal 2019, the Company had a combined total borrowing capacity of $1.75 billion under the Credit Facility and the Securitization Program. There were no borrowings outstanding and $3.0 million in letters of credit issued under the Credit Facility and $65.0 million in borrowings outstanding under the Securitization Program, resulting in approximately $1.68 billion of total availability as of September 29, 2018. Availability under the Securitization Program is subject to the Company having sufficient eligible trade accounts receivable to support desired borrowings. The Company currently expects to utilize availability under credit facilities to support working capital and other general corporate purposes to the extent such incremental borrowings do not impact the Company’s investment grade credit rating. During the first quarter of fiscal 2019, the Company had an average daily balance outstanding of approximately $65.0 million under the Securitization Program. During the first quarter of fiscal 2018, the Company had an average daily balance outstanding of approximately $10.3 million under the Credit Facility and approximately $166.0 million under the Securitization Program.</w:t>
      </w:r>
    </w:p>
    <w:p>
      <w:pPr>
        <w:spacing w:after="0" w:line="16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$296.5 million in cash flows from operating activities over the trailing four fiscal quarters ended September 29, 2018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U.S. The Company is still evaluating the impact of repatriating any additional foreign cash as a result of the Act.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for warehouse facilities and information technology related tools and systems. Additionally, as the Company integrates PF, the Company expects to use cash for restructuring, integration and other expenses.</w:t>
      </w:r>
    </w:p>
    <w:p>
      <w:pPr>
        <w:spacing w:after="0" w:line="173"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addition to continuing to make investments in acquisitions, as of September 29, 2018, the Company may repurchase up to an aggregate of $615.2 million of shares of the Company’s common stock through a $2.45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first quarter of fiscal 2019, the Board of Directors approved a dividend of $0.20 per share, which resulted in $22.9 million of dividend payments during the quarter.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30, 2018, for further discussion of market risks associated with foreign currency exchange rates and interest rates. Avnet’s exposure to such risks has not changed materially since June 30, 2018,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September 29, 2018, 95% of the Company’s debt bears interest at a fixed rate and 5% of the Company’s debt bears interest at variable rates. Therefore, a hypothetical 1.0% (100 basis points) increase in interest rates would result in a $0.2 million decrease in income from continuing operations before income taxes in the Company’s consolidated statement of operations for the first quarter of fiscal 2019.</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2019,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contains forward-looking statements within the meaning of Section 27A of the Securities Act of 1933, as amended (“Securities Act”),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30, 2018, could affect the Company’s future results of operations, and could cause those results or other outcomes to differ materially from those expressed or implied in the forward-looking statements:</w:t>
      </w:r>
    </w:p>
    <w:p>
      <w:pPr>
        <w:spacing w:after="0" w:line="182"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rFonts w:ascii="Arial" w:cs="Arial" w:eastAsia="Arial" w:hAnsi="Arial"/>
          <w:sz w:val="18"/>
          <w:szCs w:val="18"/>
          <w:color w:val="auto"/>
        </w:rPr>
      </w:pPr>
    </w:p>
    <w:p>
      <w:pPr>
        <w:ind w:left="660" w:right="68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cyber-attacks and the Company’s information systems, including related to current or future implementations;</w:t>
      </w:r>
    </w:p>
    <w:p>
      <w:pPr>
        <w:spacing w:after="0" w:line="170" w:lineRule="exact"/>
        <w:rPr>
          <w:rFonts w:ascii="Arial" w:cs="Arial" w:eastAsia="Arial" w:hAnsi="Arial"/>
          <w:sz w:val="18"/>
          <w:szCs w:val="18"/>
          <w:color w:val="auto"/>
        </w:rPr>
      </w:pPr>
    </w:p>
    <w:p>
      <w:pPr>
        <w:jc w:val="both"/>
        <w:ind w:left="660" w:hanging="333"/>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and business conditions (domestic, foreign and global) affecting Avnet's operations and financial performance and, indirectly, Avnet's credit ratings, debt covenant compliance, and liquidity and access to financing;</w:t>
      </w:r>
    </w:p>
    <w:p>
      <w:pPr>
        <w:spacing w:after="0" w:line="339"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events, including the uncertainty caused by the United Kingdom’s planned exit from the European Union commonly referred to as “Brexit.” While the specific terms and impact of Brexit are not yet known, Brexit may adversely impact the United Kingdom and/or the European Union and therefore may adversely impact the Company’s operations and financial condition. The Company is monitoring the Brexit negotiations and developing contingency plans, including changes to its logistics operations and shipment routes and preparing for changes in trade facilitation regulations; and</w:t>
      </w:r>
    </w:p>
    <w:p>
      <w:pPr>
        <w:spacing w:after="0" w:line="19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June 30, 2018,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September 29, 2018, there have been no material changes to the risk factors set forth in the Company’s Annual Report on Form 10-K for the fiscal year ended June 30,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$2.45 billion of the Company’s common stock under the Company’s share repurchase program including an increase in August 2018 of $500.0 million. The following table includes the Company’s monthly purchases of the Company’s common stock during the first quarter of fiscal 2019, under the share repurchase program, which is part of a publicly announced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28</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267,089,000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July 29 – August 25</w:t>
            </w:r>
          </w:p>
        </w:tc>
        <w:tc>
          <w:tcPr>
            <w:tcW w:w="980" w:type="dxa"/>
            <w:vAlign w:val="bottom"/>
          </w:tcPr>
          <w:p>
            <w:pPr>
              <w:jc w:val="right"/>
              <w:spacing w:after="0"/>
              <w:rPr>
                <w:sz w:val="20"/>
                <w:szCs w:val="20"/>
                <w:color w:val="auto"/>
              </w:rPr>
            </w:pPr>
            <w:r>
              <w:rPr>
                <w:rFonts w:ascii="Arial" w:cs="Arial" w:eastAsia="Arial" w:hAnsi="Arial"/>
                <w:sz w:val="18"/>
                <w:szCs w:val="18"/>
                <w:color w:val="auto"/>
              </w:rPr>
              <w:t>797,833</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47.75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797,833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228,992,000</w:t>
            </w:r>
          </w:p>
        </w:tc>
        <w:tc>
          <w:tcPr>
            <w:tcW w:w="4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26 – September 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615,223,000</w:t>
            </w:r>
          </w:p>
        </w:tc>
        <w:tc>
          <w:tcPr>
            <w:tcW w:w="40" w:type="dxa"/>
            <w:vAlign w:val="bottom"/>
            <w:shd w:val="clear" w:color="auto" w:fill="CCEEFF"/>
          </w:tcPr>
          <w:p>
            <w:pPr>
              <w:spacing w:after="0"/>
              <w:rPr>
                <w:sz w:val="18"/>
                <w:szCs w:val="18"/>
                <w:color w:val="auto"/>
              </w:rPr>
            </w:pPr>
          </w:p>
        </w:tc>
      </w:tr>
      <w:tr>
        <w:trPr>
          <w:trHeight w:val="91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9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pursuant to Section 302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Financial Officer pursuant to Section 302 of the Sarbanes-Oxley Act of 2002.</w:t>
              </w:r>
            </w:hyperlink>
          </w:p>
        </w:tc>
        <w:tc>
          <w:tcPr>
            <w:tcW w:w="460" w:type="dxa"/>
            <w:vAlign w:val="bottom"/>
            <w:gridSpan w:val="2"/>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Executive Officer pursuant to Section 906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Certification of Chief Financial Officer pursuant to Section 906 of the Sarbanes-Oxley Act of 2002.</w:t>
              </w:r>
            </w:hyperlink>
          </w:p>
        </w:tc>
      </w:tr>
      <w:tr>
        <w:trPr>
          <w:trHeight w:val="46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80" w:type="dxa"/>
            <w:vAlign w:val="bottom"/>
            <w:gridSpan w:val="3"/>
          </w:tcPr>
          <w:p>
            <w:pPr>
              <w:spacing w:after="0"/>
              <w:rPr>
                <w:sz w:val="24"/>
                <w:szCs w:val="24"/>
                <w:color w:val="auto"/>
              </w:rPr>
            </w:pP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295"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661225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September 29, 2018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29, 2018 (the “Report”), I, Thomas Liguori, Chief Financial Officer of Avnet, Inc. (the “Company”) hereby certify that:</w:t>
      </w:r>
    </w:p>
    <w:p>
      <w:pPr>
        <w:spacing w:after="0" w:line="62" w:lineRule="exact"/>
        <w:rPr>
          <w:sz w:val="20"/>
          <w:szCs w:val="20"/>
          <w:color w:val="auto"/>
        </w:rPr>
      </w:pPr>
    </w:p>
    <w:p>
      <w:pPr>
        <w:ind w:left="660" w:right="2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2019-12-28T18:20:53Z</dcterms:created>
  <dcterms:modified xsi:type="dcterms:W3CDTF">2019-12-28T18:20:53Z</dcterms:modified>
</cp:coreProperties>
</file>