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107315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500" w:hanging="499"/>
        <w:spacing w:after="0"/>
        <w:tabs>
          <w:tab w:leader="none" w:pos="5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highlight w:val="black"/>
        </w:rPr>
      </w:pPr>
    </w:p>
    <w:p>
      <w:pPr>
        <w:ind w:left="328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For the quarterly period ended March 29, 2025</w:t>
      </w:r>
    </w:p>
    <w:p>
      <w:pPr>
        <w:spacing w:after="0" w:line="144" w:lineRule="exact"/>
        <w:rPr>
          <w:sz w:val="24"/>
          <w:szCs w:val="24"/>
          <w:color w:val="auto"/>
        </w:rPr>
      </w:pPr>
    </w:p>
    <w:p>
      <w:pPr>
        <w:ind w:left="500" w:hanging="499"/>
        <w:spacing w:after="0"/>
        <w:tabs>
          <w:tab w:leader="none" w:pos="5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97155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AVNET</w:t>
      </w:r>
      <w:r>
        <w:rPr>
          <w:rFonts w:ascii="Times New Roman" w:cs="Times New Roman" w:eastAsia="Times New Roman" w:hAnsi="Times New Roman"/>
          <w:sz w:val="35"/>
          <w:szCs w:val="35"/>
          <w:b w:val="1"/>
          <w:bCs w:val="1"/>
          <w:color w:val="auto"/>
        </w:rPr>
        <w:t>,</w:t>
      </w:r>
      <w:r>
        <w:rPr>
          <w:rFonts w:ascii="Times New Roman" w:cs="Times New Roman" w:eastAsia="Times New Roman" w:hAnsi="Times New Roman"/>
          <w:sz w:val="29"/>
          <w:szCs w:val="29"/>
          <w:b w:val="1"/>
          <w:bCs w:val="1"/>
          <w:color w:val="auto"/>
        </w:rPr>
        <w:t xml:space="preserve"> INC.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160"/>
          </w:cols>
          <w:pgMar w:left="860" w:top="661"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New York</w:t>
      </w:r>
    </w:p>
    <w:p>
      <w:pPr>
        <w:jc w:val="center"/>
        <w:ind w:right="4000"/>
        <w:spacing w:after="0" w:line="203" w:lineRule="auto"/>
        <w:rPr>
          <w:sz w:val="20"/>
          <w:szCs w:val="20"/>
          <w:color w:val="auto"/>
        </w:rPr>
      </w:pPr>
      <w:r>
        <w:rPr>
          <w:rFonts w:ascii="Times New Roman" w:cs="Times New Roman" w:eastAsia="Times New Roman" w:hAnsi="Times New Roman"/>
          <w:sz w:val="18"/>
          <w:szCs w:val="18"/>
          <w:color w:val="auto"/>
        </w:rPr>
        <w:t>(State or other jurisdiction</w:t>
      </w:r>
    </w:p>
    <w:p>
      <w:pPr>
        <w:jc w:val="center"/>
        <w:ind w:right="400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11-1890605</w:t>
      </w:r>
    </w:p>
    <w:p>
      <w:pPr>
        <w:jc w:val="center"/>
        <w:ind w:right="860"/>
        <w:spacing w:after="0" w:line="203" w:lineRule="auto"/>
        <w:rPr>
          <w:sz w:val="20"/>
          <w:szCs w:val="20"/>
          <w:color w:val="auto"/>
        </w:rPr>
      </w:pPr>
      <w:r>
        <w:rPr>
          <w:rFonts w:ascii="Times New Roman" w:cs="Times New Roman" w:eastAsia="Times New Roman" w:hAnsi="Times New Roman"/>
          <w:sz w:val="18"/>
          <w:szCs w:val="18"/>
          <w:color w:val="auto"/>
        </w:rPr>
        <w:t>(IRS Employer</w:t>
      </w:r>
    </w:p>
    <w:p>
      <w:pPr>
        <w:jc w:val="center"/>
        <w:ind w:right="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1" w:right="879" w:bottom="1440" w:gutter="0" w:footer="0" w:header="0"/>
          <w:type w:val="continuous"/>
        </w:sectPr>
      </w:pPr>
    </w:p>
    <w:p>
      <w:pPr>
        <w:spacing w:after="0" w:line="7"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2211 South 47th Street, Phoenix, Arizona</w:t>
      </w:r>
    </w:p>
    <w:p>
      <w:pPr>
        <w:spacing w:after="0" w:line="4"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85034</w:t>
      </w:r>
    </w:p>
    <w:p>
      <w:pPr>
        <w:jc w:val="center"/>
        <w:ind w:right="2060"/>
        <w:spacing w:after="0"/>
        <w:rPr>
          <w:sz w:val="20"/>
          <w:szCs w:val="20"/>
          <w:color w:val="auto"/>
        </w:rPr>
      </w:pPr>
      <w:r>
        <w:rPr>
          <w:rFonts w:ascii="Times New Roman" w:cs="Times New Roman" w:eastAsia="Times New Roman" w:hAnsi="Times New Roman"/>
          <w:sz w:val="17"/>
          <w:szCs w:val="17"/>
          <w:color w:val="auto"/>
        </w:rPr>
        <w:t>(Zip Code)</w:t>
      </w:r>
    </w:p>
    <w:p>
      <w:pPr>
        <w:spacing w:after="0" w:line="77" w:lineRule="exact"/>
        <w:rPr>
          <w:sz w:val="24"/>
          <w:szCs w:val="24"/>
          <w:color w:val="auto"/>
        </w:rPr>
      </w:pPr>
    </w:p>
    <w:p>
      <w:pPr>
        <w:sectPr>
          <w:pgSz w:w="11900" w:h="16838" w:orient="portrait"/>
          <w:cols w:equalWidth="0" w:num="2">
            <w:col w:w="6600" w:space="720"/>
            <w:col w:w="2840"/>
          </w:cols>
          <w:pgMar w:left="860" w:top="661" w:right="8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 643-2000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0160"/>
          </w:cols>
          <w:pgMar w:left="860" w:top="661" w:right="87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8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AVT</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103"/>
        </w:trPr>
        <w:tc>
          <w:tcPr>
            <w:tcW w:w="3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tcBorders>
              <w:bottom w:val="single" w:sz="8" w:color="0D0D0D"/>
            </w:tcBorders>
          </w:tcPr>
          <w:p>
            <w:pPr>
              <w:spacing w:after="0"/>
              <w:rPr>
                <w:sz w:val="8"/>
                <w:szCs w:val="8"/>
                <w:color w:val="auto"/>
              </w:rPr>
            </w:pPr>
          </w:p>
        </w:tc>
        <w:tc>
          <w:tcPr>
            <w:tcW w:w="260" w:type="dxa"/>
            <w:vAlign w:val="bottom"/>
            <w:tcBorders>
              <w:bottom w:val="single" w:sz="8" w:color="0D0D0D"/>
            </w:tcBorders>
          </w:tcPr>
          <w:p>
            <w:pPr>
              <w:spacing w:after="0"/>
              <w:rPr>
                <w:sz w:val="8"/>
                <w:szCs w:val="8"/>
                <w:color w:val="auto"/>
              </w:rPr>
            </w:pPr>
          </w:p>
        </w:tc>
        <w:tc>
          <w:tcPr>
            <w:tcW w:w="380" w:type="dxa"/>
            <w:vAlign w:val="bottom"/>
            <w:tcBorders>
              <w:bottom w:val="single" w:sz="8" w:color="0D0D0D"/>
            </w:tcBorders>
          </w:tcPr>
          <w:p>
            <w:pPr>
              <w:spacing w:after="0"/>
              <w:rPr>
                <w:sz w:val="8"/>
                <w:szCs w:val="8"/>
                <w:color w:val="auto"/>
              </w:rPr>
            </w:pPr>
          </w:p>
        </w:tc>
        <w:tc>
          <w:tcPr>
            <w:tcW w:w="3800" w:type="dxa"/>
            <w:vAlign w:val="bottom"/>
          </w:tcPr>
          <w:p>
            <w:pPr>
              <w:spacing w:after="0"/>
              <w:rPr>
                <w:sz w:val="8"/>
                <w:szCs w:val="8"/>
                <w:color w:val="auto"/>
              </w:rPr>
            </w:pPr>
          </w:p>
        </w:tc>
      </w:tr>
    </w:tbl>
    <w:p>
      <w:pPr>
        <w:spacing w:after="0" w:line="157" w:lineRule="exact"/>
        <w:rPr>
          <w:sz w:val="24"/>
          <w:szCs w:val="24"/>
          <w:color w:val="auto"/>
        </w:rPr>
      </w:pPr>
    </w:p>
    <w:p>
      <w:pPr>
        <w:ind w:right="200" w:firstLine="427"/>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right="560" w:firstLine="432"/>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ind w:right="200" w:firstLine="42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1" w:right="879" w:bottom="1440" w:gutter="0" w:footer="0" w:header="0"/>
          <w:type w:val="continuous"/>
        </w:sectPr>
      </w:pPr>
    </w:p>
    <w:p>
      <w:pPr>
        <w:spacing w:after="0" w:line="41"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25"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2" w:lineRule="exact"/>
        <w:rPr>
          <w:sz w:val="24"/>
          <w:szCs w:val="24"/>
          <w:color w:val="auto"/>
        </w:rPr>
      </w:pPr>
    </w:p>
    <w:p>
      <w:pPr>
        <w:sectPr>
          <w:pgSz w:w="11900" w:h="16838" w:orient="portrait"/>
          <w:cols w:equalWidth="0" w:num="2">
            <w:col w:w="6020" w:space="720"/>
            <w:col w:w="3420"/>
          </w:cols>
          <w:pgMar w:left="860" w:top="661" w:right="879" w:bottom="1440" w:gutter="0" w:footer="0" w:header="0"/>
          <w:type w:val="continuous"/>
        </w:sectPr>
      </w:pPr>
    </w:p>
    <w:p>
      <w:pPr>
        <w:ind w:right="500" w:firstLine="427"/>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120" w:firstLine="427"/>
        <w:spacing w:after="0" w:line="282" w:lineRule="auto"/>
        <w:rPr>
          <w:sz w:val="20"/>
          <w:szCs w:val="20"/>
          <w:color w:val="auto"/>
        </w:rPr>
      </w:pPr>
      <w:r>
        <w:rPr>
          <w:rFonts w:ascii="Times New Roman" w:cs="Times New Roman" w:eastAsia="Times New Roman" w:hAnsi="Times New Roman"/>
          <w:sz w:val="18"/>
          <w:szCs w:val="18"/>
          <w:color w:val="auto"/>
        </w:rPr>
        <w:t>As of April 25, 2025, the total number of shares outstanding of the registrant’s Common Stock was 83,857,315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611505</wp:posOffset>
            </wp:positionV>
            <wp:extent cx="64636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64636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71120</wp:posOffset>
            </wp:positionV>
            <wp:extent cx="6463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ectPr>
          <w:pgSz w:w="11900" w:h="16838" w:orient="portrait"/>
          <w:cols w:equalWidth="0" w:num="1">
            <w:col w:w="10160"/>
          </w:cols>
          <w:pgMar w:left="860" w:top="661" w:right="87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800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gridSpan w:val="12"/>
          </w:tcPr>
          <w:p>
            <w:pPr>
              <w:jc w:val="center"/>
              <w:ind w:right="2120"/>
              <w:spacing w:after="0"/>
              <w:rPr>
                <w:sz w:val="20"/>
                <w:szCs w:val="20"/>
                <w:color w:val="auto"/>
              </w:rPr>
            </w:pPr>
            <w:r>
              <w:rPr>
                <w:rFonts w:ascii="Times New Roman" w:cs="Times New Roman" w:eastAsia="Times New Roman" w:hAnsi="Times New Roman"/>
                <w:sz w:val="18"/>
                <w:szCs w:val="18"/>
                <w:color w:val="auto"/>
                <w:w w:val="98"/>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60" w:type="dxa"/>
            <w:vAlign w:val="bottom"/>
            <w:gridSpan w:val="11"/>
          </w:tcPr>
          <w:p>
            <w:pPr>
              <w:jc w:val="center"/>
              <w:ind w:right="2620"/>
              <w:spacing w:after="0"/>
              <w:rPr>
                <w:sz w:val="20"/>
                <w:szCs w:val="20"/>
                <w:color w:val="auto"/>
              </w:rPr>
            </w:pPr>
            <w:r>
              <w:rPr>
                <w:rFonts w:ascii="Times New Roman" w:cs="Times New Roman" w:eastAsia="Times New Roman" w:hAnsi="Times New Roman"/>
                <w:sz w:val="18"/>
                <w:szCs w:val="18"/>
                <w:color w:val="auto"/>
                <w:w w:val="99"/>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5440" w:type="dxa"/>
            <w:vAlign w:val="bottom"/>
            <w:gridSpan w:val="16"/>
            <w:vMerge w:val="restart"/>
          </w:tcPr>
          <w:p>
            <w:pPr>
              <w:jc w:val="center"/>
              <w:ind w:right="2560"/>
              <w:spacing w:after="0"/>
              <w:rPr>
                <w:sz w:val="20"/>
                <w:szCs w:val="20"/>
                <w:color w:val="auto"/>
              </w:rPr>
            </w:pPr>
            <w:r>
              <w:rPr>
                <w:rFonts w:ascii="Times New Roman" w:cs="Times New Roman" w:eastAsia="Times New Roman" w:hAnsi="Times New Roman"/>
                <w:sz w:val="18"/>
                <w:szCs w:val="18"/>
                <w:color w:val="0000EE"/>
                <w:w w:val="98"/>
              </w:rPr>
              <w:t>PART I. FINANCIAL INFORMATION</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440" w:type="dxa"/>
            <w:vAlign w:val="bottom"/>
            <w:gridSpan w:val="16"/>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Consolidated Balance Sheets at March 29, 2025, and June 29,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third quarters and nine months ended March 29, 2025,</w:t>
            </w:r>
          </w:p>
        </w:tc>
        <w:tc>
          <w:tcPr>
            <w:tcW w:w="32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and March 30, 2024</w:t>
            </w:r>
          </w:p>
        </w:tc>
        <w:tc>
          <w:tcPr>
            <w:tcW w:w="6020" w:type="dxa"/>
            <w:vAlign w:val="bottom"/>
            <w:gridSpan w:val="1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third quarters and nine months ended March</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1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29, 2025, and March 30, 2024</w:t>
            </w:r>
          </w:p>
        </w:tc>
        <w:tc>
          <w:tcPr>
            <w:tcW w:w="5180" w:type="dxa"/>
            <w:vAlign w:val="bottom"/>
            <w:tcBorders>
              <w:top w:val="single" w:sz="8" w:color="0000EE"/>
            </w:tcBorders>
            <w:gridSpan w:val="13"/>
          </w:tcPr>
          <w:p>
            <w:pPr>
              <w:spacing w:after="0"/>
              <w:rPr>
                <w:sz w:val="17"/>
                <w:szCs w:val="17"/>
                <w:color w:val="auto"/>
              </w:rPr>
            </w:pPr>
          </w:p>
        </w:tc>
        <w:tc>
          <w:tcPr>
            <w:tcW w:w="12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 for the third quarters and nine months ended March</w:t>
            </w:r>
          </w:p>
        </w:tc>
        <w:tc>
          <w:tcPr>
            <w:tcW w:w="26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29, 2025, and March 30, 2024</w:t>
            </w:r>
          </w:p>
        </w:tc>
        <w:tc>
          <w:tcPr>
            <w:tcW w:w="526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nine months ended March 29, 2025, and March 30, 2024</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4"/>
          </w:tcPr>
          <w:p>
            <w:pPr>
              <w:spacing w:after="0"/>
              <w:rPr>
                <w:sz w:val="24"/>
                <w:szCs w:val="24"/>
                <w:color w:val="auto"/>
              </w:rPr>
            </w:pPr>
          </w:p>
        </w:tc>
        <w:tc>
          <w:tcPr>
            <w:tcW w:w="9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color w:val="0000EE"/>
                <w:w w:val="98"/>
              </w:rPr>
              <w:t>PART II. OTHER INFORMATION</w:t>
            </w:r>
          </w:p>
        </w:tc>
        <w:tc>
          <w:tcPr>
            <w:tcW w:w="270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604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6340" w:type="dxa"/>
            <w:vAlign w:val="bottom"/>
            <w:gridSpan w:val="2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02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Signature Page</w:t>
            </w:r>
          </w:p>
        </w:tc>
        <w:tc>
          <w:tcPr>
            <w:tcW w:w="60" w:type="dxa"/>
            <w:vAlign w:val="bottom"/>
            <w:tcBorders>
              <w:top w:val="single" w:sz="8" w:color="0000EE"/>
            </w:tcBorders>
          </w:tcPr>
          <w:p>
            <w:pPr>
              <w:spacing w:after="0"/>
              <w:rPr>
                <w:sz w:val="24"/>
                <w:szCs w:val="24"/>
                <w:color w:val="auto"/>
              </w:rPr>
            </w:pPr>
          </w:p>
        </w:tc>
        <w:tc>
          <w:tcPr>
            <w:tcW w:w="6780" w:type="dxa"/>
            <w:vAlign w:val="bottom"/>
            <w:gridSpan w:val="22"/>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898"/>
        </w:trPr>
        <w:tc>
          <w:tcPr>
            <w:tcW w:w="4980" w:type="dxa"/>
            <w:vAlign w:val="bottom"/>
            <w:gridSpan w:val="19"/>
          </w:tcPr>
          <w:p>
            <w:pPr>
              <w:jc w:val="center"/>
              <w:ind w:left="385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544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940" w:type="dxa"/>
            <w:vAlign w:val="bottom"/>
          </w:tcPr>
          <w:p>
            <w:pPr>
              <w:spacing w:after="0"/>
              <w:rPr>
                <w:sz w:val="21"/>
                <w:szCs w:val="21"/>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940" w:type="dxa"/>
            <w:vAlign w:val="bottom"/>
          </w:tcPr>
          <w:p>
            <w:pPr>
              <w:spacing w:after="0"/>
              <w:rPr>
                <w:sz w:val="20"/>
                <w:szCs w:val="20"/>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6"/>
        </w:trPr>
        <w:tc>
          <w:tcPr>
            <w:tcW w:w="9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March 29,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94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r>
      <w:tr>
        <w:trPr>
          <w:trHeight w:val="180"/>
        </w:trPr>
        <w:tc>
          <w:tcPr>
            <w:tcW w:w="9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w w:val="95"/>
              </w:rPr>
              <w:t>(Thousands,</w:t>
            </w:r>
          </w:p>
        </w:tc>
        <w:tc>
          <w:tcPr>
            <w:tcW w:w="200" w:type="dxa"/>
            <w:vAlign w:val="bottom"/>
          </w:tcPr>
          <w:p>
            <w:pPr>
              <w:spacing w:after="0"/>
              <w:rPr>
                <w:sz w:val="15"/>
                <w:szCs w:val="15"/>
                <w:color w:val="auto"/>
              </w:rPr>
            </w:pPr>
          </w:p>
        </w:tc>
        <w:tc>
          <w:tcPr>
            <w:tcW w:w="1040" w:type="dxa"/>
            <w:vAlign w:val="bottom"/>
            <w:gridSpan w:val="2"/>
          </w:tcPr>
          <w:p>
            <w:pPr>
              <w:jc w:val="right"/>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87"/>
              </w:rPr>
              <w:t>except share</w:t>
            </w:r>
          </w:p>
        </w:tc>
        <w:tc>
          <w:tcPr>
            <w:tcW w:w="80" w:type="dxa"/>
            <w:vAlign w:val="bottom"/>
          </w:tcPr>
          <w:p>
            <w:pPr>
              <w:spacing w:after="0"/>
              <w:rPr>
                <w:sz w:val="15"/>
                <w:szCs w:val="15"/>
                <w:color w:val="auto"/>
              </w:rPr>
            </w:pPr>
          </w:p>
        </w:tc>
      </w:tr>
      <w:tr>
        <w:trPr>
          <w:trHeight w:val="238"/>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940" w:type="dxa"/>
            <w:vAlign w:val="bottom"/>
            <w:shd w:val="clear" w:color="auto" w:fill="CCEEFF"/>
          </w:tcPr>
          <w:p>
            <w:pPr>
              <w:spacing w:after="0"/>
              <w:rPr>
                <w:sz w:val="18"/>
                <w:szCs w:val="18"/>
                <w:color w:val="auto"/>
              </w:rPr>
            </w:pPr>
          </w:p>
        </w:tc>
        <w:tc>
          <w:tcPr>
            <w:tcW w:w="5440" w:type="dxa"/>
            <w:vAlign w:val="bottom"/>
            <w:shd w:val="clear" w:color="auto" w:fill="CCEEFF"/>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310,941</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4,095,480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4,391,187</w:t>
            </w:r>
          </w:p>
        </w:tc>
        <w:tc>
          <w:tcPr>
            <w:tcW w:w="80" w:type="dxa"/>
            <w:vAlign w:val="bottom"/>
          </w:tcPr>
          <w:p>
            <w:pPr>
              <w:spacing w:after="0"/>
              <w:rPr>
                <w:sz w:val="18"/>
                <w:szCs w:val="18"/>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5,270,451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5,468,730</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240,512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199,694</w:t>
            </w:r>
          </w:p>
        </w:tc>
        <w:tc>
          <w:tcPr>
            <w:tcW w:w="80" w:type="dxa"/>
            <w:vAlign w:val="bottom"/>
            <w:tcBorders>
              <w:bottom w:val="single" w:sz="8" w:color="CCEEFF"/>
            </w:tcBorders>
          </w:tcPr>
          <w:p>
            <w:pPr>
              <w:spacing w:after="0"/>
              <w:rPr>
                <w:sz w:val="19"/>
                <w:szCs w:val="19"/>
                <w:color w:val="auto"/>
              </w:rPr>
            </w:pPr>
          </w:p>
        </w:tc>
      </w:tr>
      <w:tr>
        <w:trPr>
          <w:trHeight w:val="216"/>
        </w:trPr>
        <w:tc>
          <w:tcPr>
            <w:tcW w:w="6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9,795,355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10,370,552</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568,169</w:t>
            </w:r>
          </w:p>
        </w:tc>
        <w:tc>
          <w:tcPr>
            <w:tcW w:w="80" w:type="dxa"/>
            <w:vAlign w:val="bottom"/>
          </w:tcPr>
          <w:p>
            <w:pPr>
              <w:spacing w:after="0"/>
              <w:rPr>
                <w:sz w:val="18"/>
                <w:szCs w:val="18"/>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780,984</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208,971</w:t>
            </w:r>
          </w:p>
        </w:tc>
        <w:tc>
          <w:tcPr>
            <w:tcW w:w="80" w:type="dxa"/>
            <w:vAlign w:val="bottom"/>
          </w:tcPr>
          <w:p>
            <w:pPr>
              <w:spacing w:after="0"/>
              <w:rPr>
                <w:sz w:val="18"/>
                <w:szCs w:val="18"/>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363,911</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280,471</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43"/>
        </w:trPr>
        <w:tc>
          <w:tcPr>
            <w:tcW w:w="638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11,712,330</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12,209,147</w:t>
            </w:r>
          </w:p>
        </w:tc>
        <w:tc>
          <w:tcPr>
            <w:tcW w:w="80" w:type="dxa"/>
            <w:vAlign w:val="bottom"/>
            <w:tcBorders>
              <w:bottom w:val="single" w:sz="8" w:color="CCEEFF"/>
            </w:tcBorders>
          </w:tcPr>
          <w:p>
            <w:pPr>
              <w:spacing w:after="0"/>
              <w:rPr>
                <w:sz w:val="21"/>
                <w:szCs w:val="21"/>
                <w:color w:val="auto"/>
              </w:rPr>
            </w:pPr>
          </w:p>
        </w:tc>
      </w:tr>
      <w:tr>
        <w:trPr>
          <w:trHeight w:val="197"/>
        </w:trPr>
        <w:tc>
          <w:tcPr>
            <w:tcW w:w="940" w:type="dxa"/>
            <w:vAlign w:val="bottom"/>
            <w:shd w:val="clear" w:color="auto" w:fill="CCEEFF"/>
          </w:tcPr>
          <w:p>
            <w:pPr>
              <w:spacing w:after="0"/>
              <w:rPr>
                <w:sz w:val="17"/>
                <w:szCs w:val="17"/>
                <w:color w:val="auto"/>
              </w:rPr>
            </w:pPr>
          </w:p>
        </w:tc>
        <w:tc>
          <w:tcPr>
            <w:tcW w:w="5440" w:type="dxa"/>
            <w:vAlign w:val="bottom"/>
            <w:shd w:val="clear" w:color="auto" w:fill="CCEEFF"/>
          </w:tcPr>
          <w:p>
            <w:pPr>
              <w:jc w:val="center"/>
              <w:ind w:right="89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144,542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492,711</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3,319,033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3,345,510</w:t>
            </w:r>
          </w:p>
        </w:tc>
        <w:tc>
          <w:tcPr>
            <w:tcW w:w="8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573,055</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53,993</w:t>
            </w:r>
          </w:p>
        </w:tc>
        <w:tc>
          <w:tcPr>
            <w:tcW w:w="80" w:type="dxa"/>
            <w:vAlign w:val="bottom"/>
            <w:tcBorders>
              <w:bottom w:val="single" w:sz="8" w:color="CCEEFF"/>
            </w:tcBorders>
          </w:tcPr>
          <w:p>
            <w:pPr>
              <w:spacing w:after="0"/>
              <w:rPr>
                <w:sz w:val="19"/>
                <w:szCs w:val="19"/>
                <w:color w:val="auto"/>
              </w:rPr>
            </w:pPr>
          </w:p>
        </w:tc>
      </w:tr>
      <w:tr>
        <w:trPr>
          <w:trHeight w:val="216"/>
        </w:trPr>
        <w:tc>
          <w:tcPr>
            <w:tcW w:w="6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4,014,382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4,465,269</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2,494,387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2,406,629</w:t>
            </w:r>
          </w:p>
        </w:tc>
        <w:tc>
          <w:tcPr>
            <w:tcW w:w="8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173,886</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180,788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237,859</w:t>
            </w:r>
          </w:p>
        </w:tc>
        <w:tc>
          <w:tcPr>
            <w:tcW w:w="80" w:type="dxa"/>
            <w:vAlign w:val="bottom"/>
            <w:tcBorders>
              <w:bottom w:val="single" w:sz="8" w:color="CCEEFF"/>
            </w:tcBorders>
          </w:tcPr>
          <w:p>
            <w:pPr>
              <w:spacing w:after="0"/>
              <w:rPr>
                <w:sz w:val="19"/>
                <w:szCs w:val="19"/>
                <w:color w:val="auto"/>
              </w:rPr>
            </w:pPr>
          </w:p>
        </w:tc>
      </w:tr>
      <w:tr>
        <w:trPr>
          <w:trHeight w:val="23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6,827,363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7,283,643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638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3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$1.00 par; authorized 300,000,000 shares; issued 84,928,314 shares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89,045,996 shares,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89,046</w:t>
            </w:r>
          </w:p>
        </w:tc>
        <w:tc>
          <w:tcPr>
            <w:tcW w:w="80" w:type="dxa"/>
            <w:vAlign w:val="bottom"/>
          </w:tcPr>
          <w:p>
            <w:pPr>
              <w:spacing w:after="0"/>
              <w:rPr>
                <w:sz w:val="20"/>
                <w:szCs w:val="20"/>
                <w:color w:val="auto"/>
              </w:rPr>
            </w:pPr>
          </w:p>
        </w:tc>
      </w:tr>
      <w:tr>
        <w:trPr>
          <w:trHeight w:val="216"/>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1,746,781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1,721,369</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3,501,184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3,601,812</w:t>
            </w:r>
          </w:p>
        </w:tc>
        <w:tc>
          <w:tcPr>
            <w:tcW w:w="80" w:type="dxa"/>
            <w:vAlign w:val="bottom"/>
          </w:tcPr>
          <w:p>
            <w:pPr>
              <w:spacing w:after="0"/>
              <w:rPr>
                <w:sz w:val="18"/>
                <w:szCs w:val="18"/>
                <w:color w:val="auto"/>
              </w:rPr>
            </w:pPr>
          </w:p>
        </w:tc>
      </w:tr>
      <w:tr>
        <w:trPr>
          <w:trHeight w:val="236"/>
        </w:trPr>
        <w:tc>
          <w:tcPr>
            <w:tcW w:w="6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(447,926)</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(486,723)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638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4,884,967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4,925,504</w:t>
            </w:r>
          </w:p>
        </w:tc>
        <w:tc>
          <w:tcPr>
            <w:tcW w:w="80" w:type="dxa"/>
            <w:vAlign w:val="bottom"/>
            <w:tcBorders>
              <w:bottom w:val="single" w:sz="8" w:color="CCEEFF"/>
            </w:tcBorders>
          </w:tcPr>
          <w:p>
            <w:pPr>
              <w:spacing w:after="0"/>
              <w:rPr>
                <w:sz w:val="18"/>
                <w:szCs w:val="18"/>
                <w:color w:val="auto"/>
              </w:rPr>
            </w:pPr>
          </w:p>
        </w:tc>
      </w:tr>
      <w:tr>
        <w:trPr>
          <w:trHeight w:val="21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11,712,330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12,209,147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gridSpan w:val="8"/>
          </w:tcPr>
          <w:p>
            <w:pPr>
              <w:ind w:left="840"/>
              <w:spacing w:after="0" w:line="202" w:lineRule="exact"/>
              <w:rPr>
                <w:sz w:val="20"/>
                <w:szCs w:val="20"/>
                <w:color w:val="auto"/>
              </w:rPr>
            </w:pPr>
            <w:r>
              <w:rPr>
                <w:rFonts w:ascii="Times New Roman" w:cs="Times New Roman" w:eastAsia="Times New Roman" w:hAnsi="Times New Roman"/>
                <w:sz w:val="18"/>
                <w:szCs w:val="18"/>
                <w:b w:val="1"/>
                <w:bCs w:val="1"/>
                <w:color w:val="auto"/>
                <w:w w:val="96"/>
              </w:rPr>
              <w:t>(Thousands, except per share amounts)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5,315,423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5,653,591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16,582,959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4,727,570</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4,984,318</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14,791,688</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1,311,214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1,419,253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143,251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190,151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440,802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680,177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financing expenses, net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(218,593)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legal settlements and other</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before taxes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78,144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101,948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243,165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530,939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(9,775)</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114,906</w:t>
            </w:r>
          </w:p>
        </w:tc>
        <w:tc>
          <w:tcPr>
            <w:tcW w:w="0" w:type="dxa"/>
            <w:vAlign w:val="bottom"/>
          </w:tcPr>
          <w:p>
            <w:pPr>
              <w:spacing w:after="0"/>
              <w:rPr>
                <w:sz w:val="1"/>
                <w:szCs w:val="1"/>
                <w:color w:val="auto"/>
              </w:rPr>
            </w:pPr>
          </w:p>
        </w:tc>
      </w:tr>
      <w:tr>
        <w:trPr>
          <w:trHeight w:val="243"/>
        </w:trPr>
        <w:tc>
          <w:tcPr>
            <w:tcW w:w="36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87,919</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88,834</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234,128</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416,033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2.65</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earnings per share: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86,876</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91,256</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88,198</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92,075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dividends paid per common share</w:t>
            </w: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220" w:type="dxa"/>
            <w:vAlign w:val="bottom"/>
          </w:tcPr>
          <w:p>
            <w:pPr>
              <w:spacing w:after="0"/>
              <w:rPr>
                <w:sz w:val="21"/>
                <w:szCs w:val="21"/>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220" w:type="dxa"/>
            <w:vAlign w:val="bottom"/>
          </w:tcPr>
          <w:p>
            <w:pPr>
              <w:spacing w:after="0"/>
              <w:rPr>
                <w:sz w:val="16"/>
                <w:szCs w:val="16"/>
                <w:color w:val="auto"/>
              </w:rPr>
            </w:pPr>
          </w:p>
        </w:tc>
        <w:tc>
          <w:tcPr>
            <w:tcW w:w="8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22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10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r>
      <w:tr>
        <w:trPr>
          <w:trHeight w:val="245"/>
        </w:trPr>
        <w:tc>
          <w:tcPr>
            <w:tcW w:w="4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3"/>
        </w:trPr>
        <w:tc>
          <w:tcPr>
            <w:tcW w:w="4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ind w:right="3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$ 234,128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$ 416,033</w:t>
            </w:r>
          </w:p>
        </w:tc>
      </w:tr>
      <w:tr>
        <w:trPr>
          <w:trHeight w:val="216"/>
        </w:trPr>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(27,559)</w:t>
            </w: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Cross-currency swap</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3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adjustments</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10"/>
        </w:trPr>
        <w:tc>
          <w:tcPr>
            <w:tcW w:w="4380" w:type="dxa"/>
            <w:vAlign w:val="bottom"/>
            <w:tcBorders>
              <w:top w:val="single" w:sz="8" w:color="CCEEFF"/>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6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83,061</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(78,604)</w:t>
            </w:r>
          </w:p>
        </w:tc>
        <w:tc>
          <w:tcPr>
            <w:tcW w:w="2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38,797</w:t>
            </w:r>
          </w:p>
        </w:tc>
        <w:tc>
          <w:tcPr>
            <w:tcW w:w="2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(26,676)</w:t>
            </w:r>
          </w:p>
        </w:tc>
      </w:tr>
      <w:tr>
        <w:trPr>
          <w:trHeight w:val="216"/>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170,980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$ 272,925</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$ 389,357</w:t>
            </w:r>
          </w:p>
        </w:tc>
      </w:tr>
      <w:tr>
        <w:trPr>
          <w:trHeight w:val="20"/>
        </w:trPr>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left="1500" w:right="1760"/>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8"/>
                <w:szCs w:val="18"/>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16"/>
        </w:trPr>
        <w:tc>
          <w:tcPr>
            <w:tcW w:w="264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Shareholders’</w:t>
            </w:r>
          </w:p>
        </w:tc>
      </w:tr>
      <w:tr>
        <w:trPr>
          <w:trHeight w:val="235"/>
        </w:trPr>
        <w:tc>
          <w:tcPr>
            <w:tcW w:w="264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203"/>
        </w:trPr>
        <w:tc>
          <w:tcPr>
            <w:tcW w:w="26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85"/>
              </w:rPr>
              <w:t>(Thousands)</w:t>
            </w: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June 29, 2024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89,046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$ 89,046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$ 1,721,369</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$ 3,601,812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(486,723)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4,925,504</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58,956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58,956</w:t>
            </w: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167,323</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(28,861)</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(28,861)</w:t>
            </w: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(1,888)</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(1,888)</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(98,053)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(99,941)</w:t>
            </w: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14,754</w:t>
            </w:r>
          </w:p>
        </w:tc>
      </w:tr>
      <w:tr>
        <w:trPr>
          <w:trHeight w:val="216"/>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September 28,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87,254</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87,254</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1,736,027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3,533,854</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(319,400)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5,037,735</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87,253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87,253</w:t>
            </w: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(211,587)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(211,587)</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(28,559)</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(28,559)</w:t>
            </w: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(947)</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(947)</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(50,758)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(51,705)</w:t>
            </w: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10,766</w:t>
            </w:r>
          </w:p>
        </w:tc>
      </w:tr>
      <w:tr>
        <w:trPr>
          <w:trHeight w:val="216"/>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28,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86,326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86,326</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1,746,774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3,541,790</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(530,987)</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4,843,903</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87,919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87,919</w:t>
            </w: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83,061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83,061</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(28,225)</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(28,225)</w:t>
            </w: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(2,004)</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(2,004)</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(100,300)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(102,304)</w:t>
            </w: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w:t>
            </w:r>
          </w:p>
        </w:tc>
      </w:tr>
      <w:tr>
        <w:trPr>
          <w:trHeight w:val="216"/>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March 29, 2025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$ 84,928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$ 1,746,781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$ 3,501,184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(447,926)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4,884,967</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738"/>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264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8"/>
                <w:szCs w:val="18"/>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16"/>
        </w:trPr>
        <w:tc>
          <w:tcPr>
            <w:tcW w:w="264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Shareholders’</w:t>
            </w:r>
          </w:p>
        </w:tc>
      </w:tr>
      <w:tr>
        <w:trPr>
          <w:trHeight w:val="235"/>
        </w:trPr>
        <w:tc>
          <w:tcPr>
            <w:tcW w:w="264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203"/>
        </w:trPr>
        <w:tc>
          <w:tcPr>
            <w:tcW w:w="26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85"/>
              </w:rPr>
              <w:t>(Thousands)</w:t>
            </w: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July 1, 2023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91,504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$ 91,504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$ 1,691,334</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$ 3,378,212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(409,381)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4,751,669</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209,268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209,268</w:t>
            </w: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(93,761)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(93,761)</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(28,320)</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(28,320)</w:t>
            </w: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(559)</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(559)</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(26,484)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(27,043)</w:t>
            </w: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10,770</w:t>
            </w:r>
          </w:p>
        </w:tc>
      </w:tr>
      <w:tr>
        <w:trPr>
          <w:trHeight w:val="216"/>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September 30,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90,984</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90,984</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1,702,065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3,532,676</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(503,142)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4,822,583</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117,931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117,931</w:t>
            </w: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145,689</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(27,817)</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(27,817)</w:t>
            </w: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(1,255)</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(1,255)</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(58,595)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(59,850)</w:t>
            </w: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11,847</w:t>
            </w:r>
          </w:p>
        </w:tc>
      </w:tr>
      <w:tr>
        <w:trPr>
          <w:trHeight w:val="216"/>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30,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89,760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89,760</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1,713,881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3,564,195</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(357,453)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5,010,383</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88,834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88,834</w:t>
            </w: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(78,604)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(78,604)</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(28,017)</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(28,017)</w:t>
            </w:r>
          </w:p>
        </w:tc>
      </w:tr>
      <w:tr>
        <w:trPr>
          <w:trHeight w:val="23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(4,134)</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(3,499)</w:t>
            </w:r>
          </w:p>
        </w:tc>
      </w:tr>
      <w:tr>
        <w:trPr>
          <w:trHeight w:val="203"/>
        </w:trPr>
        <w:tc>
          <w:tcPr>
            <w:tcW w:w="26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Balance, March 30,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90,395</w:t>
            </w:r>
          </w:p>
        </w:tc>
        <w:tc>
          <w:tcPr>
            <w:tcW w:w="18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$ 90,395</w:t>
            </w:r>
          </w:p>
        </w:tc>
        <w:tc>
          <w:tcPr>
            <w:tcW w:w="180" w:type="dxa"/>
            <w:vAlign w:val="bottom"/>
            <w:tcBorders>
              <w:top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$ 1,709,747</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$ 3,625,012</w:t>
            </w: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(436,057)</w:t>
            </w: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4,989,097</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6" w:name="page7"/>
    <w:bookmarkEnd w:id="6"/>
    <w:tbl>
      <w:tblPr>
        <w:tblLayout w:type="fixed"/>
        <w:tblInd w:w="40" w:type="dxa"/>
        <w:tblCellMar>
          <w:top w:w="0" w:type="dxa"/>
          <w:left w:w="0" w:type="dxa"/>
          <w:bottom w:w="0" w:type="dxa"/>
          <w:right w:w="0" w:type="dxa"/>
        </w:tblCellMar>
      </w:tblPr>
      <w:tr>
        <w:trPr>
          <w:trHeight w:val="207"/>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0"/>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Non-cash and other reconciling items: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Changes in (net of effects from businesses acquired and divested):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Receivables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Accrued expenses and other, net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(236,802)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585,028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Borrowings (repayments) under accounts receivable securitization,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Repayments under senior unsecured credit facility,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Borrowings under bank credit facilities and other debt,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420"/>
              <w:spacing w:after="0" w:line="203" w:lineRule="exact"/>
              <w:rPr>
                <w:sz w:val="20"/>
                <w:szCs w:val="20"/>
                <w:color w:val="auto"/>
              </w:rPr>
            </w:pPr>
            <w:r>
              <w:rPr>
                <w:rFonts w:ascii="Times New Roman" w:cs="Times New Roman" w:eastAsia="Times New Roman" w:hAnsi="Times New Roman"/>
                <w:sz w:val="18"/>
                <w:szCs w:val="18"/>
                <w:color w:val="auto"/>
              </w:rPr>
              <w:t>Net cash flows used for financing activities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(613,691)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flows used for investing activities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decrease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at beginning of period</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310,941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at end of period</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188,912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60" w:type="dxa"/>
            <w:vAlign w:val="bottom"/>
            <w:vMerge w:val="restart"/>
          </w:tcPr>
          <w:p>
            <w:pPr>
              <w:jc w:val="center"/>
              <w:ind w:left="930"/>
              <w:spacing w:after="0"/>
              <w:rPr>
                <w:sz w:val="20"/>
                <w:szCs w:val="20"/>
                <w:color w:val="auto"/>
              </w:rPr>
            </w:pPr>
            <w:r>
              <w:rPr>
                <w:rFonts w:ascii="Times New Roman" w:cs="Times New Roman" w:eastAsia="Times New Roman" w:hAnsi="Times New Roman"/>
                <w:sz w:val="18"/>
                <w:szCs w:val="18"/>
                <w:color w:val="auto"/>
                <w:w w:val="99"/>
              </w:rPr>
              <w:t>See notes to consolidated financial statements.</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2"/>
        </w:trPr>
        <w:tc>
          <w:tcPr>
            <w:tcW w:w="6640" w:type="dxa"/>
            <w:vAlign w:val="bottom"/>
            <w:gridSpan w:val="3"/>
          </w:tcPr>
          <w:p>
            <w:pPr>
              <w:jc w:val="center"/>
              <w:ind w:left="2190"/>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7"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left="60" w:right="79"/>
        <w:spacing w:after="0" w:line="315" w:lineRule="auto"/>
        <w:rPr>
          <w:sz w:val="20"/>
          <w:szCs w:val="20"/>
          <w:color w:val="auto"/>
        </w:rPr>
      </w:pPr>
      <w:r>
        <w:rPr>
          <w:rFonts w:ascii="Times New Roman" w:cs="Times New Roman" w:eastAsia="Times New Roman" w:hAnsi="Times New Roman"/>
          <w:sz w:val="18"/>
          <w:szCs w:val="18"/>
          <w:b w:val="1"/>
          <w:bCs w:val="1"/>
          <w:color w:val="auto"/>
        </w:rPr>
        <w:t>AVNET, INC. AND SUBSIDIARIES NOTES TO CONSOLIDATED FINANCIAL STATEMENTS (Unaudited)</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 and new accounting pronouncements</w:t>
      </w:r>
    </w:p>
    <w:p>
      <w:pPr>
        <w:spacing w:after="0" w:line="189" w:lineRule="exact"/>
        <w:rPr>
          <w:sz w:val="20"/>
          <w:szCs w:val="20"/>
          <w:color w:val="auto"/>
        </w:rPr>
      </w:pPr>
    </w:p>
    <w:p>
      <w:pPr>
        <w:ind w:left="60" w:right="219" w:firstLine="427"/>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 Certain reclassifications have been made to fiscal 2024 balances to correspond to the fiscal 2025 consolidated financial statement presentation.</w:t>
      </w:r>
    </w:p>
    <w:p>
      <w:pPr>
        <w:spacing w:after="0" w:line="183" w:lineRule="exact"/>
        <w:rPr>
          <w:sz w:val="20"/>
          <w:szCs w:val="20"/>
          <w:color w:val="auto"/>
        </w:rPr>
      </w:pPr>
    </w:p>
    <w:p>
      <w:pPr>
        <w:ind w:left="60" w:right="299" w:firstLine="427"/>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76" w:lineRule="exact"/>
        <w:rPr>
          <w:sz w:val="20"/>
          <w:szCs w:val="20"/>
          <w:color w:val="auto"/>
        </w:rPr>
      </w:pPr>
    </w:p>
    <w:p>
      <w:pPr>
        <w:ind w:left="60" w:right="459" w:firstLine="427"/>
        <w:spacing w:after="0" w:line="289" w:lineRule="auto"/>
        <w:rPr>
          <w:sz w:val="20"/>
          <w:szCs w:val="20"/>
          <w:color w:val="auto"/>
        </w:rPr>
      </w:pPr>
      <w:r>
        <w:rPr>
          <w:rFonts w:ascii="Times New Roman" w:cs="Times New Roman" w:eastAsia="Times New Roman" w:hAnsi="Times New Roman"/>
          <w:sz w:val="17"/>
          <w:szCs w:val="17"/>
          <w:color w:val="auto"/>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June 29, 2024.</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85" w:lineRule="exact"/>
        <w:rPr>
          <w:sz w:val="20"/>
          <w:szCs w:val="20"/>
          <w:color w:val="auto"/>
        </w:rPr>
      </w:pPr>
    </w:p>
    <w:p>
      <w:pPr>
        <w:ind w:left="60" w:right="99" w:firstLine="427"/>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This ASU requires the Company to disclose significant segment expenses, the title and 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Chief Operating Decision Maker (CODM), and an explanation of how the Company’s reported measure of segment profit or loss is used by the CODM to assess segment performance and make resource allocation decisions. The Company will adopt this guidance in its Annual Report on Form 10-K for the fiscal year ending June 28, 2025. Other than satisfying the enhanced disclosure requirements, the Company does not believe this guidance will have an impact on its consolidated financial statements.</w:t>
      </w:r>
    </w:p>
    <w:p>
      <w:pPr>
        <w:spacing w:after="0" w:line="142" w:lineRule="exact"/>
        <w:rPr>
          <w:sz w:val="20"/>
          <w:szCs w:val="20"/>
          <w:color w:val="auto"/>
        </w:rPr>
      </w:pPr>
    </w:p>
    <w:p>
      <w:pPr>
        <w:ind w:left="60" w:right="79" w:firstLine="427"/>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Tax Disclosures</w:t>
      </w:r>
      <w:r>
        <w:rPr>
          <w:rFonts w:ascii="Times New Roman" w:cs="Times New Roman" w:eastAsia="Times New Roman" w:hAnsi="Times New Roman"/>
          <w:sz w:val="18"/>
          <w:szCs w:val="18"/>
          <w:color w:val="auto"/>
        </w:rPr>
        <w:t xml:space="preserve"> (“ASU No. 2023-09”), which updates income tax disclosures related to the effective income tax rate reconciliation and requires disclosure of income taxes paid by jurisdiction. ASU No. 2023-09 will be effective for the Company in fiscal year 2026 and early adoption is permitted. The Company is currently evaluating the impact of adopting ASU No. 2023-09 on its disclosures.</w:t>
      </w:r>
    </w:p>
    <w:p>
      <w:pPr>
        <w:spacing w:after="0" w:line="156" w:lineRule="exact"/>
        <w:rPr>
          <w:sz w:val="20"/>
          <w:szCs w:val="20"/>
          <w:color w:val="auto"/>
        </w:rPr>
      </w:pPr>
    </w:p>
    <w:p>
      <w:pPr>
        <w:ind w:left="60" w:right="79" w:firstLine="427"/>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(“ASU 2024-03”),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January 2025, the FASB issued ASU 2025-01,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Clarifying the Effective Date </w:t>
      </w:r>
      <w:r>
        <w:rPr>
          <w:rFonts w:ascii="Times New Roman" w:cs="Times New Roman" w:eastAsia="Times New Roman" w:hAnsi="Times New Roman"/>
          <w:sz w:val="18"/>
          <w:szCs w:val="18"/>
          <w:color w:val="auto"/>
        </w:rPr>
        <w:t>(“ASU 2025-01”). The guidance is designed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by requiring public business entities to disclose additional information about specific expense categories in the financial statement notes at interim and annual reporting periods. ASU No. 2024-03, as clarified by ASU 2025-01, will be effective for the Company in fiscal year 2028 and early adoption is permitted. The Company is currently evaluating the impact of adopting ASU No. 2024-03 on its disclosures.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480" w:right="7539" w:hanging="430"/>
        <w:spacing w:after="0" w:line="491" w:lineRule="auto"/>
        <w:tabs>
          <w:tab w:leader="none" w:pos="233"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Working capital </w:t>
      </w:r>
      <w:r>
        <w:rPr>
          <w:rFonts w:ascii="Times New Roman" w:cs="Times New Roman" w:eastAsia="Times New Roman" w:hAnsi="Times New Roman"/>
          <w:sz w:val="17"/>
          <w:szCs w:val="17"/>
          <w:b w:val="1"/>
          <w:bCs w:val="1"/>
          <w:i w:val="1"/>
          <w:iCs w:val="1"/>
          <w:color w:val="auto"/>
        </w:rPr>
        <w:t>Receivables</w:t>
      </w: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Company’s receivables and allowance for credit losses were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6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r>
      <w:tr>
        <w:trPr>
          <w:trHeight w:val="203"/>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4"/>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4,205,593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4,499,691</w:t>
            </w:r>
          </w:p>
        </w:tc>
        <w:tc>
          <w:tcPr>
            <w:tcW w:w="20" w:type="dxa"/>
            <w:vAlign w:val="bottom"/>
          </w:tcPr>
          <w:p>
            <w:pPr>
              <w:spacing w:after="0"/>
              <w:rPr>
                <w:sz w:val="18"/>
                <w:szCs w:val="18"/>
                <w:color w:val="auto"/>
              </w:rPr>
            </w:pPr>
          </w:p>
        </w:tc>
      </w:tr>
      <w:tr>
        <w:trPr>
          <w:trHeight w:val="234"/>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(110,113)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(108,504)</w:t>
            </w:r>
          </w:p>
        </w:tc>
        <w:tc>
          <w:tcPr>
            <w:tcW w:w="20" w:type="dxa"/>
            <w:vAlign w:val="bottom"/>
          </w:tcPr>
          <w:p>
            <w:pPr>
              <w:spacing w:after="0"/>
              <w:rPr>
                <w:sz w:val="20"/>
                <w:szCs w:val="20"/>
                <w:color w:val="auto"/>
              </w:rPr>
            </w:pPr>
          </w:p>
        </w:tc>
      </w:tr>
    </w:tbl>
    <w:p>
      <w:pPr>
        <w:spacing w:after="0" w:line="179"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auto"/>
        </w:rPr>
        <w:t>The Company had the following activity in the allowance for credit losses during the first nine months of fiscal 2025 and fiscal 2024:</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30,</w:t>
            </w:r>
          </w:p>
        </w:tc>
      </w:tr>
      <w:tr>
        <w:trPr>
          <w:trHeight w:val="245"/>
        </w:trPr>
        <w:tc>
          <w:tcPr>
            <w:tcW w:w="6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r>
      <w:tr>
        <w:trPr>
          <w:trHeight w:val="203"/>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4"/>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112,843</w:t>
            </w:r>
          </w:p>
        </w:tc>
        <w:tc>
          <w:tcPr>
            <w:tcW w:w="20" w:type="dxa"/>
            <w:vAlign w:val="bottom"/>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Provisions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Recoveries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Write Offs</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(7,273)</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20" w:type="dxa"/>
            <w:vAlign w:val="bottom"/>
          </w:tcPr>
          <w:p>
            <w:pPr>
              <w:spacing w:after="0"/>
              <w:rPr>
                <w:sz w:val="18"/>
                <w:szCs w:val="18"/>
                <w:color w:val="auto"/>
              </w:rPr>
            </w:pPr>
          </w:p>
        </w:tc>
      </w:tr>
      <w:tr>
        <w:trPr>
          <w:trHeight w:val="236"/>
        </w:trPr>
        <w:tc>
          <w:tcPr>
            <w:tcW w:w="6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Effect and Other</w:t>
            </w: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0" w:type="dxa"/>
            <w:vAlign w:val="bottom"/>
          </w:tcPr>
          <w:p>
            <w:pPr>
              <w:spacing w:after="0"/>
              <w:rPr>
                <w:sz w:val="20"/>
                <w:szCs w:val="20"/>
                <w:color w:val="auto"/>
              </w:rPr>
            </w:pPr>
          </w:p>
        </w:tc>
      </w:tr>
      <w:tr>
        <w:trPr>
          <w:trHeight w:val="203"/>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at end of the period</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110,113</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112,525</w:t>
            </w:r>
          </w:p>
        </w:tc>
        <w:tc>
          <w:tcPr>
            <w:tcW w:w="2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02" w:lineRule="exact"/>
        <w:rPr>
          <w:sz w:val="20"/>
          <w:szCs w:val="20"/>
          <w:color w:val="auto"/>
        </w:rPr>
      </w:pPr>
    </w:p>
    <w:p>
      <w:pPr>
        <w:ind w:left="60" w:right="619" w:firstLine="427"/>
        <w:spacing w:after="0" w:line="266" w:lineRule="auto"/>
        <w:rPr>
          <w:sz w:val="20"/>
          <w:szCs w:val="20"/>
          <w:color w:val="auto"/>
        </w:rPr>
      </w:pPr>
      <w:r>
        <w:rPr>
          <w:rFonts w:ascii="Times New Roman" w:cs="Times New Roman" w:eastAsia="Times New Roman" w:hAnsi="Times New Roman"/>
          <w:sz w:val="18"/>
          <w:szCs w:val="18"/>
          <w:color w:val="auto"/>
        </w:rPr>
        <w:t>The Company’s inventories are primarily comprised of electronic components purchased from the Company’s suppliers, which are available for sale to customers in the normal course of the Company’s electronic component distribution business.</w:t>
      </w:r>
    </w:p>
    <w:p>
      <w:pPr>
        <w:spacing w:after="0" w:line="176"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Classified within inventories are electronic components held for supply chain service engagements (components) where the Company is acting as an agent on behalf of a customer or in some cases the component supplier. Given that these supply chain services involve purchasing, warehousing and providing logistics services for components as part of the services, the Company classifies the underlying components within inventories on the consolidated balance sheets. Components held for supply chain services where the Company is acting as an agent represented approximately 6% of inventories as of March 29, 2025, and approximately 7% of inventories as of June 29, 2024.</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 in goodwill by reportable segment for the first nine months of fiscal 2025.</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Farnell</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June 29, 2024 </w:t>
            </w:r>
            <w:r>
              <w:rPr>
                <w:rFonts w:ascii="Times New Roman" w:cs="Times New Roman" w:eastAsia="Times New Roman" w:hAnsi="Times New Roman"/>
                <w:sz w:val="25"/>
                <w:szCs w:val="25"/>
                <w:color w:val="auto"/>
                <w:vertAlign w:val="superscript"/>
              </w:rPr>
              <w:t>(1)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485,027</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780,984</w:t>
            </w: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March 29, 2025 </w:t>
            </w:r>
            <w:r>
              <w:rPr>
                <w:rFonts w:ascii="Times New Roman" w:cs="Times New Roman" w:eastAsia="Times New Roman" w:hAnsi="Times New Roman"/>
                <w:sz w:val="25"/>
                <w:szCs w:val="25"/>
                <w:color w:val="auto"/>
                <w:vertAlign w:val="superscript"/>
              </w:rPr>
              <w:t>(1)</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298,457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496,609</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795,066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0D0D0D"/>
            </w:tcBorders>
          </w:tcPr>
          <w:p>
            <w:pPr>
              <w:spacing w:after="0"/>
              <w:rPr>
                <w:sz w:val="8"/>
                <w:szCs w:val="8"/>
                <w:color w:val="auto"/>
              </w:rPr>
            </w:pPr>
          </w:p>
        </w:tc>
        <w:tc>
          <w:tcPr>
            <w:tcW w:w="2220" w:type="dxa"/>
            <w:vAlign w:val="bottom"/>
            <w:tcBorders>
              <w:bottom w:val="single" w:sz="8" w:color="0D0D0D"/>
            </w:tcBorders>
          </w:tcPr>
          <w:p>
            <w:pPr>
              <w:spacing w:after="0"/>
              <w:rPr>
                <w:sz w:val="8"/>
                <w:szCs w:val="8"/>
                <w:color w:val="auto"/>
              </w:rPr>
            </w:pPr>
          </w:p>
        </w:tc>
        <w:tc>
          <w:tcPr>
            <w:tcW w:w="1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r>
    </w:tbl>
    <w:p>
      <w:pPr>
        <w:spacing w:after="0" w:line="54" w:lineRule="exact"/>
        <w:rPr>
          <w:sz w:val="20"/>
          <w:szCs w:val="20"/>
          <w:color w:val="auto"/>
        </w:rPr>
      </w:pPr>
    </w:p>
    <w:p>
      <w:pPr>
        <w:ind w:left="300" w:hanging="250"/>
        <w:spacing w:after="0"/>
        <w:tabs>
          <w:tab w:leader="none" w:pos="3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6"/>
          <w:szCs w:val="16"/>
          <w:color w:val="auto"/>
        </w:rPr>
        <w:t>Includes accumulated impairments of $1,482,677 from prior fiscal years.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Short-term debt consists of the following (carrying balances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June 29,</w:t>
            </w:r>
          </w:p>
        </w:tc>
        <w:tc>
          <w:tcPr>
            <w:tcW w:w="140" w:type="dxa"/>
            <w:vAlign w:val="bottom"/>
          </w:tcPr>
          <w:p>
            <w:pPr>
              <w:spacing w:after="0"/>
              <w:rPr>
                <w:sz w:val="18"/>
                <w:szCs w:val="18"/>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5160" w:type="dxa"/>
            <w:vAlign w:val="bottom"/>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r>
      <w:tr>
        <w:trPr>
          <w:trHeight w:val="209"/>
        </w:trPr>
        <w:tc>
          <w:tcPr>
            <w:tcW w:w="51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jc w:val="right"/>
              <w:ind w:right="290"/>
              <w:spacing w:after="0" w:line="202" w:lineRule="exact"/>
              <w:rPr>
                <w:sz w:val="20"/>
                <w:szCs w:val="20"/>
                <w:color w:val="auto"/>
              </w:rPr>
            </w:pPr>
            <w:r>
              <w:rPr>
                <w:rFonts w:ascii="Times New Roman" w:cs="Times New Roman" w:eastAsia="Times New Roman" w:hAnsi="Times New Roman"/>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Borders>
              <w:bottom w:val="single" w:sz="8" w:color="auto"/>
            </w:tcBorders>
            <w:gridSpan w:val="2"/>
          </w:tcPr>
          <w:p>
            <w:pPr>
              <w:spacing w:after="0"/>
              <w:rPr>
                <w:sz w:val="18"/>
                <w:szCs w:val="18"/>
                <w:color w:val="auto"/>
              </w:rPr>
            </w:pPr>
          </w:p>
        </w:tc>
        <w:tc>
          <w:tcPr>
            <w:tcW w:w="78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88"/>
              </w:rPr>
              <w:t>Balance</w:t>
            </w:r>
          </w:p>
        </w:tc>
        <w:tc>
          <w:tcPr>
            <w:tcW w:w="80" w:type="dxa"/>
            <w:vAlign w:val="bottom"/>
            <w:tcBorders>
              <w:bottom w:val="single" w:sz="8" w:color="CCEEFF"/>
            </w:tcBorders>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$ 415,100</w:t>
            </w:r>
          </w:p>
        </w:tc>
        <w:tc>
          <w:tcPr>
            <w:tcW w:w="80" w:type="dxa"/>
            <w:vAlign w:val="bottom"/>
          </w:tcPr>
          <w:p>
            <w:pPr>
              <w:spacing w:after="0"/>
              <w:rPr>
                <w:sz w:val="18"/>
                <w:szCs w:val="18"/>
                <w:color w:val="auto"/>
              </w:rPr>
            </w:pPr>
          </w:p>
        </w:tc>
      </w:tr>
      <w:tr>
        <w:trPr>
          <w:trHeight w:val="23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short-term debt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144,542</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77,611</w:t>
            </w:r>
          </w:p>
        </w:tc>
        <w:tc>
          <w:tcPr>
            <w:tcW w:w="80" w:type="dxa"/>
            <w:vAlign w:val="bottom"/>
            <w:shd w:val="clear" w:color="auto" w:fill="CCEEFF"/>
          </w:tcPr>
          <w:p>
            <w:pPr>
              <w:spacing w:after="0"/>
              <w:rPr>
                <w:sz w:val="20"/>
                <w:szCs w:val="20"/>
                <w:color w:val="auto"/>
              </w:rPr>
            </w:pPr>
          </w:p>
        </w:tc>
      </w:tr>
      <w:tr>
        <w:trPr>
          <w:trHeight w:val="203"/>
        </w:trPr>
        <w:tc>
          <w:tcPr>
            <w:tcW w:w="5160" w:type="dxa"/>
            <w:vAlign w:val="bottom"/>
            <w:tcBorders>
              <w:top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Short-term debt</w:t>
            </w:r>
          </w:p>
        </w:tc>
        <w:tc>
          <w:tcPr>
            <w:tcW w:w="9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144,542</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$ 492,711</w:t>
            </w:r>
          </w:p>
        </w:tc>
        <w:tc>
          <w:tcPr>
            <w:tcW w:w="80" w:type="dxa"/>
            <w:vAlign w:val="bottom"/>
            <w:tcBorders>
              <w:top w:val="single" w:sz="8" w:color="CCEEFF"/>
            </w:tcBorders>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firstLine="432"/>
        <w:spacing w:after="0" w:line="266" w:lineRule="auto"/>
        <w:rPr>
          <w:sz w:val="20"/>
          <w:szCs w:val="20"/>
          <w:color w:val="auto"/>
        </w:rPr>
      </w:pPr>
      <w:r>
        <w:rPr>
          <w:rFonts w:ascii="Times New Roman" w:cs="Times New Roman" w:eastAsia="Times New Roman" w:hAnsi="Times New Roman"/>
          <w:sz w:val="18"/>
          <w:szCs w:val="18"/>
          <w:color w:val="auto"/>
        </w:rPr>
        <w:t>Other short-term debt consists of various committed and uncommitted lines of credit and other forms of bank debt with financial institutions utilized primarily to support the ongoing working capital requirements of the Company, including its foreign operations.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consists of the following (carrying balances in thousands):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12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5000" w:type="dxa"/>
            <w:vAlign w:val="bottom"/>
          </w:tcPr>
          <w:p>
            <w:pPr>
              <w:spacing w:after="0"/>
              <w:rPr>
                <w:sz w:val="21"/>
                <w:szCs w:val="21"/>
                <w:color w:val="auto"/>
              </w:rPr>
            </w:pP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r>
      <w:tr>
        <w:trPr>
          <w:trHeight w:val="210"/>
        </w:trPr>
        <w:tc>
          <w:tcPr>
            <w:tcW w:w="5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Rate</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Borders>
              <w:bottom w:val="single" w:sz="8" w:color="auto"/>
            </w:tcBorders>
            <w:gridSpan w:val="2"/>
          </w:tcPr>
          <w:p>
            <w:pPr>
              <w:spacing w:after="0"/>
              <w:rPr>
                <w:sz w:val="18"/>
                <w:szCs w:val="18"/>
                <w:color w:val="auto"/>
              </w:rPr>
            </w:pPr>
          </w:p>
        </w:tc>
        <w:tc>
          <w:tcPr>
            <w:tcW w:w="920" w:type="dxa"/>
            <w:vAlign w:val="bottom"/>
            <w:tcBorders>
              <w:top w:val="single" w:sz="8" w:color="auto"/>
              <w:bottom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Balance</w:t>
            </w:r>
          </w:p>
        </w:tc>
        <w:tc>
          <w:tcPr>
            <w:tcW w:w="40" w:type="dxa"/>
            <w:vAlign w:val="bottom"/>
            <w:tcBorders>
              <w:bottom w:val="single" w:sz="8" w:color="CCEEFF"/>
            </w:tcBorders>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securitization program (due December 2026)</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5.17 %</w:t>
            </w:r>
          </w:p>
        </w:tc>
        <w:tc>
          <w:tcPr>
            <w:tcW w:w="20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Facility (due January 2030)</w:t>
            </w: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5.53 %</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745,480</w:t>
            </w:r>
          </w:p>
        </w:tc>
        <w:tc>
          <w:tcPr>
            <w:tcW w:w="4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4.74 %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notes due: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2026</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4.63 %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2028</w:t>
            </w: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6.25 %</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shd w:val="clear" w:color="auto" w:fill="CCEEFF"/>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2031</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3.00 %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8"/>
                <w:szCs w:val="18"/>
                <w:color w:val="auto"/>
              </w:rPr>
            </w:pPr>
          </w:p>
        </w:tc>
      </w:tr>
      <w:tr>
        <w:trPr>
          <w:trHeight w:val="236"/>
        </w:trPr>
        <w:tc>
          <w:tcPr>
            <w:tcW w:w="5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June 2032</w:t>
            </w:r>
          </w:p>
        </w:tc>
        <w:tc>
          <w:tcPr>
            <w:tcW w:w="9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5.50 %</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50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debt before discount and debt issuance costs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2,503,921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2,418,228</w:t>
            </w:r>
          </w:p>
        </w:tc>
        <w:tc>
          <w:tcPr>
            <w:tcW w:w="40" w:type="dxa"/>
            <w:vAlign w:val="bottom"/>
          </w:tcPr>
          <w:p>
            <w:pPr>
              <w:spacing w:after="0"/>
              <w:rPr>
                <w:sz w:val="17"/>
                <w:szCs w:val="17"/>
                <w:color w:val="auto"/>
              </w:rPr>
            </w:pPr>
          </w:p>
        </w:tc>
      </w:tr>
      <w:tr>
        <w:trPr>
          <w:trHeight w:val="236"/>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and debt issuance costs – unamortized</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5000" w:type="dxa"/>
            <w:vAlign w:val="bottom"/>
          </w:tcPr>
          <w:p>
            <w:pPr>
              <w:ind w:left="320"/>
              <w:spacing w:after="0" w:line="203" w:lineRule="exact"/>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2,494,387</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2,406,629</w:t>
            </w:r>
          </w:p>
        </w:tc>
        <w:tc>
          <w:tcPr>
            <w:tcW w:w="40" w:type="dxa"/>
            <w:vAlign w:val="bottom"/>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1" w:lineRule="exact"/>
        <w:rPr>
          <w:sz w:val="20"/>
          <w:szCs w:val="20"/>
          <w:color w:val="auto"/>
        </w:rPr>
      </w:pPr>
    </w:p>
    <w:p>
      <w:pPr>
        <w:ind w:left="60" w:right="79" w:firstLine="427"/>
        <w:spacing w:after="0" w:line="253" w:lineRule="auto"/>
        <w:rPr>
          <w:sz w:val="20"/>
          <w:szCs w:val="20"/>
          <w:color w:val="auto"/>
        </w:rPr>
      </w:pPr>
      <w:r>
        <w:rPr>
          <w:rFonts w:ascii="Times New Roman" w:cs="Times New Roman" w:eastAsia="Times New Roman" w:hAnsi="Times New Roman"/>
          <w:sz w:val="18"/>
          <w:szCs w:val="18"/>
          <w:color w:val="auto"/>
        </w:rPr>
        <w:t>In December 2024, the Company amended and extended for two years its trade accounts receivable securitization program (the “Securitization Program”) in the United States with a group of financial institutions, which is due in December 2026. The Securitization Program allows the Company to transfer, on an ongoing revolving basis, an undivided interest in a designated pool of trade accounts receivable, to provide security or collateral for borrowings of up to $500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$790.2 million and $1.05 billion at March 29, 2025, and June 29, 2024, respectively. The Securitization Program contains certain covenants relating to the quality of the receivables sold.</w:t>
      </w:r>
    </w:p>
    <w:p>
      <w:pPr>
        <w:spacing w:after="0" w:line="167" w:lineRule="exact"/>
        <w:rPr>
          <w:sz w:val="20"/>
          <w:szCs w:val="20"/>
          <w:color w:val="auto"/>
        </w:rPr>
      </w:pPr>
    </w:p>
    <w:p>
      <w:pPr>
        <w:ind w:left="60" w:right="119" w:firstLine="427"/>
        <w:spacing w:after="0" w:line="261" w:lineRule="auto"/>
        <w:rPr>
          <w:sz w:val="20"/>
          <w:szCs w:val="20"/>
          <w:color w:val="auto"/>
        </w:rPr>
      </w:pPr>
      <w:r>
        <w:rPr>
          <w:rFonts w:ascii="Times New Roman" w:cs="Times New Roman" w:eastAsia="Times New Roman" w:hAnsi="Times New Roman"/>
          <w:sz w:val="18"/>
          <w:szCs w:val="18"/>
          <w:color w:val="auto"/>
        </w:rPr>
        <w:t>In January 2025, the Company amended and extended its five-year $1.50 billion revolving credit facility (the “Credit Facility”) with a syndicate of banks, which expires in January 2030. It consists of revolving credit facilities and the issuance of up to $200.0 million of letters of credit and up to $300.0 million of loans in certain approved currencies. As of March 29, 2025, and June 29, 2024, there were $0.9 million in letters of credit issued under the Credit Facility.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a financial covenant requiring the Company to maintain a minimum leverage ratio, which the Company was in compliance with as of March 29, 2025, and June 29, 2024.</w:t>
      </w:r>
    </w:p>
    <w:p>
      <w:pPr>
        <w:spacing w:after="0" w:line="139"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As of March 29, 2025, the carrying value and fair value of the Company’s total debt was $2.64 billion and $2.61 billion, respectively. At June 29, 2024, the carrying value and fair value of the Company’s total debt was $2.90 billion and $2.85 billion, respectively. Fair value for public notes was estimated based on quoted market prices (Level 1) and, for other forms of debt, fair value approximates carrying value due to the market based variable nature of the interest rates on those debt facilities (Level 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202" w:lineRule="exact"/>
        <w:rPr>
          <w:sz w:val="20"/>
          <w:szCs w:val="20"/>
          <w:color w:val="auto"/>
        </w:rPr>
      </w:pPr>
    </w:p>
    <w:p>
      <w:pPr>
        <w:ind w:left="60" w:right="199" w:firstLine="427"/>
        <w:spacing w:after="0" w:line="255" w:lineRule="auto"/>
        <w:rPr>
          <w:sz w:val="20"/>
          <w:szCs w:val="20"/>
          <w:color w:val="auto"/>
        </w:rPr>
      </w:pPr>
      <w:r>
        <w:rPr>
          <w:rFonts w:ascii="Times New Roman" w:cs="Times New Roman" w:eastAsia="Times New Roman" w:hAnsi="Times New Roman"/>
          <w:sz w:val="18"/>
          <w:szCs w:val="18"/>
          <w:color w:val="auto"/>
        </w:rPr>
        <w:t>Many of the Company’s subsidiaries purchase and sell products in currencies other than their functional currencies, which subjects the Company to the risks associated with fluctuations in currency exchange rates. This foreign currency exposure relates primarily to international transactions where the currency collected from customers can be different from the currency used to purchase from suppliers. The Company’s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87" w:lineRule="exact"/>
        <w:rPr>
          <w:sz w:val="20"/>
          <w:szCs w:val="20"/>
          <w:color w:val="auto"/>
        </w:rPr>
      </w:pPr>
    </w:p>
    <w:p>
      <w:pPr>
        <w:ind w:left="60" w:right="59" w:firstLine="427"/>
        <w:spacing w:after="0" w:line="253" w:lineRule="auto"/>
        <w:rPr>
          <w:sz w:val="20"/>
          <w:szCs w:val="20"/>
          <w:color w:val="auto"/>
        </w:rPr>
      </w:pPr>
      <w:r>
        <w:rPr>
          <w:rFonts w:ascii="Times New Roman" w:cs="Times New Roman" w:eastAsia="Times New Roman" w:hAnsi="Times New Roman"/>
          <w:sz w:val="18"/>
          <w:szCs w:val="18"/>
          <w:color w:val="auto"/>
        </w:rPr>
        <w:t>The Company uses economic hedges to reduce this risk utilizing natural hedging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offsetting receivables and payables in the same foreign currency) and creating offsetting positions using derivative financial instruments (primarily forward foreign currency exchange contracts typically with maturities of less than 60 days, but no longer than one year). The Company continues to have exposure to foreign currency risks to the extent they are not economically hedged. The fair value of forward foreign currency exchange contracts is based on Level 2 criteria under the ASC 820 fair value hierarchy.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 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94" w:lineRule="exact"/>
        <w:rPr>
          <w:sz w:val="20"/>
          <w:szCs w:val="20"/>
          <w:color w:val="auto"/>
        </w:rPr>
      </w:pPr>
    </w:p>
    <w:p>
      <w:pPr>
        <w:ind w:left="60" w:right="99" w:firstLine="427"/>
        <w:spacing w:after="0" w:line="254" w:lineRule="auto"/>
        <w:rPr>
          <w:sz w:val="20"/>
          <w:szCs w:val="20"/>
          <w:color w:val="auto"/>
        </w:rPr>
      </w:pPr>
      <w:r>
        <w:rPr>
          <w:rFonts w:ascii="Times New Roman" w:cs="Times New Roman" w:eastAsia="Times New Roman" w:hAnsi="Times New Roman"/>
          <w:sz w:val="18"/>
          <w:szCs w:val="18"/>
          <w:color w:val="auto"/>
        </w:rPr>
        <w:t>The Company has a fixed-to-fixed rate cross currency swap (the “cross-currency swap”) with a notional amount of $500.0 million, or €472.6 million, that is set to mature in March 2028. The Company designated this derivative contract as a net investment hedge of its European operations and elected the spot method for measuring hedge effectiveness. Changes in fair value of the cross-currency swap is presented in “Accumulated other comprehensive loss” in the consolidated balance sheets. Amounts related to the cross-currency swap recognized directly in net income represent net periodic interest settlements and accruals, which are recognized in “Interest and other financing expenses, net,” on the consolidated statements of operations. The fair value of the cross-currency swaps is based on Level 2 criteria under the ASC 820 fair value hierarchy.</w:t>
      </w:r>
    </w:p>
    <w:p>
      <w:pPr>
        <w:spacing w:after="0" w:line="192" w:lineRule="exact"/>
        <w:rPr>
          <w:sz w:val="20"/>
          <w:szCs w:val="20"/>
          <w:color w:val="auto"/>
        </w:rPr>
      </w:pPr>
    </w:p>
    <w:p>
      <w:pPr>
        <w:ind w:left="60" w:right="139" w:firstLine="427"/>
        <w:spacing w:after="0" w:line="266" w:lineRule="auto"/>
        <w:rPr>
          <w:sz w:val="20"/>
          <w:szCs w:val="20"/>
          <w:color w:val="auto"/>
        </w:rPr>
      </w:pPr>
      <w:r>
        <w:rPr>
          <w:rFonts w:ascii="Times New Roman" w:cs="Times New Roman" w:eastAsia="Times New Roman" w:hAnsi="Times New Roman"/>
          <w:sz w:val="18"/>
          <w:szCs w:val="18"/>
          <w:color w:val="auto"/>
        </w:rPr>
        <w:t>The Company uses these derivative financial instruments to manage risks associated with foreign currency exchange rates and interest rates. The Company does not enter derivative financial instruments for trading or speculative purposes and monitors the financial stability and credit standing of its counterparties.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540" w:firstLine="427"/>
        <w:spacing w:after="0" w:line="282" w:lineRule="auto"/>
        <w:rPr>
          <w:sz w:val="20"/>
          <w:szCs w:val="20"/>
          <w:color w:val="auto"/>
        </w:rPr>
      </w:pPr>
      <w:r>
        <w:rPr>
          <w:rFonts w:ascii="Times New Roman" w:cs="Times New Roman" w:eastAsia="Times New Roman" w:hAnsi="Times New Roman"/>
          <w:sz w:val="18"/>
          <w:szCs w:val="18"/>
          <w:color w:val="auto"/>
        </w:rPr>
        <w:t>The locations and fair values of the Company’s derivative financial instruments in the Company’s consolidated balance sheets are as follows: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4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0" w:type="dxa"/>
            <w:vAlign w:val="bottom"/>
          </w:tcPr>
          <w:p>
            <w:pPr>
              <w:spacing w:after="0"/>
              <w:rPr>
                <w:sz w:val="1"/>
                <w:szCs w:val="1"/>
                <w:color w:val="auto"/>
              </w:rPr>
            </w:pPr>
          </w:p>
        </w:tc>
      </w:tr>
      <w:tr>
        <w:trPr>
          <w:trHeight w:val="245"/>
        </w:trPr>
        <w:tc>
          <w:tcPr>
            <w:tcW w:w="67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80" w:type="dxa"/>
            <w:vAlign w:val="bottom"/>
          </w:tcPr>
          <w:p>
            <w:pPr>
              <w:spacing w:after="0"/>
              <w:rPr>
                <w:sz w:val="20"/>
                <w:szCs w:val="20"/>
                <w:color w:val="auto"/>
              </w:rPr>
            </w:pPr>
          </w:p>
        </w:tc>
        <w:tc>
          <w:tcPr>
            <w:tcW w:w="20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180"/>
        </w:trPr>
        <w:tc>
          <w:tcPr>
            <w:tcW w:w="6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21,278</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480" w:firstLine="427"/>
        <w:spacing w:after="0" w:line="282" w:lineRule="auto"/>
        <w:rPr>
          <w:sz w:val="20"/>
          <w:szCs w:val="20"/>
          <w:color w:val="auto"/>
        </w:rPr>
      </w:pPr>
      <w:r>
        <w:rPr>
          <w:rFonts w:ascii="Times New Roman" w:cs="Times New Roman" w:eastAsia="Times New Roman" w:hAnsi="Times New Roman"/>
          <w:sz w:val="18"/>
          <w:szCs w:val="18"/>
          <w:color w:val="auto"/>
        </w:rPr>
        <w:t>The locations of derivative financial instruments on the Company’s consolidated statements of operations are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15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120" w:type="dxa"/>
            <w:vAlign w:val="bottom"/>
          </w:tcPr>
          <w:p>
            <w:pPr>
              <w:spacing w:after="0"/>
              <w:rPr>
                <w:sz w:val="21"/>
                <w:szCs w:val="21"/>
                <w:color w:val="auto"/>
              </w:rPr>
            </w:pPr>
          </w:p>
        </w:tc>
        <w:tc>
          <w:tcPr>
            <w:tcW w:w="206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194"/>
        </w:trPr>
        <w:tc>
          <w:tcPr>
            <w:tcW w:w="15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40" w:type="dxa"/>
            <w:vAlign w:val="bottom"/>
            <w:tcBorders>
              <w:top w:val="single" w:sz="8" w:color="auto"/>
            </w:tcBorders>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96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7"/>
                <w:szCs w:val="17"/>
                <w:b w:val="1"/>
                <w:bCs w:val="1"/>
                <w:color w:val="auto"/>
              </w:rPr>
              <w:t>March 29,</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5"/>
              <w:spacing w:after="0" w:line="194" w:lineRule="exact"/>
              <w:rPr>
                <w:sz w:val="20"/>
                <w:szCs w:val="20"/>
                <w:color w:val="auto"/>
              </w:rPr>
            </w:pPr>
            <w:r>
              <w:rPr>
                <w:rFonts w:ascii="Times New Roman" w:cs="Times New Roman" w:eastAsia="Times New Roman" w:hAnsi="Times New Roman"/>
                <w:sz w:val="17"/>
                <w:szCs w:val="17"/>
                <w:b w:val="1"/>
                <w:bCs w:val="1"/>
                <w:color w:val="auto"/>
                <w:w w:val="99"/>
              </w:rPr>
              <w:t>March 30,</w:t>
            </w:r>
          </w:p>
        </w:tc>
        <w:tc>
          <w:tcPr>
            <w:tcW w:w="20" w:type="dxa"/>
            <w:vAlign w:val="bottom"/>
          </w:tcPr>
          <w:p>
            <w:pPr>
              <w:spacing w:after="0"/>
              <w:rPr>
                <w:sz w:val="16"/>
                <w:szCs w:val="16"/>
                <w:color w:val="auto"/>
              </w:rPr>
            </w:pPr>
          </w:p>
        </w:tc>
      </w:tr>
      <w:tr>
        <w:trPr>
          <w:trHeight w:val="245"/>
        </w:trPr>
        <w:tc>
          <w:tcPr>
            <w:tcW w:w="15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21"/>
                <w:szCs w:val="21"/>
                <w:color w:val="auto"/>
              </w:rPr>
            </w:pPr>
          </w:p>
        </w:tc>
      </w:tr>
      <w:tr>
        <w:trPr>
          <w:trHeight w:val="203"/>
        </w:trPr>
        <w:tc>
          <w:tcPr>
            <w:tcW w:w="15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4"/>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(21,867)</w:t>
            </w:r>
          </w:p>
        </w:tc>
        <w:tc>
          <w:tcPr>
            <w:tcW w:w="20" w:type="dxa"/>
            <w:vAlign w:val="bottom"/>
          </w:tcPr>
          <w:p>
            <w:pPr>
              <w:spacing w:after="0"/>
              <w:rPr>
                <w:sz w:val="18"/>
                <w:szCs w:val="18"/>
                <w:color w:val="auto"/>
              </w:rPr>
            </w:pPr>
          </w:p>
        </w:tc>
      </w:tr>
      <w:tr>
        <w:trPr>
          <w:trHeight w:val="234"/>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other financing expense,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3,318</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3,352</w:t>
            </w:r>
          </w:p>
        </w:tc>
        <w:tc>
          <w:tcPr>
            <w:tcW w:w="20" w:type="dxa"/>
            <w:vAlign w:val="bottom"/>
          </w:tcPr>
          <w:p>
            <w:pPr>
              <w:spacing w:after="0"/>
              <w:rPr>
                <w:sz w:val="20"/>
                <w:szCs w:val="20"/>
                <w:color w:val="auto"/>
              </w:rPr>
            </w:pPr>
          </w:p>
        </w:tc>
      </w:tr>
    </w:tbl>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89" w:lineRule="exact"/>
        <w:rPr>
          <w:sz w:val="20"/>
          <w:szCs w:val="20"/>
          <w:color w:val="auto"/>
        </w:rPr>
      </w:pPr>
    </w:p>
    <w:p>
      <w:pPr>
        <w:ind w:left="60" w:right="180" w:firstLine="427"/>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0" w:lineRule="exact"/>
        <w:rPr>
          <w:sz w:val="20"/>
          <w:szCs w:val="20"/>
          <w:color w:val="auto"/>
        </w:rPr>
      </w:pPr>
    </w:p>
    <w:p>
      <w:pPr>
        <w:ind w:left="60" w:right="140" w:firstLine="427"/>
        <w:spacing w:after="0" w:line="256" w:lineRule="auto"/>
        <w:rPr>
          <w:sz w:val="20"/>
          <w:szCs w:val="20"/>
          <w:color w:val="auto"/>
        </w:rPr>
      </w:pPr>
      <w:r>
        <w:rPr>
          <w:rFonts w:ascii="Times New Roman" w:cs="Times New Roman" w:eastAsia="Times New Roman" w:hAnsi="Times New Roman"/>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87" w:lineRule="exact"/>
        <w:rPr>
          <w:sz w:val="20"/>
          <w:szCs w:val="20"/>
          <w:color w:val="auto"/>
        </w:rPr>
      </w:pPr>
    </w:p>
    <w:p>
      <w:pPr>
        <w:jc w:val="both"/>
        <w:ind w:left="60" w:right="420" w:firstLine="427"/>
        <w:spacing w:after="0" w:line="266" w:lineRule="auto"/>
        <w:rPr>
          <w:sz w:val="20"/>
          <w:szCs w:val="20"/>
          <w:color w:val="auto"/>
        </w:rPr>
      </w:pPr>
      <w:r>
        <w:rPr>
          <w:rFonts w:ascii="Times New Roman" w:cs="Times New Roman" w:eastAsia="Times New Roman" w:hAnsi="Times New Roman"/>
          <w:sz w:val="18"/>
          <w:szCs w:val="18"/>
          <w:color w:val="auto"/>
        </w:rPr>
        <w:t>As of March 29, 2025, and June 29, 2024, the Company had aggregate estimated liabilities of $11.7 million and $17.2 million, respectively, classified within accrued expenses and other for such compliance-related matters that were reasonably estimable as of such dates.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Gain on Legal Settlements and Other</w:t>
      </w:r>
    </w:p>
    <w:p>
      <w:pPr>
        <w:spacing w:after="0" w:line="187" w:lineRule="exact"/>
        <w:rPr>
          <w:sz w:val="20"/>
          <w:szCs w:val="20"/>
          <w:color w:val="auto"/>
        </w:rPr>
      </w:pPr>
    </w:p>
    <w:p>
      <w:pPr>
        <w:ind w:left="60" w:right="420" w:firstLine="427"/>
        <w:spacing w:after="0" w:line="266" w:lineRule="auto"/>
        <w:rPr>
          <w:sz w:val="20"/>
          <w:szCs w:val="20"/>
          <w:color w:val="auto"/>
        </w:rPr>
      </w:pPr>
      <w:r>
        <w:rPr>
          <w:rFonts w:ascii="Times New Roman" w:cs="Times New Roman" w:eastAsia="Times New Roman" w:hAnsi="Times New Roman"/>
          <w:sz w:val="18"/>
          <w:szCs w:val="18"/>
          <w:color w:val="auto"/>
        </w:rPr>
        <w:t>During the first nine months of fiscal 2024, the Company recorded a gain on legal settlements and other of $86.5 million in connection with the settlements of claims filed against certain manufacturers of capacitors, which was also realized in cash that same quarter.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40" w:right="1439"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89" w:lineRule="exact"/>
        <w:rPr>
          <w:sz w:val="20"/>
          <w:szCs w:val="20"/>
          <w:color w:val="auto"/>
        </w:rPr>
      </w:pPr>
    </w:p>
    <w:p>
      <w:pPr>
        <w:ind w:left="60" w:right="79" w:firstLine="427"/>
        <w:spacing w:after="0" w:line="282" w:lineRule="auto"/>
        <w:rPr>
          <w:sz w:val="20"/>
          <w:szCs w:val="20"/>
          <w:color w:val="auto"/>
        </w:rPr>
      </w:pPr>
      <w:r>
        <w:rPr>
          <w:rFonts w:ascii="Times New Roman" w:cs="Times New Roman" w:eastAsia="Times New Roman" w:hAnsi="Times New Roman"/>
          <w:sz w:val="18"/>
          <w:szCs w:val="18"/>
          <w:color w:val="auto"/>
        </w:rPr>
        <w:t>The below discussion of the effective tax rate for the periods presented in the consolidated statements of operations is in comparison to the 21% U.S. statutory federal income tax rate.</w:t>
      </w:r>
    </w:p>
    <w:p>
      <w:pPr>
        <w:spacing w:after="0" w:line="162" w:lineRule="exact"/>
        <w:rPr>
          <w:sz w:val="20"/>
          <w:szCs w:val="20"/>
          <w:color w:val="auto"/>
        </w:rPr>
      </w:pPr>
    </w:p>
    <w:p>
      <w:pPr>
        <w:ind w:left="60" w:right="419" w:firstLine="427"/>
        <w:spacing w:after="0" w:line="266" w:lineRule="auto"/>
        <w:rPr>
          <w:sz w:val="20"/>
          <w:szCs w:val="20"/>
          <w:color w:val="auto"/>
        </w:rPr>
      </w:pPr>
      <w:r>
        <w:rPr>
          <w:rFonts w:ascii="Times New Roman" w:cs="Times New Roman" w:eastAsia="Times New Roman" w:hAnsi="Times New Roman"/>
          <w:sz w:val="18"/>
          <w:szCs w:val="18"/>
          <w:color w:val="auto"/>
        </w:rPr>
        <w:t>The Company’s effective tax rate on its income before taxes was a benefit of 12.5% in the third quarter of fiscal 2025. During the third quarter of fiscal 2025, the Company’s effective tax rate was favorably impacted primarily by (i) increases in tax attribute carryforwards and (ii) the mix of income in jurisdictions.</w:t>
      </w:r>
    </w:p>
    <w:p>
      <w:pPr>
        <w:spacing w:after="0" w:line="176" w:lineRule="exact"/>
        <w:rPr>
          <w:sz w:val="20"/>
          <w:szCs w:val="20"/>
          <w:color w:val="auto"/>
        </w:rPr>
      </w:pPr>
    </w:p>
    <w:p>
      <w:pPr>
        <w:ind w:left="60" w:right="139" w:firstLine="427"/>
        <w:spacing w:after="0" w:line="289" w:lineRule="auto"/>
        <w:rPr>
          <w:sz w:val="20"/>
          <w:szCs w:val="20"/>
          <w:color w:val="auto"/>
        </w:rPr>
      </w:pPr>
      <w:r>
        <w:rPr>
          <w:rFonts w:ascii="Times New Roman" w:cs="Times New Roman" w:eastAsia="Times New Roman" w:hAnsi="Times New Roman"/>
          <w:sz w:val="17"/>
          <w:szCs w:val="17"/>
          <w:color w:val="auto"/>
        </w:rPr>
        <w:t>During the third quarter of fiscal 2024, the Company’s effective tax rate on its income before taxes was 12.9%. During the third quarter of fiscal 2024, the Company’s effective tax rate was favorably impacted primarily by (i) decreases to unrecognized tax benefit reserves net of settlements and (ii) the mix of income in lower tax foreign jurisdictions.</w:t>
      </w:r>
    </w:p>
    <w:p>
      <w:pPr>
        <w:spacing w:after="0" w:line="158" w:lineRule="exact"/>
        <w:rPr>
          <w:sz w:val="20"/>
          <w:szCs w:val="20"/>
          <w:color w:val="auto"/>
        </w:rPr>
      </w:pPr>
    </w:p>
    <w:p>
      <w:pPr>
        <w:ind w:left="60" w:right="259" w:firstLine="427"/>
        <w:spacing w:after="0" w:line="266" w:lineRule="auto"/>
        <w:rPr>
          <w:sz w:val="20"/>
          <w:szCs w:val="20"/>
          <w:color w:val="auto"/>
        </w:rPr>
      </w:pPr>
      <w:r>
        <w:rPr>
          <w:rFonts w:ascii="Times New Roman" w:cs="Times New Roman" w:eastAsia="Times New Roman" w:hAnsi="Times New Roman"/>
          <w:sz w:val="18"/>
          <w:szCs w:val="18"/>
          <w:color w:val="auto"/>
        </w:rPr>
        <w:t>For the first nine months of fiscal 2025, the Company’s effective tax rate on its income before taxes was 3.7%. The effective tax rate for the first nine months of fiscal 2025 was favorably impacted primarily by increases in tax attribute carryforwards that are partially offset by increases to valuation allowances.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first nine months of fiscal 2024, the Company’s effective tax rate on its income before taxes was 21.6%.</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effective tax rate for the first nine months of fiscal 2024 was unfavorably impacted primarily by (i) the impact of U.S.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 taxes, partially offset by (ii) decreases to valuation allowances.</w:t>
      </w:r>
    </w:p>
    <w:p>
      <w:pPr>
        <w:spacing w:after="0" w:line="207" w:lineRule="exact"/>
        <w:rPr>
          <w:sz w:val="20"/>
          <w:szCs w:val="20"/>
          <w:color w:val="auto"/>
        </w:rPr>
      </w:pPr>
    </w:p>
    <w:p>
      <w:pPr>
        <w:ind w:left="60" w:right="179" w:firstLine="427"/>
        <w:spacing w:after="0" w:line="261" w:lineRule="auto"/>
        <w:rPr>
          <w:sz w:val="20"/>
          <w:szCs w:val="20"/>
          <w:color w:val="auto"/>
        </w:rPr>
      </w:pPr>
      <w:r>
        <w:rPr>
          <w:rFonts w:ascii="Times New Roman" w:cs="Times New Roman" w:eastAsia="Times New Roman" w:hAnsi="Times New Roman"/>
          <w:sz w:val="18"/>
          <w:szCs w:val="18"/>
          <w:color w:val="auto"/>
        </w:rPr>
        <w:t>The Pillar Two rules published by the Organization for Economic Co-operation and Development (OECD) are effective for the Company in fiscal year 2025. The Company does not expect Pillar Two taxes to have a significant impact on its income tax expense and is closely monitoring the potential impacts of further legislation, regulatory guidance, and regulations issued in the countries in which the Company does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Pension plan</w:t>
      </w:r>
    </w:p>
    <w:p>
      <w:pPr>
        <w:spacing w:after="0" w:line="202" w:lineRule="exact"/>
        <w:rPr>
          <w:sz w:val="20"/>
          <w:szCs w:val="20"/>
          <w:color w:val="auto"/>
        </w:rPr>
      </w:pPr>
    </w:p>
    <w:p>
      <w:pPr>
        <w:ind w:left="60" w:right="519" w:firstLine="427"/>
        <w:spacing w:after="0" w:line="282" w:lineRule="auto"/>
        <w:rPr>
          <w:sz w:val="20"/>
          <w:szCs w:val="20"/>
          <w:color w:val="auto"/>
        </w:rPr>
      </w:pPr>
      <w:r>
        <w:rPr>
          <w:rFonts w:ascii="Times New Roman" w:cs="Times New Roman" w:eastAsia="Times New Roman" w:hAnsi="Times New Roman"/>
          <w:sz w:val="18"/>
          <w:szCs w:val="18"/>
          <w:color w:val="auto"/>
        </w:rPr>
        <w:t>The Company has a noncontributory defined benefit pension plan that covers substantially all current and some former U.S. employees (the “Plan”). Components of net periodic pension cost for the Plan was as follows: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5240" w:type="dxa"/>
            <w:vAlign w:val="bottom"/>
          </w:tcPr>
          <w:p>
            <w:pPr>
              <w:spacing w:after="0"/>
              <w:rPr>
                <w:sz w:val="21"/>
                <w:szCs w:val="21"/>
                <w:color w:val="auto"/>
              </w:rPr>
            </w:pPr>
          </w:p>
        </w:tc>
        <w:tc>
          <w:tcPr>
            <w:tcW w:w="18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100" w:type="dxa"/>
            <w:vAlign w:val="bottom"/>
          </w:tcPr>
          <w:p>
            <w:pPr>
              <w:spacing w:after="0"/>
              <w:rPr>
                <w:sz w:val="21"/>
                <w:szCs w:val="21"/>
                <w:color w:val="auto"/>
              </w:rPr>
            </w:pPr>
          </w:p>
        </w:tc>
        <w:tc>
          <w:tcPr>
            <w:tcW w:w="17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240" w:type="dxa"/>
            <w:vAlign w:val="bottom"/>
          </w:tcPr>
          <w:p>
            <w:pPr>
              <w:spacing w:after="0"/>
              <w:rPr>
                <w:sz w:val="16"/>
                <w:szCs w:val="16"/>
                <w:color w:val="auto"/>
              </w:rPr>
            </w:pPr>
          </w:p>
        </w:tc>
        <w:tc>
          <w:tcPr>
            <w:tcW w:w="98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80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March 30,</w:t>
            </w:r>
          </w:p>
        </w:tc>
        <w:tc>
          <w:tcPr>
            <w:tcW w:w="100" w:type="dxa"/>
            <w:vAlign w:val="bottom"/>
          </w:tcPr>
          <w:p>
            <w:pPr>
              <w:spacing w:after="0"/>
              <w:rPr>
                <w:sz w:val="16"/>
                <w:szCs w:val="16"/>
                <w:color w:val="auto"/>
              </w:rPr>
            </w:pPr>
          </w:p>
        </w:tc>
        <w:tc>
          <w:tcPr>
            <w:tcW w:w="98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80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20" w:type="dxa"/>
            <w:vAlign w:val="bottom"/>
          </w:tcPr>
          <w:p>
            <w:pPr>
              <w:spacing w:after="0"/>
              <w:rPr>
                <w:sz w:val="16"/>
                <w:szCs w:val="16"/>
                <w:color w:val="auto"/>
              </w:rPr>
            </w:pPr>
          </w:p>
        </w:tc>
      </w:tr>
      <w:tr>
        <w:trPr>
          <w:trHeight w:val="245"/>
        </w:trPr>
        <w:tc>
          <w:tcPr>
            <w:tcW w:w="5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r>
      <w:tr>
        <w:trPr>
          <w:trHeight w:val="203"/>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4"/>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 within selling, general and administrative expenses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2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18,434</w:t>
            </w:r>
          </w:p>
        </w:tc>
        <w:tc>
          <w:tcPr>
            <w:tcW w:w="2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(10,438)</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(9,986)</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(31,315)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(29,956)</w:t>
            </w:r>
          </w:p>
        </w:tc>
        <w:tc>
          <w:tcPr>
            <w:tcW w:w="20" w:type="dxa"/>
            <w:vAlign w:val="bottom"/>
          </w:tcPr>
          <w:p>
            <w:pPr>
              <w:spacing w:after="0"/>
              <w:rPr>
                <w:sz w:val="18"/>
                <w:szCs w:val="18"/>
                <w:color w:val="auto"/>
              </w:rPr>
            </w:pPr>
          </w:p>
        </w:tc>
      </w:tr>
      <w:tr>
        <w:trPr>
          <w:trHeight w:val="236"/>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 and other</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20"/>
                <w:szCs w:val="20"/>
                <w:color w:val="auto"/>
              </w:rPr>
            </w:pPr>
          </w:p>
        </w:tc>
      </w:tr>
      <w:tr>
        <w:trPr>
          <w:trHeight w:val="203"/>
        </w:trPr>
        <w:tc>
          <w:tcPr>
            <w:tcW w:w="524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net periodic pension benefit within other expense, net</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(2,969)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(11,352)</w:t>
            </w:r>
          </w:p>
        </w:tc>
        <w:tc>
          <w:tcPr>
            <w:tcW w:w="20" w:type="dxa"/>
            <w:vAlign w:val="bottom"/>
          </w:tcPr>
          <w:p>
            <w:pPr>
              <w:spacing w:after="0"/>
              <w:rPr>
                <w:sz w:val="17"/>
                <w:szCs w:val="17"/>
                <w:color w:val="auto"/>
              </w:rPr>
            </w:pPr>
          </w:p>
        </w:tc>
      </w:tr>
      <w:tr>
        <w:trPr>
          <w:trHeight w:val="236"/>
        </w:trPr>
        <w:tc>
          <w:tcPr>
            <w:tcW w:w="5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524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periodic pension benefit</w:t>
            </w: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(3,663)</w:t>
            </w:r>
          </w:p>
        </w:tc>
        <w:tc>
          <w:tcPr>
            <w:tcW w:w="20" w:type="dxa"/>
            <w:vAlign w:val="bottom"/>
            <w:tcBorders>
              <w:bottom w:val="single" w:sz="8" w:color="auto"/>
            </w:tcBorders>
          </w:tcPr>
          <w:p>
            <w:pPr>
              <w:spacing w:after="0"/>
              <w:rPr>
                <w:sz w:val="17"/>
                <w:szCs w:val="17"/>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379" w:firstLine="427"/>
        <w:spacing w:after="0" w:line="282" w:lineRule="auto"/>
        <w:rPr>
          <w:sz w:val="20"/>
          <w:szCs w:val="20"/>
          <w:color w:val="auto"/>
        </w:rPr>
      </w:pPr>
      <w:r>
        <w:rPr>
          <w:rFonts w:ascii="Times New Roman" w:cs="Times New Roman" w:eastAsia="Times New Roman" w:hAnsi="Times New Roman"/>
          <w:sz w:val="18"/>
          <w:szCs w:val="18"/>
          <w:color w:val="auto"/>
        </w:rPr>
        <w:t>The Company made $6.0 million of contributions during the first nine months of fiscal 2025 and expects to make additional contributions to the Plan of $2.0 million in the fourth quarter of fiscal 2025.</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00" w:lineRule="exact"/>
        <w:rPr>
          <w:sz w:val="20"/>
          <w:szCs w:val="20"/>
          <w:color w:val="auto"/>
        </w:rPr>
      </w:pPr>
    </w:p>
    <w:p>
      <w:pPr>
        <w:ind w:left="60" w:right="119" w:firstLine="427"/>
        <w:spacing w:after="0" w:line="258" w:lineRule="auto"/>
        <w:rPr>
          <w:sz w:val="20"/>
          <w:szCs w:val="20"/>
          <w:color w:val="auto"/>
        </w:rPr>
      </w:pPr>
      <w:r>
        <w:rPr>
          <w:rFonts w:ascii="Times New Roman" w:cs="Times New Roman" w:eastAsia="Times New Roman" w:hAnsi="Times New Roman"/>
          <w:sz w:val="18"/>
          <w:szCs w:val="18"/>
          <w:color w:val="auto"/>
        </w:rPr>
        <w:t>In August 2024, the Company’s Board of Directors approved an increase in the Company’s existing share repurchase plan. With this increase, the Company is authorized to repurchase up to an aggregate of $600 million of common stock. During the third quarter of fiscal 2025, the Company repurchased 2.0 million shares for a total cost of $101.3 million, excluding excise tax. As of March 29, 2025, the Company had $414.1 million remaining under its increased share repurchase authorization.</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187" w:lineRule="exact"/>
        <w:rPr>
          <w:sz w:val="20"/>
          <w:szCs w:val="20"/>
          <w:color w:val="auto"/>
        </w:rPr>
      </w:pPr>
    </w:p>
    <w:p>
      <w:pPr>
        <w:ind w:left="60" w:right="199" w:firstLine="432"/>
        <w:spacing w:after="0" w:line="282" w:lineRule="auto"/>
        <w:rPr>
          <w:sz w:val="20"/>
          <w:szCs w:val="20"/>
          <w:color w:val="auto"/>
        </w:rPr>
      </w:pPr>
      <w:r>
        <w:rPr>
          <w:rFonts w:ascii="Times New Roman" w:cs="Times New Roman" w:eastAsia="Times New Roman" w:hAnsi="Times New Roman"/>
          <w:sz w:val="18"/>
          <w:szCs w:val="18"/>
          <w:color w:val="auto"/>
        </w:rPr>
        <w:t>In February 2025, the Company’s Board of Directors approved a dividend of $0.33 per common share and dividend payments of $28.2 million were made in March 2025.</w:t>
      </w:r>
    </w:p>
    <w:p>
      <w:pPr>
        <w:sectPr>
          <w:pgSz w:w="11900" w:h="16838" w:orient="portrait"/>
          <w:cols w:equalWidth="0" w:num="1">
            <w:col w:w="9019"/>
          </w:cols>
          <w:pgMar w:left="1440" w:top="540" w:right="1440" w:bottom="1440" w:gutter="0" w:footer="0" w:header="0"/>
        </w:sectPr>
      </w:pP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common shares for basic earnings per share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effect of dilutive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common shares for diluted earnings per share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p>
      <w:pPr>
        <w:spacing w:after="0" w:line="27" w:lineRule="exact"/>
        <w:rPr>
          <w:sz w:val="20"/>
          <w:szCs w:val="20"/>
          <w:color w:val="auto"/>
        </w:rPr>
      </w:pPr>
    </w:p>
    <w:p>
      <w:pPr>
        <w:ind w:left="280" w:hanging="258"/>
        <w:spacing w:after="0" w:line="260" w:lineRule="auto"/>
        <w:rPr>
          <w:sz w:val="20"/>
          <w:szCs w:val="20"/>
          <w:color w:val="auto"/>
        </w:rPr>
      </w:pPr>
      <w:r>
        <w:rPr>
          <w:rFonts w:ascii="Times New Roman" w:cs="Times New Roman" w:eastAsia="Times New Roman" w:hAnsi="Times New Roman"/>
          <w:sz w:val="18"/>
          <w:szCs w:val="18"/>
          <w:color w:val="auto"/>
        </w:rPr>
        <w:t>Stock options excluded from earnings per share calculation due to an anti-dilutive effect</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Additional cash flow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90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8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120" w:type="dxa"/>
            <w:vAlign w:val="bottom"/>
          </w:tcPr>
          <w:p>
            <w:pPr>
              <w:spacing w:after="0"/>
              <w:rPr>
                <w:sz w:val="16"/>
                <w:szCs w:val="16"/>
                <w:color w:val="auto"/>
              </w:rPr>
            </w:pPr>
          </w:p>
        </w:tc>
        <w:tc>
          <w:tcPr>
            <w:tcW w:w="8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8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r>
      <w:tr>
        <w:trPr>
          <w:trHeight w:val="238"/>
        </w:trPr>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22885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b w:val="1"/>
          <w:bCs w:val="1"/>
          <w:color w:val="auto"/>
        </w:rPr>
        <w:t>(Thousands, except per share data)</w:t>
      </w:r>
    </w:p>
    <w:p>
      <w:pPr>
        <w:spacing w:after="0" w:line="220" w:lineRule="exact"/>
        <w:rPr>
          <w:sz w:val="20"/>
          <w:szCs w:val="20"/>
          <w:color w:val="auto"/>
        </w:rPr>
      </w:pPr>
    </w:p>
    <w:p>
      <w:pPr>
        <w:ind w:left="280" w:hanging="274"/>
        <w:spacing w:after="0"/>
        <w:tabs>
          <w:tab w:leader="none" w:pos="280" w:val="left"/>
        </w:tabs>
        <w:numPr>
          <w:ilvl w:val="0"/>
          <w:numId w:val="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87,919  $  88,834  $ 234,128  $ 416,033</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90,726</w:t>
            </w:r>
          </w:p>
        </w:tc>
      </w:tr>
      <w:tr>
        <w:trPr>
          <w:trHeight w:val="241"/>
        </w:trPr>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16"/>
        </w:trPr>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86,876</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7"/>
        </w:trPr>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4.59</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6"/>
        </w:trPr>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4.52</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86"/>
        </w:trPr>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bl>
    <w:p>
      <w:pPr>
        <w:spacing w:after="0" w:line="627" w:lineRule="exact"/>
        <w:rPr>
          <w:sz w:val="20"/>
          <w:szCs w:val="20"/>
          <w:color w:val="auto"/>
        </w:rPr>
      </w:pPr>
    </w:p>
    <w:p>
      <w:pPr>
        <w:sectPr>
          <w:pgSz w:w="11900" w:h="16838" w:orient="portrait"/>
          <w:cols w:equalWidth="0" w:num="2">
            <w:col w:w="4980" w:space="400"/>
            <w:col w:w="3639"/>
          </w:cols>
          <w:pgMar w:left="1440" w:top="540" w:right="1440" w:bottom="1440" w:gutter="0" w:footer="0" w:header="0"/>
          <w:type w:val="continuous"/>
        </w:sectPr>
      </w:pP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Non-cash investing and financing activities and supplemental cash flow information were as follows:</w:t>
      </w:r>
    </w:p>
    <w:p>
      <w:pPr>
        <w:spacing w:after="0" w:line="194"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19685</wp:posOffset>
            </wp:positionV>
            <wp:extent cx="14573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57325" cy="17145"/>
                    </a:xfrm>
                    <a:prstGeom prst="rect">
                      <a:avLst/>
                    </a:prstGeom>
                    <a:noFill/>
                  </pic:spPr>
                </pic:pic>
              </a:graphicData>
            </a:graphic>
          </wp:anchor>
        </w:drawing>
      </w:r>
    </w:p>
    <w:p>
      <w:pPr>
        <w:spacing w:after="0" w:line="16" w:lineRule="exact"/>
        <w:rPr>
          <w:sz w:val="20"/>
          <w:szCs w:val="20"/>
          <w:color w:val="auto"/>
        </w:rPr>
      </w:pPr>
    </w:p>
    <w:p>
      <w:pPr>
        <w:ind w:left="676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March 29,</w:t>
      </w:r>
      <w:r>
        <w:rPr>
          <w:sz w:val="20"/>
          <w:szCs w:val="20"/>
          <w:color w:val="auto"/>
        </w:rPr>
        <w:tab/>
      </w:r>
      <w:r>
        <w:rPr>
          <w:rFonts w:ascii="Times New Roman" w:cs="Times New Roman" w:eastAsia="Times New Roman" w:hAnsi="Times New Roman"/>
          <w:sz w:val="18"/>
          <w:szCs w:val="18"/>
          <w:b w:val="1"/>
          <w:bCs w:val="1"/>
          <w:color w:val="auto"/>
        </w:rPr>
        <w:t>March 30,</w:t>
      </w:r>
    </w:p>
    <w:p>
      <w:pPr>
        <w:spacing w:after="0" w:line="31" w:lineRule="exact"/>
        <w:rPr>
          <w:sz w:val="20"/>
          <w:szCs w:val="20"/>
          <w:color w:val="auto"/>
        </w:rPr>
      </w:pPr>
    </w:p>
    <w:p>
      <w:pPr>
        <w:ind w:left="698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5715</wp:posOffset>
            </wp:positionV>
            <wp:extent cx="14573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57325" cy="17145"/>
                    </a:xfrm>
                    <a:prstGeom prst="rect">
                      <a:avLst/>
                    </a:prstGeom>
                    <a:noFill/>
                  </pic:spPr>
                </pic:pic>
              </a:graphicData>
            </a:graphic>
          </wp:anchor>
        </w:drawing>
      </w:r>
    </w:p>
    <w:p>
      <w:pPr>
        <w:ind w:left="7300"/>
        <w:spacing w:after="0"/>
        <w:rPr>
          <w:sz w:val="20"/>
          <w:szCs w:val="20"/>
          <w:color w:val="auto"/>
        </w:rPr>
      </w:pPr>
      <w:r>
        <w:rPr>
          <w:rFonts w:ascii="Times New Roman" w:cs="Times New Roman" w:eastAsia="Times New Roman" w:hAnsi="Times New Roman"/>
          <w:sz w:val="18"/>
          <w:szCs w:val="18"/>
          <w:b w:val="1"/>
          <w:bCs w:val="1"/>
          <w:color w:val="auto"/>
        </w:rPr>
        <w:t>(Thousands)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 incurred but not paid</w:t>
            </w:r>
          </w:p>
        </w:tc>
        <w:tc>
          <w:tcPr>
            <w:tcW w:w="1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10,623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215,022</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263,735</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payments, net</w:t>
            </w:r>
          </w:p>
        </w:tc>
        <w:tc>
          <w:tcPr>
            <w:tcW w:w="1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205,881</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173,387</w:t>
            </w:r>
          </w:p>
        </w:tc>
      </w:tr>
    </w:tbl>
    <w:p>
      <w:pPr>
        <w:spacing w:after="0" w:line="198" w:lineRule="exact"/>
        <w:rPr>
          <w:sz w:val="20"/>
          <w:szCs w:val="20"/>
          <w:color w:val="auto"/>
        </w:rPr>
      </w:pPr>
    </w:p>
    <w:p>
      <w:pPr>
        <w:jc w:val="both"/>
        <w:ind w:left="60" w:right="179" w:firstLine="432"/>
        <w:spacing w:after="0" w:line="266" w:lineRule="auto"/>
        <w:rPr>
          <w:sz w:val="20"/>
          <w:szCs w:val="20"/>
          <w:color w:val="auto"/>
        </w:rPr>
      </w:pPr>
      <w:r>
        <w:rPr>
          <w:rFonts w:ascii="Times New Roman" w:cs="Times New Roman" w:eastAsia="Times New Roman" w:hAnsi="Times New Roman"/>
          <w:sz w:val="18"/>
          <w:szCs w:val="18"/>
          <w:color w:val="auto"/>
        </w:rPr>
        <w:t>Included in cash and cash equivalents as of March 29, 2025, and June 29, 2024, was $3.4 million and $14.1 million, respectively, of cash equivalents, which was primarily comprised of investment grade money market funds and overnight time deposits.</w:t>
      </w:r>
    </w:p>
    <w:p>
      <w:pPr>
        <w:sectPr>
          <w:pgSz w:w="11900" w:h="16838" w:orient="portrait"/>
          <w:cols w:equalWidth="0" w:num="1">
            <w:col w:w="9019"/>
          </w:cols>
          <w:pgMar w:left="1440" w:top="540" w:right="1440"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Electronic Components (“EC”) and Farnell (“Farnell”) are the Company’s reportable segments (“operating groups”).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80" w:type="dxa"/>
            <w:vAlign w:val="bottom"/>
          </w:tcPr>
          <w:p>
            <w:pPr>
              <w:spacing w:after="0"/>
              <w:rPr>
                <w:sz w:val="16"/>
                <w:szCs w:val="16"/>
                <w:color w:val="auto"/>
              </w:rPr>
            </w:pPr>
          </w:p>
        </w:tc>
        <w:tc>
          <w:tcPr>
            <w:tcW w:w="9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4"/>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Electronic Components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4,948,759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5,245,771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15,523,632</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16,972,294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Farnell</w:t>
            </w: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366,664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407,820</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1,059,327</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5,315,423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5,653,591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16,582,959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Electronic Components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172,179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551,169</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Farnell</w:t>
            </w: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5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143,251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190,151</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440,802</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680,177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Sales, by geographic area:</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1,403,364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3,972,909</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EMEA</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2,053,095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4,809,931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6,474,695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Asia</w:t>
            </w: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2,482,239</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2,197,132</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7,800,119</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7,154,064</w:t>
            </w: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Sales</w:t>
            </w:r>
          </w:p>
        </w:tc>
        <w:tc>
          <w:tcPr>
            <w:tcW w:w="5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5,315,423</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5,653,591</w:t>
            </w: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16,582,959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18,194,153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Restructuring expenses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2025</w:t>
      </w:r>
    </w:p>
    <w:p>
      <w:pPr>
        <w:spacing w:after="0" w:line="189" w:lineRule="exact"/>
        <w:rPr>
          <w:sz w:val="20"/>
          <w:szCs w:val="20"/>
          <w:color w:val="auto"/>
        </w:rPr>
      </w:pPr>
    </w:p>
    <w:p>
      <w:pPr>
        <w:ind w:left="60" w:right="79" w:firstLine="427"/>
        <w:spacing w:after="0" w:line="266" w:lineRule="auto"/>
        <w:rPr>
          <w:sz w:val="20"/>
          <w:szCs w:val="20"/>
          <w:color w:val="auto"/>
        </w:rPr>
      </w:pPr>
      <w:r>
        <w:rPr>
          <w:rFonts w:ascii="Times New Roman" w:cs="Times New Roman" w:eastAsia="Times New Roman" w:hAnsi="Times New Roman"/>
          <w:sz w:val="18"/>
          <w:szCs w:val="18"/>
          <w:color w:val="auto"/>
        </w:rPr>
        <w:t>During fiscal 2025, the Company executed certain restructuring actions to reduce future operating expenses including specific restructuring actions to reduce expenses within the Farnell operating group. The following table presents the activity during the first nine months of fiscal 2025 related to the restructuring liabilities established during fiscal 2025:</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2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Exit Costs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Impairments</w:t>
            </w:r>
          </w:p>
        </w:tc>
        <w:tc>
          <w:tcPr>
            <w:tcW w:w="18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0" w:type="dxa"/>
            <w:vAlign w:val="bottom"/>
          </w:tcPr>
          <w:p>
            <w:pPr>
              <w:spacing w:after="0"/>
              <w:rPr>
                <w:sz w:val="21"/>
                <w:szCs w:val="21"/>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 restructuring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(5,318)</w:t>
            </w: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amounts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(14,904)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(3,045)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principally foreign currency</w:t>
            </w:r>
          </w:p>
        </w:tc>
        <w:tc>
          <w:tcPr>
            <w:tcW w:w="100" w:type="dxa"/>
            <w:vAlign w:val="bottom"/>
          </w:tcPr>
          <w:p>
            <w:pPr>
              <w:spacing w:after="0"/>
              <w:rPr>
                <w:sz w:val="17"/>
                <w:szCs w:val="17"/>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8"/>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translation</w:t>
            </w: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29,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Severance expense recorded in the first nine months of fiscal 2025 related to the reduction, or planned reduction, of over 250 employees, primarily in operations, distribution centers, and business support functions. Of the $35.0 million in restructuring expenses recorded in the first nine months of fiscal 2025, $6.9 million related to EC, and $28.1 million related to Farnell. The Company expects the majority of the remaining amounts to be paid by the end of fiscal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2024</w:t>
      </w:r>
    </w:p>
    <w:p>
      <w:pPr>
        <w:spacing w:after="0" w:line="189"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During fiscal 2024, the Company incurred restructuring expenses primarily related to headcount reductions including from the planned closure of certain distribution centers intended to reduce future operating expenses. The Company expects the majority of the remaining amounts to be paid by the end of fiscal 2025. The following table presents the activity during the first nine months of fiscal 2025 related to the remaining restructuring liabilities established during fiscal 2024:</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June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Changes in estimates, net</w:t>
      </w:r>
    </w:p>
    <w:p>
      <w:pPr>
        <w:spacing w:after="0" w:line="9" w:lineRule="exact"/>
        <w:rPr>
          <w:sz w:val="20"/>
          <w:szCs w:val="20"/>
          <w:color w:val="auto"/>
        </w:rPr>
      </w:pPr>
    </w:p>
    <w:p>
      <w:pPr>
        <w:ind w:left="60" w:right="2580" w:firstLine="108"/>
        <w:spacing w:after="0" w:line="307" w:lineRule="auto"/>
        <w:rPr>
          <w:sz w:val="20"/>
          <w:szCs w:val="20"/>
          <w:color w:val="auto"/>
        </w:rPr>
      </w:pPr>
      <w:r>
        <w:rPr>
          <w:rFonts w:ascii="Times New Roman" w:cs="Times New Roman" w:eastAsia="Times New Roman" w:hAnsi="Times New Roman"/>
          <w:sz w:val="18"/>
          <w:szCs w:val="18"/>
          <w:color w:val="auto"/>
        </w:rPr>
        <w:t>Other, principally foreign currency translation Balance at March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-189865</wp:posOffset>
            </wp:positionV>
            <wp:extent cx="564896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Pr>
          <w:p>
            <w:pPr>
              <w:spacing w:after="0"/>
              <w:rPr>
                <w:sz w:val="21"/>
                <w:szCs w:val="21"/>
                <w:color w:val="auto"/>
              </w:rPr>
            </w:pP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Severance</w:t>
            </w:r>
          </w:p>
        </w:tc>
      </w:tr>
      <w:tr>
        <w:trPr>
          <w:trHeight w:val="198"/>
        </w:trPr>
        <w:tc>
          <w:tcPr>
            <w:tcW w:w="3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ind w:right="510"/>
              <w:spacing w:after="0" w:line="198"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w:t>
            </w:r>
          </w:p>
        </w:tc>
        <w:tc>
          <w:tcPr>
            <w:tcW w:w="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(13,978)</w:t>
            </w:r>
          </w:p>
        </w:tc>
      </w:tr>
      <w:tr>
        <w:trPr>
          <w:trHeight w:val="216"/>
        </w:trPr>
        <w:tc>
          <w:tcPr>
            <w:tcW w:w="34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(2,706)</w:t>
            </w:r>
          </w:p>
        </w:tc>
      </w:tr>
      <w:tr>
        <w:trPr>
          <w:trHeight w:val="241"/>
        </w:trPr>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r>
      <w:tr>
        <w:trPr>
          <w:trHeight w:val="216"/>
        </w:trPr>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0" w:lineRule="exact"/>
        <w:rPr>
          <w:sz w:val="20"/>
          <w:szCs w:val="20"/>
          <w:color w:val="auto"/>
        </w:rPr>
      </w:pPr>
    </w:p>
    <w:p>
      <w:pPr>
        <w:sectPr>
          <w:pgSz w:w="11900" w:h="16838" w:orient="portrait"/>
          <w:cols w:equalWidth="0" w:num="2">
            <w:col w:w="6060" w:space="720"/>
            <w:col w:w="2239"/>
          </w:cols>
          <w:pgMar w:left="1440" w:top="5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firstLine="405"/>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Many of these statements can be found by looking for words like “continue,” “believes,” “projected,”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June 29, 2024, and subsequent Quarterly Reports on Form 10-Q and Current Reports on Form 8-K, could affect the Company’s future results of operations, and could cause those results or other outcomes to differ materially from those expressed or implied in the forward-looking statements: geopolitical events and military conflicts; pandemics and other health-related crises; competitive pressures among distributors of electronic components; an industry down-cycle in semiconductors; relationships with key suppliers and allocations of products by suppliers; accounts receivable defaults; risks relating to the Company’s international sales and operations, including risks relating to repatriating cash, foreign currency fluctuations, inflation, duties and taxes, tariffs, sanctions and trade restrictions,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terrorist attacks, natural and weather-related disasters, pandemics and health related crises, warehouse modernization, and relocation efforts; risks related to cyber security attacks, other privacy and security incidents, and information systems failures, including related to current or future implementations, integrations, and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w:t>
      </w:r>
    </w:p>
    <w:p>
      <w:pPr>
        <w:spacing w:after="0" w:line="205" w:lineRule="exact"/>
        <w:rPr>
          <w:sz w:val="20"/>
          <w:szCs w:val="20"/>
          <w:color w:val="auto"/>
        </w:rPr>
      </w:pPr>
    </w:p>
    <w:p>
      <w:pPr>
        <w:ind w:left="60" w:right="279" w:firstLine="405"/>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89" w:lineRule="exact"/>
        <w:rPr>
          <w:sz w:val="20"/>
          <w:szCs w:val="20"/>
          <w:color w:val="auto"/>
        </w:rPr>
      </w:pPr>
    </w:p>
    <w:p>
      <w:pPr>
        <w:ind w:left="60" w:right="119" w:firstLine="432"/>
        <w:spacing w:after="0" w:line="258" w:lineRule="auto"/>
        <w:rPr>
          <w:sz w:val="20"/>
          <w:szCs w:val="20"/>
          <w:color w:val="auto"/>
        </w:rPr>
      </w:pPr>
      <w:r>
        <w:rPr>
          <w:rFonts w:ascii="Times New Roman" w:cs="Times New Roman" w:eastAsia="Times New Roman" w:hAnsi="Times New Roman"/>
          <w:sz w:val="18"/>
          <w:szCs w:val="18"/>
          <w:color w:val="auto"/>
        </w:rPr>
        <w:t xml:space="preserve">For a description of the Company’s critical accounting policies and an understanding of Avnet and the significant factors that influenced the Company’s performance during the quarter ended March 29, 2025, this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(“MD&amp;A”) should be read in conjunction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including the related notes, appearing in Item 1 of this Quarterly Report on Form 10-Q, as well as the Company’s Annual Report on Form 10-K for the fiscal year ended June 29, 2024.</w:t>
      </w:r>
    </w:p>
    <w:p>
      <w:pPr>
        <w:spacing w:after="0" w:line="183" w:lineRule="exact"/>
        <w:rPr>
          <w:sz w:val="20"/>
          <w:szCs w:val="20"/>
          <w:color w:val="auto"/>
        </w:rPr>
      </w:pPr>
    </w:p>
    <w:p>
      <w:pPr>
        <w:ind w:left="60" w:right="139" w:firstLine="432"/>
        <w:spacing w:after="0" w:line="256" w:lineRule="auto"/>
        <w:rPr>
          <w:sz w:val="20"/>
          <w:szCs w:val="20"/>
          <w:color w:val="auto"/>
        </w:rPr>
      </w:pPr>
      <w:r>
        <w:rPr>
          <w:rFonts w:ascii="Times New Roman" w:cs="Times New Roman" w:eastAsia="Times New Roman" w:hAnsi="Times New Roman"/>
          <w:sz w:val="18"/>
          <w:szCs w:val="18"/>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spacing w:after="0" w:line="187" w:lineRule="exact"/>
        <w:rPr>
          <w:sz w:val="20"/>
          <w:szCs w:val="20"/>
          <w:color w:val="auto"/>
        </w:rPr>
      </w:pPr>
    </w:p>
    <w:p>
      <w:pPr>
        <w:ind w:left="60" w:right="539" w:firstLine="427"/>
        <w:spacing w:after="0" w:line="312" w:lineRule="auto"/>
        <w:rPr>
          <w:sz w:val="20"/>
          <w:szCs w:val="20"/>
          <w:color w:val="auto"/>
        </w:rPr>
      </w:pPr>
      <w:r>
        <w:rPr>
          <w:rFonts w:ascii="Times New Roman" w:cs="Times New Roman" w:eastAsia="Times New Roman" w:hAnsi="Times New Roman"/>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13" w:lineRule="exact"/>
        <w:rPr>
          <w:sz w:val="20"/>
          <w:szCs w:val="20"/>
          <w:color w:val="auto"/>
        </w:rPr>
      </w:pPr>
    </w:p>
    <w:p>
      <w:pPr>
        <w:ind w:left="720" w:right="61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which is operating income excluding (i) restructuring, integration, and other expenses, and (ii) amortization of acquired intangible assets.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reconciliation of operating income to adjusted operating income is presented in the following table:</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160" w:type="dxa"/>
            <w:vAlign w:val="bottom"/>
          </w:tcPr>
          <w:p>
            <w:pPr>
              <w:spacing w:after="0"/>
              <w:rPr>
                <w:sz w:val="21"/>
                <w:szCs w:val="21"/>
                <w:color w:val="auto"/>
              </w:rPr>
            </w:pPr>
          </w:p>
        </w:tc>
        <w:tc>
          <w:tcPr>
            <w:tcW w:w="18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700" w:type="dxa"/>
            <w:vAlign w:val="bottom"/>
          </w:tcPr>
          <w:p>
            <w:pPr>
              <w:spacing w:after="0"/>
              <w:rPr>
                <w:sz w:val="16"/>
                <w:szCs w:val="16"/>
                <w:color w:val="auto"/>
              </w:rPr>
            </w:pPr>
          </w:p>
        </w:tc>
        <w:tc>
          <w:tcPr>
            <w:tcW w:w="1080" w:type="dxa"/>
            <w:vAlign w:val="bottom"/>
            <w:tcBorders>
              <w:top w:val="single" w:sz="8" w:color="auto"/>
            </w:tcBorders>
            <w:gridSpan w:val="3"/>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9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16"/>
                <w:szCs w:val="16"/>
                <w:color w:val="auto"/>
              </w:rPr>
            </w:pPr>
          </w:p>
        </w:tc>
        <w:tc>
          <w:tcPr>
            <w:tcW w:w="1080" w:type="dxa"/>
            <w:vAlign w:val="bottom"/>
            <w:tcBorders>
              <w:top w:val="single" w:sz="8" w:color="auto"/>
            </w:tcBorders>
            <w:gridSpan w:val="3"/>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94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r>
      <w:tr>
        <w:trPr>
          <w:trHeight w:val="245"/>
        </w:trPr>
        <w:tc>
          <w:tcPr>
            <w:tcW w:w="47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4"/>
          </w:tcPr>
          <w:p>
            <w:pPr>
              <w:jc w:val="right"/>
              <w:ind w:right="4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680,177</w:t>
            </w: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24,132</w:t>
            </w:r>
          </w:p>
        </w:tc>
      </w:tr>
      <w:tr>
        <w:trPr>
          <w:trHeight w:val="236"/>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operating income</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152,725</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202,710</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481,156</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706,610</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432"/>
        <w:spacing w:after="0" w:line="256" w:lineRule="auto"/>
        <w:rPr>
          <w:sz w:val="20"/>
          <w:szCs w:val="20"/>
          <w:color w:val="auto"/>
        </w:rPr>
      </w:pPr>
      <w:r>
        <w:rPr>
          <w:rFonts w:ascii="Times New Roman" w:cs="Times New Roman" w:eastAsia="Times New Roman" w:hAnsi="Times New Roman"/>
          <w:sz w:val="18"/>
          <w:szCs w:val="18"/>
          <w:color w:val="auto"/>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with and without these adjustments to GAAP results. Management also uses these non-GAAP measures to establish operational goals and, in many cases, for measuring performance for compensation purposes. However, any analysis of results on a non-GAAP basis should be used in conjunction with results presented in accordance with GAAP.</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ind w:left="60" w:right="119" w:firstLine="432"/>
        <w:spacing w:after="0" w:line="261" w:lineRule="auto"/>
        <w:rPr>
          <w:sz w:val="20"/>
          <w:szCs w:val="20"/>
          <w:color w:val="auto"/>
        </w:rPr>
      </w:pPr>
      <w:r>
        <w:rPr>
          <w:rFonts w:ascii="Times New Roman" w:cs="Times New Roman" w:eastAsia="Times New Roman" w:hAnsi="Times New Roman"/>
          <w:sz w:val="18"/>
          <w:szCs w:val="18"/>
          <w:color w:val="auto"/>
        </w:rPr>
        <w:t>Avnet, Inc., including its consolidated subsidiaries (collectively, the “Company” or “Avnet”), is a leading global electronic component distributor and solutions provider that has served customers’ evolving needs for more than a century. Founded in 1921, the Company works with suppliers in every major technology segment to serve customers in more than 140 countries.</w:t>
      </w:r>
    </w:p>
    <w:p>
      <w:pPr>
        <w:spacing w:after="0" w:line="180" w:lineRule="exact"/>
        <w:rPr>
          <w:sz w:val="20"/>
          <w:szCs w:val="20"/>
          <w:color w:val="auto"/>
        </w:rPr>
      </w:pPr>
    </w:p>
    <w:p>
      <w:pPr>
        <w:ind w:left="60" w:right="179" w:firstLine="427"/>
        <w:spacing w:after="0" w:line="256" w:lineRule="auto"/>
        <w:rPr>
          <w:sz w:val="20"/>
          <w:szCs w:val="20"/>
          <w:color w:val="auto"/>
        </w:rPr>
      </w:pPr>
      <w:r>
        <w:rPr>
          <w:rFonts w:ascii="Times New Roman" w:cs="Times New Roman" w:eastAsia="Times New Roman" w:hAnsi="Times New Roman"/>
          <w:sz w:val="18"/>
          <w:szCs w:val="18"/>
          <w:color w:val="auto"/>
        </w:rPr>
        <w:t>Avnet has two primary operating groups — Electronic Components (“EC”) and Farnell. Both operating groups have operations in each of the three major economic regions of the world: (i) the Americas, (ii) EMEA, and (iii) Asia. EC markets, sells, and distributes (i) semiconductors, (ii) interconnect, passive and electromechanical components, and (iii) other integrated and embedded components, to a diverse customer base serving many end-markets. Farnell distributes electronic components and industrial products to a diverse customer base utilizing multi-channel sales and marketing resources.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02" w:lineRule="exact"/>
        <w:rPr>
          <w:sz w:val="20"/>
          <w:szCs w:val="20"/>
          <w:color w:val="auto"/>
        </w:rPr>
      </w:pPr>
    </w:p>
    <w:p>
      <w:pPr>
        <w:ind w:left="60" w:right="79" w:firstLine="427"/>
        <w:spacing w:after="0" w:line="254" w:lineRule="auto"/>
        <w:rPr>
          <w:sz w:val="20"/>
          <w:szCs w:val="20"/>
          <w:color w:val="auto"/>
        </w:rPr>
      </w:pPr>
      <w:r>
        <w:rPr>
          <w:rFonts w:ascii="Times New Roman" w:cs="Times New Roman" w:eastAsia="Times New Roman" w:hAnsi="Times New Roman"/>
          <w:sz w:val="18"/>
          <w:szCs w:val="18"/>
          <w:color w:val="auto"/>
        </w:rPr>
        <w:t>The Company’s operations subject it to tariffs and other trade protection measures. The U.S. administration has instituted certain changes, and may make additional changes, in trade policies that include the negotiation or termination of trade agreements, higher tariffs on imports into the U.S., and other measures affecting trade between the U.S. and other countries from which the Company imports. Due in part to these measures, some countries are changing their trade policies relating to goods imported from the U.S. These global trade disruptions and geopolitical tensions, together with any related downturns in the global economy, could dampen customer demand, increase market volatility, and impact currency exchange rates, all of which could materially and adversely affect the Company’s financial performance. Evaluating and complying with new and future trade measures diverts management’s attention from existing initiatives, which may negatively impact the Company’s business operations.</w:t>
      </w:r>
    </w:p>
    <w:p>
      <w:pPr>
        <w:spacing w:after="0" w:line="188"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The impact of these changes in trade policies will depend on various factors, including (i) when trade measures are implemented, (ii) the ultimate amount, scope, nature, and duration of tariffs and other trade measures, and (iii) the extent to which the Company can mitigate impacts and pass on any increased costs associated with these changes. In addition, the impact of trade disruptions on general economic conditions and demand for electronic components is difficult to predict. Although the Company cannot fully assess the potential impact to its business at this time, approximately 7% to 10% of the Company’s annual sales in the Americas originates from China.</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firstLine="427"/>
        <w:spacing w:after="0" w:line="258" w:lineRule="auto"/>
        <w:rPr>
          <w:sz w:val="20"/>
          <w:szCs w:val="20"/>
          <w:color w:val="auto"/>
        </w:rPr>
      </w:pPr>
      <w:r>
        <w:rPr>
          <w:rFonts w:ascii="Times New Roman" w:cs="Times New Roman" w:eastAsia="Times New Roman" w:hAnsi="Times New Roman"/>
          <w:sz w:val="18"/>
          <w:szCs w:val="18"/>
          <w:color w:val="auto"/>
        </w:rPr>
        <w:t>The Company employs and continues to develop systems and other measures to mitigate the impact of tariffs, including selective supply chain, logistics, and pricing actions. The Company also has contingency plans to respond to a range of economic scenarios. The Company’s management continues to monitor and evaluate the changing tariff situation, as well as the overall environment in the electronic components industry. However, despite these efforts, the Company may not be able to fully mitigate the impact of changes in trade policies or an economic downturn.</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Industry outlook</w:t>
      </w:r>
    </w:p>
    <w:p>
      <w:pPr>
        <w:spacing w:after="0" w:line="202" w:lineRule="exact"/>
        <w:rPr>
          <w:sz w:val="20"/>
          <w:szCs w:val="20"/>
          <w:color w:val="auto"/>
        </w:rPr>
      </w:pPr>
    </w:p>
    <w:p>
      <w:pPr>
        <w:ind w:left="60" w:right="259" w:firstLine="432"/>
        <w:spacing w:after="0" w:line="256" w:lineRule="auto"/>
        <w:rPr>
          <w:sz w:val="20"/>
          <w:szCs w:val="20"/>
          <w:color w:val="auto"/>
        </w:rPr>
      </w:pPr>
      <w:r>
        <w:rPr>
          <w:rFonts w:ascii="Times New Roman" w:cs="Times New Roman" w:eastAsia="Times New Roman" w:hAnsi="Times New Roman"/>
          <w:sz w:val="18"/>
          <w:szCs w:val="18"/>
          <w:color w:val="auto"/>
        </w:rPr>
        <w:t>The global electronic components market has a history of cyclical downturns followed by periods of increased demand. Beginning in the second half of calendar year 2023, the industry began to experience a downturn marked by a decrease in sales due to a combination of elevated customer inventory levels and lower underlying demand for electronic components. As a result, the Company has seen decreased sales, resulting in lower operating income. The duration of the current downturn is uncertain. The Company expects sales in the fourth quarter of fiscal 2025 to be essentially flat compared to the third quarter of fiscal 2025.</w:t>
      </w:r>
    </w:p>
    <w:p>
      <w:pPr>
        <w:spacing w:after="0" w:line="187"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Additionally, the Company’s inventories relative to its sales are higher than they have historically been as a result of this industry downturn. The Company has and may in the future purchase additional inventories from electronic component suppliers, even in an industry downturn, if the Company believes the purchase will benefit the Company’s financial or strategic business objectives.</w:t>
      </w: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80" w:type="dxa"/>
            <w:vAlign w:val="bottom"/>
            <w:tcBorders>
              <w:bottom w:val="single" w:sz="8" w:color="auto"/>
            </w:tcBorders>
          </w:tcPr>
          <w:p>
            <w:pPr>
              <w:spacing w:after="0"/>
              <w:rPr>
                <w:sz w:val="19"/>
                <w:szCs w:val="19"/>
                <w:color w:val="auto"/>
              </w:rPr>
            </w:pPr>
          </w:p>
        </w:tc>
      </w:tr>
      <w:tr>
        <w:trPr>
          <w:trHeight w:val="223"/>
        </w:trPr>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Q3 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Q3 2024</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Variance %</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Q3 2025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Q3 2024</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Variance %</w:t>
            </w:r>
          </w:p>
        </w:tc>
      </w:tr>
      <w:tr>
        <w:trPr>
          <w:trHeight w:val="203"/>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6"/>
                <w:szCs w:val="16"/>
                <w:i w:val="1"/>
                <w:iCs w:val="1"/>
                <w:color w:val="auto"/>
              </w:rPr>
              <w:t>($ in millions, unless otherwise</w:t>
            </w:r>
          </w:p>
        </w:tc>
        <w:tc>
          <w:tcPr>
            <w:tcW w:w="120" w:type="dxa"/>
            <w:vAlign w:val="bottom"/>
            <w:gridSpan w:val="2"/>
          </w:tcPr>
          <w:p>
            <w:pPr>
              <w:spacing w:after="0"/>
              <w:rPr>
                <w:sz w:val="17"/>
                <w:szCs w:val="17"/>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stated)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6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5"/>
              </w:rPr>
              <w:t>$ 5,315</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5"/>
              </w:rPr>
              <w:t>$ 5,654</w:t>
            </w:r>
          </w:p>
        </w:tc>
        <w:tc>
          <w:tcPr>
            <w:tcW w:w="8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  (338)</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$ 16,583</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$ 18,194</w:t>
            </w:r>
          </w:p>
        </w:tc>
        <w:tc>
          <w:tcPr>
            <w:tcW w:w="8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 (1,611)</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1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6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588</w:t>
            </w:r>
          </w:p>
        </w:tc>
        <w:tc>
          <w:tcPr>
            <w:tcW w:w="20" w:type="dxa"/>
            <w:vAlign w:val="bottom"/>
          </w:tcPr>
          <w:p>
            <w:pPr>
              <w:spacing w:after="0"/>
              <w:rPr>
                <w:sz w:val="18"/>
                <w:szCs w:val="18"/>
                <w:color w:val="auto"/>
              </w:rPr>
            </w:pPr>
          </w:p>
        </w:tc>
        <w:tc>
          <w:tcPr>
            <w:tcW w:w="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669</w:t>
            </w:r>
          </w:p>
        </w:tc>
        <w:tc>
          <w:tcPr>
            <w:tcW w:w="8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(81)</w:t>
            </w:r>
          </w:p>
        </w:tc>
        <w:tc>
          <w:tcPr>
            <w:tcW w:w="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1,791</w:t>
            </w:r>
          </w:p>
        </w:tc>
        <w:tc>
          <w:tcPr>
            <w:tcW w:w="20" w:type="dxa"/>
            <w:vAlign w:val="bottom"/>
          </w:tcPr>
          <w:p>
            <w:pPr>
              <w:spacing w:after="0"/>
              <w:rPr>
                <w:sz w:val="18"/>
                <w:szCs w:val="18"/>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2,124</w:t>
            </w:r>
          </w:p>
        </w:tc>
        <w:tc>
          <w:tcPr>
            <w:tcW w:w="8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(332)</w:t>
            </w:r>
          </w:p>
        </w:tc>
        <w:tc>
          <w:tcPr>
            <w:tcW w:w="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(15.7)</w:t>
            </w:r>
          </w:p>
        </w:tc>
      </w:tr>
      <w:tr>
        <w:trPr>
          <w:trHeight w:val="21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6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435</w:t>
            </w:r>
          </w:p>
        </w:tc>
        <w:tc>
          <w:tcPr>
            <w:tcW w:w="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467</w:t>
            </w:r>
          </w:p>
        </w:tc>
        <w:tc>
          <w:tcPr>
            <w:tcW w:w="8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1,311</w:t>
            </w:r>
          </w:p>
        </w:tc>
        <w:tc>
          <w:tcPr>
            <w:tcW w:w="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1,419</w:t>
            </w:r>
          </w:p>
        </w:tc>
        <w:tc>
          <w:tcPr>
            <w:tcW w:w="8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(108)</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r>
      <w:tr>
        <w:trPr>
          <w:trHeight w:val="21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integration, and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2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expenses</w:t>
            </w:r>
          </w:p>
        </w:tc>
        <w:tc>
          <w:tcPr>
            <w:tcW w:w="6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9"/>
                <w:szCs w:val="19"/>
                <w:color w:val="auto"/>
              </w:rPr>
            </w:pPr>
          </w:p>
        </w:tc>
        <w:tc>
          <w:tcPr>
            <w:tcW w:w="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8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9"/>
                <w:szCs w:val="19"/>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9"/>
                <w:szCs w:val="19"/>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9"/>
                <w:szCs w:val="19"/>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8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15</w:t>
            </w:r>
          </w:p>
        </w:tc>
        <w:tc>
          <w:tcPr>
            <w:tcW w:w="40" w:type="dxa"/>
            <w:vAlign w:val="bottom"/>
          </w:tcPr>
          <w:p>
            <w:pPr>
              <w:spacing w:after="0"/>
              <w:rPr>
                <w:sz w:val="19"/>
                <w:szCs w:val="19"/>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62.7</w:t>
            </w:r>
          </w:p>
        </w:tc>
      </w:tr>
      <w:tr>
        <w:trPr>
          <w:trHeight w:val="21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143</w:t>
            </w:r>
          </w:p>
        </w:tc>
        <w:tc>
          <w:tcPr>
            <w:tcW w:w="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190</w:t>
            </w:r>
          </w:p>
        </w:tc>
        <w:tc>
          <w:tcPr>
            <w:tcW w:w="8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441</w:t>
            </w:r>
          </w:p>
        </w:tc>
        <w:tc>
          <w:tcPr>
            <w:tcW w:w="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680</w:t>
            </w:r>
          </w:p>
        </w:tc>
        <w:tc>
          <w:tcPr>
            <w:tcW w:w="8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(239)</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(35.2)</w:t>
            </w:r>
          </w:p>
        </w:tc>
      </w:tr>
      <w:tr>
        <w:trPr>
          <w:trHeight w:val="214"/>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w:t>
            </w:r>
          </w:p>
        </w:tc>
        <w:tc>
          <w:tcPr>
            <w:tcW w:w="6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i w:val="1"/>
                <w:iCs w:val="1"/>
                <w:color w:val="auto"/>
              </w:rPr>
              <w:t>153</w:t>
            </w:r>
          </w:p>
        </w:tc>
        <w:tc>
          <w:tcPr>
            <w:tcW w:w="20" w:type="dxa"/>
            <w:vAlign w:val="bottom"/>
          </w:tcPr>
          <w:p>
            <w:pPr>
              <w:spacing w:after="0"/>
              <w:rPr>
                <w:sz w:val="18"/>
                <w:szCs w:val="18"/>
                <w:color w:val="auto"/>
              </w:rPr>
            </w:pPr>
          </w:p>
        </w:tc>
        <w:tc>
          <w:tcPr>
            <w:tcW w:w="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203</w:t>
            </w:r>
          </w:p>
        </w:tc>
        <w:tc>
          <w:tcPr>
            <w:tcW w:w="8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i w:val="1"/>
                <w:iCs w:val="1"/>
                <w:color w:val="auto"/>
              </w:rPr>
              <w:t>(50)</w:t>
            </w:r>
          </w:p>
        </w:tc>
        <w:tc>
          <w:tcPr>
            <w:tcW w:w="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(24.7)</w:t>
            </w:r>
          </w:p>
        </w:tc>
        <w:tc>
          <w:tcPr>
            <w:tcW w:w="1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481</w:t>
            </w:r>
          </w:p>
        </w:tc>
        <w:tc>
          <w:tcPr>
            <w:tcW w:w="20" w:type="dxa"/>
            <w:vAlign w:val="bottom"/>
          </w:tcPr>
          <w:p>
            <w:pPr>
              <w:spacing w:after="0"/>
              <w:rPr>
                <w:sz w:val="18"/>
                <w:szCs w:val="18"/>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707</w:t>
            </w:r>
          </w:p>
        </w:tc>
        <w:tc>
          <w:tcPr>
            <w:tcW w:w="8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i w:val="1"/>
                <w:iCs w:val="1"/>
                <w:color w:val="auto"/>
              </w:rPr>
              <w:t>(225)</w:t>
            </w:r>
          </w:p>
        </w:tc>
        <w:tc>
          <w:tcPr>
            <w:tcW w:w="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(31.9)</w:t>
            </w:r>
          </w:p>
        </w:tc>
      </w:tr>
      <w:tr>
        <w:trPr>
          <w:trHeight w:val="21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6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8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8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(43.5)</w:t>
            </w:r>
          </w:p>
        </w:tc>
      </w:tr>
      <w:tr>
        <w:trPr>
          <w:trHeight w:val="21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financing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 net</w:t>
            </w: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tcPr>
          <w:p>
            <w:pPr>
              <w:spacing w:after="0"/>
              <w:rPr>
                <w:sz w:val="19"/>
                <w:szCs w:val="19"/>
                <w:color w:val="auto"/>
              </w:rPr>
            </w:pPr>
          </w:p>
        </w:tc>
        <w:tc>
          <w:tcPr>
            <w:tcW w:w="6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(73)</w:t>
            </w:r>
          </w:p>
        </w:tc>
        <w:tc>
          <w:tcPr>
            <w:tcW w:w="8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9"/>
                <w:szCs w:val="19"/>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(188)</w:t>
            </w:r>
          </w:p>
        </w:tc>
        <w:tc>
          <w:tcPr>
            <w:tcW w:w="20" w:type="dxa"/>
            <w:vAlign w:val="bottom"/>
          </w:tcPr>
          <w:p>
            <w:pPr>
              <w:spacing w:after="0"/>
              <w:rPr>
                <w:sz w:val="19"/>
                <w:szCs w:val="19"/>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(219)</w:t>
            </w:r>
          </w:p>
        </w:tc>
        <w:tc>
          <w:tcPr>
            <w:tcW w:w="8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31</w:t>
            </w:r>
          </w:p>
        </w:tc>
        <w:tc>
          <w:tcPr>
            <w:tcW w:w="40" w:type="dxa"/>
            <w:vAlign w:val="bottom"/>
          </w:tcPr>
          <w:p>
            <w:pPr>
              <w:spacing w:after="0"/>
              <w:rPr>
                <w:sz w:val="19"/>
                <w:szCs w:val="19"/>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r>
      <w:tr>
        <w:trPr>
          <w:trHeight w:val="21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legal settlements and other</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w:t>
            </w:r>
          </w:p>
        </w:tc>
        <w:tc>
          <w:tcPr>
            <w:tcW w:w="8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(86)</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8"/>
                <w:szCs w:val="18"/>
                <w:color w:val="auto"/>
              </w:rPr>
            </w:pPr>
          </w:p>
        </w:tc>
        <w:tc>
          <w:tcPr>
            <w:tcW w:w="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8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8"/>
                <w:szCs w:val="18"/>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115</w:t>
            </w:r>
          </w:p>
        </w:tc>
        <w:tc>
          <w:tcPr>
            <w:tcW w:w="8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(106)</w:t>
            </w:r>
          </w:p>
        </w:tc>
        <w:tc>
          <w:tcPr>
            <w:tcW w:w="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(92.1)</w:t>
            </w:r>
          </w:p>
        </w:tc>
      </w:tr>
      <w:tr>
        <w:trPr>
          <w:trHeight w:val="21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88</w:t>
            </w:r>
          </w:p>
        </w:tc>
        <w:tc>
          <w:tcPr>
            <w:tcW w:w="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w:t>
            </w:r>
          </w:p>
        </w:tc>
        <w:tc>
          <w:tcPr>
            <w:tcW w:w="8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234</w:t>
            </w:r>
          </w:p>
        </w:tc>
        <w:tc>
          <w:tcPr>
            <w:tcW w:w="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416</w:t>
            </w:r>
          </w:p>
        </w:tc>
        <w:tc>
          <w:tcPr>
            <w:tcW w:w="8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(182)</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(43.7)</w:t>
            </w:r>
          </w:p>
        </w:tc>
      </w:tr>
      <w:tr>
        <w:trPr>
          <w:trHeight w:val="21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6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8"/>
                <w:szCs w:val="18"/>
                <w:color w:val="auto"/>
              </w:rPr>
            </w:pPr>
          </w:p>
        </w:tc>
        <w:tc>
          <w:tcPr>
            <w:tcW w:w="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0.97</w:t>
            </w:r>
          </w:p>
        </w:tc>
        <w:tc>
          <w:tcPr>
            <w:tcW w:w="8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0.04</w:t>
            </w:r>
          </w:p>
        </w:tc>
        <w:tc>
          <w:tcPr>
            <w:tcW w:w="2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2.65</w:t>
            </w:r>
          </w:p>
        </w:tc>
        <w:tc>
          <w:tcPr>
            <w:tcW w:w="20" w:type="dxa"/>
            <w:vAlign w:val="bottom"/>
          </w:tcPr>
          <w:p>
            <w:pPr>
              <w:spacing w:after="0"/>
              <w:rPr>
                <w:sz w:val="18"/>
                <w:szCs w:val="18"/>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4.52</w:t>
            </w:r>
          </w:p>
        </w:tc>
        <w:tc>
          <w:tcPr>
            <w:tcW w:w="8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(1.87)</w:t>
            </w:r>
          </w:p>
        </w:tc>
        <w:tc>
          <w:tcPr>
            <w:tcW w:w="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(41.4)</w:t>
            </w:r>
          </w:p>
        </w:tc>
      </w:tr>
      <w:tr>
        <w:trPr>
          <w:trHeight w:val="219"/>
        </w:trPr>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4"/>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Metrics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34"/>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(78)bps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 bps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429"/>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margin</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2.7 %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(66)bps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 bps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435"/>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 margin</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2.9 %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3.6 %</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(72)bps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(0.7) %</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2.9 %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3.9 %</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(98) bps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 %</w:t>
            </w:r>
          </w:p>
        </w:tc>
      </w:tr>
      <w:tr>
        <w:trPr>
          <w:trHeight w:val="426"/>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(2,537)bps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(1,792) bps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89" w:lineRule="exact"/>
        <w:rPr>
          <w:sz w:val="20"/>
          <w:szCs w:val="20"/>
          <w:color w:val="auto"/>
        </w:rPr>
      </w:pPr>
    </w:p>
    <w:p>
      <w:pPr>
        <w:ind w:left="60" w:right="200" w:firstLine="427"/>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percentage change in sales for the third quarter and first nine months of fiscal 2025 as compared to the third quarter and first nine months fiscal 2024, by geographic region and operating group.</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2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1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640" w:type="dxa"/>
            <w:vAlign w:val="bottom"/>
          </w:tcPr>
          <w:p>
            <w:pPr>
              <w:spacing w:after="0"/>
              <w:rPr>
                <w:sz w:val="21"/>
                <w:szCs w:val="21"/>
                <w:color w:val="auto"/>
              </w:rPr>
            </w:pPr>
          </w:p>
        </w:tc>
        <w:tc>
          <w:tcPr>
            <w:tcW w:w="222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1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29, 2025</w:t>
            </w:r>
          </w:p>
        </w:tc>
      </w:tr>
      <w:tr>
        <w:trPr>
          <w:trHeight w:val="194"/>
        </w:trPr>
        <w:tc>
          <w:tcPr>
            <w:tcW w:w="46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Sales</w:t>
            </w:r>
          </w:p>
        </w:tc>
      </w:tr>
      <w:tr>
        <w:trPr>
          <w:trHeight w:val="216"/>
        </w:trPr>
        <w:tc>
          <w:tcPr>
            <w:tcW w:w="4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Year-Year %</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Year-Year %</w:t>
            </w:r>
          </w:p>
        </w:tc>
      </w:tr>
      <w:tr>
        <w:trPr>
          <w:trHeight w:val="216"/>
        </w:trPr>
        <w:tc>
          <w:tcPr>
            <w:tcW w:w="464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w:t>
            </w:r>
          </w:p>
        </w:tc>
      </w:tr>
      <w:tr>
        <w:trPr>
          <w:trHeight w:val="216"/>
        </w:trPr>
        <w:tc>
          <w:tcPr>
            <w:tcW w:w="4640" w:type="dxa"/>
            <w:vAlign w:val="bottom"/>
          </w:tcPr>
          <w:p>
            <w:pPr>
              <w:spacing w:after="0"/>
              <w:rPr>
                <w:sz w:val="18"/>
                <w:szCs w:val="18"/>
                <w:color w:val="auto"/>
              </w:rPr>
            </w:pPr>
          </w:p>
        </w:tc>
        <w:tc>
          <w:tcPr>
            <w:tcW w:w="2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Year-Year %   Constant</w:t>
            </w:r>
          </w:p>
        </w:tc>
        <w:tc>
          <w:tcPr>
            <w:tcW w:w="21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Year-Year %   Constant</w:t>
            </w:r>
          </w:p>
        </w:tc>
      </w:tr>
      <w:tr>
        <w:trPr>
          <w:trHeight w:val="245"/>
        </w:trPr>
        <w:tc>
          <w:tcPr>
            <w:tcW w:w="4640" w:type="dxa"/>
            <w:vAlign w:val="bottom"/>
          </w:tcPr>
          <w:p>
            <w:pPr>
              <w:spacing w:after="0"/>
              <w:rPr>
                <w:sz w:val="21"/>
                <w:szCs w:val="21"/>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r>
      <w:tr>
        <w:trPr>
          <w:trHeight w:val="216"/>
        </w:trPr>
        <w:tc>
          <w:tcPr>
            <w:tcW w:w="46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Avnet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region</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operating group</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34"/>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Farnell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r>
    </w:tbl>
    <w:p>
      <w:pPr>
        <w:spacing w:after="0" w:line="179" w:lineRule="exact"/>
        <w:rPr>
          <w:sz w:val="20"/>
          <w:szCs w:val="20"/>
          <w:color w:val="auto"/>
        </w:rPr>
      </w:pPr>
    </w:p>
    <w:p>
      <w:pPr>
        <w:ind w:left="60" w:right="260" w:firstLine="427"/>
        <w:spacing w:after="0" w:line="276" w:lineRule="auto"/>
        <w:rPr>
          <w:sz w:val="20"/>
          <w:szCs w:val="20"/>
          <w:color w:val="auto"/>
        </w:rPr>
      </w:pPr>
      <w:r>
        <w:rPr>
          <w:rFonts w:ascii="Times New Roman" w:cs="Times New Roman" w:eastAsia="Times New Roman" w:hAnsi="Times New Roman"/>
          <w:sz w:val="17"/>
          <w:szCs w:val="17"/>
          <w:color w:val="auto"/>
        </w:rPr>
        <w:t>During the third quarter and first nine months of fiscal 2025, both operating groups continued to experience lower demand for electronic components. Sales of $5.32 billion for the third quarter of fiscal 2025 decreased $338.2 million, or</w:t>
      </w:r>
    </w:p>
    <w:p>
      <w:pPr>
        <w:spacing w:after="0" w:line="1" w:lineRule="exact"/>
        <w:rPr>
          <w:sz w:val="20"/>
          <w:szCs w:val="20"/>
          <w:color w:val="auto"/>
        </w:rPr>
      </w:pPr>
    </w:p>
    <w:p>
      <w:pPr>
        <w:ind w:left="60" w:right="100"/>
        <w:spacing w:after="0" w:line="260" w:lineRule="auto"/>
        <w:rPr>
          <w:sz w:val="20"/>
          <w:szCs w:val="20"/>
          <w:color w:val="auto"/>
        </w:rPr>
      </w:pPr>
      <w:r>
        <w:rPr>
          <w:rFonts w:ascii="Times New Roman" w:cs="Times New Roman" w:eastAsia="Times New Roman" w:hAnsi="Times New Roman"/>
          <w:sz w:val="18"/>
          <w:szCs w:val="18"/>
          <w:color w:val="auto"/>
        </w:rPr>
        <w:t>6.0%, as compared to $5.65 billion for the same quarter last year. Sales for the first nine months of fiscal 2025 were $16.58 billion, a decrease of $1.61 billion as compared to sales of $18.19 billion for the first nine months of fiscal 2024.</w:t>
      </w:r>
    </w:p>
    <w:p>
      <w:pPr>
        <w:spacing w:after="0" w:line="181" w:lineRule="exact"/>
        <w:rPr>
          <w:sz w:val="20"/>
          <w:szCs w:val="20"/>
          <w:color w:val="auto"/>
        </w:rPr>
      </w:pPr>
    </w:p>
    <w:p>
      <w:pPr>
        <w:ind w:left="60" w:right="220" w:firstLine="427"/>
        <w:spacing w:after="0" w:line="256" w:lineRule="auto"/>
        <w:rPr>
          <w:sz w:val="20"/>
          <w:szCs w:val="20"/>
          <w:color w:val="auto"/>
        </w:rPr>
      </w:pPr>
      <w:r>
        <w:rPr>
          <w:rFonts w:ascii="Times New Roman" w:cs="Times New Roman" w:eastAsia="Times New Roman" w:hAnsi="Times New Roman"/>
          <w:sz w:val="18"/>
          <w:szCs w:val="18"/>
          <w:color w:val="auto"/>
        </w:rPr>
        <w:t>EC sales of $4.95 billion in the third quarter of fiscal 2025 decreased $297.0 million, or 5.7%, from the prior year third quarter sales of $5.25 billion, with the Americas and EMEA regions contributing to the decrease offset by sales growth in the Asia region. The decrease in sales is primarily due to sales volume decreases due to the market downturn in the electronic components industry and, to a lesser extent, an unfavorable product mix of lower priced electronic components. In the Americas, the Company did not see any meaningful increase in shipments in advance of anticipated tariff increases.</w:t>
      </w:r>
    </w:p>
    <w:p>
      <w:pPr>
        <w:spacing w:after="0" w:line="187" w:lineRule="exact"/>
        <w:rPr>
          <w:sz w:val="20"/>
          <w:szCs w:val="20"/>
          <w:color w:val="auto"/>
        </w:rPr>
      </w:pPr>
    </w:p>
    <w:p>
      <w:pPr>
        <w:ind w:left="60" w:right="80" w:firstLine="427"/>
        <w:spacing w:after="0" w:line="266" w:lineRule="auto"/>
        <w:rPr>
          <w:sz w:val="20"/>
          <w:szCs w:val="20"/>
          <w:color w:val="auto"/>
        </w:rPr>
      </w:pPr>
      <w:r>
        <w:rPr>
          <w:rFonts w:ascii="Times New Roman" w:cs="Times New Roman" w:eastAsia="Times New Roman" w:hAnsi="Times New Roman"/>
          <w:sz w:val="18"/>
          <w:szCs w:val="18"/>
          <w:color w:val="auto"/>
        </w:rPr>
        <w:t>Farnell sales for the third quarter of fiscal 2025 were $366.7 million, reflecting a decrease of $41.2 million, or 10.1%, compared to the same period in the prior year. The decrease in sales in the third quarter of fiscal 2025 is primarily due to lower demand for on-the-board electronic components.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2" w:lineRule="exact"/>
        <w:rPr>
          <w:sz w:val="20"/>
          <w:szCs w:val="20"/>
          <w:color w:val="auto"/>
        </w:rPr>
      </w:pPr>
    </w:p>
    <w:p>
      <w:pPr>
        <w:ind w:left="60" w:right="180" w:firstLine="432"/>
        <w:spacing w:after="0" w:line="258" w:lineRule="auto"/>
        <w:rPr>
          <w:sz w:val="20"/>
          <w:szCs w:val="20"/>
          <w:color w:val="auto"/>
        </w:rPr>
      </w:pPr>
      <w:r>
        <w:rPr>
          <w:rFonts w:ascii="Times New Roman" w:cs="Times New Roman" w:eastAsia="Times New Roman" w:hAnsi="Times New Roman"/>
          <w:sz w:val="18"/>
          <w:szCs w:val="18"/>
          <w:color w:val="auto"/>
        </w:rPr>
        <w:t>The Company’s gross profit and gross profit margin are primarily affected by sales volume, product mix, and geographic sales mix. Gross profit for the third quarter of fiscal 2025 decreased $81.4 million, or 12.2% from the third quarter of fiscal 2024. Gross profit for the first nine months of fiscal 2025 decreased $332.3 million, or 15.7% from the first nine months of fiscal 2024.This decrease is primarily due to sales volume decreases in both operating groups and to a lesser extent from the decline in gross profit margin in each operating group.</w:t>
      </w:r>
    </w:p>
    <w:p>
      <w:pPr>
        <w:spacing w:after="0" w:line="183" w:lineRule="exact"/>
        <w:rPr>
          <w:sz w:val="20"/>
          <w:szCs w:val="20"/>
          <w:color w:val="auto"/>
        </w:rPr>
      </w:pPr>
    </w:p>
    <w:p>
      <w:pPr>
        <w:ind w:left="60" w:right="80" w:firstLine="432"/>
        <w:spacing w:after="0" w:line="256" w:lineRule="auto"/>
        <w:rPr>
          <w:sz w:val="20"/>
          <w:szCs w:val="20"/>
          <w:color w:val="auto"/>
        </w:rPr>
      </w:pPr>
      <w:r>
        <w:rPr>
          <w:rFonts w:ascii="Times New Roman" w:cs="Times New Roman" w:eastAsia="Times New Roman" w:hAnsi="Times New Roman"/>
          <w:sz w:val="18"/>
          <w:szCs w:val="18"/>
          <w:color w:val="auto"/>
        </w:rPr>
        <w:t>Gross profit margin decreased by 78 basis points to 11.1% for the third quarter of fiscal 2025 when compared to the third quarter of fiscal 2024 and decreased by 87 basis points to 10.8% for the first nine months of fiscal 2025 when compared to the first nine months of fiscal 2024. The decrease in gross profit margin is primarily due to geographic sales mix, partially offset by increases in gross margin from certain supplier engagements. Sales in the higher gross profit margin western regions represented approximately 53% of sales in the third quarter of fiscal 2025, versus 61% of sales during the third quarter of fiscal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40" w:right="1439"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79" w:firstLine="432"/>
        <w:spacing w:after="0" w:line="312" w:lineRule="auto"/>
        <w:rPr>
          <w:sz w:val="20"/>
          <w:szCs w:val="20"/>
          <w:color w:val="auto"/>
        </w:rPr>
      </w:pPr>
      <w:r>
        <w:rPr>
          <w:rFonts w:ascii="Times New Roman" w:cs="Times New Roman" w:eastAsia="Times New Roman" w:hAnsi="Times New Roman"/>
          <w:sz w:val="17"/>
          <w:szCs w:val="17"/>
          <w:color w:val="auto"/>
        </w:rPr>
        <w:t>EC gross profit margin decreased year over year largely due to the change in geographic mix. Farnell gross profit margin decreased year over year, primarily due to lower sales of higher margin on-the-board electronic components.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02" w:lineRule="exact"/>
        <w:rPr>
          <w:sz w:val="20"/>
          <w:szCs w:val="20"/>
          <w:color w:val="auto"/>
        </w:rPr>
      </w:pPr>
    </w:p>
    <w:p>
      <w:pPr>
        <w:ind w:left="60" w:right="139" w:firstLine="43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(“SG&amp;A expenses”) decreased $31.8 million or 6.8% from the third quarter of fiscal 2024, and decreased $108.0 million, or 7.6% from the first nine months of fiscal 2024. The decrease in SG&amp;A expenses is primarily due to decreases in variable operating expenses associated with the decrease in sales volumes discussed above, from restructuring actions taken by the Company, from the gain on the sale of a building and by the impact of changes in foreign currency translation rates.</w:t>
      </w:r>
    </w:p>
    <w:p>
      <w:pPr>
        <w:spacing w:after="0" w:line="183" w:lineRule="exact"/>
        <w:rPr>
          <w:sz w:val="20"/>
          <w:szCs w:val="20"/>
          <w:color w:val="auto"/>
        </w:rPr>
      </w:pPr>
    </w:p>
    <w:p>
      <w:pPr>
        <w:ind w:left="60" w:right="219" w:firstLine="427"/>
        <w:spacing w:after="0" w:line="255" w:lineRule="auto"/>
        <w:rPr>
          <w:sz w:val="20"/>
          <w:szCs w:val="20"/>
          <w:color w:val="auto"/>
        </w:rPr>
      </w:pPr>
      <w:r>
        <w:rPr>
          <w:rFonts w:ascii="Times New Roman" w:cs="Times New Roman" w:eastAsia="Times New Roman" w:hAnsi="Times New Roman"/>
          <w:sz w:val="18"/>
          <w:szCs w:val="18"/>
          <w:color w:val="auto"/>
        </w:rPr>
        <w:t>Management monitors SG&amp;A expenses as a percentage of sales and as a percentage of gross profit. In the third quarter of fiscal 2025, SG&amp;A expenses were 8.2% of sales and 74.1% of gross profit, as compared with 8.3% and 69.8%, respectively, in the third quarter of fiscal 2024. SG&amp;A expenses were 7.9% as a percentage of sales and 73.2% as a percentage of gross profit for the first nine months of fiscal 2025, as compared with 7.8% and 66.8%, respectively, in the first nine months of fiscal 2024. The year-over-year increases in SG&amp;A expenses as a percentage of both sales and gross profit during the first nine months of fiscal 2025 are primarily due to the decrease in sales and gross profit without a proportional reduction in SG&amp;A expenses, resulting in lower operating leverage.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 Integration, and Other Expenses</w:t>
      </w:r>
    </w:p>
    <w:p>
      <w:pPr>
        <w:spacing w:after="0" w:line="189" w:lineRule="exact"/>
        <w:rPr>
          <w:sz w:val="20"/>
          <w:szCs w:val="20"/>
          <w:color w:val="auto"/>
        </w:rPr>
      </w:pPr>
    </w:p>
    <w:p>
      <w:pPr>
        <w:ind w:left="60" w:right="159" w:firstLine="427"/>
        <w:spacing w:after="0" w:line="266" w:lineRule="auto"/>
        <w:rPr>
          <w:sz w:val="20"/>
          <w:szCs w:val="20"/>
          <w:color w:val="auto"/>
        </w:rPr>
      </w:pPr>
      <w:r>
        <w:rPr>
          <w:rFonts w:ascii="Times New Roman" w:cs="Times New Roman" w:eastAsia="Times New Roman" w:hAnsi="Times New Roman"/>
          <w:sz w:val="18"/>
          <w:szCs w:val="18"/>
          <w:color w:val="auto"/>
        </w:rPr>
        <w:t>In fiscal 2024, the Company initiated a restructuring plan to improve operating income by reducing SG&amp;A expenses including within the Farnell operating group. In the third quarter of fiscal 2025, these efforts continued, leading to $9.1 million in restructuring, integration, and other expenses.</w:t>
      </w:r>
    </w:p>
    <w:p>
      <w:pPr>
        <w:spacing w:after="0" w:line="176" w:lineRule="exact"/>
        <w:rPr>
          <w:sz w:val="20"/>
          <w:szCs w:val="20"/>
          <w:color w:val="auto"/>
        </w:rPr>
      </w:pPr>
    </w:p>
    <w:p>
      <w:pPr>
        <w:ind w:left="60" w:right="179" w:firstLine="427"/>
        <w:spacing w:after="0" w:line="258" w:lineRule="auto"/>
        <w:rPr>
          <w:sz w:val="20"/>
          <w:szCs w:val="20"/>
          <w:color w:val="auto"/>
        </w:rPr>
      </w:pPr>
      <w:r>
        <w:rPr>
          <w:rFonts w:ascii="Times New Roman" w:cs="Times New Roman" w:eastAsia="Times New Roman" w:hAnsi="Times New Roman"/>
          <w:sz w:val="18"/>
          <w:szCs w:val="18"/>
          <w:color w:val="auto"/>
        </w:rPr>
        <w:t>As a result of these initiatives, the Company recorded total restructuring, integration, and other expense in the third quarter of fiscal 2025 of $9.1 million comprised of severance and other employee-related expenses of $7.1 million, $2.4 million of integration and other costs, and a benefit of $0.4 million for changes in estimates for costs associated with prior year restructuring actions. The after-tax impact of restructuring, integration, and other expenses were $6.6 million and $0.08 per share on a diluted basis.</w:t>
      </w:r>
    </w:p>
    <w:p>
      <w:pPr>
        <w:spacing w:after="0" w:line="183" w:lineRule="exact"/>
        <w:rPr>
          <w:sz w:val="20"/>
          <w:szCs w:val="20"/>
          <w:color w:val="auto"/>
        </w:rPr>
      </w:pPr>
    </w:p>
    <w:p>
      <w:pPr>
        <w:ind w:left="60" w:right="139" w:firstLine="427"/>
        <w:spacing w:after="0" w:line="255" w:lineRule="auto"/>
        <w:rPr>
          <w:sz w:val="20"/>
          <w:szCs w:val="20"/>
          <w:color w:val="auto"/>
        </w:rPr>
      </w:pPr>
      <w:r>
        <w:rPr>
          <w:rFonts w:ascii="Times New Roman" w:cs="Times New Roman" w:eastAsia="Times New Roman" w:hAnsi="Times New Roman"/>
          <w:sz w:val="18"/>
          <w:szCs w:val="18"/>
          <w:color w:val="auto"/>
        </w:rPr>
        <w:t>During the first nine months of fiscal 2025, the Company incurred restructuring, integration, and other expense costs of $39.3 million. Restructuring expenses consisted of severance and other employee-related expenses of $11.7 million for reduction of over 250 employees across the Company, $5.3 million of facility exit costs primarily related to an office closure in the Americas, $14.9 million of asset impairments, $3.1 million of other restructuring costs primarily related to software licenses not in use, $7.1 million of integration and other costs, and a benefit of $2.8 million for changes in estimates for costs associated with prior year restructuring actions. The after-tax impact of restructuring, integration, and other expenses were $29.0 million and $0.33 per share on a diluted basis.</w:t>
      </w:r>
    </w:p>
    <w:p>
      <w:pPr>
        <w:spacing w:after="0" w:line="189" w:lineRule="exact"/>
        <w:rPr>
          <w:sz w:val="20"/>
          <w:szCs w:val="20"/>
          <w:color w:val="auto"/>
        </w:rPr>
      </w:pPr>
    </w:p>
    <w:p>
      <w:pPr>
        <w:ind w:left="60" w:right="499" w:firstLine="427"/>
        <w:spacing w:after="0" w:line="282" w:lineRule="auto"/>
        <w:rPr>
          <w:sz w:val="20"/>
          <w:szCs w:val="20"/>
          <w:color w:val="auto"/>
        </w:rPr>
      </w:pPr>
      <w:r>
        <w:rPr>
          <w:rFonts w:ascii="Times New Roman" w:cs="Times New Roman" w:eastAsia="Times New Roman" w:hAnsi="Times New Roman"/>
          <w:sz w:val="18"/>
          <w:szCs w:val="18"/>
          <w:color w:val="auto"/>
        </w:rPr>
        <w:t>Comparatively, the Company recorded restructuring, integration, and other expenses of $11.8 million and $24.1 million during the third quarter and first nine months of fiscal 2024, respectively.</w:t>
      </w:r>
    </w:p>
    <w:p>
      <w:pPr>
        <w:spacing w:after="0" w:line="162"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252525"/>
        </w:rPr>
        <w:t>See Note 13 “Restructuring expenses” to the Company’s consolidated financial statements included in this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89" w:lineRule="exact"/>
        <w:rPr>
          <w:sz w:val="20"/>
          <w:szCs w:val="20"/>
          <w:color w:val="auto"/>
        </w:rPr>
      </w:pPr>
    </w:p>
    <w:p>
      <w:pPr>
        <w:ind w:left="60" w:right="79" w:firstLine="432"/>
        <w:spacing w:after="0" w:line="255" w:lineRule="auto"/>
        <w:rPr>
          <w:sz w:val="20"/>
          <w:szCs w:val="20"/>
          <w:color w:val="auto"/>
        </w:rPr>
      </w:pPr>
      <w:r>
        <w:rPr>
          <w:rFonts w:ascii="Times New Roman" w:cs="Times New Roman" w:eastAsia="Times New Roman" w:hAnsi="Times New Roman"/>
          <w:sz w:val="18"/>
          <w:szCs w:val="18"/>
          <w:color w:val="auto"/>
        </w:rPr>
        <w:t>Operating income for the third quarter of fiscal 2025 was $143.3 million, a decrease of $46.9 million or 24.7%, year over year. Operating income margin for the third quarter of fiscal 2025 was 2.7%, a decrease of 66 basis points compared to 3.4% in the third quarter of fiscal 2024. The decreases in operating income and operating income margin are primarily due to the decrease in gross profit primarily from lower sales and from a lower gross profit margin without a proportionate decrease in SG&amp;A expenses, as discussed above. Adjusted operating income for the third quarter of fiscal 2025 was $152.7 million, a decrease of $50.0 million, or 24.7%. Adjusted operating income margin for the third quarter of fiscal 2025 was 2.9% compared to 3.6% in the third quarter of fiscal 2024.</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firstLine="427"/>
        <w:spacing w:after="0" w:line="274" w:lineRule="auto"/>
        <w:rPr>
          <w:sz w:val="20"/>
          <w:szCs w:val="20"/>
          <w:color w:val="auto"/>
        </w:rPr>
      </w:pPr>
      <w:r>
        <w:rPr>
          <w:rFonts w:ascii="Times New Roman" w:cs="Times New Roman" w:eastAsia="Times New Roman" w:hAnsi="Times New Roman"/>
          <w:sz w:val="17"/>
          <w:szCs w:val="17"/>
          <w:color w:val="auto"/>
        </w:rPr>
        <w:t>Comparing the third quarter of fiscal 2025 to the third quarter of fiscal 2024, EC operating income decreased 20.6% to $172.2 million, and EC operating income margin decreased 65 basis points to 3.5%, with a decrease in the EMEA region offset by improvements in the Americas and Asia regions. Farnell operating income decreased 32.8% to $11.0 million in the third quarter of fiscal 2025. Farnell operating income margin decreased 101 basis points year over year to 3.0%. The decreases in operating income and operating income margin in both operating groups are due to the decrease in gross profit primarily from lower sales and from a lower gross profit margin without a proportionate decrease in SG&amp;A expenses.</w:t>
      </w:r>
    </w:p>
    <w:p>
      <w:pPr>
        <w:spacing w:after="0" w:line="173" w:lineRule="exact"/>
        <w:rPr>
          <w:sz w:val="20"/>
          <w:szCs w:val="20"/>
          <w:color w:val="auto"/>
        </w:rPr>
      </w:pPr>
    </w:p>
    <w:p>
      <w:pPr>
        <w:jc w:val="both"/>
        <w:ind w:left="60" w:right="159" w:firstLine="427"/>
        <w:spacing w:after="0" w:line="257" w:lineRule="auto"/>
        <w:rPr>
          <w:sz w:val="20"/>
          <w:szCs w:val="20"/>
          <w:color w:val="auto"/>
        </w:rPr>
      </w:pPr>
      <w:r>
        <w:rPr>
          <w:rFonts w:ascii="Times New Roman" w:cs="Times New Roman" w:eastAsia="Times New Roman" w:hAnsi="Times New Roman"/>
          <w:sz w:val="18"/>
          <w:szCs w:val="18"/>
          <w:color w:val="auto"/>
        </w:rPr>
        <w:t>Operating income for the first nine months of fiscal 2025 was $440.8 million, a decrease of $239.4 million, from the first nine months of fiscal 2024 operating income of $680.2 million. The year-over-year decrease in operating income was primarily due to the decrease in sales, lower gross profit margin, and impact from foreign currency exchange rates.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Adjusted operating income for the first nine months of fiscal 2025 was $481.2 million, a decrease of $225.5 million or</w:t>
      </w:r>
    </w:p>
    <w:p>
      <w:pPr>
        <w:spacing w:after="0" w:line="9"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31.9% from the first nine months of fiscal 2024. Operating income margin was 2.7% in the first nine months of fiscal 2025, a decrease of 108 basis points compared to 3.7% in the prior year first nine months.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and Other Financing Expenses, Net and Other Expense, Net</w:t>
      </w:r>
    </w:p>
    <w:p>
      <w:pPr>
        <w:spacing w:after="0" w:line="202" w:lineRule="exact"/>
        <w:rPr>
          <w:sz w:val="20"/>
          <w:szCs w:val="20"/>
          <w:color w:val="auto"/>
        </w:rPr>
      </w:pPr>
    </w:p>
    <w:p>
      <w:pPr>
        <w:ind w:left="60" w:right="13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Interest and other financing expenses in the third quarter of fiscal 2025 were $61.1 million, a decrease of $12.4 million as compared to $73.5 million in the third quarter of fiscal 2024. Interest and other financing expenses in the first nine months of fiscal 2025 were $188.0 million, a decrease of $30.6 million, as compared with interest and other financing expenses of $218.6 million in the first nine months of fiscal 2024. </w:t>
      </w:r>
      <w:r>
        <w:rPr>
          <w:rFonts w:ascii="Times New Roman" w:cs="Times New Roman" w:eastAsia="Times New Roman" w:hAnsi="Times New Roman"/>
          <w:sz w:val="18"/>
          <w:szCs w:val="18"/>
          <w:color w:val="252525"/>
        </w:rPr>
        <w:t>The decrease in interest and other financing expenses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the third quarter and first nine months of fiscal 2025 compared to fiscal 2024 is primarily a result of lower outstanding borrowings and average borrowing rates.</w:t>
      </w:r>
    </w:p>
    <w:p>
      <w:pPr>
        <w:spacing w:after="0" w:line="187" w:lineRule="exact"/>
        <w:rPr>
          <w:sz w:val="20"/>
          <w:szCs w:val="20"/>
          <w:color w:val="auto"/>
        </w:rPr>
      </w:pPr>
    </w:p>
    <w:p>
      <w:pPr>
        <w:ind w:left="60" w:right="219" w:firstLine="427"/>
        <w:spacing w:after="0" w:line="258" w:lineRule="auto"/>
        <w:rPr>
          <w:sz w:val="20"/>
          <w:szCs w:val="20"/>
          <w:color w:val="auto"/>
        </w:rPr>
      </w:pPr>
      <w:r>
        <w:rPr>
          <w:rFonts w:ascii="Times New Roman" w:cs="Times New Roman" w:eastAsia="Times New Roman" w:hAnsi="Times New Roman"/>
          <w:sz w:val="18"/>
          <w:szCs w:val="18"/>
          <w:color w:val="auto"/>
        </w:rPr>
        <w:t>The Company had other expenses of $4.0 million in the third quarter of fiscal 2025 compared to other expenses of $14.7 million in the third quarter of fiscal 2024. The Company had other expenses of $9.7 million in the first nine months of fiscal 2025, compared to other expenses of $17.1 million in the first nine months of fiscal 2024. The decrease in other expenses in the third quarter and first nine months of fiscal 2025 is primarily due to differences in foreign currency translation losses.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52525"/>
        </w:rPr>
        <w:t>Gain on Legal Settlements and other</w:t>
      </w:r>
    </w:p>
    <w:p>
      <w:pPr>
        <w:spacing w:after="0" w:line="189" w:lineRule="exact"/>
        <w:rPr>
          <w:sz w:val="20"/>
          <w:szCs w:val="20"/>
          <w:color w:val="auto"/>
        </w:rPr>
      </w:pPr>
    </w:p>
    <w:p>
      <w:pPr>
        <w:ind w:left="60" w:right="419" w:firstLine="432"/>
        <w:spacing w:after="0" w:line="282" w:lineRule="auto"/>
        <w:rPr>
          <w:sz w:val="20"/>
          <w:szCs w:val="20"/>
          <w:color w:val="auto"/>
        </w:rPr>
      </w:pPr>
      <w:r>
        <w:rPr>
          <w:rFonts w:ascii="Times New Roman" w:cs="Times New Roman" w:eastAsia="Times New Roman" w:hAnsi="Times New Roman"/>
          <w:sz w:val="18"/>
          <w:szCs w:val="18"/>
          <w:color w:val="auto"/>
        </w:rPr>
        <w:t>During the first nine months of fiscal 2024, the Company recorded a gain on legal settlements and other of $86.5 million in connection with the settlements of claims filed against certain manufacturers of capacitors.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89" w:lineRule="exact"/>
        <w:rPr>
          <w:sz w:val="20"/>
          <w:szCs w:val="20"/>
          <w:color w:val="auto"/>
        </w:rPr>
      </w:pPr>
    </w:p>
    <w:p>
      <w:pPr>
        <w:ind w:left="60" w:right="99" w:firstLine="427"/>
        <w:spacing w:after="0" w:line="254" w:lineRule="auto"/>
        <w:rPr>
          <w:sz w:val="20"/>
          <w:szCs w:val="20"/>
          <w:color w:val="auto"/>
        </w:rPr>
      </w:pPr>
      <w:r>
        <w:rPr>
          <w:rFonts w:ascii="Times New Roman" w:cs="Times New Roman" w:eastAsia="Times New Roman" w:hAnsi="Times New Roman"/>
          <w:sz w:val="18"/>
          <w:szCs w:val="18"/>
          <w:color w:val="auto"/>
        </w:rPr>
        <w:t xml:space="preserve">Income tax expense for the third quarter and first nine months of fiscal 2025 were $ (9.8) million and $9.0 million, respectively, reflecting an effective tax rate of (12.5)% and 3.7%, respectively. In comparison, for the third quarter and first nine months of fiscal 2024, income tax expense were $13.1 million and $114.9 million, respectively, reflecting an effective tax rate of 12.9% and 21.6%, respectively. The decrease in the effective tax rate for the third quarter of fiscal 2025 as compared to the third quarter of fiscal 2024 was primarily due to the increases in tax attribute carryforwards. The decrease in the effective tax rate for the first nine months of fiscal 2025 as compared to the first nine months of fiscal 2024 was primarily due to the increases in tax attribute carryforwards. See Note 7 “Income taxes” to the Company’s consolidated financial statements included in this Quarterly Report on Form </w:t>
      </w:r>
      <w:r>
        <w:rPr>
          <w:rFonts w:ascii="Times New Roman" w:cs="Times New Roman" w:eastAsia="Times New Roman" w:hAnsi="Times New Roman"/>
          <w:sz w:val="18"/>
          <w:szCs w:val="18"/>
          <w:color w:val="252525"/>
        </w:rPr>
        <w:t>10-Q.</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2" w:lineRule="exact"/>
        <w:rPr>
          <w:sz w:val="20"/>
          <w:szCs w:val="20"/>
          <w:color w:val="auto"/>
        </w:rPr>
      </w:pPr>
    </w:p>
    <w:p>
      <w:pPr>
        <w:jc w:val="both"/>
        <w:ind w:left="60" w:right="19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above, the Company’s net income for the third quarter of fiscal 2025 was $87.9 million, or $1.01 per share on a diluted basis, as compared with $88.8 million, or $0.97 per share on a diluted basis, in the third quarter of fiscal 2024.</w:t>
      </w:r>
    </w:p>
    <w:p>
      <w:pPr>
        <w:spacing w:after="0" w:line="176" w:lineRule="exact"/>
        <w:rPr>
          <w:sz w:val="20"/>
          <w:szCs w:val="20"/>
          <w:color w:val="auto"/>
        </w:rPr>
      </w:pPr>
    </w:p>
    <w:p>
      <w:pPr>
        <w:jc w:val="both"/>
        <w:ind w:left="60" w:right="41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above, the Company’s net income for the first nine months of fiscal 2025 was $234.1 million, or $2.65 per share on a diluted basis, as compared with $416.0 million, or $4.52 per share on a diluted basis, in the first nine months of fiscal 2024.</w:t>
      </w:r>
    </w:p>
    <w:p>
      <w:pPr>
        <w:sectPr>
          <w:pgSz w:w="11900" w:h="16838" w:orient="portrait"/>
          <w:cols w:equalWidth="0" w:num="1">
            <w:col w:w="9019"/>
          </w:cols>
          <w:pgMar w:left="1440" w:top="540"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left="60" w:right="79" w:firstLine="432"/>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$585.0 million for the first nine months of fiscal 2025, compared to net cash provided by operating activities of $415.7 million for the first nine months of fiscal 2024. The $169.3 million increase in net cash provided by operating activities year over year is primarily due to improvements in cash used for working capital and other as working capital levels have begun to be more in line with sales, offset by lower cash provided by net income. Cash generated from working capital and other was $282.4 million during the first nine months of fiscal 2025, compared to cash used of $152.6 million during the first nine months of fiscal 2024, with the difference attributable primarily to reductions in inventory and the timing of payments for inventory purchases. The Company also had decreases in accounts receivable due to timing of sales and collections when compared to the prior fiscal year. Included in other, net was a gain on the sale of a building of $9.2 million recognized during the first nine months of fiscal 2025. The Company received $90.7 million of cash from legal settlements during the first nine months of fiscal 2024.</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left="60" w:right="79" w:firstLine="432"/>
        <w:spacing w:after="0" w:line="255" w:lineRule="auto"/>
        <w:rPr>
          <w:sz w:val="20"/>
          <w:szCs w:val="20"/>
          <w:color w:val="auto"/>
        </w:rPr>
      </w:pPr>
      <w:r>
        <w:rPr>
          <w:rFonts w:ascii="Times New Roman" w:cs="Times New Roman" w:eastAsia="Times New Roman" w:hAnsi="Times New Roman"/>
          <w:sz w:val="18"/>
          <w:szCs w:val="18"/>
          <w:color w:val="auto"/>
        </w:rPr>
        <w:t>Net repayments of debt totaled $270.3 million during the first nine months of fiscal 2025, including net repayments of $418.6 million under the Credit Facility, offset by net proceeds of $84.9 million under the Securitization Program, and $63.4 million for other debt. This compares to $106.3 million of net repayments during the first nine months of the prior fiscal year. The Company has repurchased $253.5 million of common stock under the share repurchase plan during the first nine months of fiscal 2025 compared to $86.0 million in the same period of the prior fiscal year. The Company paid cash dividends to shareholders of $0.99 per share, or $85.6 million, during the first nine months of fiscal 2025 as compared to $0.93 per share, or $84.2 million, during the first nine months of fiscal 2024.</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left="60" w:right="179" w:firstLine="427"/>
        <w:spacing w:after="0" w:line="261" w:lineRule="auto"/>
        <w:rPr>
          <w:sz w:val="20"/>
          <w:szCs w:val="20"/>
          <w:color w:val="auto"/>
        </w:rPr>
      </w:pPr>
      <w:r>
        <w:rPr>
          <w:rFonts w:ascii="Times New Roman" w:cs="Times New Roman" w:eastAsia="Times New Roman" w:hAnsi="Times New Roman"/>
          <w:sz w:val="18"/>
          <w:szCs w:val="18"/>
          <w:color w:val="auto"/>
        </w:rPr>
        <w:t>The Company’s purchases of property, plant and equipment decreased during the first nine months of fiscal 2025 by $112.3 million, when compared to the same period in fiscal 2024, primarily due to new distribution center investments in EMEA in the first nine months of fiscal 2024. Included in other, net were net proceeds of $9.2 million on the sale of a building received during the first nine months of fiscal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left="60" w:right="99" w:firstLine="432"/>
        <w:spacing w:after="0" w:line="258" w:lineRule="auto"/>
        <w:rPr>
          <w:sz w:val="20"/>
          <w:szCs w:val="20"/>
          <w:color w:val="auto"/>
        </w:rPr>
      </w:pPr>
      <w:r>
        <w:rPr>
          <w:rFonts w:ascii="Times New Roman" w:cs="Times New Roman" w:eastAsia="Times New Roman" w:hAnsi="Times New Roman"/>
          <w:sz w:val="18"/>
          <w:szCs w:val="18"/>
          <w:color w:val="auto"/>
        </w:rPr>
        <w:t xml:space="preserve">For a detailed description of the Company’s long-term debt and lease commitments for the next five years and thereafter, see </w:t>
      </w:r>
      <w:r>
        <w:rPr>
          <w:rFonts w:ascii="Times New Roman" w:cs="Times New Roman" w:eastAsia="Times New Roman" w:hAnsi="Times New Roman"/>
          <w:sz w:val="18"/>
          <w:szCs w:val="18"/>
          <w:i w:val="1"/>
          <w:iCs w:val="1"/>
          <w:color w:val="auto"/>
        </w:rPr>
        <w:t>Long-Term Contractual Obligations</w:t>
      </w:r>
      <w:r>
        <w:rPr>
          <w:rFonts w:ascii="Times New Roman" w:cs="Times New Roman" w:eastAsia="Times New Roman" w:hAnsi="Times New Roman"/>
          <w:sz w:val="18"/>
          <w:szCs w:val="18"/>
          <w:color w:val="auto"/>
        </w:rPr>
        <w:t xml:space="preserve"> appearing in Item 7 of the Company’s Annual Report on Form 10-K for the fiscal year ended June 29, 2024.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202" w:lineRule="exact"/>
        <w:rPr>
          <w:sz w:val="20"/>
          <w:szCs w:val="20"/>
          <w:color w:val="auto"/>
        </w:rPr>
      </w:pPr>
    </w:p>
    <w:p>
      <w:pPr>
        <w:ind w:left="60" w:right="119" w:firstLine="432"/>
        <w:spacing w:after="0" w:line="261" w:lineRule="auto"/>
        <w:rPr>
          <w:sz w:val="20"/>
          <w:szCs w:val="20"/>
          <w:color w:val="auto"/>
        </w:rPr>
      </w:pPr>
      <w:r>
        <w:rPr>
          <w:rFonts w:ascii="Times New Roman" w:cs="Times New Roman" w:eastAsia="Times New Roman" w:hAnsi="Times New Roman"/>
          <w:sz w:val="18"/>
          <w:szCs w:val="18"/>
          <w:color w:val="auto"/>
        </w:rPr>
        <w:t>See Note 4, “Debt” to the Company’s consolidated financial statements included in this Quarterly Report on Form 10-Q for additional information on financing transactions, including the Credit Facility, the Securitization Program, and other outstanding debt as of March 29, 2025. The Company was in compliance with all covenants under the Credit Facility and the Securitization Program as of March 29, 2025, and June 29,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The Company has various lines of credit, financing arrangements, and other forms of bank debt in the U.S. and various foreign locations to fund the short-term working capital, foreign exchange, overdraft, capital expenditure, and letter of credit needs of its wholly owned subsidiaries. Outstanding borrowings under such forms of debt at the end of third quarter of fiscal 2025 was $99.1 million.</w:t>
      </w:r>
    </w:p>
    <w:p>
      <w:pPr>
        <w:spacing w:after="0" w:line="180" w:lineRule="exact"/>
        <w:rPr>
          <w:sz w:val="20"/>
          <w:szCs w:val="20"/>
          <w:color w:val="auto"/>
        </w:rPr>
      </w:pPr>
    </w:p>
    <w:p>
      <w:pPr>
        <w:ind w:left="60" w:right="339" w:firstLine="427"/>
        <w:spacing w:after="0" w:line="258" w:lineRule="auto"/>
        <w:rPr>
          <w:sz w:val="20"/>
          <w:szCs w:val="20"/>
          <w:color w:val="auto"/>
        </w:rPr>
      </w:pPr>
      <w:r>
        <w:rPr>
          <w:rFonts w:ascii="Times New Roman" w:cs="Times New Roman" w:eastAsia="Times New Roman" w:hAnsi="Times New Roman"/>
          <w:sz w:val="18"/>
          <w:szCs w:val="18"/>
          <w:color w:val="auto"/>
        </w:rPr>
        <w:t>As an alternative form of liquidity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of the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02" w:lineRule="exact"/>
        <w:rPr>
          <w:sz w:val="20"/>
          <w:szCs w:val="20"/>
          <w:color w:val="auto"/>
        </w:rPr>
      </w:pPr>
    </w:p>
    <w:p>
      <w:pPr>
        <w:ind w:left="60" w:right="219" w:firstLine="432"/>
        <w:spacing w:after="0" w:line="266" w:lineRule="auto"/>
        <w:rPr>
          <w:sz w:val="20"/>
          <w:szCs w:val="20"/>
          <w:color w:val="auto"/>
        </w:rPr>
      </w:pPr>
      <w:r>
        <w:rPr>
          <w:rFonts w:ascii="Times New Roman" w:cs="Times New Roman" w:eastAsia="Times New Roman" w:hAnsi="Times New Roman"/>
          <w:sz w:val="18"/>
          <w:szCs w:val="18"/>
          <w:color w:val="auto"/>
        </w:rPr>
        <w:t>The Company held cash and cash equivalents of $188.9 million as of March 29, 2025, of which $177.2 million was held outside the United States. As of June 29, 2024, the Company held cash and cash equivalents of $310.9 million, of which $179.6 million was held outside of the United States.</w:t>
      </w:r>
    </w:p>
    <w:p>
      <w:pPr>
        <w:spacing w:after="0" w:line="176" w:lineRule="exact"/>
        <w:rPr>
          <w:sz w:val="20"/>
          <w:szCs w:val="20"/>
          <w:color w:val="auto"/>
        </w:rPr>
      </w:pPr>
    </w:p>
    <w:p>
      <w:pPr>
        <w:ind w:left="60" w:right="79" w:firstLine="432"/>
        <w:spacing w:after="0" w:line="261" w:lineRule="auto"/>
        <w:rPr>
          <w:sz w:val="20"/>
          <w:szCs w:val="20"/>
          <w:color w:val="auto"/>
        </w:rPr>
      </w:pPr>
      <w:r>
        <w:rPr>
          <w:rFonts w:ascii="Times New Roman" w:cs="Times New Roman" w:eastAsia="Times New Roman" w:hAnsi="Times New Roman"/>
          <w:sz w:val="18"/>
          <w:szCs w:val="18"/>
          <w:color w:val="auto"/>
        </w:rPr>
        <w:t>During periods of weakening demand in the electronic components industry, the Company typically generates cash from operating activities. Conversely, the Company will use cash for working capital requirements during periods of higher growth. The Company generated $859.3 million in cash flows from operating activities over the trailing four fiscal quarters ended March 29, 2025.</w:t>
      </w:r>
    </w:p>
    <w:p>
      <w:pPr>
        <w:spacing w:after="0" w:line="180" w:lineRule="exact"/>
        <w:rPr>
          <w:sz w:val="20"/>
          <w:szCs w:val="20"/>
          <w:color w:val="auto"/>
        </w:rPr>
      </w:pPr>
    </w:p>
    <w:p>
      <w:pPr>
        <w:ind w:left="60" w:right="159" w:firstLine="427"/>
        <w:spacing w:after="0" w:line="255" w:lineRule="auto"/>
        <w:rPr>
          <w:sz w:val="20"/>
          <w:szCs w:val="20"/>
          <w:color w:val="auto"/>
        </w:rPr>
      </w:pPr>
      <w:r>
        <w:rPr>
          <w:rFonts w:ascii="Times New Roman" w:cs="Times New Roman" w:eastAsia="Times New Roman" w:hAnsi="Times New Roman"/>
          <w:sz w:val="18"/>
          <w:szCs w:val="18"/>
          <w:color w:val="auto"/>
        </w:rPr>
        <w:t>Liquidity is subject to many factors, such as normal business operations and general economic, financial, competitive, legislative, and regulatory factors that are beyond the Company’s control. Cash balances held in foreign locations that cannot be remitted back to the U.S. in a tax efficient manner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89" w:lineRule="exact"/>
        <w:rPr>
          <w:sz w:val="20"/>
          <w:szCs w:val="20"/>
          <w:color w:val="auto"/>
        </w:rPr>
      </w:pPr>
    </w:p>
    <w:p>
      <w:pPr>
        <w:ind w:left="60" w:right="159" w:firstLine="427"/>
        <w:spacing w:after="0" w:line="256" w:lineRule="auto"/>
        <w:rPr>
          <w:sz w:val="20"/>
          <w:szCs w:val="20"/>
          <w:color w:val="auto"/>
        </w:rPr>
      </w:pPr>
      <w:r>
        <w:rPr>
          <w:rFonts w:ascii="Times New Roman" w:cs="Times New Roman" w:eastAsia="Times New Roman" w:hAnsi="Times New Roman"/>
          <w:sz w:val="18"/>
          <w:szCs w:val="18"/>
          <w:color w:val="auto"/>
        </w:rPr>
        <w:t>As of the end of the third quarter of fiscal 2025, the Company had a combined total borrowing capacity of $2.00 billion under the Credit Facility and the Securitization Program. There were $333.0 million of borrowings outstanding and $0.9 million in letters of credit issued under the Credit Facility, and $500.0 million outstanding under the Securitization Program, resulting in approximately $1.17 billion of total committed availability as of March 29, 2025. Availability under the Securitization Program is subject to the Company having sufficient eligible trade accounts receivable in the United States to support desired borrowings.</w:t>
      </w:r>
    </w:p>
    <w:p>
      <w:pPr>
        <w:spacing w:after="0" w:line="187" w:lineRule="exact"/>
        <w:rPr>
          <w:sz w:val="20"/>
          <w:szCs w:val="20"/>
          <w:color w:val="auto"/>
        </w:rPr>
      </w:pPr>
    </w:p>
    <w:p>
      <w:pPr>
        <w:ind w:left="60" w:right="159" w:firstLine="432"/>
        <w:spacing w:after="0" w:line="258" w:lineRule="auto"/>
        <w:rPr>
          <w:sz w:val="20"/>
          <w:szCs w:val="20"/>
          <w:color w:val="auto"/>
        </w:rPr>
      </w:pPr>
      <w:r>
        <w:rPr>
          <w:rFonts w:ascii="Times New Roman" w:cs="Times New Roman" w:eastAsia="Times New Roman" w:hAnsi="Times New Roman"/>
          <w:sz w:val="18"/>
          <w:szCs w:val="18"/>
          <w:color w:val="auto"/>
        </w:rPr>
        <w:t>During the third quarter and first nine months of fiscal 2025, the Company had an average daily balance outstanding of approximately $1.11 billion and $1.08 billion, respectively, under the Credit Facility, and approximately $494.7 million and $487.3 million, respectively, under the Securitization Program. The Company also has average borrowings that are higher than quarter end borrowings from various lines of credit, financing arrangements, and other forms of bank debt in the U.S. and various foreign locations.</w:t>
      </w:r>
    </w:p>
    <w:p>
      <w:pPr>
        <w:spacing w:after="0" w:line="183" w:lineRule="exact"/>
        <w:rPr>
          <w:sz w:val="20"/>
          <w:szCs w:val="20"/>
          <w:color w:val="auto"/>
        </w:rPr>
      </w:pPr>
    </w:p>
    <w:p>
      <w:pPr>
        <w:ind w:left="60" w:right="199" w:firstLine="427"/>
        <w:spacing w:after="0" w:line="277" w:lineRule="auto"/>
        <w:rPr>
          <w:sz w:val="20"/>
          <w:szCs w:val="20"/>
          <w:color w:val="auto"/>
        </w:rPr>
      </w:pPr>
      <w:r>
        <w:rPr>
          <w:rFonts w:ascii="Times New Roman" w:cs="Times New Roman" w:eastAsia="Times New Roman" w:hAnsi="Times New Roman"/>
          <w:sz w:val="17"/>
          <w:szCs w:val="17"/>
          <w:color w:val="auto"/>
        </w:rPr>
        <w:t>As of March 29, 2025, the Company may repurchase up to an aggregate of $414.1 million of shares of the Company’s common stock through the share repurchase program approved by the Board of Directors. The Company may repurchase stock from time to time at the discretion of management, subject to strategic considerations, market conditions (including share price), and other factors. The Company may terminate or limit the share repurchase program at any time without prior notice. During the third quarter of fiscal 2025, the Company repurchased $101.3 million of common stock.</w:t>
      </w:r>
    </w:p>
    <w:p>
      <w:pPr>
        <w:spacing w:after="0" w:line="168" w:lineRule="exact"/>
        <w:rPr>
          <w:sz w:val="20"/>
          <w:szCs w:val="20"/>
          <w:color w:val="auto"/>
        </w:rPr>
      </w:pPr>
    </w:p>
    <w:p>
      <w:pPr>
        <w:ind w:left="60" w:right="159" w:firstLine="427"/>
        <w:spacing w:after="0" w:line="266" w:lineRule="auto"/>
        <w:rPr>
          <w:sz w:val="20"/>
          <w:szCs w:val="20"/>
          <w:color w:val="auto"/>
        </w:rPr>
      </w:pPr>
      <w:r>
        <w:rPr>
          <w:rFonts w:ascii="Times New Roman" w:cs="Times New Roman" w:eastAsia="Times New Roman" w:hAnsi="Times New Roman"/>
          <w:sz w:val="18"/>
          <w:szCs w:val="18"/>
          <w:color w:val="auto"/>
        </w:rPr>
        <w:t>The Company has historically paid quarterly cash dividends on shares of its common stock, and future dividends are subject to approval by the Board of Directors. During the third quarter of fiscal 2025, the Board of Directors approved a dividend of $0.33 per share, which resulted in $28.2 million of dividend payments during the quarter.</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02" w:lineRule="exact"/>
        <w:rPr>
          <w:sz w:val="20"/>
          <w:szCs w:val="20"/>
          <w:color w:val="auto"/>
        </w:rPr>
      </w:pPr>
    </w:p>
    <w:p>
      <w:pPr>
        <w:ind w:left="60" w:right="339" w:firstLine="427"/>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ind w:left="60" w:right="179" w:firstLine="432"/>
        <w:spacing w:after="0" w:line="261" w:lineRule="auto"/>
        <w:rPr>
          <w:sz w:val="20"/>
          <w:szCs w:val="20"/>
          <w:color w:val="auto"/>
        </w:rPr>
      </w:pPr>
      <w:r>
        <w:rPr>
          <w:rFonts w:ascii="Times New Roman" w:cs="Times New Roman" w:eastAsia="Times New Roman" w:hAnsi="Times New Roman"/>
          <w:sz w:val="18"/>
          <w:szCs w:val="18"/>
          <w:color w:val="auto"/>
        </w:rPr>
        <w:t>The Company seeks to reduce earnings and cash flow volatility associated with changes in interest rates and foreign currency exchange rates through financial arrangements that are intended to provide an economic hedge against the risks associated with such volatility. The Company continues to have exposure to such risks to the extent they are not economically hedged.</w:t>
      </w:r>
    </w:p>
    <w:p>
      <w:pPr>
        <w:spacing w:after="0" w:line="178"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 xml:space="preserve">See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 the Company’s Annual Report on Form 10-K for the fiscal year ended June 29, 2024, for further discussion of market risks associated with foreign currency exchange rates and interest rates. Avnet’s exposure to such risks has not changed materially since June 29, 2024, as the Company continues to economically hedge the majority of its foreign currency exchange exposures. Thus, any increase or decrease in the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183" w:lineRule="exact"/>
        <w:rPr>
          <w:sz w:val="20"/>
          <w:szCs w:val="20"/>
          <w:color w:val="auto"/>
        </w:rPr>
      </w:pPr>
    </w:p>
    <w:p>
      <w:pPr>
        <w:ind w:left="60" w:right="59" w:firstLine="427"/>
        <w:spacing w:after="0" w:line="25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Liquidity and Capital Resources — Financing Transactions</w:t>
      </w:r>
      <w:r>
        <w:rPr>
          <w:rFonts w:ascii="Times New Roman" w:cs="Times New Roman" w:eastAsia="Times New Roman" w:hAnsi="Times New Roman"/>
          <w:sz w:val="18"/>
          <w:szCs w:val="18"/>
          <w:color w:val="auto"/>
        </w:rPr>
        <w:t xml:space="preserve"> appearing in Item 2 of this Quarterly Report on Form 10-Q for further discussion of the Company’s financing transactions and capital structure. As of March 29, 2025, approximately 63% of the Company’s debt bears interest at a fixed rate and 37% of the Company’s debt bears interest at variable rates. Therefore, a hypothetical 1.0% (100 basis points) increase in interest rates would result in a $2.4 million decrease in income before income taxes in the Company’s consolidated statement of operations for the third quarter of fiscal 2025.</w:t>
      </w:r>
    </w:p>
    <w:p>
      <w:pPr>
        <w:spacing w:after="0" w:line="18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89" w:lineRule="exact"/>
        <w:rPr>
          <w:sz w:val="20"/>
          <w:szCs w:val="20"/>
          <w:color w:val="auto"/>
        </w:rPr>
      </w:pPr>
    </w:p>
    <w:p>
      <w:pPr>
        <w:ind w:left="60" w:right="99" w:firstLine="432"/>
        <w:spacing w:after="0" w:line="253" w:lineRule="auto"/>
        <w:rPr>
          <w:sz w:val="20"/>
          <w:szCs w:val="20"/>
          <w:color w:val="auto"/>
        </w:rPr>
      </w:pPr>
      <w:r>
        <w:rPr>
          <w:rFonts w:ascii="Times New Roman" w:cs="Times New Roman" w:eastAsia="Times New Roman" w:hAnsi="Times New Roman"/>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94" w:lineRule="exact"/>
        <w:rPr>
          <w:sz w:val="20"/>
          <w:szCs w:val="20"/>
          <w:color w:val="auto"/>
        </w:rPr>
      </w:pPr>
    </w:p>
    <w:p>
      <w:pPr>
        <w:ind w:left="60" w:right="439" w:firstLine="432"/>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2025, there were no changes to the Company’s internal control over financial reporting (as defined in Rules 13a-15(f) and 15d-15(f) of the Exchange Act)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8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ind w:left="60" w:right="239" w:firstLine="432"/>
        <w:spacing w:after="0" w:line="256" w:lineRule="auto"/>
        <w:rPr>
          <w:sz w:val="20"/>
          <w:szCs w:val="20"/>
          <w:color w:val="auto"/>
        </w:rPr>
      </w:pPr>
      <w:r>
        <w:rPr>
          <w:rFonts w:ascii="Times New Roman" w:cs="Times New Roman" w:eastAsia="Times New Roman" w:hAnsi="Times New Roman"/>
          <w:sz w:val="18"/>
          <w:szCs w:val="18"/>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187" w:lineRule="exact"/>
        <w:rPr>
          <w:sz w:val="20"/>
          <w:szCs w:val="20"/>
          <w:color w:val="auto"/>
        </w:rPr>
      </w:pPr>
    </w:p>
    <w:p>
      <w:pPr>
        <w:jc w:val="both"/>
        <w:ind w:left="60" w:right="299" w:firstLine="432"/>
        <w:spacing w:after="0" w:line="281" w:lineRule="auto"/>
        <w:rPr>
          <w:sz w:val="20"/>
          <w:szCs w:val="20"/>
          <w:color w:val="auto"/>
        </w:rPr>
      </w:pPr>
      <w:r>
        <w:rPr>
          <w:rFonts w:ascii="Times New Roman" w:cs="Times New Roman" w:eastAsia="Times New Roman" w:hAnsi="Times New Roman"/>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6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89" w:lineRule="exact"/>
        <w:rPr>
          <w:sz w:val="20"/>
          <w:szCs w:val="20"/>
          <w:color w:val="auto"/>
        </w:rPr>
      </w:pPr>
    </w:p>
    <w:p>
      <w:pPr>
        <w:ind w:left="60" w:right="99" w:firstLine="427"/>
        <w:spacing w:after="0" w:line="256" w:lineRule="auto"/>
        <w:rPr>
          <w:sz w:val="20"/>
          <w:szCs w:val="20"/>
          <w:color w:val="auto"/>
        </w:rPr>
      </w:pPr>
      <w:r>
        <w:rPr>
          <w:rFonts w:ascii="Times New Roman" w:cs="Times New Roman" w:eastAsia="Times New Roman" w:hAnsi="Times New Roman"/>
          <w:sz w:val="18"/>
          <w:szCs w:val="18"/>
          <w:color w:val="auto"/>
        </w:rPr>
        <w:t>The discussion of the Company’s business and operations should be read together with the risk factors contained in Item 1A of its Annual Report on Form 10-K for the fiscal year ended June 29, 2024,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March 29, 2025, there have been no material changes to the risk factors set forth in the Company’s Annual Report on Form 10-K for the fiscal year ended June 29, 2024.</w:t>
      </w:r>
    </w:p>
    <w:p>
      <w:pPr>
        <w:spacing w:after="0" w:line="183"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89" w:lineRule="exact"/>
        <w:rPr>
          <w:sz w:val="20"/>
          <w:szCs w:val="20"/>
          <w:color w:val="auto"/>
        </w:rPr>
      </w:pPr>
    </w:p>
    <w:p>
      <w:pPr>
        <w:ind w:left="60" w:right="219" w:firstLine="427"/>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approved the repurchase plan of up to an aggregate of $600 million of common stock including the increase approved in August 2024. The following table includes the Company’s monthly purchases of the Company’s common stock, excluding excise tax, during the third quarter of fiscal 2025, under the share repurchase program, which is part of publicly announced plans.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45"/>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80" w:type="dxa"/>
            <w:vAlign w:val="bottom"/>
          </w:tcPr>
          <w:p>
            <w:pPr>
              <w:spacing w:after="0"/>
              <w:rPr>
                <w:sz w:val="21"/>
                <w:szCs w:val="21"/>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r>
      <w:tr>
        <w:trPr>
          <w:trHeight w:val="216"/>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29 – January 25</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370,167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370,167</w:t>
            </w:r>
          </w:p>
        </w:tc>
        <w:tc>
          <w:tcPr>
            <w:tcW w:w="1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495,919,000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26 – February 22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730,459</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730,459</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458,642,000</w:t>
            </w:r>
          </w:p>
        </w:tc>
        <w:tc>
          <w:tcPr>
            <w:tcW w:w="40" w:type="dxa"/>
            <w:vAlign w:val="bottom"/>
          </w:tcPr>
          <w:p>
            <w:pPr>
              <w:spacing w:after="0"/>
              <w:rPr>
                <w:sz w:val="18"/>
                <w:szCs w:val="18"/>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23 – March 29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902,822</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414,120,000</w:t>
            </w:r>
          </w:p>
        </w:tc>
        <w:tc>
          <w:tcPr>
            <w:tcW w:w="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6" w:lineRule="exact"/>
        <w:rPr>
          <w:sz w:val="20"/>
          <w:szCs w:val="20"/>
          <w:color w:val="auto"/>
        </w:rPr>
      </w:pPr>
    </w:p>
    <w:p>
      <w:pPr>
        <w:ind w:left="2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36830</wp:posOffset>
            </wp:positionV>
            <wp:extent cx="5648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31.1*</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425"/>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42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32.1**</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42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32.2**</w:t>
            </w:r>
          </w:p>
        </w:tc>
        <w:tc>
          <w:tcPr>
            <w:tcW w:w="7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448"/>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101.INS*</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XBRL - the instance document does not appear in the Interactive Data File because its XBRL tags are</w:t>
            </w:r>
          </w:p>
        </w:tc>
      </w:tr>
      <w:tr>
        <w:trPr>
          <w:trHeight w:val="234"/>
        </w:trPr>
        <w:tc>
          <w:tcPr>
            <w:tcW w:w="1100" w:type="dxa"/>
            <w:vAlign w:val="bottom"/>
          </w:tcPr>
          <w:p>
            <w:pPr>
              <w:spacing w:after="0"/>
              <w:rPr>
                <w:sz w:val="20"/>
                <w:szCs w:val="20"/>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4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7"/>
              </w:rPr>
              <w:t>101.SCH*</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45"/>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101.DEF*</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4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6"/>
              </w:rPr>
              <w:t>101.CAL*</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45"/>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6"/>
              </w:rPr>
              <w:t>101.LAB*</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4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101.PRE*</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231140</wp:posOffset>
            </wp:positionV>
            <wp:extent cx="14141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 w:hanging="53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640" w:right="139" w:hanging="530"/>
        <w:spacing w:after="0" w:line="261"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left="60" w:right="19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2, 2025</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AVNET, INC.</w:t>
      </w:r>
    </w:p>
    <w:p>
      <w:pPr>
        <w:spacing w:after="0" w:line="200" w:lineRule="exact"/>
        <w:rPr>
          <w:sz w:val="20"/>
          <w:szCs w:val="20"/>
          <w:color w:val="auto"/>
        </w:rPr>
      </w:pPr>
    </w:p>
    <w:p>
      <w:pPr>
        <w:spacing w:after="0" w:line="304" w:lineRule="exact"/>
        <w:rPr>
          <w:sz w:val="20"/>
          <w:szCs w:val="20"/>
          <w:color w:val="auto"/>
        </w:rPr>
      </w:pPr>
    </w:p>
    <w:p>
      <w:pPr>
        <w:ind w:left="454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JACOBSON</w:t>
      </w:r>
    </w:p>
    <w:p>
      <w:pPr>
        <w:spacing w:after="0" w:line="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-127635</wp:posOffset>
            </wp:positionV>
            <wp:extent cx="25800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R. Gallagher, certify that:</w:t>
      </w:r>
    </w:p>
    <w:p>
      <w:pPr>
        <w:spacing w:after="0" w:line="158" w:lineRule="exact"/>
        <w:rPr>
          <w:sz w:val="20"/>
          <w:szCs w:val="20"/>
          <w:color w:val="auto"/>
        </w:rPr>
      </w:pPr>
    </w:p>
    <w:p>
      <w:pPr>
        <w:ind w:left="640" w:hanging="32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2025</w:t>
      </w:r>
    </w:p>
    <w:p>
      <w:pPr>
        <w:spacing w:after="0" w:line="2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26035</wp:posOffset>
            </wp:positionV>
            <wp:extent cx="32150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673100</wp:posOffset>
            </wp:positionV>
            <wp:extent cx="649795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Jacobson, certify that:</w:t>
      </w:r>
    </w:p>
    <w:p>
      <w:pPr>
        <w:spacing w:after="0" w:line="158" w:lineRule="exact"/>
        <w:rPr>
          <w:sz w:val="20"/>
          <w:szCs w:val="20"/>
          <w:color w:val="auto"/>
        </w:rPr>
      </w:pPr>
    </w:p>
    <w:p>
      <w:pPr>
        <w:ind w:left="640" w:hanging="32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2025</w:t>
      </w: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26035</wp:posOffset>
            </wp:positionV>
            <wp:extent cx="32150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677545</wp:posOffset>
            </wp:positionV>
            <wp:extent cx="6497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30" w:name="page31"/>
    <w:bookmarkEnd w:id="3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29, 2025 (the “Report”), I, Philip 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Gallagher, Chief Executive Officer of Avnet, Inc. (the “Company”) hereby certify that:</w:t>
      </w:r>
    </w:p>
    <w:p>
      <w:pPr>
        <w:spacing w:after="0" w:line="158" w:lineRule="exact"/>
        <w:rPr>
          <w:sz w:val="20"/>
          <w:szCs w:val="20"/>
          <w:color w:val="auto"/>
        </w:rPr>
      </w:pPr>
    </w:p>
    <w:p>
      <w:pPr>
        <w:ind w:left="700" w:right="699" w:hanging="332"/>
        <w:spacing w:after="0" w:line="329"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 2025</w:t>
      </w:r>
    </w:p>
    <w:p>
      <w:pPr>
        <w:spacing w:after="0" w:line="2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26035</wp:posOffset>
            </wp:positionV>
            <wp:extent cx="2785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5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31" w:name="page32"/>
    <w:bookmarkEnd w:id="3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29, 2025 (the “Report”), I, Kenneth A.</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Jacobson, Chief Financial Officer of Avnet, Inc. (the “Company”) hereby certify that:</w:t>
      </w:r>
    </w:p>
    <w:p>
      <w:pPr>
        <w:spacing w:after="0" w:line="158" w:lineRule="exact"/>
        <w:rPr>
          <w:sz w:val="20"/>
          <w:szCs w:val="20"/>
          <w:color w:val="auto"/>
        </w:rPr>
      </w:pPr>
    </w:p>
    <w:p>
      <w:pPr>
        <w:ind w:left="700" w:right="699" w:hanging="332"/>
        <w:spacing w:after="0" w:line="329"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 2025</w:t>
      </w:r>
    </w:p>
    <w:p>
      <w:pPr>
        <w:spacing w:after="0" w:line="2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26035</wp:posOffset>
            </wp:positionV>
            <wp:extent cx="2802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4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2025-05-02T05:09:54Z</dcterms:created>
  <dcterms:modified xsi:type="dcterms:W3CDTF">2025-05-02T05:09:54Z</dcterms:modified>
</cp:coreProperties>
</file>