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201930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92710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October 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85725</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83185</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Employer Identification No. 11-1890605</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8"/>
          <w:szCs w:val="8"/>
          <w:color w:val="auto"/>
        </w:rPr>
        <w:t>th</w:t>
      </w:r>
      <w:r>
        <w:rPr>
          <w:rFonts w:ascii="Arial" w:cs="Arial" w:eastAsia="Arial" w:hAnsi="Arial"/>
          <w:sz w:val="18"/>
          <w:szCs w:val="18"/>
          <w:color w:val="auto"/>
        </w:rPr>
        <w:t xml:space="preserve"> Street, Phoenix, Arizona 85034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(480) 643-2000</w:t>
      </w:r>
    </w:p>
    <w:p>
      <w:pPr>
        <w:spacing w:after="0" w:line="63" w:lineRule="exact"/>
        <w:rPr>
          <w:sz w:val="24"/>
          <w:szCs w:val="24"/>
          <w:color w:val="auto"/>
        </w:rPr>
      </w:pPr>
    </w:p>
    <w:p>
      <w:pPr>
        <w:jc w:val="both"/>
        <w:ind w:firstLine="432"/>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2" w:lineRule="exact"/>
        <w:rPr>
          <w:sz w:val="24"/>
          <w:szCs w:val="24"/>
          <w:color w:val="auto"/>
        </w:rPr>
      </w:pPr>
    </w:p>
    <w:p>
      <w:pPr>
        <w:jc w:val="both"/>
        <w:ind w:firstLine="432"/>
        <w:spacing w:after="0" w:line="27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jc w:val="both"/>
        <w:ind w:firstLine="42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41" w:lineRule="exact"/>
        <w:rPr>
          <w:sz w:val="24"/>
          <w:szCs w:val="24"/>
          <w:color w:val="auto"/>
        </w:rPr>
      </w:pPr>
    </w:p>
    <w:p>
      <w:pPr>
        <w:ind w:left="2240" w:right="120" w:hanging="4119"/>
        <w:spacing w:after="0" w:line="253" w:lineRule="exact"/>
        <w:tabs>
          <w:tab w:leader="none" w:pos="22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reporting company)</w:t>
      </w:r>
    </w:p>
    <w:p>
      <w:pPr>
        <w:spacing w:after="0" w:line="26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41" w:lineRule="exact"/>
        <w:rPr>
          <w:sz w:val="24"/>
          <w:szCs w:val="24"/>
          <w:color w:val="auto"/>
        </w:rPr>
      </w:pPr>
    </w:p>
    <w:p>
      <w:pPr>
        <w:ind w:left="200" w:hanging="197"/>
        <w:spacing w:after="0" w:line="207" w:lineRule="exact"/>
        <w:tabs>
          <w:tab w:leader="none" w:pos="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As of October 22, 2015, the total number of shares outstanding of the registrant’s Common Stock was 132,007,717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940435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560" w:type="dxa"/>
            <w:vAlign w:val="bottom"/>
            <w:gridSpan w:val="2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gridSpan w:val="8"/>
          </w:tcPr>
          <w:p>
            <w:pPr>
              <w:jc w:val="center"/>
              <w:ind w:right="1260"/>
              <w:spacing w:after="0"/>
              <w:rPr>
                <w:sz w:val="20"/>
                <w:szCs w:val="20"/>
                <w:color w:val="auto"/>
              </w:rPr>
            </w:pPr>
            <w:r>
              <w:rPr>
                <w:rFonts w:ascii="Arial" w:cs="Arial" w:eastAsia="Arial" w:hAnsi="Arial"/>
                <w:sz w:val="18"/>
                <w:szCs w:val="18"/>
                <w:b w:val="1"/>
                <w:bCs w:val="1"/>
                <w:color w:val="auto"/>
                <w:w w:val="99"/>
              </w:rPr>
              <w:t>AVNET, INC. AND SUBSIDIARIES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20" w:type="dxa"/>
            <w:vAlign w:val="bottom"/>
            <w:gridSpan w:val="7"/>
          </w:tcPr>
          <w:p>
            <w:pPr>
              <w:jc w:val="center"/>
              <w:ind w:right="2040"/>
              <w:spacing w:after="0"/>
              <w:rPr>
                <w:sz w:val="20"/>
                <w:szCs w:val="20"/>
                <w:color w:val="auto"/>
              </w:rPr>
            </w:pPr>
            <w:r>
              <w:rPr>
                <w:rFonts w:ascii="Arial" w:cs="Arial" w:eastAsia="Arial" w:hAnsi="Arial"/>
                <w:sz w:val="18"/>
                <w:szCs w:val="18"/>
                <w:b w:val="1"/>
                <w:bCs w:val="1"/>
                <w:color w:val="auto"/>
              </w:rPr>
              <w:t>INDEX</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7"/>
            <w:vMerge w:val="restart"/>
          </w:tcPr>
          <w:p>
            <w:pPr>
              <w:jc w:val="cente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206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tcBorders>
              <w:bottom w:val="single" w:sz="8" w:color="0000EE"/>
            </w:tcBorders>
            <w:gridSpan w:val="7"/>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20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54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18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at October 3, 2015 and June 27, 2015</w:t>
              </w:r>
            </w:hyperlink>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1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for the first quarters ended October 3, 2015 and September</w:t>
              </w:r>
            </w:hyperlink>
          </w:p>
        </w:tc>
        <w:tc>
          <w:tcPr>
            <w:tcW w:w="240" w:type="dxa"/>
            <w:vAlign w:val="bottom"/>
            <w:tcBorders>
              <w:bottom w:val="single" w:sz="8" w:color="0000EE"/>
            </w:tcBorders>
            <w:gridSpan w:val="2"/>
          </w:tcPr>
          <w:p>
            <w:pPr>
              <w:jc w:val="right"/>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27,</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gridSpan w:val="4"/>
          </w:tcPr>
          <w:p>
            <w:pPr>
              <w:ind w:left="52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2014</w:t>
              </w:r>
            </w:hyperlink>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8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for the first quarters ended October 3, 2015 and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September 27, 2014</w:t>
              </w:r>
            </w:hyperlink>
          </w:p>
        </w:tc>
        <w:tc>
          <w:tcPr>
            <w:tcW w:w="5560" w:type="dxa"/>
            <w:vAlign w:val="bottom"/>
            <w:tcBorders>
              <w:top w:val="single" w:sz="8" w:color="0000EE"/>
            </w:tcBorders>
            <w:gridSpan w:val="12"/>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180" w:type="dxa"/>
            <w:vAlign w:val="bottom"/>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first quarters ended October 3, 2015 and September</w:t>
              </w:r>
            </w:hyperlink>
          </w:p>
        </w:tc>
        <w:tc>
          <w:tcPr>
            <w:tcW w:w="580" w:type="dxa"/>
            <w:vAlign w:val="bottom"/>
            <w:gridSpan w:val="4"/>
          </w:tcPr>
          <w:p>
            <w:pPr>
              <w:jc w:val="right"/>
              <w:ind w:right="210"/>
              <w:spacing w:after="0"/>
              <w:rPr>
                <w:rFonts w:ascii="Arial" w:cs="Arial" w:eastAsia="Arial" w:hAnsi="Arial"/>
                <w:sz w:val="18"/>
                <w:szCs w:val="18"/>
                <w:color w:val="0000EE"/>
              </w:rPr>
            </w:pPr>
            <w:hyperlink w:anchor="page6">
              <w:r>
                <w:rPr>
                  <w:rFonts w:ascii="Arial" w:cs="Arial" w:eastAsia="Arial" w:hAnsi="Arial"/>
                  <w:sz w:val="18"/>
                  <w:szCs w:val="18"/>
                  <w:color w:val="0000EE"/>
                </w:rPr>
                <w:t>27,</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gridSpan w:val="2"/>
          </w:tcPr>
          <w:p>
            <w:pPr>
              <w:spacing w:after="0"/>
              <w:rPr>
                <w:sz w:val="17"/>
                <w:szCs w:val="17"/>
                <w:color w:val="auto"/>
              </w:rPr>
            </w:pPr>
          </w:p>
        </w:tc>
        <w:tc>
          <w:tcPr>
            <w:tcW w:w="500" w:type="dxa"/>
            <w:vAlign w:val="bottom"/>
            <w:tcBorders>
              <w:top w:val="single" w:sz="8" w:color="0000EE"/>
            </w:tcBorders>
            <w:gridSpan w:val="2"/>
          </w:tcPr>
          <w:p>
            <w:pPr>
              <w:ind w:left="14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2014</w:t>
              </w:r>
            </w:hyperlink>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gridSpan w:val="3"/>
          </w:tcPr>
          <w:p>
            <w:pPr>
              <w:spacing w:after="0"/>
              <w:rPr>
                <w:sz w:val="17"/>
                <w:szCs w:val="17"/>
                <w:color w:val="auto"/>
              </w:rPr>
            </w:pP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4020" w:type="dxa"/>
            <w:vAlign w:val="bottom"/>
            <w:gridSpan w:val="7"/>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0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Item 2. Management's Discussion and Analysis of Financial Condition and Results of Operations</w:t>
            </w:r>
          </w:p>
        </w:tc>
        <w:tc>
          <w:tcPr>
            <w:tcW w:w="50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Item 3. Quantitative and Qualitative Disclosures About Market Risk</w:t>
              </w:r>
            </w:hyperlink>
          </w:p>
        </w:tc>
        <w:tc>
          <w:tcPr>
            <w:tcW w:w="2580" w:type="dxa"/>
            <w:vAlign w:val="bottom"/>
            <w:gridSpan w:val="5"/>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5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 Controls and Procedures</w:t>
              </w:r>
            </w:hyperlink>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5"/>
          </w:tcPr>
          <w:p>
            <w:pPr>
              <w:jc w:val="cente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PART II. OTHER INFORMATION</w:t>
              </w:r>
            </w:hyperlink>
          </w:p>
        </w:tc>
        <w:tc>
          <w:tcPr>
            <w:tcW w:w="2220" w:type="dxa"/>
            <w:vAlign w:val="bottom"/>
            <w:gridSpan w:val="3"/>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5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 Legal Proceedings</w:t>
              </w:r>
            </w:hyperlink>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5620" w:type="dxa"/>
            <w:vAlign w:val="bottom"/>
            <w:gridSpan w:val="13"/>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750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 Unregistered Sales of Equity Securities and Use of Proceeds</w:t>
              </w:r>
            </w:hyperlink>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10"/>
          </w:tcPr>
          <w:p>
            <w:pPr>
              <w:spacing w:after="0"/>
              <w:rPr>
                <w:sz w:val="24"/>
                <w:szCs w:val="24"/>
                <w:color w:val="auto"/>
              </w:rPr>
            </w:pPr>
          </w:p>
        </w:tc>
        <w:tc>
          <w:tcPr>
            <w:tcW w:w="2600" w:type="dxa"/>
            <w:vAlign w:val="bottom"/>
            <w:gridSpan w:val="6"/>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50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 Page</w:t>
              </w:r>
            </w:hyperlink>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w w:val="98"/>
              </w:rPr>
              <w:t>PART I</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AVNET, INC. AND SUBSIDIARIES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20" w:type="dxa"/>
            <w:vAlign w:val="bottom"/>
          </w:tcPr>
          <w:p>
            <w:pPr>
              <w:jc w:val="center"/>
              <w:ind w:left="117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11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October 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27,</w:t>
            </w:r>
          </w:p>
        </w:tc>
        <w:tc>
          <w:tcPr>
            <w:tcW w:w="0" w:type="dxa"/>
            <w:vAlign w:val="bottom"/>
          </w:tcPr>
          <w:p>
            <w:pPr>
              <w:spacing w:after="0"/>
              <w:rPr>
                <w:sz w:val="1"/>
                <w:szCs w:val="1"/>
                <w:color w:val="auto"/>
              </w:rPr>
            </w:pPr>
          </w:p>
        </w:tc>
      </w:tr>
      <w:tr>
        <w:trPr>
          <w:trHeight w:val="241"/>
        </w:trPr>
        <w:tc>
          <w:tcPr>
            <w:tcW w:w="1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5"/>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(Thousands, except share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8"/>
              </w:rPr>
              <w:t>amounts)</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620" w:type="dxa"/>
            <w:vAlign w:val="bottom"/>
            <w:shd w:val="clear" w:color="auto" w:fill="CCEEFF"/>
          </w:tcPr>
          <w:p>
            <w:pPr>
              <w:jc w:val="center"/>
              <w:ind w:right="109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824,695</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Receivables, less allowances of $76,376 and $80,721,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4,903,250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5,054,307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2,805,012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2,482,183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181,566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173,030</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8,714,523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8,642,073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579,471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568,779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Other assets</w:t>
            </w:r>
          </w:p>
        </w:tc>
        <w:tc>
          <w:tcPr>
            <w:tcW w:w="5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213,219</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210,614</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10,864,456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10,799,953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620" w:type="dxa"/>
            <w:vAlign w:val="bottom"/>
            <w:shd w:val="clear" w:color="auto" w:fill="CCEEFF"/>
          </w:tcPr>
          <w:p>
            <w:pPr>
              <w:jc w:val="center"/>
              <w:ind w:right="109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1,036,413</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3,339,844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3,338,052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 and other</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583,998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603,129</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4,960,255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4,272,296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1,646,501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197,178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196,135</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6,233,185</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6,114,932</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Commitments and contingencies (Note 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89"/>
              </w:rPr>
              <w:t>Common stock $1.00 par; authorized 300,000,000 shares; issued 132,174,142 shares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135,496,472 shares,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132,174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135,496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3,548,669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3,582,599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Treasury stock at cost, 30,473 shares and 31,901 shares, respectively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6"/>
        </w:trPr>
        <w:tc>
          <w:tcPr>
            <w:tcW w:w="67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4,631,271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4,685,021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10,864,456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10,799,953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2"/>
              </w:rPr>
              <w:t>First Quarters Ended</w:t>
            </w:r>
          </w:p>
        </w:tc>
      </w:tr>
      <w:tr>
        <w:trPr>
          <w:trHeight w:val="198"/>
        </w:trPr>
        <w:tc>
          <w:tcPr>
            <w:tcW w:w="4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rPr>
              <w:t>October 3,</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0"/>
              </w:rPr>
              <w:t>September 27,</w:t>
            </w:r>
          </w:p>
        </w:tc>
        <w:tc>
          <w:tcPr>
            <w:tcW w:w="40" w:type="dxa"/>
            <w:vAlign w:val="bottom"/>
          </w:tcPr>
          <w:p>
            <w:pPr>
              <w:spacing w:after="0"/>
              <w:rPr>
                <w:sz w:val="17"/>
                <w:szCs w:val="17"/>
                <w:color w:val="auto"/>
              </w:rPr>
            </w:pPr>
          </w:p>
        </w:tc>
      </w:tr>
      <w:tr>
        <w:trPr>
          <w:trHeight w:val="241"/>
        </w:trPr>
        <w:tc>
          <w:tcPr>
            <w:tcW w:w="4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r>
      <w:tr>
        <w:trPr>
          <w:trHeight w:val="216"/>
        </w:trPr>
        <w:tc>
          <w:tcPr>
            <w:tcW w:w="4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7"/>
              </w:rPr>
              <w:t>(Thousands, except per share amounts)</w:t>
            </w:r>
          </w:p>
        </w:tc>
        <w:tc>
          <w:tcPr>
            <w:tcW w:w="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6,969,694</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6,839,587</w:t>
            </w:r>
          </w:p>
        </w:tc>
        <w:tc>
          <w:tcPr>
            <w:tcW w:w="40" w:type="dxa"/>
            <w:vAlign w:val="bottom"/>
            <w:shd w:val="clear" w:color="auto" w:fill="CCEEFF"/>
          </w:tcPr>
          <w:p>
            <w:pPr>
              <w:spacing w:after="0"/>
              <w:rPr>
                <w:sz w:val="18"/>
                <w:szCs w:val="18"/>
                <w:color w:val="auto"/>
              </w:rPr>
            </w:pPr>
          </w:p>
        </w:tc>
      </w:tr>
      <w:tr>
        <w:trPr>
          <w:trHeight w:val="223"/>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6,178,218</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6,044,124</w:t>
            </w:r>
          </w:p>
        </w:tc>
        <w:tc>
          <w:tcPr>
            <w:tcW w:w="40" w:type="dxa"/>
            <w:vAlign w:val="bottom"/>
            <w:tcBorders>
              <w:bottom w:val="single" w:sz="8" w:color="CCEEFF"/>
            </w:tcBorders>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791,476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795,463</w:t>
            </w: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558,556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583,946</w:t>
            </w:r>
          </w:p>
        </w:tc>
        <w:tc>
          <w:tcPr>
            <w:tcW w:w="40" w:type="dxa"/>
            <w:vAlign w:val="bottom"/>
          </w:tcPr>
          <w:p>
            <w:pPr>
              <w:spacing w:after="0"/>
              <w:rPr>
                <w:sz w:val="18"/>
                <w:szCs w:val="18"/>
                <w:color w:val="auto"/>
              </w:rPr>
            </w:pPr>
          </w:p>
        </w:tc>
      </w:tr>
      <w:tr>
        <w:trPr>
          <w:trHeight w:val="236"/>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25,958</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18,320</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460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206,962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193,197</w:t>
            </w:r>
          </w:p>
        </w:tc>
        <w:tc>
          <w:tcPr>
            <w:tcW w:w="40" w:type="dxa"/>
            <w:vAlign w:val="bottom"/>
          </w:tcPr>
          <w:p>
            <w:pPr>
              <w:spacing w:after="0"/>
              <w:rPr>
                <w:sz w:val="17"/>
                <w:szCs w:val="17"/>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4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(23,602)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(23,400)</w:t>
            </w: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177,506</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168,304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47,252</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40,358</w:t>
            </w:r>
          </w:p>
        </w:tc>
        <w:tc>
          <w:tcPr>
            <w:tcW w:w="40" w:type="dxa"/>
            <w:vAlign w:val="bottom"/>
            <w:tcBorders>
              <w:bottom w:val="single" w:sz="8" w:color="CCEEFF"/>
            </w:tcBorders>
          </w:tcPr>
          <w:p>
            <w:pPr>
              <w:spacing w:after="0"/>
              <w:rPr>
                <w:sz w:val="19"/>
                <w:szCs w:val="19"/>
                <w:color w:val="auto"/>
              </w:rPr>
            </w:pPr>
          </w:p>
        </w:tc>
      </w:tr>
      <w:tr>
        <w:trPr>
          <w:trHeight w:val="236"/>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130,254</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127,946</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4600" w:type="dxa"/>
            <w:vAlign w:val="bottom"/>
          </w:tcPr>
          <w:p>
            <w:pPr>
              <w:spacing w:after="0" w:line="203" w:lineRule="exact"/>
              <w:rPr>
                <w:sz w:val="20"/>
                <w:szCs w:val="20"/>
                <w:color w:val="auto"/>
              </w:rPr>
            </w:pPr>
            <w:r>
              <w:rPr>
                <w:rFonts w:ascii="Arial" w:cs="Arial" w:eastAsia="Arial" w:hAnsi="Arial"/>
                <w:sz w:val="18"/>
                <w:szCs w:val="18"/>
                <w:color w:val="auto"/>
              </w:rPr>
              <w:t>Earnings per share:</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6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40" w:type="dxa"/>
            <w:vAlign w:val="bottom"/>
            <w:shd w:val="clear" w:color="auto" w:fill="CCEEFF"/>
          </w:tcPr>
          <w:p>
            <w:pPr>
              <w:spacing w:after="0"/>
              <w:rPr>
                <w:sz w:val="20"/>
                <w:szCs w:val="20"/>
                <w:color w:val="auto"/>
              </w:rPr>
            </w:pPr>
          </w:p>
        </w:tc>
      </w:tr>
      <w:tr>
        <w:trPr>
          <w:trHeight w:val="210"/>
        </w:trPr>
        <w:tc>
          <w:tcPr>
            <w:tcW w:w="4600" w:type="dxa"/>
            <w:vAlign w:val="bottom"/>
            <w:tcBorders>
              <w:top w:val="single" w:sz="8" w:color="CCEEFF"/>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Diluted</w:t>
            </w:r>
          </w:p>
        </w:tc>
        <w:tc>
          <w:tcPr>
            <w:tcW w:w="1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0.96</w:t>
            </w:r>
          </w:p>
        </w:tc>
        <w:tc>
          <w:tcPr>
            <w:tcW w:w="26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0.91</w:t>
            </w: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4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133,783</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138,309</w:t>
            </w:r>
          </w:p>
        </w:tc>
        <w:tc>
          <w:tcPr>
            <w:tcW w:w="40" w:type="dxa"/>
            <w:vAlign w:val="bottom"/>
            <w:tcBorders>
              <w:bottom w:val="single" w:sz="8" w:color="CCEEFF"/>
            </w:tcBorders>
          </w:tcPr>
          <w:p>
            <w:pPr>
              <w:spacing w:after="0"/>
              <w:rPr>
                <w:sz w:val="19"/>
                <w:szCs w:val="19"/>
                <w:color w:val="auto"/>
              </w:rPr>
            </w:pPr>
          </w:p>
        </w:tc>
      </w:tr>
      <w:tr>
        <w:trPr>
          <w:trHeight w:val="236"/>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136,326</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140,850</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4600" w:type="dxa"/>
            <w:vAlign w:val="bottom"/>
          </w:tcPr>
          <w:p>
            <w:pPr>
              <w:spacing w:after="0" w:line="203" w:lineRule="exact"/>
              <w:rPr>
                <w:sz w:val="20"/>
                <w:szCs w:val="20"/>
                <w:color w:val="auto"/>
              </w:rPr>
            </w:pPr>
            <w:r>
              <w:rPr>
                <w:rFonts w:ascii="Arial" w:cs="Arial" w:eastAsia="Arial" w:hAnsi="Arial"/>
                <w:sz w:val="18"/>
                <w:szCs w:val="18"/>
                <w:color w:val="auto"/>
              </w:rPr>
              <w:t>Cash dividends paid per common share</w:t>
            </w:r>
          </w:p>
        </w:tc>
        <w:tc>
          <w:tcPr>
            <w:tcW w:w="13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5"/>
          </w:tcPr>
          <w:p>
            <w:pPr>
              <w:ind w:left="28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5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7"/>
              </w:rPr>
              <w:t>October 3,</w:t>
            </w: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9"/>
              </w:rPr>
              <w:t>September 27,</w:t>
            </w:r>
          </w:p>
        </w:tc>
        <w:tc>
          <w:tcPr>
            <w:tcW w:w="80" w:type="dxa"/>
            <w:vAlign w:val="bottom"/>
          </w:tcPr>
          <w:p>
            <w:pPr>
              <w:spacing w:after="0"/>
              <w:rPr>
                <w:sz w:val="17"/>
                <w:szCs w:val="17"/>
                <w:color w:val="auto"/>
              </w:rPr>
            </w:pPr>
          </w:p>
        </w:tc>
      </w:tr>
      <w:tr>
        <w:trPr>
          <w:trHeight w:val="241"/>
        </w:trPr>
        <w:tc>
          <w:tcPr>
            <w:tcW w:w="5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r>
      <w:tr>
        <w:trPr>
          <w:trHeight w:val="216"/>
        </w:trPr>
        <w:tc>
          <w:tcPr>
            <w:tcW w:w="5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130,254</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127,946</w:t>
            </w:r>
          </w:p>
        </w:tc>
        <w:tc>
          <w:tcPr>
            <w:tcW w:w="8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 and 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(205,732)</w:t>
            </w:r>
          </w:p>
        </w:tc>
        <w:tc>
          <w:tcPr>
            <w:tcW w:w="80" w:type="dxa"/>
            <w:vAlign w:val="bottom"/>
            <w:shd w:val="clear" w:color="auto" w:fill="CCEEFF"/>
          </w:tcPr>
          <w:p>
            <w:pPr>
              <w:spacing w:after="0"/>
              <w:rPr>
                <w:sz w:val="18"/>
                <w:szCs w:val="18"/>
                <w:color w:val="auto"/>
              </w:rPr>
            </w:pPr>
          </w:p>
        </w:tc>
      </w:tr>
      <w:tr>
        <w:trPr>
          <w:trHeight w:val="22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Pension adjustments, net</w:t>
            </w: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80" w:type="dxa"/>
            <w:vAlign w:val="bottom"/>
            <w:tcBorders>
              <w:bottom w:val="single" w:sz="8" w:color="CCEEFF"/>
            </w:tcBorders>
          </w:tcPr>
          <w:p>
            <w:pPr>
              <w:spacing w:after="0"/>
              <w:rPr>
                <w:sz w:val="19"/>
                <w:szCs w:val="19"/>
                <w:color w:val="auto"/>
              </w:rPr>
            </w:pPr>
          </w:p>
        </w:tc>
      </w:tr>
      <w:tr>
        <w:trPr>
          <w:trHeight w:val="223"/>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 (loss)</w:t>
            </w: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92,073</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(76,002)</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6"/>
          </w:tcPr>
          <w:p>
            <w:pPr>
              <w:ind w:left="24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6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180"/>
              <w:spacing w:after="0" w:line="198" w:lineRule="exact"/>
              <w:rPr>
                <w:sz w:val="20"/>
                <w:szCs w:val="20"/>
                <w:color w:val="auto"/>
              </w:rPr>
            </w:pPr>
            <w:r>
              <w:rPr>
                <w:rFonts w:ascii="Arial" w:cs="Arial" w:eastAsia="Arial" w:hAnsi="Arial"/>
                <w:sz w:val="18"/>
                <w:szCs w:val="18"/>
                <w:b w:val="1"/>
                <w:bCs w:val="1"/>
                <w:color w:val="auto"/>
                <w:w w:val="89"/>
              </w:rPr>
              <w:t>October 3,</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9"/>
              </w:rPr>
              <w:t>September 27,</w:t>
            </w:r>
          </w:p>
        </w:tc>
        <w:tc>
          <w:tcPr>
            <w:tcW w:w="80" w:type="dxa"/>
            <w:vAlign w:val="bottom"/>
          </w:tcPr>
          <w:p>
            <w:pPr>
              <w:spacing w:after="0"/>
              <w:rPr>
                <w:sz w:val="17"/>
                <w:szCs w:val="17"/>
                <w:color w:val="auto"/>
              </w:rPr>
            </w:pPr>
          </w:p>
        </w:tc>
      </w:tr>
      <w:tr>
        <w:trPr>
          <w:trHeight w:val="241"/>
        </w:trPr>
        <w:tc>
          <w:tcPr>
            <w:tcW w:w="6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r>
      <w:tr>
        <w:trPr>
          <w:trHeight w:val="216"/>
        </w:trPr>
        <w:tc>
          <w:tcPr>
            <w:tcW w:w="6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130,254</w:t>
            </w:r>
          </w:p>
        </w:tc>
        <w:tc>
          <w:tcPr>
            <w:tcW w:w="10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127,946</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and other reconciling items: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23,134</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10,290</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21,698</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17,715</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(net of effects from businesses acquired):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320"/>
              <w:spacing w:after="0"/>
              <w:rPr>
                <w:sz w:val="20"/>
                <w:szCs w:val="20"/>
                <w:color w:val="auto"/>
              </w:rPr>
            </w:pPr>
            <w:r>
              <w:rPr>
                <w:rFonts w:ascii="Arial" w:cs="Arial" w:eastAsia="Arial" w:hAnsi="Arial"/>
                <w:sz w:val="18"/>
                <w:szCs w:val="18"/>
                <w:color w:val="auto"/>
              </w:rPr>
              <w:t>Receivables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105,249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41,525</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(165,851)</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(28,836)</w:t>
            </w:r>
          </w:p>
        </w:tc>
        <w:tc>
          <w:tcPr>
            <w:tcW w:w="80" w:type="dxa"/>
            <w:vAlign w:val="bottom"/>
          </w:tcPr>
          <w:p>
            <w:pPr>
              <w:spacing w:after="0"/>
              <w:rPr>
                <w:sz w:val="18"/>
                <w:szCs w:val="18"/>
                <w:color w:val="auto"/>
              </w:rPr>
            </w:pPr>
          </w:p>
        </w:tc>
      </w:tr>
      <w:tr>
        <w:trPr>
          <w:trHeight w:val="236"/>
        </w:trPr>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other, net</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(99,833)</w:t>
            </w:r>
          </w:p>
        </w:tc>
        <w:tc>
          <w:tcPr>
            <w:tcW w:w="80" w:type="dxa"/>
            <w:vAlign w:val="bottom"/>
            <w:shd w:val="clear" w:color="auto" w:fill="CCEEFF"/>
          </w:tcPr>
          <w:p>
            <w:pPr>
              <w:spacing w:after="0"/>
              <w:rPr>
                <w:sz w:val="20"/>
                <w:szCs w:val="20"/>
                <w:color w:val="auto"/>
              </w:rPr>
            </w:pPr>
          </w:p>
        </w:tc>
      </w:tr>
      <w:tr>
        <w:trPr>
          <w:trHeight w:val="210"/>
        </w:trPr>
        <w:tc>
          <w:tcPr>
            <w:tcW w:w="6260" w:type="dxa"/>
            <w:vAlign w:val="bottom"/>
            <w:tcBorders>
              <w:top w:val="single" w:sz="8" w:color="CCEEFF"/>
              <w:bottom w:val="single" w:sz="8" w:color="CCEEFF"/>
            </w:tcBorders>
          </w:tcPr>
          <w:p>
            <w:pPr>
              <w:ind w:left="440"/>
              <w:spacing w:after="0" w:line="203" w:lineRule="exact"/>
              <w:rPr>
                <w:sz w:val="20"/>
                <w:szCs w:val="20"/>
                <w:color w:val="auto"/>
              </w:rPr>
            </w:pPr>
            <w:r>
              <w:rPr>
                <w:rFonts w:ascii="Arial" w:cs="Arial" w:eastAsia="Arial" w:hAnsi="Arial"/>
                <w:sz w:val="18"/>
                <w:szCs w:val="18"/>
                <w:color w:val="auto"/>
              </w:rPr>
              <w:t>Net cash flows used for operating activities</w:t>
            </w:r>
          </w:p>
        </w:tc>
        <w:tc>
          <w:tcPr>
            <w:tcW w:w="3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(33,741)</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(40,655)</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Repayment of notes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(Repayments) borrowings under accounts receivable securitization program,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Borrowings (repayments) of bank and revolving debt,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418,551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(41,955)</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Repurchases of common stock (Note 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(12,264)</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Dividends paid on common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(22,116)</w:t>
            </w:r>
          </w:p>
        </w:tc>
        <w:tc>
          <w:tcPr>
            <w:tcW w:w="80" w:type="dxa"/>
            <w:vAlign w:val="bottom"/>
          </w:tcPr>
          <w:p>
            <w:pPr>
              <w:spacing w:after="0"/>
              <w:rPr>
                <w:sz w:val="18"/>
                <w:szCs w:val="18"/>
                <w:color w:val="auto"/>
              </w:rPr>
            </w:pPr>
          </w:p>
        </w:tc>
      </w:tr>
      <w:tr>
        <w:trPr>
          <w:trHeight w:val="236"/>
        </w:trPr>
        <w:tc>
          <w:tcPr>
            <w:tcW w:w="6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6260" w:type="dxa"/>
            <w:vAlign w:val="bottom"/>
            <w:tcBorders>
              <w:bottom w:val="single" w:sz="8" w:color="CCEEFF"/>
            </w:tcBorders>
          </w:tcPr>
          <w:p>
            <w:pPr>
              <w:ind w:left="440"/>
              <w:spacing w:after="0" w:line="203" w:lineRule="exact"/>
              <w:rPr>
                <w:sz w:val="20"/>
                <w:szCs w:val="20"/>
                <w:color w:val="auto"/>
              </w:rPr>
            </w:pPr>
            <w:r>
              <w:rPr>
                <w:rFonts w:ascii="Arial" w:cs="Arial" w:eastAsia="Arial" w:hAnsi="Arial"/>
                <w:sz w:val="18"/>
                <w:szCs w:val="18"/>
                <w:color w:val="auto"/>
              </w:rPr>
              <w:t>Net cash flows used for financing activities</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(33,289)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(18,388)</w:t>
            </w:r>
          </w:p>
        </w:tc>
        <w:tc>
          <w:tcPr>
            <w:tcW w:w="80" w:type="dxa"/>
            <w:vAlign w:val="bottom"/>
            <w:tcBorders>
              <w:bottom w:val="single" w:sz="8" w:color="CCEEFF"/>
            </w:tcBorders>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(31,993)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(36,580)</w:t>
            </w:r>
          </w:p>
        </w:tc>
        <w:tc>
          <w:tcPr>
            <w:tcW w:w="80" w:type="dxa"/>
            <w:vAlign w:val="bottom"/>
          </w:tcPr>
          <w:p>
            <w:pPr>
              <w:spacing w:after="0"/>
              <w:rPr>
                <w:sz w:val="18"/>
                <w:szCs w:val="18"/>
                <w:color w:val="auto"/>
              </w:rPr>
            </w:pPr>
          </w:p>
        </w:tc>
      </w:tr>
      <w:tr>
        <w:trPr>
          <w:trHeight w:val="236"/>
        </w:trPr>
        <w:tc>
          <w:tcPr>
            <w:tcW w:w="6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6260" w:type="dxa"/>
            <w:vAlign w:val="bottom"/>
            <w:tcBorders>
              <w:bottom w:val="single" w:sz="8" w:color="CCEEFF"/>
            </w:tcBorders>
          </w:tcPr>
          <w:p>
            <w:pPr>
              <w:ind w:left="440"/>
              <w:spacing w:after="0" w:line="203" w:lineRule="exact"/>
              <w:rPr>
                <w:sz w:val="20"/>
                <w:szCs w:val="20"/>
                <w:color w:val="auto"/>
              </w:rPr>
            </w:pPr>
            <w:r>
              <w:rPr>
                <w:rFonts w:ascii="Arial" w:cs="Arial" w:eastAsia="Arial" w:hAnsi="Arial"/>
                <w:sz w:val="18"/>
                <w:szCs w:val="18"/>
                <w:color w:val="auto"/>
              </w:rPr>
              <w:t>Net cash flows used for investing activities</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(32,032)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(34,423)</w:t>
            </w:r>
          </w:p>
        </w:tc>
        <w:tc>
          <w:tcPr>
            <w:tcW w:w="80" w:type="dxa"/>
            <w:vAlign w:val="bottom"/>
            <w:tcBorders>
              <w:bottom w:val="single" w:sz="8" w:color="CCEEFF"/>
            </w:tcBorders>
          </w:tcPr>
          <w:p>
            <w:pPr>
              <w:spacing w:after="0"/>
              <w:rPr>
                <w:sz w:val="18"/>
                <w:szCs w:val="18"/>
                <w:color w:val="auto"/>
              </w:rPr>
            </w:pPr>
          </w:p>
        </w:tc>
      </w:tr>
      <w:tr>
        <w:trPr>
          <w:trHeight w:val="236"/>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(21,134)</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6260" w:type="dxa"/>
            <w:vAlign w:val="bottom"/>
          </w:tcPr>
          <w:p>
            <w:pPr>
              <w:spacing w:after="0" w:line="203" w:lineRule="exact"/>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 (decrease)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(114,600)</w:t>
            </w:r>
          </w:p>
        </w:tc>
        <w:tc>
          <w:tcPr>
            <w:tcW w:w="80" w:type="dxa"/>
            <w:vAlign w:val="bottom"/>
            <w:shd w:val="clear" w:color="auto" w:fill="CCEEFF"/>
          </w:tcPr>
          <w:p>
            <w:pPr>
              <w:spacing w:after="0"/>
              <w:rPr>
                <w:sz w:val="18"/>
                <w:szCs w:val="18"/>
                <w:color w:val="auto"/>
              </w:rPr>
            </w:pPr>
          </w:p>
        </w:tc>
      </w:tr>
      <w:tr>
        <w:trPr>
          <w:trHeight w:val="223"/>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at beginning of period</w:t>
            </w: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932,553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928,971</w:t>
            </w:r>
          </w:p>
        </w:tc>
        <w:tc>
          <w:tcPr>
            <w:tcW w:w="80" w:type="dxa"/>
            <w:vAlign w:val="bottom"/>
            <w:tcBorders>
              <w:bottom w:val="single" w:sz="8" w:color="CCEEFF"/>
            </w:tcBorders>
          </w:tcPr>
          <w:p>
            <w:pPr>
              <w:spacing w:after="0"/>
              <w:rPr>
                <w:sz w:val="19"/>
                <w:szCs w:val="19"/>
                <w:color w:val="auto"/>
              </w:rPr>
            </w:pPr>
          </w:p>
        </w:tc>
      </w:tr>
      <w:tr>
        <w:trPr>
          <w:trHeight w:val="223"/>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at end of period</w:t>
            </w: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824,695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814,371</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In the opinion of management, the accompanying unaudited interim consolidated financial statements contain all adjustments necessary to present fairly Avnet, Inc.'s and its consolidated subsidiaries' (the “Company” or “Avnet”) financial position, results of operations, comprehensive income and cash flows. All such adjustments are of a normal recurring nature.</w:t>
      </w:r>
    </w:p>
    <w:p>
      <w:pPr>
        <w:spacing w:after="0" w:line="14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("GAAP") requires management to make estimates and assumptions that affect the amounts reported in the consolidated financial statements. Actual results may differ from these estimates.</w:t>
      </w:r>
    </w:p>
    <w:p>
      <w:pPr>
        <w:spacing w:after="0" w:line="18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27, 2015.</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operates on a “52/53 week” fiscal year, and fiscal 2016 contains 53 weeks compared to fiscal 2015, which contained 52 weeks. As a result, the first quarter of fiscal 2016 ended October 3, 2015 contained 14 weeks compared to the first quarter of fiscal 2015 ended September 27, 2014, which contained 13 weeks.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No. 2014-09,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(“ASU 2014-09”), to supersede nearly all existing revenue recognition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under GAAP. The core principles of ASU 2014-09 are to recognize revenues when promised goods or services are transferred to customers in an amount that reflects the consideration that is expected to be received for those goods or services. Application of the requirements of ASU 2014-09 may require more judgment and estimates within the revenue recognition process compared to existing GAAP. In July 2015, the FASB approved a one-year delay in the effective date of ASU 2014-09, which makes the effective date for the Company the first quarter of fiscal 2019. The Company may adopt the requirements of ASU 2014-09 using either of two acceptable adoption methods: (i) retrospective adoption to each prior reporting period presented with the option to elect certain practical expedients as defined within ASU 2014-09; or (ii) adoption with the cumulative effect of initially applying ASU 2014-09 recognized at the date of initial application and providing certain additional disclosures as defined within ASU 2014-09. The Company is currently evaluating the impact of the future adoption of ASU 2014-09 on its consolidated financial statements, including the method of adoption to be used.</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 xml:space="preserve">In September 2015, the FASB issued Accounting Standards Update 2015-16, Business Combinations (Topic 805): </w:t>
      </w:r>
      <w:r>
        <w:rPr>
          <w:rFonts w:ascii="Arial" w:cs="Arial" w:eastAsia="Arial" w:hAnsi="Arial"/>
          <w:sz w:val="17"/>
          <w:szCs w:val="17"/>
          <w:i w:val="1"/>
          <w:iCs w:val="1"/>
          <w:color w:val="auto"/>
        </w:rPr>
        <w:t>Simplifying the Accounting for Measurement-Period Adjustments</w:t>
      </w:r>
      <w:r>
        <w:rPr>
          <w:rFonts w:ascii="Arial" w:cs="Arial" w:eastAsia="Arial" w:hAnsi="Arial"/>
          <w:sz w:val="17"/>
          <w:szCs w:val="17"/>
          <w:color w:val="auto"/>
        </w:rPr>
        <w:t>. The update requires than an acquirer recognize adjustments to provisional amounts that are identified during the measurement period in the reporting period in which the adjustment amounts are determined, including the cumulative effect of the change in provisional amount as if the accounting had been completed at the acquisition date. The Company early adopted this update during the three months ended October 3, 2015, with no impact to its consolidated financial statements.</w:t>
      </w:r>
    </w:p>
    <w:p>
      <w:pPr>
        <w:spacing w:after="0" w:line="17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During the three months ended October 3, 2015, there have been no additional new accounting pronouncements that are expected to significantly impact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acquisitions in the first quarter of fiscal 2016 or during fiscal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change in goodwill by reportable segment for the three months ended October 3,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the accumulated impairment was recognized in fiscal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Electronics</w:t>
            </w:r>
          </w:p>
        </w:tc>
        <w:tc>
          <w:tcPr>
            <w:tcW w:w="2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Technology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4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6"/>
              </w:rPr>
              <w:t>Marketing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Solutions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4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w w:val="94"/>
              </w:rPr>
              <w:t>(Thousands)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goodwill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1,684,216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974,274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2,658,490</w:t>
            </w:r>
          </w:p>
        </w:tc>
        <w:tc>
          <w:tcPr>
            <w:tcW w:w="40" w:type="dxa"/>
            <w:vAlign w:val="bottom"/>
            <w:shd w:val="clear" w:color="auto" w:fill="CCEEFF"/>
          </w:tcPr>
          <w:p>
            <w:pPr>
              <w:spacing w:after="0"/>
              <w:rPr>
                <w:sz w:val="18"/>
                <w:szCs w:val="18"/>
                <w:color w:val="auto"/>
              </w:rPr>
            </w:pPr>
          </w:p>
        </w:tc>
      </w:tr>
      <w:tr>
        <w:trPr>
          <w:trHeight w:val="223"/>
        </w:trPr>
        <w:tc>
          <w:tcPr>
            <w:tcW w:w="4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impairment</w:t>
            </w:r>
          </w:p>
        </w:tc>
        <w:tc>
          <w:tcPr>
            <w:tcW w:w="16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(1,045,110)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(334,624)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(1,379,734)</w:t>
            </w:r>
          </w:p>
        </w:tc>
        <w:tc>
          <w:tcPr>
            <w:tcW w:w="40" w:type="dxa"/>
            <w:vAlign w:val="bottom"/>
            <w:tcBorders>
              <w:bottom w:val="single" w:sz="8" w:color="CCEEFF"/>
            </w:tcBorders>
          </w:tcPr>
          <w:p>
            <w:pPr>
              <w:spacing w:after="0"/>
              <w:rPr>
                <w:sz w:val="19"/>
                <w:szCs w:val="19"/>
                <w:color w:val="auto"/>
              </w:rPr>
            </w:pPr>
          </w:p>
        </w:tc>
      </w:tr>
      <w:tr>
        <w:trPr>
          <w:trHeight w:val="236"/>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June 27, 2015</w:t>
            </w:r>
          </w:p>
        </w:tc>
        <w:tc>
          <w:tcPr>
            <w:tcW w:w="1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639,106</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639,650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1,278,756</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4060" w:type="dxa"/>
            <w:vAlign w:val="bottom"/>
          </w:tcPr>
          <w:p>
            <w:pPr>
              <w:ind w:left="120"/>
              <w:spacing w:after="0" w:line="203" w:lineRule="exact"/>
              <w:rPr>
                <w:sz w:val="20"/>
                <w:szCs w:val="20"/>
                <w:color w:val="auto"/>
              </w:rPr>
            </w:pPr>
            <w:r>
              <w:rPr>
                <w:rFonts w:ascii="Arial" w:cs="Arial" w:eastAsia="Arial" w:hAnsi="Arial"/>
                <w:sz w:val="18"/>
                <w:szCs w:val="18"/>
                <w:color w:val="auto"/>
              </w:rPr>
              <w:t>Adjustments</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3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(12,419)</w:t>
            </w:r>
          </w:p>
        </w:tc>
      </w:tr>
      <w:tr>
        <w:trPr>
          <w:trHeight w:val="210"/>
        </w:trPr>
        <w:tc>
          <w:tcPr>
            <w:tcW w:w="4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Carrying value at October 3, 2015</w:t>
            </w:r>
          </w:p>
        </w:tc>
        <w:tc>
          <w:tcPr>
            <w:tcW w:w="16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632,000</w:t>
            </w: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634,337</w:t>
            </w:r>
          </w:p>
        </w:tc>
        <w:tc>
          <w:tcPr>
            <w:tcW w:w="1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1,266,337</w:t>
            </w: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goodwill</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1,677,110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2,646,071</w:t>
            </w:r>
          </w:p>
        </w:tc>
        <w:tc>
          <w:tcPr>
            <w:tcW w:w="40" w:type="dxa"/>
            <w:vAlign w:val="bottom"/>
            <w:shd w:val="clear" w:color="auto" w:fill="CCEEFF"/>
          </w:tcPr>
          <w:p>
            <w:pPr>
              <w:spacing w:after="0"/>
              <w:rPr>
                <w:sz w:val="18"/>
                <w:szCs w:val="18"/>
                <w:color w:val="auto"/>
              </w:rPr>
            </w:pPr>
          </w:p>
        </w:tc>
      </w:tr>
      <w:tr>
        <w:trPr>
          <w:trHeight w:val="223"/>
        </w:trPr>
        <w:tc>
          <w:tcPr>
            <w:tcW w:w="4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impairment</w:t>
            </w:r>
          </w:p>
        </w:tc>
        <w:tc>
          <w:tcPr>
            <w:tcW w:w="16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(1,045,110)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(334,624)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(1,379,734)</w:t>
            </w:r>
          </w:p>
        </w:tc>
        <w:tc>
          <w:tcPr>
            <w:tcW w:w="40" w:type="dxa"/>
            <w:vAlign w:val="bottom"/>
            <w:tcBorders>
              <w:bottom w:val="single" w:sz="8" w:color="CCEEFF"/>
            </w:tcBorders>
          </w:tcPr>
          <w:p>
            <w:pPr>
              <w:spacing w:after="0"/>
              <w:rPr>
                <w:sz w:val="19"/>
                <w:szCs w:val="19"/>
                <w:color w:val="auto"/>
              </w:rPr>
            </w:pPr>
          </w:p>
        </w:tc>
      </w:tr>
      <w:tr>
        <w:trPr>
          <w:trHeight w:val="223"/>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October 3, 2015</w:t>
            </w:r>
          </w:p>
        </w:tc>
        <w:tc>
          <w:tcPr>
            <w:tcW w:w="1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634,337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1,266,337</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The following table presents the Company’s acquired intangible assets at October 3, 2015, and June 27, 2015, respectively. These intangible assets have a weighted average remaining useful life of approximately 5 years.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2"/>
              </w:rPr>
              <w:t>October 3, 2015</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27, 2015</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1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2"/>
              </w:rPr>
              <w:t>Acquired</w:t>
            </w:r>
          </w:p>
        </w:tc>
        <w:tc>
          <w:tcPr>
            <w:tcW w:w="180" w:type="dxa"/>
            <w:vAlign w:val="bottom"/>
          </w:tcPr>
          <w:p>
            <w:pPr>
              <w:spacing w:after="0"/>
              <w:rPr>
                <w:sz w:val="17"/>
                <w:szCs w:val="17"/>
                <w:color w:val="auto"/>
              </w:rPr>
            </w:pPr>
          </w:p>
        </w:tc>
        <w:tc>
          <w:tcPr>
            <w:tcW w:w="120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7"/>
                <w:szCs w:val="17"/>
                <w:color w:val="auto"/>
              </w:rPr>
            </w:pPr>
          </w:p>
        </w:tc>
        <w:tc>
          <w:tcPr>
            <w:tcW w:w="7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Net Book</w:t>
            </w:r>
          </w:p>
        </w:tc>
        <w:tc>
          <w:tcPr>
            <w:tcW w:w="200" w:type="dxa"/>
            <w:vAlign w:val="bottom"/>
          </w:tcPr>
          <w:p>
            <w:pPr>
              <w:spacing w:after="0"/>
              <w:rPr>
                <w:sz w:val="17"/>
                <w:szCs w:val="17"/>
                <w:color w:val="auto"/>
              </w:rPr>
            </w:pPr>
          </w:p>
        </w:tc>
        <w:tc>
          <w:tcPr>
            <w:tcW w:w="8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Acquired</w:t>
            </w:r>
          </w:p>
        </w:tc>
        <w:tc>
          <w:tcPr>
            <w:tcW w:w="20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Accumulated</w:t>
            </w:r>
          </w:p>
        </w:tc>
        <w:tc>
          <w:tcPr>
            <w:tcW w:w="180" w:type="dxa"/>
            <w:vAlign w:val="bottom"/>
          </w:tcPr>
          <w:p>
            <w:pPr>
              <w:spacing w:after="0"/>
              <w:rPr>
                <w:sz w:val="17"/>
                <w:szCs w:val="17"/>
                <w:color w:val="auto"/>
              </w:rPr>
            </w:pPr>
          </w:p>
        </w:tc>
        <w:tc>
          <w:tcPr>
            <w:tcW w:w="82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Net Book</w:t>
            </w:r>
          </w:p>
        </w:tc>
        <w:tc>
          <w:tcPr>
            <w:tcW w:w="40" w:type="dxa"/>
            <w:vAlign w:val="bottom"/>
          </w:tcPr>
          <w:p>
            <w:pPr>
              <w:spacing w:after="0"/>
              <w:rPr>
                <w:sz w:val="17"/>
                <w:szCs w:val="17"/>
                <w:color w:val="auto"/>
              </w:rPr>
            </w:pPr>
          </w:p>
        </w:tc>
      </w:tr>
      <w:tr>
        <w:trPr>
          <w:trHeight w:val="241"/>
        </w:trPr>
        <w:tc>
          <w:tcPr>
            <w:tcW w:w="1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Value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(Thousands)</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$ 268,390</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276,921</w:t>
            </w:r>
          </w:p>
        </w:tc>
        <w:tc>
          <w:tcPr>
            <w:tcW w:w="46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86,328</w:t>
            </w:r>
          </w:p>
        </w:tc>
        <w:tc>
          <w:tcPr>
            <w:tcW w:w="4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Trade name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2,448</w:t>
            </w:r>
          </w:p>
        </w:tc>
        <w:tc>
          <w:tcPr>
            <w:tcW w:w="40" w:type="dxa"/>
            <w:vAlign w:val="bottom"/>
          </w:tcPr>
          <w:p>
            <w:pPr>
              <w:spacing w:after="0"/>
              <w:rPr>
                <w:sz w:val="18"/>
                <w:szCs w:val="18"/>
                <w:color w:val="auto"/>
              </w:rPr>
            </w:pPr>
          </w:p>
        </w:tc>
      </w:tr>
      <w:tr>
        <w:trPr>
          <w:trHeight w:val="23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10,955</w:t>
            </w:r>
          </w:p>
        </w:tc>
        <w:tc>
          <w:tcPr>
            <w:tcW w:w="40" w:type="dxa"/>
            <w:vAlign w:val="bottom"/>
            <w:shd w:val="clear" w:color="auto" w:fill="CCEEFF"/>
          </w:tcPr>
          <w:p>
            <w:pPr>
              <w:spacing w:after="0"/>
              <w:rPr>
                <w:sz w:val="20"/>
                <w:szCs w:val="20"/>
                <w:color w:val="auto"/>
              </w:rPr>
            </w:pPr>
          </w:p>
        </w:tc>
      </w:tr>
      <w:tr>
        <w:trPr>
          <w:trHeight w:val="210"/>
        </w:trPr>
        <w:tc>
          <w:tcPr>
            <w:tcW w:w="19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$ 285,517</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(194,611)</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90,906</w:t>
            </w: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295,470</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(195,739)</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99,731</w:t>
            </w:r>
          </w:p>
        </w:tc>
        <w:tc>
          <w:tcPr>
            <w:tcW w:w="40" w:type="dxa"/>
            <w:vAlign w:val="bottom"/>
            <w:tcBorders>
              <w:top w:val="single" w:sz="8" w:color="CCEEFF"/>
            </w:tcBorders>
          </w:tcPr>
          <w:p>
            <w:pPr>
              <w:spacing w:after="0"/>
              <w:rPr>
                <w:sz w:val="18"/>
                <w:szCs w:val="18"/>
                <w:color w:val="auto"/>
              </w:rPr>
            </w:pPr>
          </w:p>
        </w:tc>
      </w:tr>
      <w:tr>
        <w:trPr>
          <w:trHeight w:val="864"/>
        </w:trPr>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19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Intangible asset amortization expense was $6.9 million and $11.6 million for the first quarters of fiscal 2016 and 2015, respectively. The following table presents the estimated future amortization expense for the remainder of fiscal 2016, the next five fiscal years and thereafter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2017</w:t>
            </w:r>
          </w:p>
        </w:tc>
        <w:tc>
          <w:tcPr>
            <w:tcW w:w="7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2019</w:t>
            </w:r>
          </w:p>
        </w:tc>
        <w:tc>
          <w:tcPr>
            <w:tcW w:w="7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2021</w:t>
            </w:r>
          </w:p>
        </w:tc>
        <w:tc>
          <w:tcPr>
            <w:tcW w:w="7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gridSpan w:val="2"/>
          </w:tcPr>
          <w:p>
            <w:pPr>
              <w:ind w:left="100"/>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   90,906</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4. Debt</w:t>
            </w: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Short-term debt consists of the following (in thousands):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378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October 3, 2015</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7"/>
              </w:rPr>
              <w:t>June 27, 2015</w:t>
            </w:r>
          </w:p>
        </w:tc>
        <w:tc>
          <w:tcPr>
            <w:tcW w:w="2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October 3, 2015</w:t>
            </w:r>
          </w:p>
        </w:tc>
        <w:tc>
          <w:tcPr>
            <w:tcW w:w="18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June 27, 2015</w:t>
            </w:r>
          </w:p>
        </w:tc>
      </w:tr>
      <w:tr>
        <w:trPr>
          <w:trHeight w:val="223"/>
        </w:trPr>
        <w:tc>
          <w:tcPr>
            <w:tcW w:w="3780" w:type="dxa"/>
            <w:vAlign w:val="bottom"/>
            <w:tcBorders>
              <w:bottom w:val="single" w:sz="8" w:color="CCEEFF"/>
            </w:tcBorders>
          </w:tcPr>
          <w:p>
            <w:pPr>
              <w:spacing w:after="0"/>
              <w:rPr>
                <w:sz w:val="19"/>
                <w:szCs w:val="19"/>
                <w:color w:val="auto"/>
              </w:rPr>
            </w:pPr>
          </w:p>
        </w:tc>
        <w:tc>
          <w:tcPr>
            <w:tcW w:w="2520" w:type="dxa"/>
            <w:vAlign w:val="bottom"/>
            <w:tcBorders>
              <w:top w:val="single" w:sz="8" w:color="auto"/>
              <w:bottom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Borders>
              <w:bottom w:val="single" w:sz="8" w:color="CCEEFF"/>
            </w:tcBorders>
          </w:tcPr>
          <w:p>
            <w:pPr>
              <w:spacing w:after="0"/>
              <w:rPr>
                <w:sz w:val="19"/>
                <w:szCs w:val="19"/>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3.81 %</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5.54 %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119,413</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81,115</w:t>
            </w: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0.59 %</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617,000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Notes due September 1, 2015</w:t>
            </w:r>
          </w:p>
        </w:tc>
        <w:tc>
          <w:tcPr>
            <w:tcW w:w="13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6.00 %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 w:type="dxa"/>
            <w:vAlign w:val="bottom"/>
            <w:shd w:val="clear" w:color="auto" w:fill="CCEEFF"/>
          </w:tcPr>
          <w:p>
            <w:pPr>
              <w:spacing w:after="0"/>
              <w:rPr>
                <w:sz w:val="18"/>
                <w:szCs w:val="18"/>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Notes due September 15, 2016</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6.63 %</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1,036,413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331,115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and other consists of various committed and uncommitted lines of credit and other forms of bank debt with financial institutions utilized primarily to support the working capital requirements of the Company including its foreign operations.</w:t>
      </w:r>
    </w:p>
    <w:p>
      <w:pPr>
        <w:spacing w:after="0" w:line="18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August 2014, the Company amended and extended its accounts receivable securitization program (the “Program”) with a group of financial institutions to allow the Company to transfer, on an ongoing revolving basis, an undivided interest in a designated pool of accounts receivable, to provide security or collateral for borrowings up to a maximum of $900.0 million. The Program does not qualify for off balance sheet accounting treatment and, as a result, any borrowings under the Program are recorded as debt on the consolidated balance sheets. Under the Program, the Company legally sells and isolates certain U.S. trade receivables into a wholly owned and consolidated bankruptcy remote special purpose entity. Such receivables, which are recorded within “Receivables” in the consolidated balance sheets, totaled $1.40 billion and $1.41 billion at October 3, 2015, and June 27, 2015, respectively. The Program contains certain covenants relating to the quality of the receivables sold. The Program also requires the Company to maintain certain minimum interest coverage and leverage ratios, which the Company was in compliance with as of October 3, 2015, and June 27, 2015. The Program has a two-year term that expires in August 2016 and as a result is considered short-term debt as of October 3, 2015. Interest on borrowings is calculated using a base rate or a commercial paper rate plus a spread of 0.38%. The facility fee is 0.38%.</w:t>
      </w:r>
    </w:p>
    <w:p>
      <w:pPr>
        <w:spacing w:after="0" w:line="16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September 2015, the Company redeemed the $250.0 million of outstanding 6.00% Notes due September 1, 2015, upon their maturity.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October 3, 2015</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7"/>
              </w:rPr>
              <w:t>June 27, 2015</w:t>
            </w:r>
          </w:p>
        </w:tc>
        <w:tc>
          <w:tcPr>
            <w:tcW w:w="2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October 3, 2015</w:t>
            </w:r>
          </w:p>
        </w:tc>
        <w:tc>
          <w:tcPr>
            <w:tcW w:w="18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June 27, 2015</w:t>
            </w:r>
          </w:p>
        </w:tc>
      </w:tr>
      <w:tr>
        <w:trPr>
          <w:trHeight w:val="223"/>
        </w:trPr>
        <w:tc>
          <w:tcPr>
            <w:tcW w:w="3780" w:type="dxa"/>
            <w:vAlign w:val="bottom"/>
            <w:tcBorders>
              <w:bottom w:val="single" w:sz="8" w:color="CCEEFF"/>
            </w:tcBorders>
          </w:tcPr>
          <w:p>
            <w:pPr>
              <w:spacing w:after="0"/>
              <w:rPr>
                <w:sz w:val="19"/>
                <w:szCs w:val="19"/>
                <w:color w:val="auto"/>
              </w:rPr>
            </w:pPr>
          </w:p>
        </w:tc>
        <w:tc>
          <w:tcPr>
            <w:tcW w:w="2520" w:type="dxa"/>
            <w:vAlign w:val="bottom"/>
            <w:tcBorders>
              <w:top w:val="single" w:sz="8" w:color="auto"/>
              <w:bottom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Borders>
              <w:bottom w:val="single" w:sz="8" w:color="CCEEFF"/>
            </w:tcBorders>
          </w:tcPr>
          <w:p>
            <w:pPr>
              <w:spacing w:after="0"/>
              <w:rPr>
                <w:sz w:val="19"/>
                <w:szCs w:val="19"/>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Accounts receivable securitization program</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0.59 %</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650,000</w:t>
            </w: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Facility</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1.45 %</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1.45 %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Notes due:</w:t>
            </w: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September 15, 2016</w:t>
            </w:r>
          </w:p>
        </w:tc>
        <w:tc>
          <w:tcPr>
            <w:tcW w:w="13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6.63 %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June 15, 2020</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5.88 %</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5.88 %</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1, 2022</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4.88 %</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4.88 %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shd w:val="clear" w:color="auto" w:fill="CCEEFF"/>
          </w:tcPr>
          <w:p>
            <w:pPr>
              <w:spacing w:after="0"/>
              <w:rPr>
                <w:sz w:val="18"/>
                <w:szCs w:val="18"/>
                <w:color w:val="auto"/>
              </w:rPr>
            </w:pPr>
          </w:p>
        </w:tc>
      </w:tr>
      <w:tr>
        <w:trPr>
          <w:trHeight w:val="223"/>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debt</w:t>
            </w:r>
          </w:p>
        </w:tc>
        <w:tc>
          <w:tcPr>
            <w:tcW w:w="1360" w:type="dxa"/>
            <w:vAlign w:val="bottom"/>
            <w:tcBorders>
              <w:bottom w:val="single" w:sz="8" w:color="CCEEFF"/>
            </w:tcBorders>
          </w:tcPr>
          <w:p>
            <w:pPr>
              <w:jc w:val="right"/>
              <w:ind w:right="270"/>
              <w:spacing w:after="0"/>
              <w:rPr>
                <w:sz w:val="20"/>
                <w:szCs w:val="20"/>
                <w:color w:val="auto"/>
              </w:rPr>
            </w:pPr>
            <w:r>
              <w:rPr>
                <w:rFonts w:ascii="Arial" w:cs="Arial" w:eastAsia="Arial" w:hAnsi="Arial"/>
                <w:sz w:val="18"/>
                <w:szCs w:val="18"/>
                <w:color w:val="auto"/>
              </w:rPr>
              <w:t>2.04 %</w:t>
            </w:r>
          </w:p>
        </w:tc>
        <w:tc>
          <w:tcPr>
            <w:tcW w:w="116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2.06 %</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40" w:type="dxa"/>
            <w:vAlign w:val="bottom"/>
            <w:tcBorders>
              <w:bottom w:val="single" w:sz="8" w:color="CCEEFF"/>
            </w:tcBorders>
          </w:tcPr>
          <w:p>
            <w:pPr>
              <w:spacing w:after="0"/>
              <w:rPr>
                <w:sz w:val="19"/>
                <w:szCs w:val="19"/>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before discount</w:t>
            </w: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1,651,828</w:t>
            </w:r>
          </w:p>
        </w:tc>
        <w:tc>
          <w:tcPr>
            <w:tcW w:w="40" w:type="dxa"/>
            <w:vAlign w:val="bottom"/>
            <w:shd w:val="clear" w:color="auto" w:fill="CCEEFF"/>
          </w:tcPr>
          <w:p>
            <w:pPr>
              <w:spacing w:after="0"/>
              <w:rPr>
                <w:sz w:val="18"/>
                <w:szCs w:val="18"/>
                <w:color w:val="auto"/>
              </w:rPr>
            </w:pPr>
          </w:p>
        </w:tc>
      </w:tr>
      <w:tr>
        <w:trPr>
          <w:trHeight w:val="223"/>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Discount and debt issuance costs</w:t>
            </w:r>
          </w:p>
        </w:tc>
        <w:tc>
          <w:tcPr>
            <w:tcW w:w="1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40" w:type="dxa"/>
            <w:vAlign w:val="bottom"/>
            <w:tcBorders>
              <w:bottom w:val="single" w:sz="8" w:color="CCEEFF"/>
            </w:tcBorders>
          </w:tcPr>
          <w:p>
            <w:pPr>
              <w:spacing w:after="0"/>
              <w:rPr>
                <w:sz w:val="19"/>
                <w:szCs w:val="19"/>
                <w:color w:val="auto"/>
              </w:rPr>
            </w:pPr>
          </w:p>
        </w:tc>
      </w:tr>
      <w:tr>
        <w:trPr>
          <w:trHeight w:val="223"/>
        </w:trPr>
        <w:tc>
          <w:tcPr>
            <w:tcW w:w="3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1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1,075,752</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1,646,501</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The Company has a five-year $1.25 billion senior unsecured revolving credit facility (the “Credit Facility”) with a syndicate of banks, consisting of revolving credit facilities and the issuance of up to $150.0 million of letters of credit, which expires in July 2019. Subject to certain conditions, the Credit Facility may be increased up to $1.5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October 3, 2015 and June 27, 2015. At October 3, 2015 and June 27, 2015, there were $1.9 million and $1.9 million, respectively, in letters of credit issued under the Credit Facility.</w:t>
      </w:r>
    </w:p>
    <w:p>
      <w:pPr>
        <w:spacing w:after="0" w:line="19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At October 3, 2015, the carrying value and fair value of the Company’s total debt was $2.11 billion and $2.18 billion, respectively. At June 27, 2015, the carrying value and fair value of the Company's total debt was $1.98 billion and $2.04 billion, respectively. Fair value was estimated primarily based upon quoted market prices.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229" w:lineRule="exact"/>
        <w:rPr>
          <w:sz w:val="20"/>
          <w:szCs w:val="20"/>
          <w:color w:val="auto"/>
        </w:rPr>
      </w:pPr>
    </w:p>
    <w:p>
      <w:pPr>
        <w:jc w:val="both"/>
        <w:ind w:firstLine="428"/>
        <w:spacing w:after="0" w:line="285"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in the same foreign currency) as well as by creating offsetting positions through the use of derivative financial instruments, primarily forward foreign exchange contracts typically with maturities of less than sixty days (“economic hedges”). The Company continues to have exposure to foreign currency risks to the extent they are not hedged. The Company adjusts any economic hedges to fair value through the consolidated statements of operations primarily within “other income (expense), net.” Therefore, the changes in valuation of the underlying items being economically hedged are offset by the changes in fair value of the forward foreign exchange contracts. The fair value of forward foreign exchange contracts, which are based upon Level 2 criteria under the ASC 820 fair value hierarchy, are classified in the captions “other current assets” or “accrued expenses and other,” as applicable, in the accompanying consolidated balance sheets as of October 3, 2015, and June 27, 2015 and were not material. The Company’s master netting and other similar arrangements with various financial institutions related to derivative financial instruments allow for the right of offset. Avnet’s policy is to present derivative financial instruments with the same counterparty as either a net asset or liability when the right of offset exists. The Company did not have material net gains or losses related to forward foreign exchange contracts in the first quarters of fiscal 2016 and 2015, which are recorded as a component of “other expense,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The Company also is currently subject to various pending and potential legal matters and investigations relating to compliance with governmental laws and regulations, including import/export, environmental, anticorruption and competition. For certain of these matters it is not possible to determine the ultimate outcome, and the Company cannot reasonably estimate the maximum potential exposure or the range of possible loss for such matters due primarily to being in the preliminary stages of the related proceedings and investigations. The Company currently believes that the resolution of such matters will not have a material adverse effect on the Company’s financial position or liquidity, but could possibly be material to our results of operations in any one reporting period.</w:t>
      </w:r>
    </w:p>
    <w:p>
      <w:pPr>
        <w:spacing w:after="0" w:line="17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of October 3, 2015, and June 27, 2015, the Company has aggregate estimated liabilities of $21.3 million and $17.2 million, respectively, classified within accrued expenses and other for such compliance-related matters that were reasonably estimable as of such dates. Of this amount, $10.0 million relates to a contingent liability for potential unpaid import duties associated with the acquisition of Bell Microproducts Inc. for estimated duties, interest and penalties that may be imposed from an ongoing compliance audit by Customs and Border Protection.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effective tax rate on its income before income taxes was 26.6% in the first quarter of fiscal 2016 as compared with 24.0% in the first quarter of fiscal 2015. During the first quarter of fiscal 2016, the Company's effective tax rate was favorably impacted primarily by the mix of income in lower tax rate jurisdictions.</w:t>
      </w:r>
    </w:p>
    <w:p>
      <w:pPr>
        <w:spacing w:after="0" w:line="18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first quarter of fiscal 2015, the Company's effective tax rate was favorably impacted by the mix of income in lower tax jurisdictions and the release of reserves, primarily related to the formal deregistration of a foreign branch.</w:t>
      </w:r>
    </w:p>
    <w:p>
      <w:pPr>
        <w:spacing w:after="0" w:line="12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applies the guidance in ASC 740, which requires management to use its judgment for the appropriate weighting of all available evidence when assessing the need for the establishment or the release of valuation allowances. As part of this analysis, the Company examines all available evidence on a jurisdiction by jurisdiction basis and weighs the positive and negative evidence when determining the need for full or partial valuation allowances. The evidence considered for each jurisdiction includes, among other items: (i) the historic levels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semiconductor and related industries; and (iii) prudent and feasible tax planning strategies.</w:t>
      </w:r>
    </w:p>
    <w:p>
      <w:pPr>
        <w:spacing w:after="0" w:line="19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continues to evaluate the need for the valuation allowances previously established against its deferred tax assets and will adjust valuation allowances as appropriate, which, if reduced, could result in a significant decrease to the effective tax rate in the period of the adjustment.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has a noncontributory defined benefit pension plan (the “Plan”) for which the components of net periodic pension costs during the first quarters ended October 3, 2015, and September 27, 2014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6"/>
          </w:tcPr>
          <w:p>
            <w:pPr>
              <w:ind w:left="8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4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2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October 3,</w:t>
            </w: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September 27,</w:t>
            </w:r>
          </w:p>
        </w:tc>
        <w:tc>
          <w:tcPr>
            <w:tcW w:w="40" w:type="dxa"/>
            <w:vAlign w:val="bottom"/>
          </w:tcPr>
          <w:p>
            <w:pPr>
              <w:spacing w:after="0"/>
              <w:rPr>
                <w:sz w:val="17"/>
                <w:szCs w:val="17"/>
                <w:color w:val="auto"/>
              </w:rPr>
            </w:pPr>
          </w:p>
        </w:tc>
      </w:tr>
      <w:tr>
        <w:trPr>
          <w:trHeight w:val="241"/>
        </w:trPr>
        <w:tc>
          <w:tcPr>
            <w:tcW w:w="47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jc w:val="right"/>
              <w:ind w:right="51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4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cost</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4,449</w:t>
            </w: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(10,071)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4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3,251</w:t>
            </w:r>
          </w:p>
        </w:tc>
        <w:tc>
          <w:tcPr>
            <w:tcW w:w="40" w:type="dxa"/>
            <w:vAlign w:val="bottom"/>
          </w:tcPr>
          <w:p>
            <w:pPr>
              <w:spacing w:after="0"/>
              <w:rPr>
                <w:sz w:val="18"/>
                <w:szCs w:val="18"/>
                <w:color w:val="auto"/>
              </w:rPr>
            </w:pPr>
          </w:p>
        </w:tc>
      </w:tr>
      <w:tr>
        <w:trPr>
          <w:trHeight w:val="23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credits</w:t>
            </w:r>
          </w:p>
        </w:tc>
        <w:tc>
          <w:tcPr>
            <w:tcW w:w="2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r>
      <w:tr>
        <w:trPr>
          <w:trHeight w:val="210"/>
        </w:trPr>
        <w:tc>
          <w:tcPr>
            <w:tcW w:w="474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periodic pension cost</w:t>
            </w:r>
          </w:p>
        </w:tc>
        <w:tc>
          <w:tcPr>
            <w:tcW w:w="2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8,533</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8,125</w:t>
            </w:r>
          </w:p>
        </w:tc>
        <w:tc>
          <w:tcPr>
            <w:tcW w:w="4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made contributions to the Plan of $10.0 million during the first quarter of fiscal 2016. The Company expects to make an additional contribution to the Plan of $10.0 million in each of the remaining three quarters of fiscal 2016.</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Plan meets the definition of a defined benefit plan and as a result, the Company must apply ASC 715 pension accounting to the Plan. The Plan itself, however, is a cash balance plan that is similar in nature to a defined contribution plan in that a participant's benefit is defined in terms of a stated account balance. A cash balance plan provides the Company with the benefit of applying any earnings on the Plan’s investments beyond the fixed return provided to participants, toward the Company’s future cash funding obligations.</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Amounts reclassified out of accumulated other comprehensive (loss) income, net of tax, to operating expenses during the first quarters of fiscal 2016 and fiscal 2015 were not material and substantially all related to net periodic pension costs including recognition of actuarial losses and amortization of prior service credits.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In August 2015, the Company’s Board of Directors authorized a $250.0 million increase in the Company’s existing share repurchase program. With this increase, the Company may repurchase up to $1.25 billion of common stock in the open market or through privately negotiated transactions. The timing and actual number of shares purchased will depend on a variety of factors such as share price, corporate and regulatory requirements, and prevailing market conditions. During the first quarter of fiscal 2016, the Company repurchased 3.5 million shares under this program at an average market price of $41.17 per share for a total cost of $145.1 million. Since the beginning of the repurchase program through the end of the first quarter of fiscal 2016, the Company has repurchased 25.6 million shares at an aggregate cost of $842.6 million, and $407.4 million remains available for future repurchases.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August 2015, the Company's Board of Directors approved a dividend of $0.17 per common share and dividend payments of $22.6 million were made in September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ectPr>
          <w:pgSz w:w="11900" w:h="16838" w:orient="portrait"/>
          <w:cols w:equalWidth="0" w:num="1">
            <w:col w:w="9060"/>
          </w:cols>
          <w:pgMar w:left="1420" w:top="125" w:right="141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575437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common shares for basic earnings per share</w:t>
      </w:r>
    </w:p>
    <w:p>
      <w:pPr>
        <w:spacing w:after="0" w:line="9" w:lineRule="exact"/>
        <w:rPr>
          <w:sz w:val="20"/>
          <w:szCs w:val="20"/>
          <w:color w:val="auto"/>
        </w:rPr>
      </w:pPr>
    </w:p>
    <w:p>
      <w:pPr>
        <w:ind w:left="140" w:right="380" w:hanging="129"/>
        <w:spacing w:after="0" w:line="257" w:lineRule="auto"/>
        <w:rPr>
          <w:sz w:val="20"/>
          <w:szCs w:val="20"/>
          <w:color w:val="auto"/>
        </w:rPr>
      </w:pPr>
      <w:r>
        <w:rPr>
          <w:rFonts w:ascii="Arial" w:cs="Arial" w:eastAsia="Arial" w:hAnsi="Arial"/>
          <w:sz w:val="18"/>
          <w:szCs w:val="18"/>
          <w:color w:val="auto"/>
        </w:rPr>
        <w:t>Net effect of dilutive stock options, restricted stock units and performance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575437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 average common shares for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75437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Stock options excluded from earnings per share calculation due to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575437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Additional cash flow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First Quarters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October 3,</w:t>
            </w:r>
          </w:p>
        </w:tc>
        <w:tc>
          <w:tcPr>
            <w:tcW w:w="1420" w:type="dxa"/>
            <w:vAlign w:val="bottom"/>
            <w:tcBorders>
              <w:top w:val="single" w:sz="8" w:color="auto"/>
            </w:tcBorders>
          </w:tcPr>
          <w:p>
            <w:pPr>
              <w:jc w:val="center"/>
              <w:ind w:left="70"/>
              <w:spacing w:after="0" w:line="205" w:lineRule="exact"/>
              <w:rPr>
                <w:sz w:val="20"/>
                <w:szCs w:val="20"/>
                <w:color w:val="auto"/>
              </w:rPr>
            </w:pPr>
            <w:r>
              <w:rPr>
                <w:rFonts w:ascii="Arial" w:cs="Arial" w:eastAsia="Arial" w:hAnsi="Arial"/>
                <w:sz w:val="18"/>
                <w:szCs w:val="18"/>
                <w:b w:val="1"/>
                <w:bCs w:val="1"/>
                <w:color w:val="auto"/>
                <w:w w:val="89"/>
              </w:rPr>
              <w:t>September 27,</w:t>
            </w:r>
          </w:p>
        </w:tc>
      </w:tr>
      <w:tr>
        <w:trPr>
          <w:trHeight w:val="234"/>
        </w:trPr>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7068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(Thousands,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130,254</w:t>
            </w:r>
          </w:p>
        </w:tc>
        <w:tc>
          <w:tcPr>
            <w:tcW w:w="50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127,946</w:t>
            </w:r>
          </w:p>
        </w:tc>
      </w:tr>
      <w:tr>
        <w:trPr>
          <w:trHeight w:val="432"/>
        </w:trPr>
        <w:tc>
          <w:tcPr>
            <w:tcW w:w="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133,783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138,309</w:t>
            </w:r>
          </w:p>
        </w:tc>
      </w:tr>
      <w:tr>
        <w:trPr>
          <w:trHeight w:val="426"/>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w:t>
            </w:r>
          </w:p>
        </w:tc>
      </w:tr>
      <w:tr>
        <w:trPr>
          <w:trHeight w:val="223"/>
        </w:trPr>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136,326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140,850</w:t>
            </w:r>
          </w:p>
        </w:tc>
      </w:tr>
      <w:tr>
        <w:trPr>
          <w:trHeight w:val="223"/>
        </w:trPr>
        <w:tc>
          <w:tcPr>
            <w:tcW w:w="2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0.97</w:t>
            </w:r>
          </w:p>
        </w:tc>
        <w:tc>
          <w:tcPr>
            <w:tcW w:w="180" w:type="dxa"/>
            <w:vAlign w:val="bottom"/>
            <w:gridSpan w:val="2"/>
          </w:tcPr>
          <w:p>
            <w:pPr>
              <w:spacing w:after="0"/>
              <w:rPr>
                <w:sz w:val="19"/>
                <w:szCs w:val="19"/>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0.93</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160" w:type="dxa"/>
            <w:vAlign w:val="bottom"/>
          </w:tcPr>
          <w:p>
            <w:pPr>
              <w:spacing w:after="0"/>
              <w:rPr>
                <w:sz w:val="19"/>
                <w:szCs w:val="19"/>
                <w:color w:val="auto"/>
              </w:rPr>
            </w:pPr>
          </w:p>
        </w:tc>
        <w:tc>
          <w:tcPr>
            <w:tcW w:w="34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0.91</w:t>
            </w:r>
          </w:p>
        </w:tc>
      </w:tr>
      <w:tr>
        <w:trPr>
          <w:trHeight w:val="230"/>
        </w:trPr>
        <w:tc>
          <w:tcPr>
            <w:tcW w:w="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847" w:lineRule="exact"/>
        <w:rPr>
          <w:sz w:val="20"/>
          <w:szCs w:val="20"/>
          <w:color w:val="auto"/>
        </w:rPr>
      </w:pPr>
    </w:p>
    <w:p>
      <w:pPr>
        <w:sectPr>
          <w:pgSz w:w="11900" w:h="16838" w:orient="portrait"/>
          <w:cols w:equalWidth="0" w:num="2">
            <w:col w:w="6140" w:space="180"/>
            <w:col w:w="2740"/>
          </w:cols>
          <w:pgMar w:left="1420" w:top="125" w:right="1419" w:bottom="1440" w:gutter="0" w:footer="0" w:header="0"/>
          <w:type w:val="continuous"/>
        </w:sectPr>
      </w:pPr>
    </w:p>
    <w:p>
      <w:pPr>
        <w:spacing w:after="0" w:line="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and income taxes paid in the three months ended October 3, 2015, and September 27, 2014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38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40" w:type="dxa"/>
            <w:vAlign w:val="bottom"/>
            <w:tcBorders>
              <w:top w:val="single" w:sz="8" w:color="auto"/>
            </w:tcBorders>
            <w:gridSpan w:val="2"/>
          </w:tcPr>
          <w:p>
            <w:pPr>
              <w:jc w:val="right"/>
              <w:ind w:right="50"/>
              <w:spacing w:after="0" w:line="198" w:lineRule="exact"/>
              <w:rPr>
                <w:sz w:val="20"/>
                <w:szCs w:val="20"/>
                <w:color w:val="auto"/>
              </w:rPr>
            </w:pPr>
            <w:r>
              <w:rPr>
                <w:rFonts w:ascii="Arial" w:cs="Arial" w:eastAsia="Arial" w:hAnsi="Arial"/>
                <w:sz w:val="18"/>
                <w:szCs w:val="18"/>
                <w:b w:val="1"/>
                <w:bCs w:val="1"/>
                <w:color w:val="auto"/>
                <w:w w:val="98"/>
              </w:rPr>
              <w:t>October 3,</w:t>
            </w:r>
          </w:p>
        </w:tc>
        <w:tc>
          <w:tcPr>
            <w:tcW w:w="1260" w:type="dxa"/>
            <w:vAlign w:val="bottom"/>
            <w:tcBorders>
              <w:top w:val="single" w:sz="8" w:color="auto"/>
            </w:tcBorders>
            <w:gridSpan w:val="2"/>
          </w:tcPr>
          <w:p>
            <w:pPr>
              <w:ind w:left="140"/>
              <w:spacing w:after="0" w:line="198" w:lineRule="exact"/>
              <w:rPr>
                <w:sz w:val="20"/>
                <w:szCs w:val="20"/>
                <w:color w:val="auto"/>
              </w:rPr>
            </w:pPr>
            <w:r>
              <w:rPr>
                <w:rFonts w:ascii="Arial" w:cs="Arial" w:eastAsia="Arial" w:hAnsi="Arial"/>
                <w:sz w:val="18"/>
                <w:szCs w:val="18"/>
                <w:b w:val="1"/>
                <w:bCs w:val="1"/>
                <w:color w:val="auto"/>
                <w:w w:val="89"/>
              </w:rPr>
              <w:t>September 27,</w:t>
            </w:r>
          </w:p>
        </w:tc>
        <w:tc>
          <w:tcPr>
            <w:tcW w:w="60" w:type="dxa"/>
            <w:vAlign w:val="bottom"/>
          </w:tcPr>
          <w:p>
            <w:pPr>
              <w:spacing w:after="0"/>
              <w:rPr>
                <w:sz w:val="17"/>
                <w:szCs w:val="17"/>
                <w:color w:val="auto"/>
              </w:rPr>
            </w:pPr>
          </w:p>
        </w:tc>
      </w:tr>
      <w:tr>
        <w:trPr>
          <w:trHeight w:val="241"/>
        </w:trPr>
        <w:tc>
          <w:tcPr>
            <w:tcW w:w="38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24,205</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23,354</w:t>
            </w:r>
          </w:p>
        </w:tc>
        <w:tc>
          <w:tcPr>
            <w:tcW w:w="60" w:type="dxa"/>
            <w:vAlign w:val="bottom"/>
            <w:shd w:val="clear" w:color="auto" w:fill="CCEEFF"/>
          </w:tcPr>
          <w:p>
            <w:pPr>
              <w:spacing w:after="0"/>
              <w:rPr>
                <w:sz w:val="18"/>
                <w:szCs w:val="18"/>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Income taxes</w:t>
            </w:r>
          </w:p>
        </w:tc>
        <w:tc>
          <w:tcPr>
            <w:tcW w:w="3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10,143</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28,194</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2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Non-cash investing activities related to purchases of property, plant and equipment that have been accrued, but not paid for, were $18.7 million and $25.0 million as of October 3, 2015, and September 27, 2014, respectively.</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Included in cash and cash equivalents as of October 3, 2015, was $62.1 million of cash equivalents, which was primarily comprised of overnight time deposits whose fair value was determined using Level 1 measurements under the ASC 820 fair value hierarchy.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Electronics Marketing (“EM”) and Technology Solutions (“TS”) are the Company's reportable segments (“operating groups”). EM markets and sells semiconductors and interconnect, passive and electromechanical devices and embedded products to a diverse customer base serving many end-markets. TS focuses on the value-added distribution of enterprise computing servers and systems, software, storage, services and complex solutions from the world’s foremost technology manufacturers. TS also provides the latest hard disk drives, microprocessor, motherboard and DRAM module technologies to manufacturers of general-purpose computers and system builders.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6"/>
          </w:tcPr>
          <w:p>
            <w:pPr>
              <w:ind w:left="20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5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Borders>
              <w:top w:val="single" w:sz="8" w:color="auto"/>
            </w:tcBorders>
            <w:gridSpan w:val="3"/>
          </w:tcPr>
          <w:p>
            <w:pPr>
              <w:jc w:val="right"/>
              <w:ind w:right="180"/>
              <w:spacing w:after="0" w:line="198" w:lineRule="exact"/>
              <w:rPr>
                <w:sz w:val="20"/>
                <w:szCs w:val="20"/>
                <w:color w:val="auto"/>
              </w:rPr>
            </w:pPr>
            <w:r>
              <w:rPr>
                <w:rFonts w:ascii="Arial" w:cs="Arial" w:eastAsia="Arial" w:hAnsi="Arial"/>
                <w:sz w:val="18"/>
                <w:szCs w:val="18"/>
                <w:b w:val="1"/>
                <w:bCs w:val="1"/>
                <w:color w:val="auto"/>
                <w:w w:val="94"/>
              </w:rPr>
              <w:t>October 3,</w:t>
            </w: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9"/>
              </w:rPr>
              <w:t>September 27,</w:t>
            </w:r>
          </w:p>
        </w:tc>
        <w:tc>
          <w:tcPr>
            <w:tcW w:w="40" w:type="dxa"/>
            <w:vAlign w:val="bottom"/>
          </w:tcPr>
          <w:p>
            <w:pPr>
              <w:spacing w:after="0"/>
              <w:rPr>
                <w:sz w:val="17"/>
                <w:szCs w:val="17"/>
                <w:color w:val="auto"/>
              </w:rPr>
            </w:pPr>
          </w:p>
        </w:tc>
      </w:tr>
      <w:tr>
        <w:trPr>
          <w:trHeight w:val="241"/>
        </w:trPr>
        <w:tc>
          <w:tcPr>
            <w:tcW w:w="5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r>
      <w:tr>
        <w:trPr>
          <w:trHeight w:val="216"/>
        </w:trPr>
        <w:tc>
          <w:tcPr>
            <w:tcW w:w="5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Electronics Marketing</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4,471,402</w:t>
            </w:r>
          </w:p>
        </w:tc>
        <w:tc>
          <w:tcPr>
            <w:tcW w:w="12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4,374,095</w:t>
            </w:r>
          </w:p>
        </w:tc>
        <w:tc>
          <w:tcPr>
            <w:tcW w:w="40" w:type="dxa"/>
            <w:vAlign w:val="bottom"/>
          </w:tcPr>
          <w:p>
            <w:pPr>
              <w:spacing w:after="0"/>
              <w:rPr>
                <w:sz w:val="18"/>
                <w:szCs w:val="18"/>
                <w:color w:val="auto"/>
              </w:rPr>
            </w:pPr>
          </w:p>
        </w:tc>
      </w:tr>
      <w:tr>
        <w:trPr>
          <w:trHeight w:val="236"/>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Technology Solutions</w:t>
            </w: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2,498,292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2,465,492</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536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6,969,694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6,839,587</w:t>
            </w:r>
          </w:p>
        </w:tc>
        <w:tc>
          <w:tcPr>
            <w:tcW w:w="40" w:type="dxa"/>
            <w:vAlign w:val="bottom"/>
            <w:tcBorders>
              <w:bottom w:val="single" w:sz="8" w:color="CCEEFF"/>
            </w:tcBorders>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Electronics Marketing</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213,031</w:t>
            </w:r>
          </w:p>
        </w:tc>
        <w:tc>
          <w:tcPr>
            <w:tcW w:w="12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202,711</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Solutions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62,390</w:t>
            </w:r>
          </w:p>
        </w:tc>
        <w:tc>
          <w:tcPr>
            <w:tcW w:w="40" w:type="dxa"/>
            <w:vAlign w:val="bottom"/>
            <w:shd w:val="clear" w:color="auto" w:fill="CCEEFF"/>
          </w:tcPr>
          <w:p>
            <w:pPr>
              <w:spacing w:after="0"/>
              <w:rPr>
                <w:sz w:val="18"/>
                <w:szCs w:val="18"/>
                <w:color w:val="auto"/>
              </w:rPr>
            </w:pPr>
          </w:p>
        </w:tc>
      </w:tr>
      <w:tr>
        <w:trPr>
          <w:trHeight w:val="223"/>
        </w:trPr>
        <w:tc>
          <w:tcPr>
            <w:tcW w:w="536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(47,158)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(41,376)</w:t>
            </w:r>
          </w:p>
        </w:tc>
      </w:tr>
      <w:tr>
        <w:trPr>
          <w:trHeight w:val="216"/>
        </w:trPr>
        <w:tc>
          <w:tcPr>
            <w:tcW w:w="5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240,411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223,725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Restructuring, integration and other expenses (Note 13)</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(25,958)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(18,320)</w:t>
            </w:r>
          </w:p>
        </w:tc>
      </w:tr>
      <w:tr>
        <w:trPr>
          <w:trHeight w:val="23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(12,208)</w:t>
            </w:r>
          </w:p>
        </w:tc>
      </w:tr>
      <w:tr>
        <w:trPr>
          <w:trHeight w:val="210"/>
        </w:trPr>
        <w:tc>
          <w:tcPr>
            <w:tcW w:w="5360" w:type="dxa"/>
            <w:vAlign w:val="bottom"/>
            <w:tcBorders>
              <w:top w:val="single" w:sz="8" w:color="CCEEFF"/>
              <w:bottom w:val="single" w:sz="8" w:color="CCEEFF"/>
            </w:tcBorders>
          </w:tcPr>
          <w:p>
            <w:pPr>
              <w:spacing w:after="0"/>
              <w:rPr>
                <w:sz w:val="18"/>
                <w:szCs w:val="18"/>
                <w:color w:val="auto"/>
              </w:rPr>
            </w:pPr>
          </w:p>
        </w:tc>
        <w:tc>
          <w:tcPr>
            <w:tcW w:w="13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206,962</w:t>
            </w: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193,197</w:t>
            </w: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Sales, by geographic area:</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2,773,943</w:t>
            </w:r>
          </w:p>
        </w:tc>
        <w:tc>
          <w:tcPr>
            <w:tcW w:w="12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2,647,122</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2,015,219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1,975,379</w:t>
            </w:r>
          </w:p>
        </w:tc>
        <w:tc>
          <w:tcPr>
            <w:tcW w:w="40" w:type="dxa"/>
            <w:vAlign w:val="bottom"/>
            <w:shd w:val="clear" w:color="auto" w:fill="CCEEFF"/>
          </w:tcPr>
          <w:p>
            <w:pPr>
              <w:spacing w:after="0"/>
              <w:rPr>
                <w:sz w:val="18"/>
                <w:szCs w:val="18"/>
                <w:color w:val="auto"/>
              </w:rPr>
            </w:pPr>
          </w:p>
        </w:tc>
      </w:tr>
      <w:tr>
        <w:trPr>
          <w:trHeight w:val="223"/>
        </w:trPr>
        <w:tc>
          <w:tcPr>
            <w:tcW w:w="5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8"/>
                <w:szCs w:val="8"/>
                <w:color w:val="auto"/>
              </w:rPr>
              <w:t>(3)</w:t>
            </w: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2,180,532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2,217,086</w:t>
            </w:r>
          </w:p>
        </w:tc>
        <w:tc>
          <w:tcPr>
            <w:tcW w:w="40" w:type="dxa"/>
            <w:vAlign w:val="bottom"/>
            <w:tcBorders>
              <w:bottom w:val="single" w:sz="8" w:color="CCEEFF"/>
            </w:tcBorders>
          </w:tcPr>
          <w:p>
            <w:pPr>
              <w:spacing w:after="0"/>
              <w:rPr>
                <w:sz w:val="19"/>
                <w:szCs w:val="19"/>
                <w:color w:val="auto"/>
              </w:rPr>
            </w:pPr>
          </w:p>
        </w:tc>
      </w:tr>
      <w:tr>
        <w:trPr>
          <w:trHeight w:val="223"/>
        </w:trPr>
        <w:tc>
          <w:tcPr>
            <w:tcW w:w="53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6,969,694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6,839,587</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7"/>
        <w:spacing w:after="0" w:line="277" w:lineRule="auto"/>
        <w:tabs>
          <w:tab w:leader="none" w:pos="263" w:val="left"/>
        </w:tabs>
        <w:numPr>
          <w:ilvl w:val="0"/>
          <w:numId w:val="2"/>
        </w:numPr>
        <w:rPr>
          <w:rFonts w:ascii="Arial" w:cs="Arial" w:eastAsia="Arial" w:hAnsi="Arial"/>
          <w:sz w:val="9"/>
          <w:szCs w:val="9"/>
          <w:color w:val="auto"/>
        </w:rPr>
      </w:pPr>
      <w:r>
        <w:rPr>
          <w:rFonts w:ascii="Arial" w:cs="Arial" w:eastAsia="Arial" w:hAnsi="Arial"/>
          <w:sz w:val="18"/>
          <w:szCs w:val="18"/>
          <w:color w:val="auto"/>
        </w:rPr>
        <w:t>Includes sales from the United States of $2.52 billion and $2.37 billion for the quarters ended October 3, 2015, and September 27, 2014, respectively.</w:t>
      </w:r>
    </w:p>
    <w:p>
      <w:pPr>
        <w:spacing w:after="0" w:line="170" w:lineRule="exact"/>
        <w:rPr>
          <w:rFonts w:ascii="Arial" w:cs="Arial" w:eastAsia="Arial" w:hAnsi="Arial"/>
          <w:sz w:val="9"/>
          <w:szCs w:val="9"/>
          <w:color w:val="auto"/>
        </w:rPr>
      </w:pPr>
    </w:p>
    <w:p>
      <w:pPr>
        <w:jc w:val="both"/>
        <w:ind w:left="320" w:hanging="317"/>
        <w:spacing w:after="0" w:line="264" w:lineRule="auto"/>
        <w:tabs>
          <w:tab w:leader="none" w:pos="263" w:val="left"/>
        </w:tabs>
        <w:numPr>
          <w:ilvl w:val="0"/>
          <w:numId w:val="2"/>
        </w:numPr>
        <w:rPr>
          <w:rFonts w:ascii="Arial" w:cs="Arial" w:eastAsia="Arial" w:hAnsi="Arial"/>
          <w:sz w:val="9"/>
          <w:szCs w:val="9"/>
          <w:color w:val="auto"/>
        </w:rPr>
      </w:pPr>
      <w:r>
        <w:rPr>
          <w:rFonts w:ascii="Arial" w:cs="Arial" w:eastAsia="Arial" w:hAnsi="Arial"/>
          <w:sz w:val="18"/>
          <w:szCs w:val="18"/>
          <w:color w:val="auto"/>
        </w:rPr>
        <w:t>Includes sales from Germany and the United Kingdom of $800.6 million and $340.6 million, respectively, for the quarter ended October 3, 2015. Includes sales from Germany and the United Kingdom of $744.3 million and $360.5 million, respectively, for the quarter ended September 27, 2014.</w:t>
      </w:r>
    </w:p>
    <w:p>
      <w:pPr>
        <w:spacing w:after="0" w:line="181" w:lineRule="exact"/>
        <w:rPr>
          <w:rFonts w:ascii="Arial" w:cs="Arial" w:eastAsia="Arial" w:hAnsi="Arial"/>
          <w:sz w:val="9"/>
          <w:szCs w:val="9"/>
          <w:color w:val="auto"/>
        </w:rPr>
      </w:pPr>
    </w:p>
    <w:p>
      <w:pPr>
        <w:jc w:val="both"/>
        <w:ind w:left="320" w:hanging="317"/>
        <w:spacing w:after="0" w:line="264" w:lineRule="auto"/>
        <w:tabs>
          <w:tab w:leader="none" w:pos="263" w:val="left"/>
        </w:tabs>
        <w:numPr>
          <w:ilvl w:val="0"/>
          <w:numId w:val="2"/>
        </w:numPr>
        <w:rPr>
          <w:rFonts w:ascii="Arial" w:cs="Arial" w:eastAsia="Arial" w:hAnsi="Arial"/>
          <w:sz w:val="9"/>
          <w:szCs w:val="9"/>
          <w:color w:val="auto"/>
        </w:rPr>
      </w:pPr>
      <w:r>
        <w:rPr>
          <w:rFonts w:ascii="Arial" w:cs="Arial" w:eastAsia="Arial" w:hAnsi="Arial"/>
          <w:sz w:val="18"/>
          <w:szCs w:val="18"/>
          <w:color w:val="auto"/>
        </w:rPr>
        <w:t>Includes sales from China (including Hong Kong) and Taiwan of $714.5 million and $822.1 million, respectively, for the quarter ended October 3, 2015. Includes sales from China (including Hong Kong) and Taiwan of $738.0 million and $808.7 million, respectively, for the quarter ended September 27, 2014.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27,</w:t>
            </w:r>
          </w:p>
        </w:tc>
      </w:tr>
      <w:tr>
        <w:trPr>
          <w:trHeight w:val="241"/>
        </w:trPr>
        <w:tc>
          <w:tcPr>
            <w:tcW w:w="5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r>
      <w:tr>
        <w:trPr>
          <w:trHeight w:val="216"/>
        </w:trPr>
        <w:tc>
          <w:tcPr>
            <w:tcW w:w="5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Electronics Marketing</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6,670,857</w:t>
            </w:r>
          </w:p>
        </w:tc>
        <w:tc>
          <w:tcPr>
            <w:tcW w:w="2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6,497,714</w:t>
            </w:r>
          </w:p>
        </w:tc>
        <w:tc>
          <w:tcPr>
            <w:tcW w:w="140" w:type="dxa"/>
            <w:vAlign w:val="bottom"/>
          </w:tcPr>
          <w:p>
            <w:pPr>
              <w:spacing w:after="0"/>
              <w:rPr>
                <w:sz w:val="18"/>
                <w:szCs w:val="18"/>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Solutions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3,612,419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3,608,953</w:t>
            </w:r>
          </w:p>
        </w:tc>
        <w:tc>
          <w:tcPr>
            <w:tcW w:w="140" w:type="dxa"/>
            <w:vAlign w:val="bottom"/>
            <w:shd w:val="clear" w:color="auto" w:fill="CCEEFF"/>
          </w:tcPr>
          <w:p>
            <w:pPr>
              <w:spacing w:after="0"/>
              <w:rPr>
                <w:sz w:val="18"/>
                <w:szCs w:val="18"/>
                <w:color w:val="auto"/>
              </w:rPr>
            </w:pPr>
          </w:p>
        </w:tc>
      </w:tr>
      <w:tr>
        <w:trPr>
          <w:trHeight w:val="223"/>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w:t>
            </w: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581,180</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693,286</w:t>
            </w:r>
          </w:p>
        </w:tc>
        <w:tc>
          <w:tcPr>
            <w:tcW w:w="140" w:type="dxa"/>
            <w:vAlign w:val="bottom"/>
            <w:tcBorders>
              <w:bottom w:val="single" w:sz="8" w:color="CCEEFF"/>
            </w:tcBorders>
          </w:tcPr>
          <w:p>
            <w:pPr>
              <w:spacing w:after="0"/>
              <w:rPr>
                <w:sz w:val="19"/>
                <w:szCs w:val="19"/>
                <w:color w:val="auto"/>
              </w:rPr>
            </w:pPr>
          </w:p>
        </w:tc>
      </w:tr>
      <w:tr>
        <w:trPr>
          <w:trHeight w:val="236"/>
        </w:trPr>
        <w:tc>
          <w:tcPr>
            <w:tcW w:w="5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10,864,456</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10,799,953</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03"/>
        </w:trPr>
        <w:tc>
          <w:tcPr>
            <w:tcW w:w="5320" w:type="dxa"/>
            <w:vAlign w:val="bottom"/>
          </w:tcPr>
          <w:p>
            <w:pPr>
              <w:spacing w:after="0" w:line="203" w:lineRule="exact"/>
              <w:rPr>
                <w:sz w:val="20"/>
                <w:szCs w:val="20"/>
                <w:color w:val="auto"/>
              </w:rPr>
            </w:pPr>
            <w:r>
              <w:rPr>
                <w:rFonts w:ascii="Arial" w:cs="Arial" w:eastAsia="Arial" w:hAnsi="Arial"/>
                <w:sz w:val="18"/>
                <w:szCs w:val="18"/>
                <w:color w:val="auto"/>
              </w:rPr>
              <w:t>Property, plant, and equipment, net, by geographic area:</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369,512</w:t>
            </w: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358,063</w:t>
            </w:r>
          </w:p>
        </w:tc>
        <w:tc>
          <w:tcPr>
            <w:tcW w:w="140" w:type="dxa"/>
            <w:vAlign w:val="bottom"/>
            <w:shd w:val="clear" w:color="auto" w:fill="CCEEFF"/>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180,905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182,311</w:t>
            </w:r>
          </w:p>
        </w:tc>
        <w:tc>
          <w:tcPr>
            <w:tcW w:w="140" w:type="dxa"/>
            <w:vAlign w:val="bottom"/>
          </w:tcPr>
          <w:p>
            <w:pPr>
              <w:spacing w:after="0"/>
              <w:rPr>
                <w:sz w:val="18"/>
                <w:szCs w:val="18"/>
                <w:color w:val="auto"/>
              </w:rPr>
            </w:pPr>
          </w:p>
        </w:tc>
      </w:tr>
      <w:tr>
        <w:trPr>
          <w:trHeight w:val="23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Asia/Pacific</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29,054</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28,405</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579,471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568,779</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7"/>
        <w:spacing w:after="0" w:line="277" w:lineRule="auto"/>
        <w:tabs>
          <w:tab w:leader="none" w:pos="263" w:val="left"/>
        </w:tabs>
        <w:numPr>
          <w:ilvl w:val="0"/>
          <w:numId w:val="3"/>
        </w:numPr>
        <w:rPr>
          <w:rFonts w:ascii="Arial" w:cs="Arial" w:eastAsia="Arial" w:hAnsi="Arial"/>
          <w:sz w:val="9"/>
          <w:szCs w:val="9"/>
          <w:color w:val="auto"/>
        </w:rPr>
      </w:pPr>
      <w:r>
        <w:rPr>
          <w:rFonts w:ascii="Arial" w:cs="Arial" w:eastAsia="Arial" w:hAnsi="Arial"/>
          <w:sz w:val="18"/>
          <w:szCs w:val="18"/>
          <w:color w:val="auto"/>
        </w:rPr>
        <w:t>Includes property, plant and equipment, net, of $362.1 million and $352.2 million as of October 3, 2015, and June 27, 2015, respectively, in the United States.</w:t>
      </w:r>
    </w:p>
    <w:p>
      <w:pPr>
        <w:spacing w:after="0" w:line="170" w:lineRule="exact"/>
        <w:rPr>
          <w:rFonts w:ascii="Arial" w:cs="Arial" w:eastAsia="Arial" w:hAnsi="Arial"/>
          <w:sz w:val="9"/>
          <w:szCs w:val="9"/>
          <w:color w:val="auto"/>
        </w:rPr>
      </w:pPr>
    </w:p>
    <w:p>
      <w:pPr>
        <w:ind w:left="320" w:hanging="317"/>
        <w:spacing w:after="0" w:line="342" w:lineRule="auto"/>
        <w:tabs>
          <w:tab w:leader="none" w:pos="263" w:val="left"/>
        </w:tabs>
        <w:numPr>
          <w:ilvl w:val="0"/>
          <w:numId w:val="3"/>
        </w:numPr>
        <w:rPr>
          <w:rFonts w:ascii="Arial" w:cs="Arial" w:eastAsia="Arial" w:hAnsi="Arial"/>
          <w:sz w:val="8"/>
          <w:szCs w:val="8"/>
          <w:color w:val="auto"/>
        </w:rPr>
      </w:pPr>
      <w:r>
        <w:rPr>
          <w:rFonts w:ascii="Arial" w:cs="Arial" w:eastAsia="Arial" w:hAnsi="Arial"/>
          <w:sz w:val="16"/>
          <w:szCs w:val="16"/>
          <w:color w:val="auto"/>
        </w:rPr>
        <w:t>Includes property, plant and equipment, net, of $74.2 million and $74.0 million in Germany and Belgium, respectively, as of October 3, 2015, and $74.2 million and $74.7 million in Germany and Belgium, respectively, as of June 27, 2015.</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integration and other expenses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2016</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quarter of fiscal 2016, the Company took certain actions in an effort to reduce future operating expenses, including the continuation of the restructuring activities started in the fourth quarter of fiscal 2015. In addition, the Company incurred integration and other costs primarily associated with the integration of certain global and regional businesses and the closure or divestiture of certain businesses. The following table presents the restructuring, integration and other expenses recorded during the first quarter of fiscal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Quarter Ended</w:t>
            </w:r>
          </w:p>
        </w:tc>
      </w:tr>
      <w:tr>
        <w:trPr>
          <w:trHeight w:val="241"/>
        </w:trPr>
        <w:tc>
          <w:tcPr>
            <w:tcW w:w="5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October 3, 2015</w:t>
            </w:r>
          </w:p>
        </w:tc>
      </w:tr>
      <w:tr>
        <w:trPr>
          <w:trHeight w:val="216"/>
        </w:trPr>
        <w:tc>
          <w:tcPr>
            <w:tcW w:w="5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(Thousands, except per share data)</w:t>
            </w:r>
          </w:p>
        </w:tc>
        <w:tc>
          <w:tcPr>
            <w:tcW w:w="6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8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w:t>
            </w:r>
          </w:p>
        </w:tc>
        <w:tc>
          <w:tcPr>
            <w:tcW w:w="6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Integration costs</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1,511</w:t>
            </w:r>
          </w:p>
        </w:tc>
        <w:tc>
          <w:tcPr>
            <w:tcW w:w="6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11,181</w:t>
            </w:r>
          </w:p>
        </w:tc>
        <w:tc>
          <w:tcPr>
            <w:tcW w:w="60" w:type="dxa"/>
            <w:vAlign w:val="bottom"/>
            <w:shd w:val="clear" w:color="auto" w:fill="CCEEFF"/>
          </w:tcPr>
          <w:p>
            <w:pPr>
              <w:spacing w:after="0"/>
              <w:rPr>
                <w:sz w:val="18"/>
                <w:szCs w:val="18"/>
                <w:color w:val="auto"/>
              </w:rPr>
            </w:pPr>
          </w:p>
        </w:tc>
      </w:tr>
      <w:tr>
        <w:trPr>
          <w:trHeight w:val="223"/>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Changes in estimates for prior year restructuring liabilities</w:t>
            </w:r>
          </w:p>
        </w:tc>
        <w:tc>
          <w:tcPr>
            <w:tcW w:w="4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60" w:type="dxa"/>
            <w:vAlign w:val="bottom"/>
            <w:tcBorders>
              <w:bottom w:val="single" w:sz="8" w:color="CCEEFF"/>
            </w:tcBorders>
          </w:tcPr>
          <w:p>
            <w:pPr>
              <w:spacing w:after="0"/>
              <w:rPr>
                <w:sz w:val="19"/>
                <w:szCs w:val="19"/>
                <w:color w:val="auto"/>
              </w:rPr>
            </w:pPr>
          </w:p>
        </w:tc>
      </w:tr>
      <w:tr>
        <w:trPr>
          <w:trHeight w:val="236"/>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integration and other expenses before tax</w:t>
            </w:r>
          </w:p>
        </w:tc>
        <w:tc>
          <w:tcPr>
            <w:tcW w:w="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25,958</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580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Restructuring, integration and other expenses after tax</w:t>
            </w:r>
          </w:p>
        </w:tc>
        <w:tc>
          <w:tcPr>
            <w:tcW w:w="4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17,125</w:t>
            </w:r>
          </w:p>
        </w:tc>
        <w:tc>
          <w:tcPr>
            <w:tcW w:w="60" w:type="dxa"/>
            <w:vAlign w:val="bottom"/>
            <w:tcBorders>
              <w:bottom w:val="single" w:sz="8" w:color="CCEEFF"/>
            </w:tcBorders>
          </w:tcPr>
          <w:p>
            <w:pPr>
              <w:spacing w:after="0"/>
              <w:rPr>
                <w:sz w:val="18"/>
                <w:szCs w:val="18"/>
                <w:color w:val="auto"/>
              </w:rPr>
            </w:pPr>
          </w:p>
        </w:tc>
      </w:tr>
      <w:tr>
        <w:trPr>
          <w:trHeight w:val="236"/>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5"/>
              </w:rPr>
              <w:t>Restructuring, integration and other expenses per share on a diluted basis</w:t>
            </w:r>
          </w:p>
        </w:tc>
        <w:tc>
          <w:tcPr>
            <w:tcW w:w="4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tcBorders>
              <w:bottom w:val="single" w:sz="8" w:color="CCEEFF"/>
            </w:tcBorders>
            <w:shd w:val="clear" w:color="auto" w:fill="CCEEFF"/>
          </w:tcPr>
          <w:p>
            <w:pPr>
              <w:spacing w:after="0"/>
              <w:rPr>
                <w:sz w:val="20"/>
                <w:szCs w:val="20"/>
                <w:color w:val="auto"/>
              </w:rPr>
            </w:pPr>
          </w:p>
        </w:tc>
      </w:tr>
      <w:tr>
        <w:trPr>
          <w:trHeight w:val="851"/>
        </w:trPr>
        <w:tc>
          <w:tcPr>
            <w:tcW w:w="5800" w:type="dxa"/>
            <w:vAlign w:val="bottom"/>
          </w:tcPr>
          <w:p>
            <w:pPr>
              <w:ind w:left="444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58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activity related to the restructuring liabilities established and other associated expenses incurred during fiscal 2016 is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Facility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Asset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1"/>
        </w:trPr>
        <w:tc>
          <w:tcPr>
            <w:tcW w:w="3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4"/>
              </w:rPr>
              <w:t>Severance</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86"/>
              </w:rPr>
              <w:t>Exit Costs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Impairments</w:t>
            </w: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Other</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3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0"/>
              </w:rPr>
              <w:t>(Thousands)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Fiscal 2016 restructuring expenses</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14,526</w:t>
            </w: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(5,954)</w:t>
            </w: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amounts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3900" w:type="dxa"/>
            <w:vAlign w:val="bottom"/>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3, 2015</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w:t>
            </w:r>
          </w:p>
        </w:tc>
      </w:tr>
    </w:tbl>
    <w:p>
      <w:pPr>
        <w:spacing w:after="0" w:line="20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Severance expense recorded in the first quarter of fiscal 2016 related to the reduction of over 250 employees, primarily in operations, sales and business support functions, in connection with cost reduction actions taken in both operating groups including the initiation of a voluntary retirement program in the United States. Facility exit costs primarily consist of liabilities for remaining lease obligations for exited facilities. Asset impairments relate to the impairment of property, plant and equipment as a result of the underlying restructuring actions taken in fiscal 2016. Other restructuring costs related primarily to other miscellaneous restructuring and exit costs. Of the $14.5 million in restructuring expenses recorded during the first quarter of fiscal 2016, $4.2 million related to EM and $10.3 million related to TS. As of October 3, 2015, the Company expects the majority of the remaining severance and facility exit costs to be paid by the end of fiscal 2016.</w:t>
      </w:r>
    </w:p>
    <w:p>
      <w:pPr>
        <w:spacing w:after="0" w:line="16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Integration costs are primarily related to the integration of acquired businesses, integration of regional and global business units and incremental costs incurred as part of the consolidation, relocation and closure of warehouse and office facilities. Integration costs include consulting costs for information technology system and business operation integration assistance, facility moving costs, legal fees, travel, meeting, marketing and communication costs that are incrementally incurred as a result of such integration activities. Also included in integration costs are incremental salary costs specific to integration, consolidation and closure activities. Other costs consists primarily of professional fees incurred for acquisitions, additional costs incurred for businesses divested or closed in current or prior periods, any ongoing facilities operating costs associated with the consolidation, relocation and closure of facilities once such facilities have been vacated or substantially vacated, and other miscellaneous costs that relate to restructuring, integration and other expenses. Included in other costs during the first quarter of fiscal 2016 was $4.3 million of expense associated with a liability established for Avnet’s estimated environmental remediation obligations related to legacy manufacturing operations that were divested several decades ago. The remaining, integration and other costs in the first quarter of fiscal 2016 were comprised of many different costs, none of which were individually material.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2015</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2015, the Company incurred restructuring expenses related to various restructuring actions intended to achieve planned synergies from acquired businesses and to reduce future operating expenses. The following table presents the activity during the first three months of fiscal 2016 related to the remaining restructuring liabilities established during fiscal 2015: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Facility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4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w w:val="84"/>
              </w:rPr>
              <w:t>Severance</w:t>
            </w:r>
          </w:p>
        </w:tc>
        <w:tc>
          <w:tcPr>
            <w:tcW w:w="20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9"/>
              </w:rPr>
              <w:t>Exit Costs</w:t>
            </w:r>
          </w:p>
        </w:tc>
        <w:tc>
          <w:tcPr>
            <w:tcW w:w="100" w:type="dxa"/>
            <w:vAlign w:val="bottom"/>
          </w:tcPr>
          <w:p>
            <w:pPr>
              <w:spacing w:after="0"/>
              <w:rPr>
                <w:sz w:val="20"/>
                <w:szCs w:val="20"/>
                <w:color w:val="auto"/>
              </w:rPr>
            </w:pPr>
          </w:p>
        </w:tc>
        <w:tc>
          <w:tcPr>
            <w:tcW w:w="660" w:type="dxa"/>
            <w:vAlign w:val="bottom"/>
            <w:gridSpan w:val="3"/>
          </w:tcPr>
          <w:p>
            <w:pPr>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20"/>
                <w:szCs w:val="20"/>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0"/>
              </w:rPr>
              <w:t>(Thousands)</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2015</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$ 14,466</w:t>
            </w:r>
          </w:p>
        </w:tc>
        <w:tc>
          <w:tcPr>
            <w:tcW w:w="40" w:type="dxa"/>
            <w:vAlign w:val="bottom"/>
            <w:shd w:val="clear" w:color="auto" w:fill="CCEEFF"/>
          </w:tcPr>
          <w:p>
            <w:pPr>
              <w:spacing w:after="0"/>
              <w:rPr>
                <w:sz w:val="18"/>
                <w:szCs w:val="18"/>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(4,239)</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40" w:type="dxa"/>
            <w:vAlign w:val="bottom"/>
            <w:shd w:val="clear" w:color="auto" w:fill="CCEEFF"/>
          </w:tcPr>
          <w:p>
            <w:pPr>
              <w:spacing w:after="0"/>
              <w:rPr>
                <w:sz w:val="18"/>
                <w:szCs w:val="18"/>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Non-cash amounts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40" w:type="dxa"/>
            <w:vAlign w:val="bottom"/>
            <w:shd w:val="clear" w:color="auto" w:fill="CCEEFF"/>
          </w:tcPr>
          <w:p>
            <w:pPr>
              <w:spacing w:after="0"/>
              <w:rPr>
                <w:sz w:val="20"/>
                <w:szCs w:val="20"/>
                <w:color w:val="auto"/>
              </w:rPr>
            </w:pPr>
          </w:p>
        </w:tc>
      </w:tr>
      <w:tr>
        <w:trPr>
          <w:trHeight w:val="210"/>
        </w:trPr>
        <w:tc>
          <w:tcPr>
            <w:tcW w:w="45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October 3, 2015</w:t>
            </w: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8,898</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2,705</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$ 11,603</w:t>
            </w:r>
          </w:p>
        </w:tc>
        <w:tc>
          <w:tcPr>
            <w:tcW w:w="4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As of October 3, 2015, the Company expects the majority of the remaining severance and facility exit cost liabilities to be paid by the end of fiscal 2016.</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2014 and prior</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June 27, 2015, there were $11.8 million of restructuring liabilities remaining related to restructuring actions taken in fiscal years 2014 and prior, the majority of which relates to facility exit costs. The remaining balance for such historical restructuring actions as of October 3, 2015, was $8.3 million, which is expected to be paid by the end of fiscal 2016.</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 ended October 3, 2015, this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(“MD&amp;A”) should be read in conjunction with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including the related notes, appearing in Item 1 of this Report, as well as the Company’s Annual Report on Form 10-K for the fiscal year ended June 27, 2015. The Company operates on a “52/53 week” fiscal year and fiscal 2016 contains 53 weeks compared to 52 weeks in fiscal 2015. As a result, the first quarter of fiscal 2016 ended October 3, 2015, contained 14 weeks and the first quarter of fiscal 2015 ended September 27, 2014 contained 13 weeks. This extra week in the first quarter of fiscal 2016 impacts the year-over-year analysis in this MD&amp;A.</w:t>
      </w:r>
    </w:p>
    <w:p>
      <w:pPr>
        <w:spacing w:after="0" w:line="17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are referred to as “excluding the translation impact of changes in foreign currency exchange rates” or “constant currency.”</w:t>
      </w:r>
    </w:p>
    <w:p>
      <w:pPr>
        <w:spacing w:after="0" w:line="17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7" w:lineRule="exact"/>
        <w:rPr>
          <w:sz w:val="20"/>
          <w:szCs w:val="20"/>
          <w:color w:val="auto"/>
        </w:rPr>
      </w:pPr>
    </w:p>
    <w:p>
      <w:pPr>
        <w:jc w:val="both"/>
        <w:ind w:left="480" w:hanging="53"/>
        <w:spacing w:after="0" w:line="264" w:lineRule="auto"/>
        <w:rPr>
          <w:sz w:val="20"/>
          <w:szCs w:val="20"/>
          <w:color w:val="auto"/>
        </w:rPr>
      </w:pPr>
      <w:r>
        <w:rPr>
          <w:rFonts w:ascii="Arial" w:cs="Arial" w:eastAsia="Arial" w:hAnsi="Arial"/>
          <w:sz w:val="18"/>
          <w:szCs w:val="18"/>
          <w:color w:val="auto"/>
        </w:rPr>
        <w:t>·Sales, income or expense items excluding the translation impact of changes in foreign currency exchange rates by adjusting the exchange rates used in current periods to be consistent with the exchange rates in effect during prior comparable year-over-year periods, as discussed above.</w:t>
      </w:r>
    </w:p>
    <w:p>
      <w:pPr>
        <w:spacing w:after="0" w:line="181" w:lineRule="exact"/>
        <w:rPr>
          <w:sz w:val="20"/>
          <w:szCs w:val="20"/>
          <w:color w:val="auto"/>
        </w:rPr>
      </w:pPr>
    </w:p>
    <w:p>
      <w:pPr>
        <w:jc w:val="both"/>
        <w:ind w:left="480" w:hanging="53"/>
        <w:spacing w:after="0" w:line="255" w:lineRule="auto"/>
        <w:rPr>
          <w:sz w:val="20"/>
          <w:szCs w:val="20"/>
          <w:color w:val="auto"/>
        </w:rPr>
      </w:pPr>
      <w:r>
        <w:rPr>
          <w:rFonts w:ascii="Arial" w:cs="Arial" w:eastAsia="Arial" w:hAnsi="Arial"/>
          <w:sz w:val="18"/>
          <w:szCs w:val="18"/>
          <w:color w:val="auto"/>
        </w:rPr>
        <w:t>·Sales adjusted for certain items that impact the year-over-year analysis, which includes the impact of acquisitions or divestitures by adjusting Avnet’s prior periods to include the sales of acquired businesses or exclude the sales of divested businesses as if the acquisitions or divestitures had occurred at the beginning of the earliest period presented. In addition, fiscal 2016 sales are adjusted for the estimated impact of the extra week of sales in the first quarter of fiscal 2016 due to it being a 14-week quarter, as discussed above. Sales taking into account these adjustments are referred to as “organic sales.”</w:t>
      </w:r>
    </w:p>
    <w:p>
      <w:pPr>
        <w:spacing w:after="0" w:line="193" w:lineRule="exact"/>
        <w:rPr>
          <w:sz w:val="20"/>
          <w:szCs w:val="20"/>
          <w:color w:val="auto"/>
        </w:rPr>
      </w:pPr>
    </w:p>
    <w:p>
      <w:pPr>
        <w:jc w:val="both"/>
        <w:ind w:left="480" w:hanging="53"/>
        <w:spacing w:after="0" w:line="264" w:lineRule="auto"/>
        <w:rPr>
          <w:sz w:val="20"/>
          <w:szCs w:val="20"/>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in this MD&amp;A) and (ii) amortization of acquired intangible assets and other. Operating income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amounts is referred to as “adjusted operating income.”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6"/>
          </w:tcPr>
          <w:p>
            <w:pPr>
              <w:ind w:left="12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5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Borders>
              <w:top w:val="single" w:sz="8" w:color="auto"/>
            </w:tcBorders>
            <w:gridSpan w:val="3"/>
          </w:tcPr>
          <w:p>
            <w:pPr>
              <w:ind w:left="60"/>
              <w:spacing w:after="0" w:line="198" w:lineRule="exact"/>
              <w:rPr>
                <w:sz w:val="20"/>
                <w:szCs w:val="20"/>
                <w:color w:val="auto"/>
              </w:rPr>
            </w:pPr>
            <w:r>
              <w:rPr>
                <w:rFonts w:ascii="Arial" w:cs="Arial" w:eastAsia="Arial" w:hAnsi="Arial"/>
                <w:sz w:val="18"/>
                <w:szCs w:val="18"/>
                <w:b w:val="1"/>
                <w:bCs w:val="1"/>
                <w:color w:val="auto"/>
              </w:rPr>
              <w:t>October 3,</w:t>
            </w: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9"/>
              </w:rPr>
              <w:t>September 27,</w:t>
            </w:r>
          </w:p>
        </w:tc>
        <w:tc>
          <w:tcPr>
            <w:tcW w:w="40" w:type="dxa"/>
            <w:vAlign w:val="bottom"/>
          </w:tcPr>
          <w:p>
            <w:pPr>
              <w:spacing w:after="0"/>
              <w:rPr>
                <w:sz w:val="17"/>
                <w:szCs w:val="17"/>
                <w:color w:val="auto"/>
              </w:rPr>
            </w:pPr>
          </w:p>
        </w:tc>
      </w:tr>
      <w:tr>
        <w:trPr>
          <w:trHeight w:val="241"/>
        </w:trPr>
        <w:tc>
          <w:tcPr>
            <w:tcW w:w="5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r>
      <w:tr>
        <w:trPr>
          <w:trHeight w:val="216"/>
        </w:trPr>
        <w:tc>
          <w:tcPr>
            <w:tcW w:w="5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2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206,962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193,197</w:t>
            </w:r>
          </w:p>
        </w:tc>
        <w:tc>
          <w:tcPr>
            <w:tcW w:w="40" w:type="dxa"/>
            <w:vAlign w:val="bottom"/>
            <w:shd w:val="clear" w:color="auto" w:fill="CCEEFF"/>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18,320</w:t>
            </w:r>
          </w:p>
        </w:tc>
        <w:tc>
          <w:tcPr>
            <w:tcW w:w="40" w:type="dxa"/>
            <w:vAlign w:val="bottom"/>
          </w:tcPr>
          <w:p>
            <w:pPr>
              <w:spacing w:after="0"/>
              <w:rPr>
                <w:sz w:val="18"/>
                <w:szCs w:val="18"/>
                <w:color w:val="auto"/>
              </w:rPr>
            </w:pPr>
          </w:p>
        </w:tc>
      </w:tr>
      <w:tr>
        <w:trPr>
          <w:trHeight w:val="23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acquired intangible assets and other</w:t>
            </w:r>
          </w:p>
        </w:tc>
        <w:tc>
          <w:tcPr>
            <w:tcW w:w="14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12,208</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5320" w:type="dxa"/>
            <w:vAlign w:val="bottom"/>
          </w:tcPr>
          <w:p>
            <w:pPr>
              <w:spacing w:after="0" w:line="203" w:lineRule="exact"/>
              <w:rPr>
                <w:sz w:val="20"/>
                <w:szCs w:val="20"/>
                <w:color w:val="auto"/>
              </w:rPr>
            </w:pPr>
            <w:r>
              <w:rPr>
                <w:rFonts w:ascii="Arial" w:cs="Arial" w:eastAsia="Arial" w:hAnsi="Arial"/>
                <w:sz w:val="18"/>
                <w:szCs w:val="18"/>
                <w:color w:val="auto"/>
              </w:rPr>
              <w:t>Adjusted operating income</w:t>
            </w:r>
          </w:p>
        </w:tc>
        <w:tc>
          <w:tcPr>
            <w:tcW w:w="144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240,411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223,725</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Management believes that providing this additional information is useful to financial statement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goals and, in many cases, for measuring performance for compensation purposes. However, any analysis of results on a non-GAAP basis should be used as a complement to, and in conjunction with, results presented in accordance with GAAP.</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Avnet, Inc., incorporated in New York in 1955, together with its consolidated subsidiaries (the “Company” or “Avnet”), is a global value-added distributor of electronic components, enterprise computer and storage products, IT solutions and services and embedded subsystems. Avnet creates a vital link in the technology supply chain that connects the world’s leading electronic component and computer product manufacturers and software developers with a global customer base of original equipment manufacturers, electronic manufacturing services providers, original design manufacturers, systems integrators, independent software vendors and value-added resellers. Avnet distributes electronic components, computer products and software, as received from its suppliers or through a customized solution, and offers assembly and other value-added services. In addition, Avnet provides engineering design, materials management and logistics services, system integration and configuration and supply chain services customized to meet specific requirements of both customers and suppliers.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Avnet’s two operating groups, — EM and TS, have operations in each of the three major economic regions of the world: the Americas; EMEA; and Asia/Pacific, consisting of Asia, Australia and New Zealand (“Asia”). A summary of each operating group is provided in Note 12, “Segment information” to the Company's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Sales for the first quarter of fiscal 2016 were $6.97 billion, as compared to the first quarter of fiscal 2015 sales of $6.84 billion. Sales increased 8.4% year over year in constant currency primarily due to the impact of an extra week of sales in the first quarter of fiscal 2016. EM and TS sales in constant currency increased 8.7% and 7.8% year over year, respectively, primarily due to sales growth in EMEA and from the benefit of the extra week of sales in the first quarter of fiscal 2016. The increase in year-over-year reported sales of $130.1 million was primarily the result of a $97.3 million increase at EM and a $32.8 million increase at TS.</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Gross profit margin of 11.4% decreased 27 basis points compared to the first quarter of fiscal 2015 as a result of gross profit margin declines at both EM and TS.</w:t>
      </w:r>
    </w:p>
    <w:p>
      <w:pPr>
        <w:spacing w:after="0" w:line="17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Operating income margin was 3.0% in the first quarter of fiscal 2016 as compared with 2.8% in the first quarter of fiscal 2015. Excluding restructuring, integration and other expenses, as well as amortization expense from acquired intangible assets from both periods, adjusted operating income margin was 3.5% in the first quarter of fiscal 2016 as compared to 3.3% in the first quarter of fiscal 2015 resulting from improvements at both EM and TS. EM operating income margin increased 13 basis points year over year to 4.8%. The increase in EM operating income margin was primarily due to an increase in sales and reductions in operating expenses from the impact of restructuring actions, partially offset by a decrease in gross profit margin. TS operating income margin increased 45 basis points year over year to 3.0% primarily due to an increase in sales and the impact of restructuring actions, partially offset by a decrease in gross profit margin.</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first quarter of fiscal 2016, the Company used $33.7 million of cash for operating activities compared to $40.7 million used for operating activities in the first quarter of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presents the reconciliation of reported sales to organic sales for the first quarter of fiscal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Extra Week</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As</w:t>
            </w:r>
          </w:p>
        </w:tc>
        <w:tc>
          <w:tcPr>
            <w:tcW w:w="240" w:type="dxa"/>
            <w:vAlign w:val="bottom"/>
          </w:tcPr>
          <w:p>
            <w:pPr>
              <w:spacing w:after="0"/>
              <w:rPr>
                <w:sz w:val="18"/>
                <w:szCs w:val="18"/>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in</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5180" w:type="dxa"/>
            <w:vAlign w:val="bottom"/>
          </w:tcPr>
          <w:p>
            <w:pPr>
              <w:spacing w:after="0"/>
              <w:rPr>
                <w:sz w:val="20"/>
                <w:szCs w:val="20"/>
                <w:color w:val="auto"/>
              </w:rPr>
            </w:pPr>
            <w:r>
              <w:rPr>
                <w:rFonts w:ascii="Arial" w:cs="Arial" w:eastAsia="Arial" w:hAnsi="Arial"/>
                <w:sz w:val="18"/>
                <w:szCs w:val="18"/>
                <w:b w:val="1"/>
                <w:bCs w:val="1"/>
                <w:i w:val="1"/>
                <w:iCs w:val="1"/>
                <w:color w:val="auto"/>
              </w:rPr>
              <w:t>Q1 Fiscal 2016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Reported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 xml:space="preserve">Fiscal 2016 </w:t>
            </w:r>
            <w:r>
              <w:rPr>
                <w:rFonts w:ascii="Arial" w:cs="Arial" w:eastAsia="Arial" w:hAnsi="Arial"/>
                <w:sz w:val="8"/>
                <w:szCs w:val="8"/>
                <w:b w:val="1"/>
                <w:bCs w:val="1"/>
                <w:color w:val="auto"/>
                <w:w w:val="90"/>
              </w:rPr>
              <w:t>(1)</w:t>
            </w: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w w:val="91"/>
              </w:rPr>
              <w:t>Organic Sales</w:t>
            </w:r>
          </w:p>
        </w:tc>
      </w:tr>
      <w:tr>
        <w:trPr>
          <w:trHeight w:val="216"/>
        </w:trPr>
        <w:tc>
          <w:tcPr>
            <w:tcW w:w="5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4"/>
          </w:tcPr>
          <w:p>
            <w:pPr>
              <w:ind w:left="860"/>
              <w:spacing w:after="0"/>
              <w:rPr>
                <w:sz w:val="20"/>
                <w:szCs w:val="20"/>
                <w:color w:val="auto"/>
              </w:rPr>
            </w:pPr>
            <w:r>
              <w:rPr>
                <w:rFonts w:ascii="Arial" w:cs="Arial" w:eastAsia="Arial" w:hAnsi="Arial"/>
                <w:sz w:val="18"/>
                <w:szCs w:val="18"/>
                <w:b w:val="1"/>
                <w:bCs w:val="1"/>
                <w:color w:val="auto"/>
                <w:w w:val="93"/>
              </w:rPr>
              <w:t>(Dollars in thousands)</w:t>
            </w:r>
          </w:p>
        </w:tc>
        <w:tc>
          <w:tcPr>
            <w:tcW w:w="8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Avnet, Inc.</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6,969,694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(525,000)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6,444,694</w:t>
            </w:r>
          </w:p>
        </w:tc>
        <w:tc>
          <w:tcPr>
            <w:tcW w:w="40" w:type="dxa"/>
            <w:vAlign w:val="bottom"/>
            <w:shd w:val="clear" w:color="auto" w:fill="CCEEFF"/>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EM</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4,471,402</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4,171,402</w:t>
            </w:r>
          </w:p>
        </w:tc>
        <w:tc>
          <w:tcPr>
            <w:tcW w:w="4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2,498,292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(225,000)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2,273,292</w:t>
            </w:r>
          </w:p>
        </w:tc>
        <w:tc>
          <w:tcPr>
            <w:tcW w:w="4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EM</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1,265,208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(82,000)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1,183,208</w:t>
            </w:r>
          </w:p>
        </w:tc>
        <w:tc>
          <w:tcPr>
            <w:tcW w:w="40" w:type="dxa"/>
            <w:vAlign w:val="bottom"/>
            <w:shd w:val="clear" w:color="auto" w:fill="CCEEFF"/>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EMEA</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1,326,436</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(92,000)</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1,234,436</w:t>
            </w:r>
          </w:p>
        </w:tc>
        <w:tc>
          <w:tcPr>
            <w:tcW w:w="4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1,879,758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(126,000)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1,753,758</w:t>
            </w:r>
          </w:p>
        </w:tc>
        <w:tc>
          <w:tcPr>
            <w:tcW w:w="4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1,508,735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(137,000)</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1,371,735</w:t>
            </w:r>
          </w:p>
        </w:tc>
        <w:tc>
          <w:tcPr>
            <w:tcW w:w="40" w:type="dxa"/>
            <w:vAlign w:val="bottom"/>
            <w:shd w:val="clear" w:color="auto" w:fill="CCEEFF"/>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EMEA</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688,783</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(65,000)</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623,783</w:t>
            </w:r>
          </w:p>
        </w:tc>
        <w:tc>
          <w:tcPr>
            <w:tcW w:w="4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300,774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277,774</w:t>
            </w: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4408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4" w:lineRule="exact"/>
        <w:rPr>
          <w:sz w:val="20"/>
          <w:szCs w:val="20"/>
          <w:color w:val="auto"/>
        </w:rPr>
      </w:pPr>
    </w:p>
    <w:p>
      <w:pPr>
        <w:ind w:left="440" w:hanging="437"/>
        <w:spacing w:after="0"/>
        <w:tabs>
          <w:tab w:leader="none" w:pos="440" w:val="left"/>
        </w:tabs>
        <w:numPr>
          <w:ilvl w:val="0"/>
          <w:numId w:val="4"/>
        </w:numPr>
        <w:rPr>
          <w:rFonts w:ascii="Arial" w:cs="Arial" w:eastAsia="Arial" w:hAnsi="Arial"/>
          <w:sz w:val="9"/>
          <w:szCs w:val="9"/>
          <w:color w:val="auto"/>
        </w:rPr>
      </w:pPr>
      <w:r>
        <w:rPr>
          <w:rFonts w:ascii="Arial" w:cs="Arial" w:eastAsia="Arial" w:hAnsi="Arial"/>
          <w:sz w:val="18"/>
          <w:szCs w:val="18"/>
          <w:color w:val="auto"/>
        </w:rPr>
        <w:t>The impact of the additional week of sales in the first quarter of fiscal 2016 is estimated.</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provides the year-over-year comparison of reported first quarter sales for Avnet and the EM and TS operating groups to organic sales to allow readers to better understand and assess the Company's sales performance by operating group and region.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Sales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Organic</w:t>
            </w:r>
          </w:p>
        </w:tc>
      </w:tr>
      <w:tr>
        <w:trPr>
          <w:trHeight w:val="216"/>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As Reported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Sales</w:t>
            </w:r>
          </w:p>
        </w:tc>
      </w:tr>
      <w:tr>
        <w:trPr>
          <w:trHeight w:val="216"/>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87"/>
              </w:rPr>
              <w:t>Sales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Sales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Year-Year %</w:t>
            </w:r>
          </w:p>
        </w:tc>
        <w:tc>
          <w:tcPr>
            <w:tcW w:w="240" w:type="dxa"/>
            <w:vAlign w:val="bottom"/>
          </w:tcPr>
          <w:p>
            <w:pPr>
              <w:spacing w:after="0"/>
              <w:rPr>
                <w:sz w:val="18"/>
                <w:szCs w:val="18"/>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Organic</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Year-Year %</w:t>
            </w:r>
          </w:p>
        </w:tc>
      </w:tr>
      <w:tr>
        <w:trPr>
          <w:trHeight w:val="216"/>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As Reported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As Reported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240" w:type="dxa"/>
            <w:vAlign w:val="bottom"/>
          </w:tcPr>
          <w:p>
            <w:pPr>
              <w:spacing w:after="0"/>
              <w:rPr>
                <w:sz w:val="18"/>
                <w:szCs w:val="18"/>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w w:val="81"/>
              </w:rPr>
              <w:t>Sales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Sales</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Change in</w:t>
            </w:r>
          </w:p>
        </w:tc>
      </w:tr>
      <w:tr>
        <w:trPr>
          <w:trHeight w:val="216"/>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Q1-Fiscal</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Year-Year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240" w:type="dxa"/>
            <w:vAlign w:val="bottom"/>
          </w:tcPr>
          <w:p>
            <w:pPr>
              <w:spacing w:after="0"/>
              <w:rPr>
                <w:sz w:val="18"/>
                <w:szCs w:val="18"/>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Q1-Fiscal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Year-Year</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Constant</w:t>
            </w:r>
          </w:p>
        </w:tc>
      </w:tr>
      <w:tr>
        <w:trPr>
          <w:trHeight w:val="195"/>
        </w:trPr>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2016</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6"/>
                <w:szCs w:val="16"/>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2016</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Currency</w:t>
            </w:r>
          </w:p>
        </w:tc>
      </w:tr>
      <w:tr>
        <w:trPr>
          <w:trHeight w:val="203"/>
        </w:trPr>
        <w:tc>
          <w:tcPr>
            <w:tcW w:w="1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Avnet, Inc.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6,969,694</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1.9 %</w:t>
            </w: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8.4 %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4"/>
              </w:rPr>
              <w:t>6,444,694</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0.7 %</w:t>
            </w:r>
          </w:p>
        </w:tc>
      </w:tr>
      <w:tr>
        <w:trPr>
          <w:trHeight w:val="216"/>
        </w:trPr>
        <w:tc>
          <w:tcPr>
            <w:tcW w:w="1800" w:type="dxa"/>
            <w:vAlign w:val="bottom"/>
          </w:tcPr>
          <w:p>
            <w:pPr>
              <w:ind w:left="120"/>
              <w:spacing w:after="0"/>
              <w:rPr>
                <w:sz w:val="20"/>
                <w:szCs w:val="20"/>
                <w:color w:val="auto"/>
              </w:rPr>
            </w:pPr>
            <w:r>
              <w:rPr>
                <w:rFonts w:ascii="Arial" w:cs="Arial" w:eastAsia="Arial" w:hAnsi="Arial"/>
                <w:sz w:val="18"/>
                <w:szCs w:val="18"/>
                <w:color w:val="auto"/>
              </w:rPr>
              <w:t>EM</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w w:val="99"/>
              </w:rPr>
              <w:t>4,471,402</w:t>
            </w:r>
          </w:p>
        </w:tc>
        <w:tc>
          <w:tcPr>
            <w:tcW w:w="1060" w:type="dxa"/>
            <w:vAlign w:val="bottom"/>
          </w:tcPr>
          <w:p>
            <w:pPr>
              <w:jc w:val="right"/>
              <w:ind w:right="276"/>
              <w:spacing w:after="0"/>
              <w:rPr>
                <w:sz w:val="20"/>
                <w:szCs w:val="20"/>
                <w:color w:val="auto"/>
              </w:rPr>
            </w:pPr>
            <w:r>
              <w:rPr>
                <w:rFonts w:ascii="Arial" w:cs="Arial" w:eastAsia="Arial" w:hAnsi="Arial"/>
                <w:sz w:val="18"/>
                <w:szCs w:val="18"/>
                <w:color w:val="auto"/>
              </w:rPr>
              <w:t>2.2</w:t>
            </w:r>
          </w:p>
        </w:tc>
        <w:tc>
          <w:tcPr>
            <w:tcW w:w="1040" w:type="dxa"/>
            <w:vAlign w:val="bottom"/>
          </w:tcPr>
          <w:p>
            <w:pPr>
              <w:jc w:val="right"/>
              <w:ind w:right="278"/>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940" w:type="dxa"/>
            <w:vAlign w:val="bottom"/>
          </w:tcPr>
          <w:p>
            <w:pPr>
              <w:jc w:val="right"/>
              <w:ind w:right="76"/>
              <w:spacing w:after="0"/>
              <w:rPr>
                <w:sz w:val="20"/>
                <w:szCs w:val="20"/>
                <w:color w:val="auto"/>
              </w:rPr>
            </w:pPr>
            <w:r>
              <w:rPr>
                <w:rFonts w:ascii="Arial" w:cs="Arial" w:eastAsia="Arial" w:hAnsi="Arial"/>
                <w:sz w:val="18"/>
                <w:szCs w:val="18"/>
                <w:color w:val="auto"/>
                <w:w w:val="94"/>
              </w:rPr>
              <w:t>4,171,402</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(4.6)</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2,498,292</w:t>
            </w:r>
          </w:p>
        </w:tc>
        <w:tc>
          <w:tcPr>
            <w:tcW w:w="10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1.3</w:t>
            </w:r>
          </w:p>
        </w:tc>
        <w:tc>
          <w:tcPr>
            <w:tcW w:w="10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4"/>
              </w:rPr>
              <w:t>2,273,292</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(7.8)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rPr>
              <w:t>EM</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1,265,208</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4.2 %</w:t>
            </w:r>
          </w:p>
        </w:tc>
        <w:tc>
          <w:tcPr>
            <w:tcW w:w="10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4"/>
              </w:rPr>
              <w:t>1,183,208</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1800" w:type="dxa"/>
            <w:vAlign w:val="bottom"/>
          </w:tcPr>
          <w:p>
            <w:pPr>
              <w:ind w:left="120"/>
              <w:spacing w:after="0"/>
              <w:rPr>
                <w:sz w:val="20"/>
                <w:szCs w:val="20"/>
                <w:color w:val="auto"/>
              </w:rPr>
            </w:pPr>
            <w:r>
              <w:rPr>
                <w:rFonts w:ascii="Arial" w:cs="Arial" w:eastAsia="Arial" w:hAnsi="Arial"/>
                <w:sz w:val="18"/>
                <w:szCs w:val="18"/>
                <w:color w:val="auto"/>
              </w:rPr>
              <w:t>EMEA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w w:val="99"/>
              </w:rPr>
              <w:t>1,326,436</w:t>
            </w:r>
          </w:p>
        </w:tc>
        <w:tc>
          <w:tcPr>
            <w:tcW w:w="1060" w:type="dxa"/>
            <w:vAlign w:val="bottom"/>
          </w:tcPr>
          <w:p>
            <w:pPr>
              <w:jc w:val="right"/>
              <w:ind w:right="276"/>
              <w:spacing w:after="0"/>
              <w:rPr>
                <w:sz w:val="20"/>
                <w:szCs w:val="20"/>
                <w:color w:val="auto"/>
              </w:rPr>
            </w:pPr>
            <w:r>
              <w:rPr>
                <w:rFonts w:ascii="Arial" w:cs="Arial" w:eastAsia="Arial" w:hAnsi="Arial"/>
                <w:sz w:val="18"/>
                <w:szCs w:val="18"/>
                <w:color w:val="auto"/>
              </w:rPr>
              <w:t>1.8</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20.8 %</w:t>
            </w:r>
          </w:p>
        </w:tc>
        <w:tc>
          <w:tcPr>
            <w:tcW w:w="240" w:type="dxa"/>
            <w:vAlign w:val="bottom"/>
          </w:tcPr>
          <w:p>
            <w:pPr>
              <w:spacing w:after="0"/>
              <w:rPr>
                <w:sz w:val="18"/>
                <w:szCs w:val="18"/>
                <w:color w:val="auto"/>
              </w:rPr>
            </w:pPr>
          </w:p>
        </w:tc>
        <w:tc>
          <w:tcPr>
            <w:tcW w:w="940" w:type="dxa"/>
            <w:vAlign w:val="bottom"/>
          </w:tcPr>
          <w:p>
            <w:pPr>
              <w:jc w:val="right"/>
              <w:ind w:right="76"/>
              <w:spacing w:after="0"/>
              <w:rPr>
                <w:sz w:val="20"/>
                <w:szCs w:val="20"/>
                <w:color w:val="auto"/>
              </w:rPr>
            </w:pPr>
            <w:r>
              <w:rPr>
                <w:rFonts w:ascii="Arial" w:cs="Arial" w:eastAsia="Arial" w:hAnsi="Arial"/>
                <w:sz w:val="18"/>
                <w:szCs w:val="18"/>
                <w:color w:val="auto"/>
                <w:w w:val="94"/>
              </w:rPr>
              <w:t>1,234,436</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(5.2)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13.8 %</w:t>
            </w: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Asia/Pacific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1,879,758</w:t>
            </w:r>
          </w:p>
        </w:tc>
        <w:tc>
          <w:tcPr>
            <w:tcW w:w="10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1.2</w:t>
            </w:r>
          </w:p>
        </w:tc>
        <w:tc>
          <w:tcPr>
            <w:tcW w:w="10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4"/>
              </w:rPr>
              <w:t>1,753,758</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(5.6)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rPr>
              <w:t>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1,508,735</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5.3 %</w:t>
            </w:r>
          </w:p>
        </w:tc>
        <w:tc>
          <w:tcPr>
            <w:tcW w:w="10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4"/>
              </w:rPr>
              <w:t>1,371,735</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(4.3)%</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1800" w:type="dxa"/>
            <w:vAlign w:val="bottom"/>
          </w:tcPr>
          <w:p>
            <w:pPr>
              <w:ind w:left="120"/>
              <w:spacing w:after="0"/>
              <w:rPr>
                <w:sz w:val="20"/>
                <w:szCs w:val="20"/>
                <w:color w:val="auto"/>
              </w:rPr>
            </w:pPr>
            <w:r>
              <w:rPr>
                <w:rFonts w:ascii="Arial" w:cs="Arial" w:eastAsia="Arial" w:hAnsi="Arial"/>
                <w:sz w:val="18"/>
                <w:szCs w:val="18"/>
                <w:color w:val="auto"/>
              </w:rPr>
              <w:t>EMEA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688,783</w:t>
            </w:r>
          </w:p>
        </w:tc>
        <w:tc>
          <w:tcPr>
            <w:tcW w:w="1060" w:type="dxa"/>
            <w:vAlign w:val="bottom"/>
          </w:tcPr>
          <w:p>
            <w:pPr>
              <w:jc w:val="right"/>
              <w:ind w:right="276"/>
              <w:spacing w:after="0"/>
              <w:rPr>
                <w:sz w:val="20"/>
                <w:szCs w:val="20"/>
                <w:color w:val="auto"/>
              </w:rPr>
            </w:pPr>
            <w:r>
              <w:rPr>
                <w:rFonts w:ascii="Arial" w:cs="Arial" w:eastAsia="Arial" w:hAnsi="Arial"/>
                <w:sz w:val="18"/>
                <w:szCs w:val="18"/>
                <w:color w:val="auto"/>
              </w:rPr>
              <w:t>2.4</w:t>
            </w: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16.1 %</w:t>
            </w:r>
          </w:p>
        </w:tc>
        <w:tc>
          <w:tcPr>
            <w:tcW w:w="240" w:type="dxa"/>
            <w:vAlign w:val="bottom"/>
          </w:tcPr>
          <w:p>
            <w:pPr>
              <w:spacing w:after="0"/>
              <w:rPr>
                <w:sz w:val="18"/>
                <w:szCs w:val="18"/>
                <w:color w:val="auto"/>
              </w:rPr>
            </w:pP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623,783</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(7.3)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6.4 %</w:t>
            </w:r>
          </w:p>
        </w:tc>
      </w:tr>
      <w:tr>
        <w:trPr>
          <w:trHeight w:val="216"/>
        </w:trPr>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Asia/Pacific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300,774</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(16.3)</w:t>
            </w:r>
          </w:p>
        </w:tc>
        <w:tc>
          <w:tcPr>
            <w:tcW w:w="10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277,774</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(22.7)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Avnet sales for the first quarter of fiscal 2016 were $6.97 billion, an increase of 1.9%, or $130.1 million, from the first quarter of fiscal 2015 sales of $6.84 billion with both EM and TS contributing toward this growth. The increase was primarily from the benefit of an additional week of sales partially offset by the strengthening of the U.S. Dollar year over year. Avnet sales in constant currency increased 8.4% year over year. Avnet organic sales in constant currency increased approximately 1.0% year over year.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EM sales of $4.47 billion in the first quarter of fiscal 2016 increased 2.2% from the first quarter of fiscal 2015 sales of $4.37 billion. EM sales in constant currency increased 8.7% year over year. EM organic sales in constant currency increased 1.8% year over year. On a regional basis, sales in constant currency increased 20.8% in EMEA primarily due to sales growth in the region and to a lesser extent due to the benefit of the extra week in sales. Sales also increased 4.2% in the Americas and 1.2% in Asia year over year primarily due to the benefit of the extra week of sales.</w:t>
      </w:r>
    </w:p>
    <w:p>
      <w:pPr>
        <w:spacing w:after="0" w:line="17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TS sales of $2.50 billion in the first quarter of fiscal 2016 increased 1.3% from the first quarter of fiscal 2015 sales of $2.47 billion. TS sales in constant currency increased 7.8% year over year. TS organic sales in constant currency declined 1.4%. On a regional basis, sales in constant currency increased 16.1% in EMEA, primarily driven by the benefit of an extra week of sales and from organic sales growth in the region. Sales in the Americas increased 5.3% primarily as a result of an extra week of sales. These increases were partially offset by a 16.3% decline in Asia primarily related to sales declines in the computing components business and due to the strengthening U.S. Dollar year over year. At a product level, year-over-year growth in networking and security, software, and services was offset by a decline in computing components.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Avnet gross profit for the first quarter of fiscal 2016 was $791.5 million, a decrease of $4.0 million, or 0.5%, from the first quarter of fiscal 2015 gross profit of $795.5 million, primarily due to a decline in gross profit margin, partially offset by the increase in sales as described further above. Avnet gross profit margin of 11.4% decreased 27 basis points from the first quarter of fiscal 2015. EM gross profit margin decreased year over year primarily as a result of declines in EMEA and Asia, which had a higher mix of high volume supply chain engagements compared to the year ago quarter. TS gross profit margin decreased year over year primarily as a result of declines in EMEA and the Americas, partially offset by an increase in Asia.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Selling, general and administrative expenses (“SG&amp;A expenses”) were $558.6 million in the first quarter of fiscal 2016, a decrease of $25.4 million, or 4.3%, from the first quarter of fiscal 2015, primarily due to the impact of changes in foreign currency exchange rates between the periods. The remaining decrease was due to net decreases in SG&amp;A expenses resulting from the realization of cost savings from prior restructuring actions, partially offset by increases in SG&amp;A expenses to fund organic growth and due to an additional week of operating expenses in the first quarter of fiscal 2016.</w:t>
      </w:r>
    </w:p>
    <w:p>
      <w:pPr>
        <w:spacing w:after="0" w:line="158"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Metrics that management monitors with respect to its operating expenses are SG&amp;A expenses as a percentage of sales and as a percentage of gross profit. In the first quarter of fiscal 2016, SG&amp;A expenses as a percentage of sales were 8.0% and as a percentage of gross profit were 70.6% as compared with 8.5% and 73.4%, respectively, in the first quarter of fiscal 2015. SG&amp;A expense as a percentage of gross profit at EM and TS decreased approximately 200 and 500 basis points year over year, respectively, primarily as a result of sales growth and savings realized from prior year restructuring actions, partially offset by a decrease in gross profit margin.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During the first quarter of fiscal 2016, the Company incurred restructuring expenses related to certain actions intended to reduce future operating expenses. In addition, the Company incurred integration and other costs primarily associated with the integration of certain global and regional businesses and the closure or divestiture of certain businesses. As a result, the Company recorded restructuring, integration and other expenses of $26.0 million during the first quarter of fiscal 2016. The Company recorded $14.5 million of restructuring costs and expects to realize approximately $18.0 million in incremental annualized operating cost savings once such restructuring actions are completed. The incremental annualized cost savings are expected to benefit EM by approximately $6.0 million and TS by approximately $12.0 million. The Company expects to incur additional restructuring expenses of approximately $15.0 million through the end of fiscal 2016 related to the restructuring actions initiated in the first quarter of fiscal 2016 in order to achieve the annualized cost savings. The Company also incurred integration costs of $1.5 million, other costs of $11.2 million and a reversal of $1.3 million for changes in estimates for costs associated with prior year restructuring actions. The after tax impact of restructuring, integration, and other expenses was $17.1 million and $0.12 per share on a diluted basis for the first quarter of fiscal 2016.</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Comparatively, in the first quarter of fiscal 2015, restructuring, integration and other expenses were $18.3 million. The after tax impact of restructuring, integration, and other expenses was $13.2 million and $0.09 per share on a diluted basis.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See Note 13, “Restructuring, integration and other expenses” to the Company's consolidated financial statements included in this Quarterly Report on Form 10-Q for additional information related to restructuring, integration and other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During the first quarter of fiscal 2016, the Company generated operating income of $207.0 million, representing a 7.1% increase compared to the first quarter of fiscal 2015 operating income of $193.2 million. Both periods included restructuring, integration and other expenses as described further above. Both periods also included amortization expense and other associated with acquired intangible assets. Excluding these amounts from both periods, adjusted operating income was $240.4 million, or 3.5% of sales, in the first quarter of fiscal 2016 as compared with $223.7 million, or 3.3% of sales, in the first quarter of fiscal 2015. EM operating income of $213.0 million increased 5.1% year over year and operating income margin increased to 4.8% from 4.6%. TS operating income of $74.5 million increased 19.5% year over year and operating income margin increased 45 basis points to 3.0%. The increase in operating income margin at both EM and TS was primarily due to increases in sales and benefits from prior year restructuring actions, partially offset by a decrease in gross profit margin.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expense in the first quarter of fiscal 2016 was $23.6 million, a decrease of $0.2 million or 0.9%, as compared with interest expense of $23.4 million in the first quarter of fiscal 2015. The decrease was primarily related to the repayment at maturity of the $250.0 million Notes and a corresponding lower average borrowing rate, partially offset by an additional week of interest expense in the first quarter of fiscal 2016.</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quarter of fiscal 2016, the Company incurred $5.9 million of other expense as compared with $1.5 million of other expense in the first quarter of fiscal 2015. The increase in other expense in the first quarter of fiscal 2016 is primarily attributable to the strengthening of the U.S. Dollar relative to foreign currencies year over year and the corresponding higher costs incurred to purchase forward foreign currency exchange contracts in order to economically hedge such foreign currency exposures.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The Company’s effective tax rate on its income before income taxes was 26.6% in the first quarter of fiscal 2016 as compared with 24.0% in the first quarter of fiscal 2015. During the first quarter of fiscal 2016, the Company's effective tax rate was favorably impacted primarily by the mix of income in lower tax rate jurisdictions. During the first quarter of fiscal 2015, the Company’s effective tax rate was favorably impacted by the mix of income in lower tax jurisdictions and the release of reserves, primarily related to the formal deregistration of a foreign branch.</w:t>
      </w:r>
    </w:p>
    <w:p>
      <w:pPr>
        <w:spacing w:after="0" w:line="173"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7, “Income taxes” to the Company’s consolidated financial statements included in this Quarterly Report on Form 10-Q for additional information on the Company's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quarter of fiscal 2016 was $130.3 million, or $0.96 per share on a diluted basis, as compared with $127.9 million, or $0.91 per share on a diluted basis, in the first quarter of fiscal 2015.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During the first quarter of fiscal 2016, the Company used $33.7 million of cash for its operating activities compared to a use of $40.7 million in the first quarter of fiscal 2015. These operating cash flows are comprised of: (i) cash flow generated from net income, adjusted for the impact of non-cash and other items, which includes depreciation and amortization expenses, deferred income taxes, stock-based compensation expense and other non-cash items (including provisions for doubtful accounts and periodic pension costs) and (ii) cash flows used for, or generated from, working capital and other, excluding cash and cash equivalents. Cash used for working capital and other was $238.8 million during the first quarter of fiscal 2016, including increases in inventories of $324.5 million and accounts payable of $18.1 million, partially offset by decreases in accounts receivable of $105.2 million and accrued expenses and other of $37.7 million. Comparatively, cash used for working capital and other was $253.0 million during the first quarter of fiscal 2015, including an increase in inventories of $165.9 million and decreases in accounts payable of $28.8 million and accrued expenses and other of $99.8 million, partially offset by a decrease in accounts receivable of $41.5 million.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quarter of fiscal 2016, the Company repaid upon maturity the $250 million of 6.00% Notes due September 2015. Additionally, the Company made net repayments of $33.0 million under the Company's accounts receivable securitization program and received net proceeds of $418.6 million from borrowings of bank and other debt. During the first quarter of fiscal 2016, the Company paid dividends on common stock of $22.6 million and repurchased $143.7 million of common stock.</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quarter of fiscal 2015, the Company received net proceeds of $60.0 million under the Company's accounts receivable securitization program and made net repayments of $42.0 million for bank and other debt. During the first quarter of fiscal 2015, the Company paid dividends on common stock of $22.1 million and repurchased $12.3 million of common stock.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first quarter of fiscal 2016, the Company used $32.0 million for capital expenditures primarily related to information system development costs, computer hardware and software purchases and facilities costs compared to $36.6 million for capital expenditures and $2.2 million for other investing activities in the first quarter of fiscal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a detailed description of the Company’s long-term debt and lease commitments for the next five years and thereafter, see </w:t>
      </w:r>
      <w:r>
        <w:rPr>
          <w:rFonts w:ascii="Arial" w:cs="Arial" w:eastAsia="Arial" w:hAnsi="Arial"/>
          <w:sz w:val="18"/>
          <w:szCs w:val="18"/>
          <w:i w:val="1"/>
          <w:iCs w:val="1"/>
          <w:color w:val="auto"/>
        </w:rPr>
        <w:t>Long-Term Contractual Obligations</w:t>
      </w:r>
      <w:r>
        <w:rPr>
          <w:rFonts w:ascii="Arial" w:cs="Arial" w:eastAsia="Arial" w:hAnsi="Arial"/>
          <w:sz w:val="18"/>
          <w:szCs w:val="18"/>
          <w:color w:val="auto"/>
        </w:rPr>
        <w:t xml:space="preserve"> appearing in Item 7 of the Company’s Annual Report on Form 10-K for the fiscal year ended June 27, 2015. With the exception of the Company’s debt transactions discussed herein, there are no material changes to this information outside of normal borrowings and repayments of long-term debt and operating lease payments. The Company does not currently have any material uncancellable commitments for capital expenditures or inventory purchases.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See Note 4, “Debt” to the Company’s consolidated financial statements included in this Quarterly Report on Form 10-Q for additional information on financing transactions including the Credit Facility, the Program and the outstanding Notes as of October 3, 2015. The Company was in compliance with all covenants under the Credit Facility and the Program as of October 3, 2015.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has several lines of credit and other forms of bank debt in the U.S. and various foreign locations to fund the short-term working capital, foreign exchange, overdraft and letter of credit needs of its wholly owned subsidiaries primarily in EMEA and Asia. Avnet generally guarantees its subsidiaries’ obligations under such debt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held cash and cash equivalents of $824.7 million as of October 3, 2015, of which $719.2 million was held outside the United States. As of June 27, 2015, the Company held cash and cash equivalents of $932.6 million, of which $855.8 million was held outside of the United States.</w:t>
      </w:r>
    </w:p>
    <w:p>
      <w:pPr>
        <w:spacing w:after="0" w:line="18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As of the end of the first quarter of fiscal 2016, the Company had a combined total borrowing capacity of $2.15 billion under the Credit Facility and the Program. There were $429.7 million in borrowings outstanding and $1.9 million in letters of credit issued under the Credit Facility and $617.0 million in borrowings outstanding under the Program, resulting in approximately $1.07 billion of total availability as of October 3, 2015. Availability under the Program is subject to the Company having sufficient eligible receivables to support desired borrowings. During the first quarter of fiscal 2016, the Company had an average daily balance outstanding of approximately $205.5 million under the Credit Facility and approximately $729.2 million under the Program. During the first quarter of fiscal 2015, the Company had an average daily balance outstanding of approximately $5.0 million under the Credit Facility and approximately $716.0 million under the Program. The Company expects to use cash on hand, available borrowing capacity or engage in a capital markets transaction in order to repay the $300.0 million of Notes due September 2016. The Company expects to renew or replace the Program on similar terms, subject to market conditions, before its maturity in August 2016.</w:t>
      </w:r>
    </w:p>
    <w:p>
      <w:pPr>
        <w:spacing w:after="0" w:line="18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periods of weakening demand in the electronic components and enterprise computer solutions industry, the Company typically generates cash from operating activities. Conversely, the Company is more likely to use operating cash flows for working capital requirements during periods of higher growth. During the first quarter of fiscal 2016, the Company used $33.7 million for operating activities. The Company generated $590.8 million from operating activities over the trailing four fiscal quarters ended October 3, 2015.</w:t>
      </w:r>
    </w:p>
    <w:p>
      <w:pPr>
        <w:spacing w:after="0" w:line="18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 balances are currently expected to be permanently reinvested outside the United States. If these funds were needed for general corporate use in the United States, the Company would incur significant income taxes to repatriate cash held in foreign locations. In addition, local government regulations may restrict the Company’s ability to move funds among various locations under certain circumstances. Management believes that Avnet’s available borrowing capacity, its current cash on hand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7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Company has made, and expects to continue to make, strategic investments through acquisition activity to the extent the investments strengthen Avnet’s competitive position and meet management’s return on capital thresholds. In addition to continuing to make investments in acquisitions, as of October 3, 2015, the Company may repurchase up to an aggregate of $407.4 million of shares of the Company’s common stock through a $1.25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Since the beginning of the repurchase program through the end of the first quarter of fiscal 2016, the Company has repurchased 25.6 million shares of stock at an aggregate cost of $842.6 million. Shares repurchased were retired. Additionally, the Company currently expects to pay quarterly cash dividends on shares of its common stock, subject to approval of the Board of Directors. During the first quarter of fiscal 2016, the Board of Directors approved a dividend of $0.17 per share, which resulted in $22.6 million of dividend payments during the quarter.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year ended June 27, 2015, for further discussion of market risks associated with foreign currency exchange rates and interest rates. Avnet’s exposure to such risks has not changed materially since June 27, 2015 as the Company continues to economically hedge the majority of its foreign exchange exposures. Thus, any increase or decrease in fair value of the Company’s forward foreign currency exchange contracts is generally offset by an opposite effect on the related hedged position. For interest rate risk, the Company continues to maintain a combination of fixed and variable rate debts to mitigate the exposure to fluctuation in market interest rates.</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Liquidity and Capital Resources — Financing Transactions</w:t>
      </w:r>
      <w:r>
        <w:rPr>
          <w:rFonts w:ascii="Arial" w:cs="Arial" w:eastAsia="Arial" w:hAnsi="Arial"/>
          <w:sz w:val="17"/>
          <w:szCs w:val="17"/>
          <w:color w:val="auto"/>
        </w:rPr>
        <w:t xml:space="preserve"> appearing in Item 2 of this Form 10-Q for further discussion of the Company’s financing transactions and capital structure. As of October 3, 2015, 74% of the Company’s debt bears interest at a fixed rate and 26% of the Company’s debt bears interest at variable rates. Therefore, a hypothetical 1.0% (100 basis points) increase in interest rates would result in a $1.4 million decrease in income before income taxes in the Company’s consolidated statement of operations for the first quarter of fiscal 2016.</w:t>
      </w:r>
    </w:p>
    <w:p>
      <w:pPr>
        <w:spacing w:after="0" w:line="1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2016,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also party to various other lawsuits, claims, investigations and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liquidity or results of operations.</w:t>
      </w:r>
    </w:p>
    <w:p>
      <w:pPr>
        <w:spacing w:after="0" w:line="18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This Quarterly Report on Form 10-Q (“Quarterly Report”)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27, 2015, could affect the Company’s future results of operations, and could cause those results or other outcomes to differ materially from those expressed or implied in the forward-looking statements: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 of global economic conditions, including the current global economic uncertainty;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·competitive pressures among distributors of electronic components and computer products;</w:t>
      </w:r>
    </w:p>
    <w:p>
      <w:pPr>
        <w:spacing w:after="0" w:line="225" w:lineRule="exact"/>
        <w:rPr>
          <w:sz w:val="20"/>
          <w:szCs w:val="20"/>
          <w:color w:val="auto"/>
        </w:rPr>
      </w:pPr>
    </w:p>
    <w:p>
      <w:pPr>
        <w:ind w:left="400" w:hanging="73"/>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cyclicality in the technology industry, particularly in the semiconductor sector;</w:t>
      </w:r>
    </w:p>
    <w:p>
      <w:pPr>
        <w:spacing w:after="0" w:line="225" w:lineRule="exact"/>
        <w:rPr>
          <w:rFonts w:ascii="Arial" w:cs="Arial" w:eastAsia="Arial" w:hAnsi="Arial"/>
          <w:sz w:val="18"/>
          <w:szCs w:val="18"/>
          <w:color w:val="auto"/>
        </w:rPr>
      </w:pPr>
    </w:p>
    <w:p>
      <w:pPr>
        <w:ind w:left="400" w:hanging="73"/>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225" w:lineRule="exact"/>
        <w:rPr>
          <w:sz w:val="20"/>
          <w:szCs w:val="20"/>
          <w:color w:val="auto"/>
        </w:rPr>
      </w:pPr>
    </w:p>
    <w:p>
      <w:pPr>
        <w:ind w:left="380" w:hanging="53"/>
        <w:spacing w:after="0" w:line="308" w:lineRule="auto"/>
        <w:rPr>
          <w:sz w:val="20"/>
          <w:szCs w:val="20"/>
          <w:color w:val="auto"/>
        </w:rPr>
      </w:pPr>
      <w:r>
        <w:rPr>
          <w:rFonts w:ascii="Arial" w:cs="Arial" w:eastAsia="Arial" w:hAnsi="Arial"/>
          <w:sz w:val="17"/>
          <w:szCs w:val="17"/>
          <w:color w:val="auto"/>
        </w:rPr>
        <w:t>·risks relating to the Company's international sales and operations, including risks relating to the ability to repatriate cash, foreign currency fluctuations, duties and taxes, and compliance with international and U.S. laws;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risks relating to acquisitions and investments;</w:t>
      </w:r>
    </w:p>
    <w:p>
      <w:pPr>
        <w:spacing w:after="0" w:line="225" w:lineRule="exact"/>
        <w:rPr>
          <w:sz w:val="20"/>
          <w:szCs w:val="20"/>
          <w:color w:val="auto"/>
        </w:rPr>
      </w:pPr>
    </w:p>
    <w:p>
      <w:pPr>
        <w:ind w:left="380" w:hanging="53"/>
        <w:spacing w:after="0" w:line="277" w:lineRule="auto"/>
        <w:rPr>
          <w:sz w:val="20"/>
          <w:szCs w:val="20"/>
          <w:color w:val="auto"/>
        </w:rPr>
      </w:pPr>
      <w:r>
        <w:rPr>
          <w:rFonts w:ascii="Arial" w:cs="Arial" w:eastAsia="Arial" w:hAnsi="Arial"/>
          <w:sz w:val="18"/>
          <w:szCs w:val="18"/>
          <w:color w:val="auto"/>
        </w:rPr>
        <w:t>·adverse effects on the Company's supply chain, shipping costs, third-party service providers, customers and suppliers, including as a result of issues caused by natural and weather-related disasters;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risks related to cyber attacks and the Company's information systems;</w:t>
      </w:r>
    </w:p>
    <w:p>
      <w:pPr>
        <w:spacing w:after="0" w:line="225" w:lineRule="exact"/>
        <w:rPr>
          <w:sz w:val="20"/>
          <w:szCs w:val="20"/>
          <w:color w:val="auto"/>
        </w:rPr>
      </w:pPr>
    </w:p>
    <w:p>
      <w:pPr>
        <w:ind w:left="380" w:hanging="53"/>
        <w:spacing w:after="0" w:line="277" w:lineRule="auto"/>
        <w:rPr>
          <w:sz w:val="20"/>
          <w:szCs w:val="20"/>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 and</w:t>
      </w:r>
    </w:p>
    <w:p>
      <w:pPr>
        <w:spacing w:after="0" w:line="170" w:lineRule="exact"/>
        <w:rPr>
          <w:sz w:val="20"/>
          <w:szCs w:val="20"/>
          <w:color w:val="auto"/>
        </w:rPr>
      </w:pPr>
    </w:p>
    <w:p>
      <w:pPr>
        <w:ind w:left="420" w:hanging="93"/>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Annual Report on Form 10-K for the fiscal year ended June 27, 2015,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October 3, 2015, there have been no material changes to the risk factors set forth in the Company’s Annual Report on Form 10-K for the fiscal year ended June 27, 2015.</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August 2011, the Company’s Board of Directors approved the repurchase of up to $500.0 million of the Company’s common stock through a share repurchase program. During each of August 2012, November 2014 and August 2015, the Board of Directors approved an additional $250.0 million for the share repurchase program. In total, the Company may repurchase up to $1.25 billion of the Company's common stock under the share repurchase program. The following table includes the Company’s monthly purchases of Avnet's common stock during the first quarter of fiscal 2016, under the share repurchase program, which is part of a publicly announced plan.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80" w:type="dxa"/>
            <w:vAlign w:val="bottom"/>
          </w:tcPr>
          <w:p>
            <w:pPr>
              <w:spacing w:after="0"/>
              <w:rPr>
                <w:sz w:val="18"/>
                <w:szCs w:val="18"/>
                <w:color w:val="auto"/>
              </w:rPr>
            </w:pPr>
          </w:p>
        </w:tc>
        <w:tc>
          <w:tcPr>
            <w:tcW w:w="1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Price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 per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Purchased under the</w:t>
            </w:r>
          </w:p>
        </w:tc>
      </w:tr>
      <w:tr>
        <w:trPr>
          <w:trHeight w:val="241"/>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Plans or Programs</w:t>
            </w:r>
          </w:p>
        </w:tc>
      </w:tr>
      <w:tr>
        <w:trPr>
          <w:trHeight w:val="216"/>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1,579,307</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1,579,307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238,312,000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August</w:t>
            </w:r>
          </w:p>
        </w:tc>
        <w:tc>
          <w:tcPr>
            <w:tcW w:w="820" w:type="dxa"/>
            <w:vAlign w:val="bottom"/>
          </w:tcPr>
          <w:p>
            <w:pPr>
              <w:jc w:val="right"/>
              <w:spacing w:after="0"/>
              <w:rPr>
                <w:sz w:val="20"/>
                <w:szCs w:val="20"/>
                <w:color w:val="auto"/>
              </w:rPr>
            </w:pPr>
            <w:r>
              <w:rPr>
                <w:rFonts w:ascii="Arial" w:cs="Arial" w:eastAsia="Arial" w:hAnsi="Arial"/>
                <w:sz w:val="18"/>
                <w:szCs w:val="18"/>
                <w:color w:val="auto"/>
              </w:rPr>
              <w:t>844,264</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41.28</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844,264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453,458,000</w:t>
            </w:r>
          </w:p>
        </w:tc>
        <w:tc>
          <w:tcPr>
            <w:tcW w:w="6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1,100,654</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1,100,654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407,371,000</w:t>
            </w:r>
          </w:p>
        </w:tc>
        <w:tc>
          <w:tcPr>
            <w:tcW w:w="60" w:type="dxa"/>
            <w:vAlign w:val="bottom"/>
            <w:shd w:val="clear" w:color="auto" w:fill="CCEEFF"/>
          </w:tcPr>
          <w:p>
            <w:pPr>
              <w:spacing w:after="0"/>
              <w:rPr>
                <w:sz w:val="18"/>
                <w:szCs w:val="18"/>
                <w:color w:val="auto"/>
              </w:rPr>
            </w:pPr>
          </w:p>
        </w:tc>
      </w:tr>
      <w:tr>
        <w:trPr>
          <w:trHeight w:val="918"/>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7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10.1*</w:t>
            </w:r>
          </w:p>
        </w:tc>
        <w:tc>
          <w:tcPr>
            <w:tcW w:w="240" w:type="dxa"/>
            <w:vAlign w:val="bottom"/>
            <w:vMerge w:val="continue"/>
          </w:tcPr>
          <w:p>
            <w:pPr>
              <w:spacing w:after="0"/>
              <w:rPr>
                <w:sz w:val="16"/>
                <w:szCs w:val="16"/>
                <w:color w:val="auto"/>
              </w:rPr>
            </w:pPr>
          </w:p>
        </w:tc>
        <w:tc>
          <w:tcPr>
            <w:tcW w:w="7700" w:type="dxa"/>
            <w:vAlign w:val="bottom"/>
          </w:tcPr>
          <w:p>
            <w:pPr>
              <w:ind w:left="40"/>
              <w:spacing w:after="0" w:line="195" w:lineRule="exact"/>
              <w:rPr>
                <w:sz w:val="20"/>
                <w:szCs w:val="20"/>
                <w:color w:val="auto"/>
              </w:rPr>
            </w:pPr>
            <w:r>
              <w:rPr>
                <w:rFonts w:ascii="Arial" w:cs="Arial" w:eastAsia="Arial" w:hAnsi="Arial"/>
                <w:sz w:val="18"/>
                <w:szCs w:val="18"/>
                <w:color w:val="auto"/>
              </w:rPr>
              <w:t>Avnet, Inc. Stock Compensation and Incentive Plan: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(a) Form of nonqualified stock option agreement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(b) Form of performance stock unit term sheet</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 Form of restricted stock unit term sheet</w:t>
            </w:r>
          </w:p>
        </w:tc>
        <w:tc>
          <w:tcPr>
            <w:tcW w:w="0" w:type="dxa"/>
            <w:vAlign w:val="bottom"/>
          </w:tcPr>
          <w:p>
            <w:pPr>
              <w:spacing w:after="0"/>
              <w:rPr>
                <w:sz w:val="1"/>
                <w:szCs w:val="1"/>
                <w:color w:val="auto"/>
              </w:rPr>
            </w:pPr>
          </w:p>
        </w:tc>
      </w:tr>
      <w:tr>
        <w:trPr>
          <w:trHeight w:val="459"/>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770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0" w:hanging="563"/>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20" w:right="60" w:hanging="563"/>
        <w:spacing w:after="0" w:line="254"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MORIARTY</w:t>
      </w:r>
    </w:p>
    <w:p>
      <w:pPr>
        <w:spacing w:after="0" w:line="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6327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10.1(a)</w:t>
      </w:r>
    </w:p>
    <w:p>
      <w:pPr>
        <w:spacing w:after="0" w:line="166" w:lineRule="exact"/>
        <w:rPr>
          <w:sz w:val="20"/>
          <w:szCs w:val="20"/>
          <w:color w:val="auto"/>
        </w:rPr>
      </w:pPr>
    </w:p>
    <w:p>
      <w:pPr>
        <w:jc w:val="center"/>
        <w:ind w:right="-4"/>
        <w:spacing w:after="0"/>
        <w:rPr>
          <w:sz w:val="20"/>
          <w:szCs w:val="20"/>
          <w:color w:val="auto"/>
        </w:rPr>
      </w:pPr>
      <w:r>
        <w:rPr>
          <w:rFonts w:ascii="Arial" w:cs="Arial" w:eastAsia="Arial" w:hAnsi="Arial"/>
          <w:sz w:val="22"/>
          <w:szCs w:val="22"/>
          <w:b w:val="1"/>
          <w:bCs w:val="1"/>
          <w:color w:val="auto"/>
        </w:rPr>
        <w:t>AVNET, INC.</w:t>
      </w:r>
    </w:p>
    <w:p>
      <w:pPr>
        <w:jc w:val="center"/>
        <w:ind w:right="-4"/>
        <w:spacing w:after="0" w:line="205" w:lineRule="auto"/>
        <w:rPr>
          <w:sz w:val="20"/>
          <w:szCs w:val="20"/>
          <w:color w:val="auto"/>
        </w:rPr>
      </w:pPr>
      <w:r>
        <w:rPr>
          <w:rFonts w:ascii="Arial" w:cs="Arial" w:eastAsia="Arial" w:hAnsi="Arial"/>
          <w:sz w:val="22"/>
          <w:szCs w:val="22"/>
          <w:b w:val="1"/>
          <w:bCs w:val="1"/>
          <w:color w:val="auto"/>
        </w:rPr>
        <w:t>STANDARD TERMS AND CONDITIONS FOR</w:t>
      </w:r>
    </w:p>
    <w:p>
      <w:pPr>
        <w:jc w:val="center"/>
        <w:ind w:right="-4"/>
        <w:spacing w:after="0"/>
        <w:rPr>
          <w:sz w:val="20"/>
          <w:szCs w:val="20"/>
          <w:color w:val="auto"/>
        </w:rPr>
      </w:pPr>
      <w:r>
        <w:rPr>
          <w:rFonts w:ascii="Arial" w:cs="Arial" w:eastAsia="Arial" w:hAnsi="Arial"/>
          <w:sz w:val="22"/>
          <w:szCs w:val="22"/>
          <w:b w:val="1"/>
          <w:bCs w:val="1"/>
          <w:color w:val="auto"/>
        </w:rPr>
        <w:t>NONQUALIFIED STOCK OPTIONS</w:t>
      </w:r>
    </w:p>
    <w:p>
      <w:pPr>
        <w:spacing w:after="0" w:line="161" w:lineRule="exact"/>
        <w:rPr>
          <w:sz w:val="20"/>
          <w:szCs w:val="20"/>
          <w:color w:val="auto"/>
        </w:rPr>
      </w:pPr>
    </w:p>
    <w:p>
      <w:pPr>
        <w:jc w:val="both"/>
        <w:ind w:left="5"/>
        <w:spacing w:after="0" w:line="229" w:lineRule="auto"/>
        <w:rPr>
          <w:sz w:val="20"/>
          <w:szCs w:val="20"/>
          <w:color w:val="auto"/>
        </w:rPr>
      </w:pPr>
      <w:r>
        <w:rPr>
          <w:rFonts w:ascii="Arial" w:cs="Arial" w:eastAsia="Arial" w:hAnsi="Arial"/>
          <w:sz w:val="21"/>
          <w:szCs w:val="21"/>
          <w:color w:val="auto"/>
        </w:rPr>
        <w:t>These Standard Terms and Conditions for Nonqualified Stock Options (the “Standard Terms and Conditions”) apply to any Options granted under the Avnet, Inc. 2013 Stock Compensation and Incentive Plan (the “Plan”) that are identified as nonqualified stock options and evidenced by a Term Sheet or an action of the Administrator that refers to these Standard Terms and Conditions.</w:t>
      </w:r>
    </w:p>
    <w:p>
      <w:pPr>
        <w:spacing w:after="0" w:line="153" w:lineRule="exact"/>
        <w:rPr>
          <w:sz w:val="20"/>
          <w:szCs w:val="20"/>
          <w:color w:val="auto"/>
        </w:rPr>
      </w:pPr>
    </w:p>
    <w:p>
      <w:pPr>
        <w:ind w:left="885" w:hanging="885"/>
        <w:spacing w:after="0"/>
        <w:tabs>
          <w:tab w:leader="none" w:pos="885"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TERMS OF OPTION</w:t>
      </w:r>
    </w:p>
    <w:p>
      <w:pPr>
        <w:spacing w:after="0" w:line="185" w:lineRule="exact"/>
        <w:rPr>
          <w:sz w:val="20"/>
          <w:szCs w:val="20"/>
          <w:color w:val="auto"/>
        </w:rPr>
      </w:pPr>
    </w:p>
    <w:p>
      <w:pPr>
        <w:jc w:val="both"/>
        <w:ind w:left="645"/>
        <w:spacing w:after="0" w:line="224" w:lineRule="auto"/>
        <w:rPr>
          <w:sz w:val="20"/>
          <w:szCs w:val="20"/>
          <w:color w:val="auto"/>
        </w:rPr>
      </w:pPr>
      <w:r>
        <w:rPr>
          <w:rFonts w:ascii="Arial" w:cs="Arial" w:eastAsia="Arial" w:hAnsi="Arial"/>
          <w:sz w:val="21"/>
          <w:szCs w:val="21"/>
          <w:color w:val="auto"/>
        </w:rPr>
        <w:t>Avnet, Inc. (“Avnet” or the “Company”) has granted to the Participant named in the attached Term Sheet a nonqualified stock option (the “Option”) to purchase up to the number of shares of Avnet's common stock (the “Stock”) set forth in the Term Sheet, at the purchase price per share and upon the other terms and subject to the conditions set forth in the Term Sheet, these Standard Terms and Conditions, and the Plan. For purposes of these Standard Terms and Conditions and the Term Sheet, the “Company” refers to Avnet and its Subsidiaries.</w:t>
      </w:r>
    </w:p>
    <w:p>
      <w:pPr>
        <w:spacing w:after="0" w:line="370" w:lineRule="exact"/>
        <w:rPr>
          <w:sz w:val="20"/>
          <w:szCs w:val="20"/>
          <w:color w:val="auto"/>
        </w:rPr>
      </w:pPr>
    </w:p>
    <w:p>
      <w:pPr>
        <w:ind w:left="625" w:hanging="625"/>
        <w:spacing w:after="0"/>
        <w:tabs>
          <w:tab w:leader="none" w:pos="625"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NON-QUALIFIED STOCK OPTION</w:t>
      </w:r>
    </w:p>
    <w:p>
      <w:pPr>
        <w:spacing w:after="0" w:line="185" w:lineRule="exact"/>
        <w:rPr>
          <w:sz w:val="20"/>
          <w:szCs w:val="20"/>
          <w:color w:val="auto"/>
        </w:rPr>
      </w:pPr>
    </w:p>
    <w:p>
      <w:pPr>
        <w:ind w:left="645" w:right="20"/>
        <w:spacing w:after="0" w:line="232" w:lineRule="auto"/>
        <w:rPr>
          <w:sz w:val="20"/>
          <w:szCs w:val="20"/>
          <w:color w:val="auto"/>
        </w:rPr>
      </w:pPr>
      <w:r>
        <w:rPr>
          <w:rFonts w:ascii="Arial" w:cs="Arial" w:eastAsia="Arial" w:hAnsi="Arial"/>
          <w:sz w:val="22"/>
          <w:szCs w:val="22"/>
          <w:color w:val="auto"/>
        </w:rPr>
        <w:t>The Option is not intended to be an incentive stock option under Section 422 of the Internal Revenue Code of 1986, as amended (the “Code”).</w:t>
      </w:r>
    </w:p>
    <w:p>
      <w:pPr>
        <w:spacing w:after="0" w:line="369" w:lineRule="exact"/>
        <w:rPr>
          <w:sz w:val="20"/>
          <w:szCs w:val="20"/>
          <w:color w:val="auto"/>
        </w:rPr>
      </w:pPr>
    </w:p>
    <w:p>
      <w:pPr>
        <w:ind w:left="805" w:hanging="805"/>
        <w:spacing w:after="0"/>
        <w:tabs>
          <w:tab w:leader="none" w:pos="805"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EXERCISE OF OPTION</w:t>
      </w:r>
    </w:p>
    <w:p>
      <w:pPr>
        <w:spacing w:after="0" w:line="185" w:lineRule="exact"/>
        <w:rPr>
          <w:sz w:val="20"/>
          <w:szCs w:val="20"/>
          <w:color w:val="auto"/>
        </w:rPr>
      </w:pPr>
    </w:p>
    <w:p>
      <w:pPr>
        <w:jc w:val="both"/>
        <w:ind w:left="645" w:right="20"/>
        <w:spacing w:after="0" w:line="224" w:lineRule="auto"/>
        <w:rPr>
          <w:sz w:val="20"/>
          <w:szCs w:val="20"/>
          <w:color w:val="auto"/>
        </w:rPr>
      </w:pPr>
      <w:r>
        <w:rPr>
          <w:rFonts w:ascii="Arial" w:cs="Arial" w:eastAsia="Arial" w:hAnsi="Arial"/>
          <w:sz w:val="21"/>
          <w:szCs w:val="21"/>
          <w:color w:val="auto"/>
        </w:rPr>
        <w:t>The Option shall not be exercisable as of the grant date set forth in the Term Sheet (the “Grant Date”). After the Grant Date, the Option shall be exercisable only to the extent that it becomes vested in accordance with the vesting schedule set forth in the Term Sheet, subject to termination or acceleration as provided in these Standard Terms and Conditions and the Plan. If the Participant’s employment with the Company terminates, the Option shall cease to be exercisable, except to the extent set forth in Section 4, below.</w:t>
      </w:r>
    </w:p>
    <w:p>
      <w:pPr>
        <w:spacing w:after="0" w:line="160" w:lineRule="exact"/>
        <w:rPr>
          <w:sz w:val="20"/>
          <w:szCs w:val="20"/>
          <w:color w:val="auto"/>
        </w:rPr>
      </w:pPr>
    </w:p>
    <w:p>
      <w:pPr>
        <w:jc w:val="both"/>
        <w:ind w:left="645"/>
        <w:spacing w:after="0" w:line="229" w:lineRule="auto"/>
        <w:rPr>
          <w:sz w:val="20"/>
          <w:szCs w:val="20"/>
          <w:color w:val="auto"/>
        </w:rPr>
      </w:pPr>
      <w:r>
        <w:rPr>
          <w:rFonts w:ascii="Arial" w:cs="Arial" w:eastAsia="Arial" w:hAnsi="Arial"/>
          <w:sz w:val="21"/>
          <w:szCs w:val="21"/>
          <w:color w:val="auto"/>
        </w:rPr>
        <w:t>The vesting period and/or exercisability of an Option may be adjusted by the Administrator to reflect the decreased level of employment during any period in which the Participant is on an approved leave of absence or is employed on a less than full time basis, provided that the Administrator may take into consideration any accounting consequences to the Company.</w:t>
      </w:r>
    </w:p>
    <w:p>
      <w:pPr>
        <w:spacing w:after="0" w:line="159" w:lineRule="exact"/>
        <w:rPr>
          <w:sz w:val="20"/>
          <w:szCs w:val="20"/>
          <w:color w:val="auto"/>
        </w:rPr>
      </w:pPr>
    </w:p>
    <w:p>
      <w:pPr>
        <w:jc w:val="both"/>
        <w:ind w:left="645"/>
        <w:spacing w:after="0" w:line="223" w:lineRule="auto"/>
        <w:rPr>
          <w:sz w:val="20"/>
          <w:szCs w:val="20"/>
          <w:color w:val="auto"/>
        </w:rPr>
      </w:pPr>
      <w:r>
        <w:rPr>
          <w:rFonts w:ascii="Arial" w:cs="Arial" w:eastAsia="Arial" w:hAnsi="Arial"/>
          <w:sz w:val="22"/>
          <w:szCs w:val="22"/>
          <w:color w:val="auto"/>
        </w:rPr>
        <w:t>To exercise the Option (or any part thereof), the Participant shall provide notice to Avnet, in a form approved by Avnet, specifying the number of whole shares of Stock Participant wishes to purchase, and shall pay the Exercise Price for such shares.</w:t>
      </w:r>
    </w:p>
    <w:p>
      <w:pPr>
        <w:spacing w:after="0" w:line="159" w:lineRule="exact"/>
        <w:rPr>
          <w:sz w:val="20"/>
          <w:szCs w:val="20"/>
          <w:color w:val="auto"/>
        </w:rPr>
      </w:pPr>
    </w:p>
    <w:p>
      <w:pPr>
        <w:jc w:val="both"/>
        <w:ind w:left="645"/>
        <w:spacing w:after="0" w:line="214" w:lineRule="auto"/>
        <w:rPr>
          <w:sz w:val="20"/>
          <w:szCs w:val="20"/>
          <w:color w:val="auto"/>
        </w:rPr>
      </w:pPr>
      <w:r>
        <w:rPr>
          <w:rFonts w:ascii="Arial" w:cs="Arial" w:eastAsia="Arial" w:hAnsi="Arial"/>
          <w:sz w:val="22"/>
          <w:szCs w:val="22"/>
          <w:color w:val="auto"/>
        </w:rPr>
        <w:t>The exercise price of the Option (the “Exercise Price”) is set forth in the Term Sheet. The Exercise Price and/or any required tax withholding may be paid in cash or by certified or cashiers' check, by “cashless” exercise methods such as direct share withholding, or by such other method (including transfer of Stock previously owned by the Participant, or broker-assisted Regulation T simultaneous exercise and sale), as the Administrator permits in its sole discretion. Fractional shares may not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637540</wp:posOffset>
            </wp:positionV>
            <wp:extent cx="596011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315" w:right="1239" w:bottom="1440" w:gutter="0" w:footer="0" w:header="0"/>
        </w:sectPr>
      </w:pPr>
    </w:p>
    <w:bookmarkStart w:id="30" w:name="page31"/>
    <w:bookmarkEnd w:id="30"/>
    <w:p>
      <w:pPr>
        <w:jc w:val="both"/>
        <w:ind w:left="645"/>
        <w:spacing w:after="0" w:line="220" w:lineRule="auto"/>
        <w:rPr>
          <w:sz w:val="20"/>
          <w:szCs w:val="20"/>
          <w:color w:val="auto"/>
        </w:rPr>
      </w:pPr>
      <w:r>
        <w:rPr>
          <w:rFonts w:ascii="Arial" w:cs="Arial" w:eastAsia="Arial" w:hAnsi="Arial"/>
          <w:sz w:val="21"/>
          <w:szCs w:val="21"/>
          <w:color w:val="auto"/>
        </w:rPr>
        <w:t>Shares of Stock will be issued as soon as practical after exercise; provided, however, that Avnet shall not be obligated to deliver shares of Stock if (a) the Participant has not satisfied all applicable tax withholding obligations, (b) the Stock is not properly registered or subject to an applicable exemption therefrom, (c) the Stock is not listed on the stock exchanges on which Avnet's Stock is otherwise listed, or (d) Avnet determines that the exercisability of the Option or the delivery of shares hereunder would violate any federal or state securities or other applicable laws. The Option may be rescinded if necessary to ensure compliance with federal, state or other applicable laws. The Participant shall not acquire or have any rights as a shareholder of Avnet until shares of Stock issuable upon exercise of the Option are actually issued and delivered to the Participant in accordance herewith.</w:t>
      </w:r>
    </w:p>
    <w:p>
      <w:pPr>
        <w:spacing w:after="0" w:line="373" w:lineRule="exact"/>
        <w:rPr>
          <w:sz w:val="20"/>
          <w:szCs w:val="20"/>
          <w:color w:val="auto"/>
        </w:rPr>
      </w:pPr>
    </w:p>
    <w:p>
      <w:pPr>
        <w:ind w:left="745" w:hanging="745"/>
        <w:spacing w:after="0"/>
        <w:tabs>
          <w:tab w:leader="none" w:pos="745"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EXPIRATION OF OPTION</w:t>
      </w:r>
    </w:p>
    <w:p>
      <w:pPr>
        <w:spacing w:after="0" w:line="185" w:lineRule="exact"/>
        <w:rPr>
          <w:sz w:val="20"/>
          <w:szCs w:val="20"/>
          <w:color w:val="auto"/>
        </w:rPr>
      </w:pPr>
    </w:p>
    <w:p>
      <w:pPr>
        <w:ind w:left="645"/>
        <w:spacing w:after="0" w:line="232" w:lineRule="auto"/>
        <w:rPr>
          <w:sz w:val="20"/>
          <w:szCs w:val="20"/>
          <w:color w:val="auto"/>
        </w:rPr>
      </w:pPr>
      <w:r>
        <w:rPr>
          <w:rFonts w:ascii="Arial" w:cs="Arial" w:eastAsia="Arial" w:hAnsi="Arial"/>
          <w:sz w:val="22"/>
          <w:szCs w:val="22"/>
          <w:color w:val="auto"/>
        </w:rPr>
        <w:t>Except as provided in this Section 4, the Option shall expire and cease to be exercisable as of the Expiration Date set forth in the Term Sheet.</w:t>
      </w:r>
    </w:p>
    <w:p>
      <w:pPr>
        <w:spacing w:after="0" w:line="159" w:lineRule="exact"/>
        <w:rPr>
          <w:sz w:val="20"/>
          <w:szCs w:val="20"/>
          <w:color w:val="auto"/>
        </w:rPr>
      </w:pPr>
    </w:p>
    <w:p>
      <w:pPr>
        <w:jc w:val="both"/>
        <w:ind w:left="1045" w:right="20" w:hanging="397"/>
        <w:spacing w:after="0" w:line="223" w:lineRule="auto"/>
        <w:tabs>
          <w:tab w:leader="none" w:pos="1045" w:val="left"/>
        </w:tabs>
        <w:numPr>
          <w:ilvl w:val="0"/>
          <w:numId w:val="13"/>
        </w:numPr>
        <w:rPr>
          <w:rFonts w:ascii="Arial" w:cs="Arial" w:eastAsia="Arial" w:hAnsi="Arial"/>
          <w:sz w:val="22"/>
          <w:szCs w:val="22"/>
          <w:color w:val="auto"/>
        </w:rPr>
      </w:pPr>
      <w:r>
        <w:rPr>
          <w:rFonts w:ascii="Arial" w:cs="Arial" w:eastAsia="Arial" w:hAnsi="Arial"/>
          <w:sz w:val="22"/>
          <w:szCs w:val="22"/>
          <w:color w:val="auto"/>
        </w:rPr>
        <w:t>If the Participant’s employment or service with the Company terminates for any reason other than death, disability, or Retirement (as defined below), the Option shall immediately expire and cease to be exercisable.</w:t>
      </w:r>
    </w:p>
    <w:p>
      <w:pPr>
        <w:spacing w:after="0" w:line="159" w:lineRule="exact"/>
        <w:rPr>
          <w:rFonts w:ascii="Arial" w:cs="Arial" w:eastAsia="Arial" w:hAnsi="Arial"/>
          <w:sz w:val="22"/>
          <w:szCs w:val="22"/>
          <w:color w:val="auto"/>
        </w:rPr>
      </w:pPr>
    </w:p>
    <w:p>
      <w:pPr>
        <w:jc w:val="both"/>
        <w:ind w:left="1045" w:right="20" w:hanging="397"/>
        <w:spacing w:after="0" w:line="243" w:lineRule="auto"/>
        <w:tabs>
          <w:tab w:leader="none" w:pos="1045" w:val="left"/>
        </w:tabs>
        <w:numPr>
          <w:ilvl w:val="0"/>
          <w:numId w:val="13"/>
        </w:numPr>
        <w:rPr>
          <w:rFonts w:ascii="Arial" w:cs="Arial" w:eastAsia="Arial" w:hAnsi="Arial"/>
          <w:sz w:val="19"/>
          <w:szCs w:val="19"/>
          <w:color w:val="auto"/>
        </w:rPr>
      </w:pPr>
      <w:r>
        <w:rPr>
          <w:rFonts w:ascii="Arial" w:cs="Arial" w:eastAsia="Arial" w:hAnsi="Arial"/>
          <w:sz w:val="19"/>
          <w:szCs w:val="19"/>
          <w:color w:val="auto"/>
        </w:rPr>
        <w:t>If the Participant’s employment or service with the Company terminates by reason of Retirement (as defined below), the Option shall continue to vest as set forth in the Term Sheet and these Standard Terms and Conditions and, subject to the special rules that apply in the event of death (as set forth in Paragraph D, below), shall remain exercisable until the earlier of (i) the fifth anniversary of the termination event or (ii) the Expiration Date (unless such Option shall sooner be surrendered for termination or expire). For purposes hereof, a cessation of employment will be treated as a “Retirement” if (and only if) (a) the cessation of employment occurs after (I) the Participant has attained at least age 55 and been credited with at least five years of service with the Company and (II) the combination of the Participant’s age plus years of service is no less than 65; and (b) the Participant has signed a non-competition agreement in a form acceptable to the Company.</w:t>
      </w:r>
    </w:p>
    <w:p>
      <w:pPr>
        <w:spacing w:after="0" w:line="159" w:lineRule="exact"/>
        <w:rPr>
          <w:rFonts w:ascii="Arial" w:cs="Arial" w:eastAsia="Arial" w:hAnsi="Arial"/>
          <w:sz w:val="19"/>
          <w:szCs w:val="19"/>
          <w:color w:val="auto"/>
        </w:rPr>
      </w:pPr>
    </w:p>
    <w:p>
      <w:pPr>
        <w:jc w:val="both"/>
        <w:ind w:left="1045" w:right="20" w:hanging="397"/>
        <w:spacing w:after="0" w:line="222" w:lineRule="auto"/>
        <w:tabs>
          <w:tab w:leader="none" w:pos="1045" w:val="left"/>
        </w:tabs>
        <w:numPr>
          <w:ilvl w:val="0"/>
          <w:numId w:val="13"/>
        </w:numPr>
        <w:rPr>
          <w:rFonts w:ascii="Arial" w:cs="Arial" w:eastAsia="Arial" w:hAnsi="Arial"/>
          <w:sz w:val="21"/>
          <w:szCs w:val="21"/>
          <w:color w:val="auto"/>
        </w:rPr>
      </w:pPr>
      <w:r>
        <w:rPr>
          <w:rFonts w:ascii="Arial" w:cs="Arial" w:eastAsia="Arial" w:hAnsi="Arial"/>
          <w:sz w:val="21"/>
          <w:szCs w:val="21"/>
          <w:color w:val="auto"/>
        </w:rPr>
        <w:t>If the Participant’s employment with or service to the Company terminates or ceases by reason of disability (as determined by the Administrator in its sole discretion), the Option shall remain exercisable only to the extent vested as of such cessation of employment or service and shall cease to be exercisable upon the earlier of (i) three months after the date of the termination event or (ii) the Expiration Date (unless such Option shall sooner be surrendered for termination or expire). Unless the provisions of Section 4.B apply, the provisions of this Section 4.C shall apply to a Participant who has not provided services to the Company for twelve consecutive months due to long-term disability leave.</w:t>
      </w:r>
    </w:p>
    <w:p>
      <w:pPr>
        <w:spacing w:after="0" w:line="157" w:lineRule="exact"/>
        <w:rPr>
          <w:rFonts w:ascii="Arial" w:cs="Arial" w:eastAsia="Arial" w:hAnsi="Arial"/>
          <w:sz w:val="21"/>
          <w:szCs w:val="21"/>
          <w:color w:val="auto"/>
        </w:rPr>
      </w:pPr>
    </w:p>
    <w:p>
      <w:pPr>
        <w:jc w:val="both"/>
        <w:ind w:left="1045" w:right="20" w:hanging="397"/>
        <w:spacing w:after="0" w:line="214" w:lineRule="auto"/>
        <w:tabs>
          <w:tab w:leader="none" w:pos="1045" w:val="left"/>
        </w:tabs>
        <w:numPr>
          <w:ilvl w:val="0"/>
          <w:numId w:val="13"/>
        </w:numPr>
        <w:rPr>
          <w:rFonts w:ascii="Arial" w:cs="Arial" w:eastAsia="Arial" w:hAnsi="Arial"/>
          <w:sz w:val="22"/>
          <w:szCs w:val="22"/>
          <w:color w:val="auto"/>
        </w:rPr>
      </w:pPr>
      <w:r>
        <w:rPr>
          <w:rFonts w:ascii="Arial" w:cs="Arial" w:eastAsia="Arial" w:hAnsi="Arial"/>
          <w:sz w:val="22"/>
          <w:szCs w:val="22"/>
          <w:color w:val="auto"/>
        </w:rPr>
        <w:t>If the Participant’s employment or service with the Company terminates by reason of death or the Participant dies within five years after Retirement from the Company (as defined above), the Option shall be exercisable only to the extent vested as of the date of death and shall cease to be exercisable upon the earliest of (i) the first anniversary of the Participant’s death, (ii) the Expiration Date, or (iii) the fifth anniversary of the Participant’s termination date, as set forth in Paragraph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397510</wp:posOffset>
            </wp:positionV>
            <wp:extent cx="59601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37" w:right="1239" w:bottom="1440" w:gutter="0" w:footer="0" w:header="0"/>
        </w:sectPr>
      </w:pPr>
    </w:p>
    <w:bookmarkStart w:id="31" w:name="page32"/>
    <w:bookmarkEnd w:id="31"/>
    <w:p>
      <w:pPr>
        <w:ind w:left="485" w:hanging="485"/>
        <w:spacing w:after="0"/>
        <w:tabs>
          <w:tab w:leader="none" w:pos="485"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RESALES OF OPTION SHARES</w:t>
      </w:r>
    </w:p>
    <w:p>
      <w:pPr>
        <w:spacing w:after="0" w:line="185" w:lineRule="exact"/>
        <w:rPr>
          <w:sz w:val="20"/>
          <w:szCs w:val="20"/>
          <w:color w:val="auto"/>
        </w:rPr>
      </w:pPr>
    </w:p>
    <w:p>
      <w:pPr>
        <w:jc w:val="both"/>
        <w:ind w:left="645"/>
        <w:spacing w:after="0" w:line="247" w:lineRule="auto"/>
        <w:rPr>
          <w:sz w:val="20"/>
          <w:szCs w:val="20"/>
          <w:color w:val="auto"/>
        </w:rPr>
      </w:pPr>
      <w:r>
        <w:rPr>
          <w:rFonts w:ascii="Arial" w:cs="Arial" w:eastAsia="Arial" w:hAnsi="Arial"/>
          <w:sz w:val="19"/>
          <w:szCs w:val="19"/>
          <w:color w:val="auto"/>
        </w:rPr>
        <w:t>The Company may impose such restrictions, conditions, and limitations as it determines appropriate as to the timing and manner of any resales by the Participant or other subsequent transfers by the Participant of any shares of Stock issued as a result of the exercise of the Option, including (a) restrictions under an insider trading policy, (b) restrictions designed to delay and/or coordinate the timing and manner of sales by the Participant and other optionholders, (c) requiring that you acknowledge and accept these Standard Terms and Conditions and the Term Sheet, and (d) restrictions as to the use of a specified brokerage firm for such resales or other transfers.</w:t>
      </w:r>
    </w:p>
    <w:p>
      <w:pPr>
        <w:spacing w:after="0" w:line="365" w:lineRule="exact"/>
        <w:rPr>
          <w:sz w:val="20"/>
          <w:szCs w:val="20"/>
          <w:color w:val="auto"/>
        </w:rPr>
      </w:pPr>
    </w:p>
    <w:p>
      <w:pPr>
        <w:ind w:left="5"/>
        <w:spacing w:after="0"/>
        <w:tabs>
          <w:tab w:leader="none" w:pos="1885"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22"/>
          <w:szCs w:val="22"/>
          <w:b w:val="1"/>
          <w:bCs w:val="1"/>
          <w:color w:val="auto"/>
        </w:rPr>
        <w:t>TAXES</w:t>
      </w:r>
    </w:p>
    <w:p>
      <w:pPr>
        <w:spacing w:after="0" w:line="185" w:lineRule="exact"/>
        <w:rPr>
          <w:sz w:val="20"/>
          <w:szCs w:val="20"/>
          <w:color w:val="auto"/>
        </w:rPr>
      </w:pPr>
    </w:p>
    <w:p>
      <w:pPr>
        <w:jc w:val="both"/>
        <w:ind w:left="645"/>
        <w:spacing w:after="0" w:line="242" w:lineRule="auto"/>
        <w:rPr>
          <w:sz w:val="20"/>
          <w:szCs w:val="20"/>
          <w:color w:val="auto"/>
        </w:rPr>
      </w:pPr>
      <w:r>
        <w:rPr>
          <w:rFonts w:ascii="Arial" w:cs="Arial" w:eastAsia="Arial" w:hAnsi="Arial"/>
          <w:sz w:val="19"/>
          <w:szCs w:val="19"/>
          <w:color w:val="auto"/>
        </w:rPr>
        <w:t>The Participant acknowledges that the delivery of shares of Stock following exercise of the Option will generally give rise to a withholding tax obligation, and that the issuance of shares of Stock hereunder is conditioned on timely satisfying such withholding obligation. The Participant shall make arrangements satisfactory to the Company for satisfying such withholding obligations. The Administrator, in its sole discretion, may allow the Participant to satisfy all or part of such tax obligation through withholding of shares of Stock otherwise issuable to the Participant; the Participant transferring to Avnet nonrestricted shares of Stock previously owned by the Participant; and/or allowing the Participant to engage in a broker-assisted Regulation T simultaneous exercise and sale. No provision of the Plan, the Term Sheet, or these Standard Terms and Conditions shall be construed to transfer to the Company or any of its affiliates any responsibility of the Participant to pay any income, employment, excise, or other taxes attributable to the grant or exercise of the Option or the disposition of the underlying shares.</w:t>
      </w:r>
    </w:p>
    <w:p>
      <w:pPr>
        <w:spacing w:after="0" w:line="200" w:lineRule="exact"/>
        <w:rPr>
          <w:sz w:val="20"/>
          <w:szCs w:val="20"/>
          <w:color w:val="auto"/>
        </w:rPr>
      </w:pPr>
    </w:p>
    <w:p>
      <w:pPr>
        <w:spacing w:after="0" w:line="396" w:lineRule="exact"/>
        <w:rPr>
          <w:sz w:val="20"/>
          <w:szCs w:val="20"/>
          <w:color w:val="auto"/>
        </w:rPr>
      </w:pPr>
    </w:p>
    <w:p>
      <w:pPr>
        <w:ind w:left="585" w:hanging="585"/>
        <w:spacing w:after="0"/>
        <w:tabs>
          <w:tab w:leader="none" w:pos="585"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OPTION</w:t>
      </w:r>
    </w:p>
    <w:p>
      <w:pPr>
        <w:spacing w:after="0" w:line="185" w:lineRule="exact"/>
        <w:rPr>
          <w:sz w:val="20"/>
          <w:szCs w:val="20"/>
          <w:color w:val="auto"/>
        </w:rPr>
      </w:pPr>
    </w:p>
    <w:p>
      <w:pPr>
        <w:jc w:val="both"/>
        <w:ind w:left="645"/>
        <w:spacing w:after="0" w:line="214" w:lineRule="auto"/>
        <w:rPr>
          <w:sz w:val="20"/>
          <w:szCs w:val="20"/>
          <w:color w:val="auto"/>
        </w:rPr>
      </w:pPr>
      <w:r>
        <w:rPr>
          <w:rFonts w:ascii="Arial" w:cs="Arial" w:eastAsia="Arial" w:hAnsi="Arial"/>
          <w:sz w:val="22"/>
          <w:szCs w:val="22"/>
          <w:color w:val="auto"/>
        </w:rPr>
        <w:t>Except to the extent permitted by Section 4.D and this Section 7, the Option shall be exercisable during the Participant's lifetime only by the Participant. The Option may not be sold, transferred, pledged, assigned, exchanged, encumbered, or otherwise alienated or hypothecated, except (i) by testamentary disposition by the Participant or the laws of descent and distribution, or (ii) to the extent otherwise permitted by the Plan, if (and only if) approved by the Administrator in its sole discretion.</w:t>
      </w:r>
    </w:p>
    <w:p>
      <w:pPr>
        <w:spacing w:after="0" w:line="369" w:lineRule="exact"/>
        <w:rPr>
          <w:sz w:val="20"/>
          <w:szCs w:val="20"/>
          <w:color w:val="auto"/>
        </w:rPr>
      </w:pPr>
    </w:p>
    <w:p>
      <w:pPr>
        <w:ind w:left="465" w:hanging="465"/>
        <w:spacing w:after="0"/>
        <w:tabs>
          <w:tab w:leader="none" w:pos="465"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THE PLAN; DEFINED TERMS; ENTIRE AGREEMENT</w:t>
      </w:r>
    </w:p>
    <w:p>
      <w:pPr>
        <w:spacing w:after="0" w:line="185" w:lineRule="exact"/>
        <w:rPr>
          <w:sz w:val="20"/>
          <w:szCs w:val="20"/>
          <w:color w:val="auto"/>
        </w:rPr>
      </w:pPr>
    </w:p>
    <w:p>
      <w:pPr>
        <w:jc w:val="both"/>
        <w:ind w:left="645"/>
        <w:spacing w:after="0" w:line="216" w:lineRule="auto"/>
        <w:rPr>
          <w:sz w:val="20"/>
          <w:szCs w:val="20"/>
          <w:color w:val="auto"/>
        </w:rPr>
      </w:pPr>
      <w:r>
        <w:rPr>
          <w:rFonts w:ascii="Arial" w:cs="Arial" w:eastAsia="Arial" w:hAnsi="Arial"/>
          <w:sz w:val="22"/>
          <w:szCs w:val="22"/>
          <w:color w:val="auto"/>
        </w:rPr>
        <w:t>In addition to these Standard Terms and Conditions, the Option shall be subject to the terms of the Plan, which are incorporated into these Standard Terms and Conditions by this reference. Capitalized terms not otherwise defined herein shall have the meaning set forth in the Plan, and the rules of construction set forth in the Plan shall also apply to these Standard Terms and Conditions.</w:t>
      </w:r>
    </w:p>
    <w:p>
      <w:pPr>
        <w:spacing w:after="0" w:line="158" w:lineRule="exact"/>
        <w:rPr>
          <w:sz w:val="20"/>
          <w:szCs w:val="20"/>
          <w:color w:val="auto"/>
        </w:rPr>
      </w:pPr>
    </w:p>
    <w:p>
      <w:pPr>
        <w:jc w:val="both"/>
        <w:ind w:left="645"/>
        <w:spacing w:after="0" w:line="223" w:lineRule="auto"/>
        <w:rPr>
          <w:sz w:val="20"/>
          <w:szCs w:val="20"/>
          <w:color w:val="auto"/>
        </w:rPr>
      </w:pPr>
      <w:r>
        <w:rPr>
          <w:rFonts w:ascii="Arial" w:cs="Arial" w:eastAsia="Arial" w:hAnsi="Arial"/>
          <w:sz w:val="22"/>
          <w:szCs w:val="22"/>
          <w:color w:val="auto"/>
        </w:rPr>
        <w:t>The Term Sheet, these Standard Terms and Conditions, and the Plan constitute the entire understanding between the Participant and the Company regarding the Option. Any prior agreements, commitments, or negotiations concerning the Option are superseded.</w:t>
      </w:r>
    </w:p>
    <w:p>
      <w:pPr>
        <w:spacing w:after="0" w:line="369" w:lineRule="exact"/>
        <w:rPr>
          <w:sz w:val="20"/>
          <w:szCs w:val="20"/>
          <w:color w:val="auto"/>
        </w:rPr>
      </w:pPr>
    </w:p>
    <w:p>
      <w:pPr>
        <w:ind w:left="425" w:hanging="425"/>
        <w:spacing w:after="0"/>
        <w:tabs>
          <w:tab w:leader="none" w:pos="425"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INTEREST IN SHARES SUBJECT TO OPTION</w:t>
      </w:r>
    </w:p>
    <w:p>
      <w:pPr>
        <w:spacing w:after="0" w:line="185" w:lineRule="exact"/>
        <w:rPr>
          <w:sz w:val="20"/>
          <w:szCs w:val="20"/>
          <w:color w:val="auto"/>
        </w:rPr>
      </w:pPr>
    </w:p>
    <w:p>
      <w:pPr>
        <w:ind w:left="645" w:right="20"/>
        <w:spacing w:after="0" w:line="298" w:lineRule="auto"/>
        <w:rPr>
          <w:sz w:val="20"/>
          <w:szCs w:val="20"/>
          <w:color w:val="auto"/>
        </w:rPr>
      </w:pPr>
      <w:r>
        <w:rPr>
          <w:rFonts w:ascii="Arial" w:cs="Arial" w:eastAsia="Arial" w:hAnsi="Arial"/>
          <w:sz w:val="19"/>
          <w:szCs w:val="19"/>
          <w:color w:val="auto"/>
        </w:rPr>
        <w:t>Neither the Participant (individually or as a member of a group) nor any beneficiary or other person claiming under or through the Participant shall have any right, title, interest, or privilege in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596011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747" w:right="1239" w:bottom="1440" w:gutter="0" w:footer="0" w:header="0"/>
        </w:sectPr>
      </w:pPr>
    </w:p>
    <w:bookmarkStart w:id="32" w:name="page33"/>
    <w:bookmarkEnd w:id="32"/>
    <w:p>
      <w:pPr>
        <w:jc w:val="both"/>
        <w:ind w:left="640"/>
        <w:spacing w:after="0" w:line="245" w:lineRule="auto"/>
        <w:rPr>
          <w:sz w:val="20"/>
          <w:szCs w:val="20"/>
          <w:color w:val="auto"/>
        </w:rPr>
      </w:pPr>
      <w:r>
        <w:rPr>
          <w:rFonts w:ascii="Arial" w:cs="Arial" w:eastAsia="Arial" w:hAnsi="Arial"/>
          <w:sz w:val="19"/>
          <w:szCs w:val="19"/>
          <w:color w:val="auto"/>
        </w:rPr>
        <w:t>any shares of Stock allocated or reserved for the purpose of the Plan or subject to the Term Sheet or these Standard Terms and Conditions, except as to such shares of Stock, if any, that have been issued to such person upon exercise of the Option or any part of it. Nothing in the Plan, the Term Sheet, these Standard Terms and Conditions, or any other instrument executed pursuant to the Plan shall confer upon the Participant any right to continue in the Company's employ or service or limit in any way the Company's right to terminate the Participant's employment or service at any time and for any reason. As this grant was made in the absolute discretion of management and the Administrator, receipt of these Options does not confer upon the Participant any right to future awards or participation in any equity compensation program.</w:t>
      </w:r>
    </w:p>
    <w:p>
      <w:pPr>
        <w:spacing w:after="0" w:line="153" w:lineRule="exact"/>
        <w:rPr>
          <w:sz w:val="20"/>
          <w:szCs w:val="20"/>
          <w:color w:val="auto"/>
        </w:rPr>
      </w:pPr>
    </w:p>
    <w:p>
      <w:pPr>
        <w:jc w:val="both"/>
        <w:ind w:left="640"/>
        <w:spacing w:after="0" w:line="257" w:lineRule="auto"/>
        <w:rPr>
          <w:sz w:val="20"/>
          <w:szCs w:val="20"/>
          <w:color w:val="auto"/>
        </w:rPr>
      </w:pPr>
      <w:r>
        <w:rPr>
          <w:rFonts w:ascii="Arial" w:cs="Arial" w:eastAsia="Arial" w:hAnsi="Arial"/>
          <w:sz w:val="19"/>
          <w:szCs w:val="19"/>
          <w:color w:val="auto"/>
        </w:rPr>
        <w:t>Neither the Award of this Option nor any shares of Stock issuable pursuant thereto shall be included in compensation for purposes of determining the amount payable to or on behalf of the Participant under any pension, savings, retirement, life insurance, or other employee or director benefits arrangement of the Company, unless otherwise determined by the plan sponsor.</w:t>
      </w:r>
    </w:p>
    <w:p>
      <w:pPr>
        <w:spacing w:after="0" w:line="355" w:lineRule="exact"/>
        <w:rPr>
          <w:sz w:val="20"/>
          <w:szCs w:val="20"/>
          <w:color w:val="auto"/>
        </w:rPr>
      </w:pPr>
    </w:p>
    <w:p>
      <w:pPr>
        <w:spacing w:after="0"/>
        <w:tabs>
          <w:tab w:leader="none" w:pos="202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22"/>
          <w:szCs w:val="22"/>
          <w:b w:val="1"/>
          <w:bCs w:val="1"/>
          <w:color w:val="auto"/>
        </w:rPr>
        <w:t>GENERAL</w:t>
      </w:r>
    </w:p>
    <w:p>
      <w:pPr>
        <w:spacing w:after="0" w:line="185" w:lineRule="exact"/>
        <w:rPr>
          <w:sz w:val="20"/>
          <w:szCs w:val="20"/>
          <w:color w:val="auto"/>
        </w:rPr>
      </w:pPr>
    </w:p>
    <w:p>
      <w:pPr>
        <w:jc w:val="both"/>
        <w:ind w:left="640" w:right="20"/>
        <w:spacing w:after="0" w:line="252" w:lineRule="auto"/>
        <w:rPr>
          <w:sz w:val="20"/>
          <w:szCs w:val="20"/>
          <w:color w:val="auto"/>
        </w:rPr>
      </w:pPr>
      <w:r>
        <w:rPr>
          <w:rFonts w:ascii="Arial" w:cs="Arial" w:eastAsia="Arial" w:hAnsi="Arial"/>
          <w:sz w:val="19"/>
          <w:szCs w:val="19"/>
          <w:color w:val="auto"/>
        </w:rPr>
        <w:t>If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49" w:lineRule="exact"/>
        <w:rPr>
          <w:sz w:val="20"/>
          <w:szCs w:val="20"/>
          <w:color w:val="auto"/>
        </w:rPr>
      </w:pPr>
    </w:p>
    <w:p>
      <w:pPr>
        <w:jc w:val="both"/>
        <w:ind w:left="640"/>
        <w:spacing w:after="0" w:line="223" w:lineRule="auto"/>
        <w:rPr>
          <w:sz w:val="20"/>
          <w:szCs w:val="20"/>
          <w:color w:val="auto"/>
        </w:rPr>
      </w:pPr>
      <w:r>
        <w:rPr>
          <w:rFonts w:ascii="Arial" w:cs="Arial" w:eastAsia="Arial" w:hAnsi="Arial"/>
          <w:sz w:val="22"/>
          <w:szCs w:val="22"/>
          <w:color w:val="auto"/>
        </w:rPr>
        <w:t>The headings preceding the text of the sections hereof are inserted solely for convenience of reference, and shall not constitute a part of these Standard Terms and Conditions, nor shall they affect its meaning, construction, or effect.</w:t>
      </w:r>
    </w:p>
    <w:p>
      <w:pPr>
        <w:spacing w:after="0" w:line="159" w:lineRule="exact"/>
        <w:rPr>
          <w:sz w:val="20"/>
          <w:szCs w:val="20"/>
          <w:color w:val="auto"/>
        </w:rPr>
      </w:pPr>
    </w:p>
    <w:p>
      <w:pPr>
        <w:jc w:val="both"/>
        <w:ind w:left="640" w:right="20"/>
        <w:spacing w:after="0" w:line="247" w:lineRule="auto"/>
        <w:rPr>
          <w:sz w:val="20"/>
          <w:szCs w:val="20"/>
          <w:color w:val="auto"/>
        </w:rPr>
      </w:pPr>
      <w:r>
        <w:rPr>
          <w:rFonts w:ascii="Arial" w:cs="Arial" w:eastAsia="Arial" w:hAnsi="Arial"/>
          <w:sz w:val="21"/>
          <w:szCs w:val="21"/>
          <w:color w:val="auto"/>
        </w:rPr>
        <w:t>These Standard Terms and Conditions shall inure to the benefit of and be binding upon the parties hereto and their respective permitted heirs, beneficiaries, successors, and assigns.</w:t>
      </w:r>
    </w:p>
    <w:p>
      <w:pPr>
        <w:spacing w:after="0" w:line="151" w:lineRule="exact"/>
        <w:rPr>
          <w:sz w:val="20"/>
          <w:szCs w:val="20"/>
          <w:color w:val="auto"/>
        </w:rPr>
      </w:pPr>
    </w:p>
    <w:p>
      <w:pPr>
        <w:jc w:val="both"/>
        <w:ind w:left="640" w:right="20"/>
        <w:spacing w:after="0" w:line="232" w:lineRule="auto"/>
        <w:rPr>
          <w:sz w:val="20"/>
          <w:szCs w:val="20"/>
          <w:color w:val="auto"/>
        </w:rPr>
      </w:pPr>
      <w:r>
        <w:rPr>
          <w:rFonts w:ascii="Arial" w:cs="Arial" w:eastAsia="Arial" w:hAnsi="Arial"/>
          <w:sz w:val="22"/>
          <w:szCs w:val="22"/>
          <w:color w:val="auto"/>
        </w:rPr>
        <w:t>The Participant acknowledges that a copy of the Plan, the Plan prospectus, and Avnet's most recent annual report to its shareholders has been delivered to the Participant.</w:t>
      </w:r>
    </w:p>
    <w:p>
      <w:pPr>
        <w:spacing w:after="0" w:line="159" w:lineRule="exact"/>
        <w:rPr>
          <w:sz w:val="20"/>
          <w:szCs w:val="20"/>
          <w:color w:val="auto"/>
        </w:rPr>
      </w:pPr>
    </w:p>
    <w:p>
      <w:pPr>
        <w:jc w:val="both"/>
        <w:ind w:left="640"/>
        <w:spacing w:after="0" w:line="223" w:lineRule="auto"/>
        <w:rPr>
          <w:sz w:val="20"/>
          <w:szCs w:val="20"/>
          <w:color w:val="auto"/>
        </w:rPr>
      </w:pPr>
      <w:r>
        <w:rPr>
          <w:rFonts w:ascii="Arial" w:cs="Arial" w:eastAsia="Arial" w:hAnsi="Arial"/>
          <w:sz w:val="22"/>
          <w:szCs w:val="22"/>
          <w:color w:val="auto"/>
        </w:rPr>
        <w:t>The Plan, the Term Sheet, and these Standard Terms and Conditions shall be governed, construed, interpreted, and administered solely in accordance with the laws of the state of New York, without regard to principles of conflicts of law.</w:t>
      </w:r>
    </w:p>
    <w:p>
      <w:pPr>
        <w:spacing w:after="0" w:line="159" w:lineRule="exact"/>
        <w:rPr>
          <w:sz w:val="20"/>
          <w:szCs w:val="20"/>
          <w:color w:val="auto"/>
        </w:rPr>
      </w:pPr>
    </w:p>
    <w:p>
      <w:pPr>
        <w:jc w:val="both"/>
        <w:ind w:left="640" w:right="20"/>
        <w:spacing w:after="0" w:line="252" w:lineRule="auto"/>
        <w:rPr>
          <w:sz w:val="20"/>
          <w:szCs w:val="20"/>
          <w:color w:val="auto"/>
        </w:rPr>
      </w:pPr>
      <w:r>
        <w:rPr>
          <w:rFonts w:ascii="Arial" w:cs="Arial" w:eastAsia="Arial" w:hAnsi="Arial"/>
          <w:sz w:val="19"/>
          <w:szCs w:val="19"/>
          <w:color w:val="auto"/>
        </w:rPr>
        <w:t>All questions arising under the Plan, the Term Sheet, and these Standard Terms and Conditions shall be decided by the Administrator in its total and absolute discretion. It is expressly understood that the Administrator is authorized to administer, construe, and make all determinations necessary or appropriate to the administration of the Plan, the Term Sheet, and these Standard Terms and Conditions; all such determinations shall be binding upon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596011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537" w:right="12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t>Exhibit 10.1(b)</w:t>
      </w:r>
    </w:p>
    <w:p>
      <w:pPr>
        <w:spacing w:after="0" w:line="138"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AVNET, INC.</w:t>
      </w:r>
    </w:p>
    <w:p>
      <w:pPr>
        <w:jc w:val="center"/>
        <w:ind w:right="-4"/>
        <w:spacing w:after="0"/>
        <w:rPr>
          <w:sz w:val="20"/>
          <w:szCs w:val="20"/>
          <w:color w:val="auto"/>
        </w:rPr>
      </w:pPr>
      <w:r>
        <w:rPr>
          <w:rFonts w:ascii="Arial" w:cs="Arial" w:eastAsia="Arial" w:hAnsi="Arial"/>
          <w:sz w:val="20"/>
          <w:szCs w:val="20"/>
          <w:b w:val="1"/>
          <w:bCs w:val="1"/>
          <w:color w:val="auto"/>
        </w:rPr>
        <w:t>2013 STOCK COMPENSATION AND INCENTIVE PLAN</w:t>
      </w:r>
    </w:p>
    <w:p>
      <w:pPr>
        <w:spacing w:after="0" w:line="134"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STANDARD TERMS AND CONDITIONS FOR</w:t>
      </w:r>
    </w:p>
    <w:p>
      <w:pPr>
        <w:jc w:val="center"/>
        <w:ind w:right="-4"/>
        <w:spacing w:after="0"/>
        <w:rPr>
          <w:sz w:val="20"/>
          <w:szCs w:val="20"/>
          <w:color w:val="auto"/>
        </w:rPr>
      </w:pPr>
      <w:r>
        <w:rPr>
          <w:rFonts w:ascii="Arial" w:cs="Arial" w:eastAsia="Arial" w:hAnsi="Arial"/>
          <w:sz w:val="20"/>
          <w:szCs w:val="20"/>
          <w:b w:val="1"/>
          <w:bCs w:val="1"/>
          <w:color w:val="auto"/>
        </w:rPr>
        <w:t>PERFORMANCE STOCK UNITS</w:t>
      </w:r>
    </w:p>
    <w:p>
      <w:pPr>
        <w:spacing w:after="0" w:line="153"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FISCAL 2016 - FISCAL 2018 PERFORMANCE PERIOD</w:t>
      </w:r>
    </w:p>
    <w:p>
      <w:pPr>
        <w:spacing w:after="0" w:line="154" w:lineRule="exact"/>
        <w:rPr>
          <w:sz w:val="20"/>
          <w:szCs w:val="20"/>
          <w:color w:val="auto"/>
        </w:rPr>
      </w:pPr>
    </w:p>
    <w:p>
      <w:pPr>
        <w:jc w:val="both"/>
        <w:ind w:left="5"/>
        <w:spacing w:after="0" w:line="210" w:lineRule="auto"/>
        <w:rPr>
          <w:sz w:val="20"/>
          <w:szCs w:val="20"/>
          <w:color w:val="auto"/>
        </w:rPr>
      </w:pPr>
      <w:r>
        <w:rPr>
          <w:rFonts w:ascii="Arial" w:cs="Arial" w:eastAsia="Arial" w:hAnsi="Arial"/>
          <w:sz w:val="20"/>
          <w:szCs w:val="20"/>
          <w:color w:val="auto"/>
        </w:rPr>
        <w:t>These Standard Terms and Conditions for Performance Stock Units (the “Standard Terms and Conditions”) apply to any Performance Stock Units granted under the Avnet, Inc. 2013 Stock Compensation and Incentive Plan (the “Plan”) for the Fiscal 2016 through Fiscal 2018 Performance Period (as defined below) that are identified as performance stock units and evidenced by a Term Sheet or an action of the Administrator that refers to these Standard Terms and Conditions.</w:t>
      </w:r>
    </w:p>
    <w:p>
      <w:pPr>
        <w:spacing w:after="0" w:line="122" w:lineRule="exact"/>
        <w:rPr>
          <w:sz w:val="20"/>
          <w:szCs w:val="20"/>
          <w:color w:val="auto"/>
        </w:rPr>
      </w:pPr>
    </w:p>
    <w:p>
      <w:pPr>
        <w:ind w:left="565" w:hanging="565"/>
        <w:spacing w:after="0"/>
        <w:tabs>
          <w:tab w:leader="none" w:pos="565"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TERMS OF PERFORMANCE STOCK UNITS</w:t>
      </w:r>
    </w:p>
    <w:p>
      <w:pPr>
        <w:spacing w:after="0" w:line="181" w:lineRule="exact"/>
        <w:rPr>
          <w:sz w:val="20"/>
          <w:szCs w:val="20"/>
          <w:color w:val="auto"/>
        </w:rPr>
      </w:pPr>
    </w:p>
    <w:p>
      <w:pPr>
        <w:jc w:val="both"/>
        <w:ind w:left="645"/>
        <w:spacing w:after="0" w:line="224" w:lineRule="auto"/>
        <w:rPr>
          <w:sz w:val="20"/>
          <w:szCs w:val="20"/>
          <w:color w:val="auto"/>
        </w:rPr>
      </w:pPr>
      <w:r>
        <w:rPr>
          <w:rFonts w:ascii="Arial" w:cs="Arial" w:eastAsia="Arial" w:hAnsi="Arial"/>
          <w:sz w:val="19"/>
          <w:szCs w:val="19"/>
          <w:color w:val="auto"/>
        </w:rPr>
        <w:t>Avnet, Inc. (“Avnet” or the “Company”) has granted to the Participant named in the attached Term Sheet performance stock units (the “Performance Stock Units” or “PSUs”), subject to the conditions set forth in the Term Sheet, these Standard Terms and Conditions, and the Plan. For purposes of these Standard Terms and Conditions and the Term Sheet, the “Company” refers to Avnet and its subsidiaries.</w:t>
      </w:r>
    </w:p>
    <w:p>
      <w:pPr>
        <w:spacing w:after="0" w:line="151" w:lineRule="exact"/>
        <w:rPr>
          <w:sz w:val="20"/>
          <w:szCs w:val="20"/>
          <w:color w:val="auto"/>
        </w:rPr>
      </w:pPr>
    </w:p>
    <w:p>
      <w:pPr>
        <w:ind w:left="685" w:hanging="685"/>
        <w:spacing w:after="0"/>
        <w:tabs>
          <w:tab w:leader="none" w:pos="685"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VESTING AND PERFORMANCE</w:t>
      </w:r>
    </w:p>
    <w:p>
      <w:pPr>
        <w:spacing w:after="0" w:line="181" w:lineRule="exact"/>
        <w:rPr>
          <w:sz w:val="20"/>
          <w:szCs w:val="20"/>
          <w:color w:val="auto"/>
        </w:rPr>
      </w:pPr>
    </w:p>
    <w:p>
      <w:pPr>
        <w:jc w:val="both"/>
        <w:ind w:left="645" w:right="20"/>
        <w:spacing w:after="0" w:line="222" w:lineRule="auto"/>
        <w:rPr>
          <w:sz w:val="20"/>
          <w:szCs w:val="20"/>
          <w:color w:val="auto"/>
        </w:rPr>
      </w:pPr>
      <w:r>
        <w:rPr>
          <w:rFonts w:ascii="Arial" w:cs="Arial" w:eastAsia="Arial" w:hAnsi="Arial"/>
          <w:sz w:val="18"/>
          <w:szCs w:val="18"/>
          <w:color w:val="auto"/>
        </w:rPr>
        <w:t>The number of PSUs that become vested shall be determined based upon performance over a 3-year performance cycle, beginning as of June 28, 2015, and ending on June 30, 2018 (the “Performance Period”). Except as set forth elsewhere in these Standard Terms and Conditions, the vesting of the PSUs is subject to (a) the Participant remaining continuously employed by, or in the service of, the Company from the Grant Date through the last day of the 3-year Performance Period (as described in Section 3, below), and</w:t>
      </w:r>
    </w:p>
    <w:p>
      <w:pPr>
        <w:spacing w:after="0" w:line="4" w:lineRule="exact"/>
        <w:rPr>
          <w:sz w:val="20"/>
          <w:szCs w:val="20"/>
          <w:color w:val="auto"/>
        </w:rPr>
      </w:pPr>
    </w:p>
    <w:p>
      <w:pPr>
        <w:ind w:left="645" w:right="20" w:firstLine="3"/>
        <w:spacing w:after="0" w:line="251" w:lineRule="auto"/>
        <w:tabs>
          <w:tab w:leader="none" w:pos="9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Avnet achieving the Annual Relative Economic Profit Performance (“Annual Relative EP”) and Relative Total Shareholder Return Performance (“Relative TSR”) goals set forth below. For purposes hereof:</w:t>
      </w:r>
    </w:p>
    <w:p>
      <w:pPr>
        <w:spacing w:after="0" w:line="145" w:lineRule="exact"/>
        <w:rPr>
          <w:sz w:val="20"/>
          <w:szCs w:val="20"/>
          <w:color w:val="auto"/>
        </w:rPr>
      </w:pPr>
    </w:p>
    <w:p>
      <w:pPr>
        <w:jc w:val="both"/>
        <w:ind w:left="705" w:right="20" w:hanging="53"/>
        <w:spacing w:after="0" w:line="213" w:lineRule="auto"/>
        <w:rPr>
          <w:sz w:val="20"/>
          <w:szCs w:val="20"/>
          <w:color w:val="auto"/>
        </w:rPr>
      </w:pPr>
      <w:r>
        <w:rPr>
          <w:rFonts w:ascii="Arial" w:cs="Arial" w:eastAsia="Arial" w:hAnsi="Arial"/>
          <w:sz w:val="20"/>
          <w:szCs w:val="20"/>
          <w:color w:val="auto"/>
        </w:rPr>
        <w:t>·“Annual Relative EP” means, with respect to each fiscal year in the Performance Period, Avnet’s economic profit per dollar of average capital for such fiscal year as compared to the economic profit per dollar of average capital of the companies in the S&amp;P SuperComposite Technology Distributors Index--Sub-Industry Index, excluding Avnet (see Exhibit A) (the “Distributors Index”).</w:t>
      </w:r>
    </w:p>
    <w:p>
      <w:pPr>
        <w:spacing w:after="0" w:line="156" w:lineRule="exact"/>
        <w:rPr>
          <w:sz w:val="20"/>
          <w:szCs w:val="20"/>
          <w:color w:val="auto"/>
        </w:rPr>
      </w:pPr>
    </w:p>
    <w:p>
      <w:pPr>
        <w:jc w:val="both"/>
        <w:ind w:left="705" w:right="20" w:hanging="53"/>
        <w:spacing w:after="0" w:line="275" w:lineRule="auto"/>
        <w:rPr>
          <w:sz w:val="20"/>
          <w:szCs w:val="20"/>
          <w:color w:val="auto"/>
        </w:rPr>
      </w:pPr>
      <w:r>
        <w:rPr>
          <w:rFonts w:ascii="Arial" w:cs="Arial" w:eastAsia="Arial" w:hAnsi="Arial"/>
          <w:sz w:val="16"/>
          <w:szCs w:val="16"/>
          <w:color w:val="auto"/>
        </w:rPr>
        <w:t>·“Economic profit” for a business means operating income after tax (assuming an effective tax rate of 35%), less a capital charge of 10% on the amount of capital invested in the business. For purposes hereof, “operating income” excludes certain items as determined by the Administrator, such as restructuring charges, asset writedowns, impairments, and financial impacts of accounting, tax, and regulatory changes, etc.</w:t>
      </w:r>
    </w:p>
    <w:p>
      <w:pPr>
        <w:spacing w:after="0" w:line="129" w:lineRule="exact"/>
        <w:rPr>
          <w:sz w:val="20"/>
          <w:szCs w:val="20"/>
          <w:color w:val="auto"/>
        </w:rPr>
      </w:pPr>
    </w:p>
    <w:p>
      <w:pPr>
        <w:jc w:val="both"/>
        <w:ind w:left="705" w:right="20" w:hanging="53"/>
        <w:spacing w:after="0" w:line="213" w:lineRule="auto"/>
        <w:rPr>
          <w:sz w:val="20"/>
          <w:szCs w:val="20"/>
          <w:color w:val="auto"/>
        </w:rPr>
      </w:pPr>
      <w:r>
        <w:rPr>
          <w:rFonts w:ascii="Arial" w:cs="Arial" w:eastAsia="Arial" w:hAnsi="Arial"/>
          <w:sz w:val="20"/>
          <w:szCs w:val="20"/>
          <w:color w:val="auto"/>
        </w:rPr>
        <w:t>·“Relative TSR” means the percentile rank (from 0%ile for the lowest to 100%ile for the highest) of Avnet’s Total Shareholder Return compared to the individual total shareholder return of each company in the S&amp;P MidCap 400 Information Technology Index, including Avnet, over the 3-year Performance Period (the “Technology Index”).</w:t>
      </w:r>
    </w:p>
    <w:p>
      <w:pPr>
        <w:spacing w:after="0" w:line="156" w:lineRule="exact"/>
        <w:rPr>
          <w:sz w:val="20"/>
          <w:szCs w:val="20"/>
          <w:color w:val="auto"/>
        </w:rPr>
      </w:pPr>
    </w:p>
    <w:p>
      <w:pPr>
        <w:ind w:left="705" w:right="380" w:hanging="53"/>
        <w:spacing w:after="0" w:line="229" w:lineRule="auto"/>
        <w:rPr>
          <w:sz w:val="20"/>
          <w:szCs w:val="20"/>
          <w:color w:val="auto"/>
        </w:rPr>
      </w:pPr>
      <w:r>
        <w:rPr>
          <w:rFonts w:ascii="Arial" w:cs="Arial" w:eastAsia="Arial" w:hAnsi="Arial"/>
          <w:sz w:val="20"/>
          <w:szCs w:val="20"/>
          <w:color w:val="auto"/>
        </w:rPr>
        <w:t>·“Total Shareholder Return” means, for each company in the Technology Index, the percentage calculated using the following formula:</w:t>
      </w:r>
    </w:p>
    <w:p>
      <w:pPr>
        <w:spacing w:after="0" w:line="155" w:lineRule="exact"/>
        <w:rPr>
          <w:sz w:val="20"/>
          <w:szCs w:val="20"/>
          <w:color w:val="auto"/>
        </w:rPr>
      </w:pPr>
    </w:p>
    <w:p>
      <w:pPr>
        <w:ind w:left="1725"/>
        <w:spacing w:after="0"/>
        <w:rPr>
          <w:sz w:val="20"/>
          <w:szCs w:val="20"/>
          <w:color w:val="auto"/>
        </w:rPr>
      </w:pPr>
      <w:r>
        <w:rPr>
          <w:rFonts w:ascii="Arial" w:cs="Arial" w:eastAsia="Arial" w:hAnsi="Arial"/>
          <w:sz w:val="19"/>
          <w:szCs w:val="19"/>
          <w:u w:val="single" w:color="auto"/>
          <w:color w:val="auto"/>
        </w:rPr>
        <w:t>Average stock price at end of period – average stock price at start of period +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5960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31" w:right="1239" w:bottom="1440" w:gutter="0" w:footer="0" w:header="0"/>
        </w:sectPr>
      </w:pPr>
    </w:p>
    <w:bookmarkStart w:id="34" w:name="page35"/>
    <w:bookmarkEnd w:id="34"/>
    <w:p>
      <w:pPr>
        <w:ind w:left="3440"/>
        <w:spacing w:after="0"/>
        <w:rPr>
          <w:sz w:val="20"/>
          <w:szCs w:val="20"/>
          <w:color w:val="auto"/>
        </w:rPr>
      </w:pPr>
      <w:r>
        <w:rPr>
          <w:rFonts w:ascii="Arial" w:cs="Arial" w:eastAsia="Arial" w:hAnsi="Arial"/>
          <w:sz w:val="20"/>
          <w:szCs w:val="20"/>
          <w:color w:val="auto"/>
        </w:rPr>
        <w:t>Average stock price at start of period</w:t>
      </w:r>
    </w:p>
    <w:p>
      <w:pPr>
        <w:spacing w:after="0" w:line="175" w:lineRule="exact"/>
        <w:rPr>
          <w:sz w:val="20"/>
          <w:szCs w:val="20"/>
          <w:color w:val="auto"/>
        </w:rPr>
      </w:pPr>
    </w:p>
    <w:p>
      <w:pPr>
        <w:jc w:val="both"/>
        <w:ind w:left="840"/>
        <w:spacing w:after="0" w:line="213" w:lineRule="auto"/>
        <w:rPr>
          <w:sz w:val="20"/>
          <w:szCs w:val="20"/>
          <w:color w:val="auto"/>
        </w:rPr>
      </w:pPr>
      <w:r>
        <w:rPr>
          <w:rFonts w:ascii="Arial" w:cs="Arial" w:eastAsia="Arial" w:hAnsi="Arial"/>
          <w:sz w:val="20"/>
          <w:szCs w:val="20"/>
          <w:color w:val="auto"/>
        </w:rPr>
        <w:t>A company’s average stock price at the start of the relevant period shall equal its 30-trading day average immediately before and including the start day, and a company’s average stock price at the end of the relevant period shall equal its 30-trading day average immediately before and including the end day of the applicable period.</w:t>
      </w:r>
    </w:p>
    <w:p>
      <w:pPr>
        <w:spacing w:after="0" w:line="156" w:lineRule="exact"/>
        <w:rPr>
          <w:sz w:val="20"/>
          <w:szCs w:val="20"/>
          <w:color w:val="auto"/>
        </w:rPr>
      </w:pPr>
    </w:p>
    <w:p>
      <w:pPr>
        <w:jc w:val="both"/>
        <w:ind w:left="520" w:right="20"/>
        <w:spacing w:after="0" w:line="218" w:lineRule="auto"/>
        <w:rPr>
          <w:sz w:val="20"/>
          <w:szCs w:val="20"/>
          <w:color w:val="auto"/>
        </w:rPr>
      </w:pPr>
      <w:r>
        <w:rPr>
          <w:rFonts w:ascii="Arial" w:cs="Arial" w:eastAsia="Arial" w:hAnsi="Arial"/>
          <w:sz w:val="20"/>
          <w:szCs w:val="20"/>
          <w:u w:val="single" w:color="auto"/>
          <w:color w:val="auto"/>
        </w:rPr>
        <w:t>Performance Goals</w:t>
      </w:r>
      <w:r>
        <w:rPr>
          <w:rFonts w:ascii="Arial" w:cs="Arial" w:eastAsia="Arial" w:hAnsi="Arial"/>
          <w:sz w:val="20"/>
          <w:szCs w:val="20"/>
          <w:color w:val="auto"/>
        </w:rPr>
        <w:t>. The number of PSUs that become vested under this award (subject to satisfying the service conditions) shall equal the sum of (i) the Annual Relative EP portion, plus (ii) the Relative TSR portion, each as described below.</w:t>
      </w:r>
    </w:p>
    <w:p>
      <w:pPr>
        <w:spacing w:after="0" w:line="157" w:lineRule="exact"/>
        <w:rPr>
          <w:sz w:val="20"/>
          <w:szCs w:val="20"/>
          <w:color w:val="auto"/>
        </w:rPr>
      </w:pPr>
    </w:p>
    <w:p>
      <w:pPr>
        <w:jc w:val="both"/>
        <w:ind w:left="1180" w:right="20" w:hanging="657"/>
        <w:spacing w:after="0" w:line="244" w:lineRule="auto"/>
        <w:tabs>
          <w:tab w:leader="none" w:pos="117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Annual Relative EP Portion</w:t>
      </w:r>
      <w:r>
        <w:rPr>
          <w:rFonts w:ascii="Arial" w:cs="Arial" w:eastAsia="Arial" w:hAnsi="Arial"/>
          <w:sz w:val="18"/>
          <w:szCs w:val="18"/>
          <w:color w:val="auto"/>
        </w:rPr>
        <w:t>. The Annual Relative EP portion equals one-third of the annual Earned EP Percentage (described below) for each fiscal year, multiplied by the Target Number of Shares set forth in the Term Sheet, multiplied by 50%. The calculation includes the following elements:</w:t>
      </w:r>
    </w:p>
    <w:p>
      <w:pPr>
        <w:spacing w:after="0" w:line="152" w:lineRule="exact"/>
        <w:rPr>
          <w:sz w:val="20"/>
          <w:szCs w:val="20"/>
          <w:color w:val="auto"/>
        </w:rPr>
      </w:pPr>
    </w:p>
    <w:p>
      <w:pPr>
        <w:jc w:val="both"/>
        <w:ind w:left="1220" w:right="40" w:hanging="53"/>
        <w:spacing w:after="0" w:line="229" w:lineRule="auto"/>
        <w:rPr>
          <w:sz w:val="20"/>
          <w:szCs w:val="20"/>
          <w:color w:val="auto"/>
        </w:rPr>
      </w:pPr>
      <w:r>
        <w:rPr>
          <w:rFonts w:ascii="Arial" w:cs="Arial" w:eastAsia="Arial" w:hAnsi="Arial"/>
          <w:sz w:val="20"/>
          <w:szCs w:val="20"/>
          <w:color w:val="auto"/>
        </w:rPr>
        <w:t>·The annual Earned EP Percentage for each year shall be a percentage ranging from 0% to 200%, according to the following matrix:</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40" w:type="dxa"/>
            <w:vAlign w:val="bottom"/>
            <w:gridSpan w:val="2"/>
          </w:tcPr>
          <w:p>
            <w:pPr>
              <w:spacing w:after="0"/>
              <w:rPr>
                <w:sz w:val="20"/>
                <w:szCs w:val="20"/>
                <w:color w:val="auto"/>
              </w:rPr>
            </w:pPr>
            <w:r>
              <w:rPr>
                <w:rFonts w:ascii="Arial" w:cs="Arial" w:eastAsia="Arial" w:hAnsi="Arial"/>
                <w:sz w:val="20"/>
                <w:szCs w:val="20"/>
                <w:color w:val="auto"/>
                <w:w w:val="99"/>
              </w:rPr>
              <w:t>Annual Relative EP</w:t>
            </w:r>
          </w:p>
        </w:tc>
        <w:tc>
          <w:tcPr>
            <w:tcW w:w="620" w:type="dxa"/>
            <w:vAlign w:val="bottom"/>
          </w:tcPr>
          <w:p>
            <w:pPr>
              <w:spacing w:after="0"/>
              <w:rPr>
                <w:sz w:val="21"/>
                <w:szCs w:val="21"/>
                <w:color w:val="auto"/>
              </w:rPr>
            </w:pP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-10%</w:t>
            </w:r>
          </w:p>
        </w:tc>
        <w:tc>
          <w:tcPr>
            <w:tcW w:w="880" w:type="dxa"/>
            <w:vAlign w:val="bottom"/>
          </w:tcPr>
          <w:p>
            <w:pPr>
              <w:jc w:val="right"/>
              <w:ind w:right="161"/>
              <w:spacing w:after="0"/>
              <w:rPr>
                <w:sz w:val="20"/>
                <w:szCs w:val="20"/>
                <w:color w:val="auto"/>
              </w:rPr>
            </w:pPr>
            <w:r>
              <w:rPr>
                <w:rFonts w:ascii="Arial" w:cs="Arial" w:eastAsia="Arial" w:hAnsi="Arial"/>
                <w:sz w:val="20"/>
                <w:szCs w:val="20"/>
                <w:color w:val="auto"/>
              </w:rPr>
              <w:t>-5%</w:t>
            </w:r>
          </w:p>
        </w:tc>
        <w:tc>
          <w:tcPr>
            <w:tcW w:w="9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+5%</w:t>
            </w:r>
          </w:p>
        </w:tc>
        <w:tc>
          <w:tcPr>
            <w:tcW w:w="7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347"/>
        </w:trPr>
        <w:tc>
          <w:tcPr>
            <w:tcW w:w="760" w:type="dxa"/>
            <w:vAlign w:val="bottom"/>
          </w:tcPr>
          <w:p>
            <w:pPr>
              <w:spacing w:after="0"/>
              <w:rPr>
                <w:sz w:val="20"/>
                <w:szCs w:val="20"/>
                <w:color w:val="auto"/>
              </w:rPr>
            </w:pPr>
            <w:r>
              <w:rPr>
                <w:rFonts w:ascii="Arial" w:cs="Arial" w:eastAsia="Arial" w:hAnsi="Arial"/>
                <w:sz w:val="20"/>
                <w:szCs w:val="20"/>
                <w:color w:val="auto"/>
              </w:rPr>
              <w:t>Annual</w:t>
            </w:r>
          </w:p>
        </w:tc>
        <w:tc>
          <w:tcPr>
            <w:tcW w:w="980" w:type="dxa"/>
            <w:vAlign w:val="bottom"/>
          </w:tcPr>
          <w:p>
            <w:pPr>
              <w:ind w:left="200"/>
              <w:spacing w:after="0"/>
              <w:rPr>
                <w:sz w:val="20"/>
                <w:szCs w:val="20"/>
                <w:color w:val="auto"/>
              </w:rPr>
            </w:pPr>
            <w:r>
              <w:rPr>
                <w:rFonts w:ascii="Arial" w:cs="Arial" w:eastAsia="Arial" w:hAnsi="Arial"/>
                <w:sz w:val="20"/>
                <w:szCs w:val="20"/>
                <w:color w:val="auto"/>
              </w:rPr>
              <w:t>Earned</w:t>
            </w:r>
          </w:p>
        </w:tc>
        <w:tc>
          <w:tcPr>
            <w:tcW w:w="620" w:type="dxa"/>
            <w:vAlign w:val="bottom"/>
          </w:tcPr>
          <w:p>
            <w:pPr>
              <w:ind w:left="160"/>
              <w:spacing w:after="0"/>
              <w:rPr>
                <w:sz w:val="20"/>
                <w:szCs w:val="20"/>
                <w:color w:val="auto"/>
              </w:rPr>
            </w:pPr>
            <w:r>
              <w:rPr>
                <w:rFonts w:ascii="Arial" w:cs="Arial" w:eastAsia="Arial" w:hAnsi="Arial"/>
                <w:sz w:val="20"/>
                <w:szCs w:val="20"/>
                <w:color w:val="auto"/>
              </w:rPr>
              <w:t>EP</w:t>
            </w:r>
          </w:p>
        </w:tc>
        <w:tc>
          <w:tcPr>
            <w:tcW w:w="92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141"/>
              <w:spacing w:after="0"/>
              <w:rPr>
                <w:sz w:val="20"/>
                <w:szCs w:val="20"/>
                <w:color w:val="auto"/>
              </w:rPr>
            </w:pPr>
            <w:r>
              <w:rPr>
                <w:rFonts w:ascii="Arial" w:cs="Arial" w:eastAsia="Arial" w:hAnsi="Arial"/>
                <w:sz w:val="20"/>
                <w:szCs w:val="20"/>
                <w:color w:val="auto"/>
              </w:rPr>
              <w:t>50%</w:t>
            </w:r>
          </w:p>
        </w:tc>
        <w:tc>
          <w:tcPr>
            <w:tcW w:w="900" w:type="dxa"/>
            <w:vAlign w:val="bottom"/>
          </w:tcPr>
          <w:p>
            <w:pPr>
              <w:jc w:val="right"/>
              <w:ind w:right="121"/>
              <w:spacing w:after="0"/>
              <w:rPr>
                <w:sz w:val="20"/>
                <w:szCs w:val="20"/>
                <w:color w:val="auto"/>
              </w:rPr>
            </w:pPr>
            <w:r>
              <w:rPr>
                <w:rFonts w:ascii="Arial" w:cs="Arial" w:eastAsia="Arial" w:hAnsi="Arial"/>
                <w:sz w:val="20"/>
                <w:szCs w:val="20"/>
                <w:color w:val="auto"/>
              </w:rPr>
              <w:t>100%</w:t>
            </w:r>
          </w:p>
        </w:tc>
        <w:tc>
          <w:tcPr>
            <w:tcW w:w="940" w:type="dxa"/>
            <w:vAlign w:val="bottom"/>
          </w:tcPr>
          <w:p>
            <w:pPr>
              <w:jc w:val="right"/>
              <w:ind w:right="161"/>
              <w:spacing w:after="0"/>
              <w:rPr>
                <w:sz w:val="20"/>
                <w:szCs w:val="20"/>
                <w:color w:val="auto"/>
              </w:rPr>
            </w:pPr>
            <w:r>
              <w:rPr>
                <w:rFonts w:ascii="Arial" w:cs="Arial" w:eastAsia="Arial" w:hAnsi="Arial"/>
                <w:sz w:val="20"/>
                <w:szCs w:val="20"/>
                <w:color w:val="auto"/>
              </w:rPr>
              <w:t>150%</w:t>
            </w:r>
          </w:p>
        </w:tc>
        <w:tc>
          <w:tcPr>
            <w:tcW w:w="720" w:type="dxa"/>
            <w:vAlign w:val="bottom"/>
          </w:tcPr>
          <w:p>
            <w:pPr>
              <w:jc w:val="right"/>
              <w:spacing w:after="0"/>
              <w:rPr>
                <w:sz w:val="20"/>
                <w:szCs w:val="20"/>
                <w:color w:val="auto"/>
              </w:rPr>
            </w:pPr>
            <w:r>
              <w:rPr>
                <w:rFonts w:ascii="Arial" w:cs="Arial" w:eastAsia="Arial" w:hAnsi="Arial"/>
                <w:sz w:val="20"/>
                <w:szCs w:val="20"/>
                <w:color w:val="auto"/>
              </w:rPr>
              <w:t>200%</w:t>
            </w:r>
          </w:p>
        </w:tc>
      </w:tr>
      <w:tr>
        <w:trPr>
          <w:trHeight w:val="250"/>
        </w:trPr>
        <w:tc>
          <w:tcPr>
            <w:tcW w:w="1740" w:type="dxa"/>
            <w:vAlign w:val="bottom"/>
            <w:gridSpan w:val="2"/>
          </w:tcPr>
          <w:p>
            <w:pPr>
              <w:ind w:left="220"/>
              <w:spacing w:after="0"/>
              <w:rPr>
                <w:sz w:val="20"/>
                <w:szCs w:val="20"/>
                <w:color w:val="auto"/>
              </w:rPr>
            </w:pPr>
            <w:r>
              <w:rPr>
                <w:rFonts w:ascii="Arial" w:cs="Arial" w:eastAsia="Arial" w:hAnsi="Arial"/>
                <w:sz w:val="20"/>
                <w:szCs w:val="20"/>
                <w:color w:val="auto"/>
              </w:rPr>
              <w:t>Percentage</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368" w:lineRule="exact"/>
        <w:rPr>
          <w:sz w:val="20"/>
          <w:szCs w:val="20"/>
          <w:color w:val="auto"/>
        </w:rPr>
      </w:pPr>
    </w:p>
    <w:p>
      <w:pPr>
        <w:jc w:val="both"/>
        <w:ind w:left="1220" w:right="20" w:hanging="53"/>
        <w:spacing w:after="0" w:line="218" w:lineRule="auto"/>
        <w:rPr>
          <w:sz w:val="20"/>
          <w:szCs w:val="20"/>
          <w:color w:val="auto"/>
        </w:rPr>
      </w:pPr>
      <w:r>
        <w:rPr>
          <w:rFonts w:ascii="Arial" w:cs="Arial" w:eastAsia="Arial" w:hAnsi="Arial"/>
          <w:sz w:val="20"/>
          <w:szCs w:val="20"/>
          <w:color w:val="auto"/>
        </w:rPr>
        <w:t>·If Avnet’s Annual Relative EP for a year is between two achievement levels set forth in the table above, the annual Earned EP Percentage for the fiscal year shall be determined by linear interpolation.</w:t>
      </w:r>
    </w:p>
    <w:p>
      <w:pPr>
        <w:spacing w:after="0" w:line="157" w:lineRule="exact"/>
        <w:rPr>
          <w:sz w:val="20"/>
          <w:szCs w:val="20"/>
          <w:color w:val="auto"/>
        </w:rPr>
      </w:pPr>
    </w:p>
    <w:p>
      <w:pPr>
        <w:jc w:val="both"/>
        <w:ind w:left="1220" w:right="20" w:hanging="53"/>
        <w:spacing w:after="0" w:line="229" w:lineRule="auto"/>
        <w:rPr>
          <w:sz w:val="20"/>
          <w:szCs w:val="20"/>
          <w:color w:val="auto"/>
        </w:rPr>
      </w:pPr>
      <w:r>
        <w:rPr>
          <w:rFonts w:ascii="Arial" w:cs="Arial" w:eastAsia="Arial" w:hAnsi="Arial"/>
          <w:sz w:val="20"/>
          <w:szCs w:val="20"/>
          <w:color w:val="auto"/>
        </w:rPr>
        <w:t>·The Participant’s total Earned EP Percentage will be one-third of the annual Earned EP Percentages for each fiscal year, as follows:</w:t>
      </w:r>
    </w:p>
    <w:p>
      <w:pPr>
        <w:spacing w:after="0" w:line="155" w:lineRule="exact"/>
        <w:rPr>
          <w:sz w:val="20"/>
          <w:szCs w:val="20"/>
          <w:color w:val="auto"/>
        </w:rPr>
      </w:pPr>
    </w:p>
    <w:p>
      <w:pPr>
        <w:ind w:left="4520" w:right="1200" w:hanging="3240"/>
        <w:spacing w:after="0" w:line="244" w:lineRule="auto"/>
        <w:tabs>
          <w:tab w:leader="none" w:pos="4500" w:val="left"/>
        </w:tabs>
        <w:rPr>
          <w:sz w:val="20"/>
          <w:szCs w:val="20"/>
          <w:color w:val="auto"/>
        </w:rPr>
      </w:pPr>
      <w:r>
        <w:rPr>
          <w:rFonts w:ascii="Arial" w:cs="Arial" w:eastAsia="Arial" w:hAnsi="Arial"/>
          <w:sz w:val="20"/>
          <w:szCs w:val="20"/>
          <w:color w:val="auto"/>
        </w:rPr>
        <w:t>Total Earned EP Percentage =</w:t>
      </w:r>
      <w:r>
        <w:rPr>
          <w:sz w:val="20"/>
          <w:szCs w:val="20"/>
          <w:color w:val="auto"/>
        </w:rPr>
        <w:tab/>
      </w:r>
      <w:r>
        <w:rPr>
          <w:rFonts w:ascii="Arial" w:cs="Arial" w:eastAsia="Arial" w:hAnsi="Arial"/>
          <w:sz w:val="18"/>
          <w:szCs w:val="18"/>
          <w:color w:val="auto"/>
        </w:rPr>
        <w:t>Fiscal 2016 Earned EP Percentage x 1/3 + Fiscal 2017 Earned EP Percentage x 1/3 + Fiscal 2018 Earned EP Percentage x 1/3</w:t>
      </w:r>
    </w:p>
    <w:p>
      <w:pPr>
        <w:spacing w:after="0" w:line="44" w:lineRule="exact"/>
        <w:rPr>
          <w:sz w:val="20"/>
          <w:szCs w:val="20"/>
          <w:color w:val="auto"/>
        </w:rPr>
      </w:pPr>
    </w:p>
    <w:p>
      <w:pPr>
        <w:ind w:left="1220" w:right="20" w:hanging="53"/>
        <w:spacing w:after="0" w:line="229" w:lineRule="auto"/>
        <w:rPr>
          <w:sz w:val="20"/>
          <w:szCs w:val="20"/>
          <w:color w:val="auto"/>
        </w:rPr>
      </w:pPr>
      <w:r>
        <w:rPr>
          <w:rFonts w:ascii="Arial" w:cs="Arial" w:eastAsia="Arial" w:hAnsi="Arial"/>
          <w:sz w:val="20"/>
          <w:szCs w:val="20"/>
          <w:color w:val="auto"/>
        </w:rPr>
        <w:t>·The Participant’s Annual Relative EP portion equals the Participant’s total Earned EP Percentage times the Target Number of Shares times 50%.</w:t>
      </w:r>
    </w:p>
    <w:p>
      <w:pPr>
        <w:spacing w:after="0" w:line="155" w:lineRule="exact"/>
        <w:rPr>
          <w:sz w:val="20"/>
          <w:szCs w:val="20"/>
          <w:color w:val="auto"/>
        </w:rPr>
      </w:pPr>
    </w:p>
    <w:p>
      <w:pPr>
        <w:jc w:val="both"/>
        <w:ind w:left="1180" w:hanging="657"/>
        <w:spacing w:after="0" w:line="225" w:lineRule="auto"/>
        <w:tabs>
          <w:tab w:leader="none" w:pos="117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Relative TSR Portion</w:t>
      </w:r>
      <w:r>
        <w:rPr>
          <w:rFonts w:ascii="Arial" w:cs="Arial" w:eastAsia="Arial" w:hAnsi="Arial"/>
          <w:sz w:val="18"/>
          <w:szCs w:val="18"/>
          <w:color w:val="auto"/>
        </w:rPr>
        <w:t>. The Relative TSR Portion equals the Earned TSR Percentage (described below) for the three-year Performance Period, multiplied by the Target Number of Shares set forth in the Term Sheet, multiplied by 50%. The Earned TSR Percentage shall be a percentage ranging from</w:t>
      </w:r>
    </w:p>
    <w:p>
      <w:pPr>
        <w:spacing w:after="0" w:line="1"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20"/>
          <w:szCs w:val="20"/>
          <w:color w:val="auto"/>
        </w:rPr>
        <w:t>0% to 200%, according to the following matrix:</w:t>
      </w:r>
    </w:p>
    <w:p>
      <w:pPr>
        <w:sectPr>
          <w:pgSz w:w="11900" w:h="16838" w:orient="portrait"/>
          <w:cols w:equalWidth="0" w:num="1">
            <w:col w:w="9280"/>
          </w:cols>
          <w:pgMar w:left="1380" w:top="541" w:right="123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Relative TSR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&lt;30%ile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30%ile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50%ile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75%ile+</w:t>
      </w:r>
    </w:p>
    <w:p>
      <w:pPr>
        <w:spacing w:after="0" w:line="25" w:lineRule="exact"/>
        <w:rPr>
          <w:sz w:val="20"/>
          <w:szCs w:val="20"/>
          <w:color w:val="auto"/>
        </w:rPr>
      </w:pPr>
    </w:p>
    <w:p>
      <w:pPr>
        <w:sectPr>
          <w:pgSz w:w="11900" w:h="16838" w:orient="portrait"/>
          <w:cols w:equalWidth="0" w:num="5">
            <w:col w:w="1580" w:space="720"/>
            <w:col w:w="680" w:space="400"/>
            <w:col w:w="580" w:space="360"/>
            <w:col w:w="560" w:space="380"/>
            <w:col w:w="4020"/>
          </w:cols>
          <w:pgMar w:left="1380" w:top="541" w:right="12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(Percentile Rank)</w:t>
      </w:r>
    </w:p>
    <w:p>
      <w:pPr>
        <w:sectPr>
          <w:pgSz w:w="11900" w:h="16838" w:orient="portrait"/>
          <w:cols w:equalWidth="0" w:num="1">
            <w:col w:w="9280"/>
          </w:cols>
          <w:pgMar w:left="1380" w:top="541" w:right="123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Earned TSR Percentage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0%</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200%</w:t>
      </w:r>
    </w:p>
    <w:p>
      <w:pPr>
        <w:spacing w:after="0" w:line="220" w:lineRule="exact"/>
        <w:rPr>
          <w:sz w:val="20"/>
          <w:szCs w:val="20"/>
          <w:color w:val="auto"/>
        </w:rPr>
      </w:pPr>
    </w:p>
    <w:p>
      <w:pPr>
        <w:sectPr>
          <w:pgSz w:w="11900" w:h="16838" w:orient="portrait"/>
          <w:cols w:equalWidth="0" w:num="5">
            <w:col w:w="1880" w:space="620"/>
            <w:col w:w="260" w:space="720"/>
            <w:col w:w="380" w:space="500"/>
            <w:col w:w="460" w:space="540"/>
            <w:col w:w="3920"/>
          </w:cols>
          <w:pgMar w:left="1380" w:top="541" w:right="1239" w:bottom="1440" w:gutter="0" w:footer="0" w:header="0"/>
          <w:type w:val="continuous"/>
        </w:sectPr>
      </w:pPr>
    </w:p>
    <w:p>
      <w:pPr>
        <w:ind w:left="1180"/>
        <w:spacing w:after="0" w:line="229" w:lineRule="auto"/>
        <w:rPr>
          <w:sz w:val="20"/>
          <w:szCs w:val="20"/>
          <w:color w:val="auto"/>
        </w:rPr>
      </w:pPr>
      <w:r>
        <w:rPr>
          <w:rFonts w:ascii="Arial" w:cs="Arial" w:eastAsia="Arial" w:hAnsi="Arial"/>
          <w:sz w:val="20"/>
          <w:szCs w:val="20"/>
          <w:color w:val="auto"/>
        </w:rPr>
        <w:t>If Avnet’s actual Relative TSR percentile rank is between two achievement levels set forth in the table above, the Earned TSR Percentage shall be determined by linear interpolation.</w:t>
      </w:r>
    </w:p>
    <w:p>
      <w:pPr>
        <w:spacing w:after="0" w:line="155" w:lineRule="exact"/>
        <w:rPr>
          <w:sz w:val="20"/>
          <w:szCs w:val="20"/>
          <w:color w:val="auto"/>
        </w:rPr>
      </w:pPr>
    </w:p>
    <w:p>
      <w:pPr>
        <w:jc w:val="both"/>
        <w:ind w:left="1180" w:hanging="657"/>
        <w:spacing w:after="0" w:line="237" w:lineRule="auto"/>
        <w:tabs>
          <w:tab w:leader="none" w:pos="117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Administrator’s Determination</w:t>
      </w:r>
      <w:r>
        <w:rPr>
          <w:rFonts w:ascii="Arial" w:cs="Arial" w:eastAsia="Arial" w:hAnsi="Arial"/>
          <w:sz w:val="18"/>
          <w:szCs w:val="18"/>
          <w:color w:val="auto"/>
        </w:rPr>
        <w:t>. The Administrator shall determine the Earned EP Percentage, Earned TSR Percentage, and number of PSUs that become vested in its sole discretion; provided that if the Participant is a “covered employee” under Section 162(m) of the Internal Revenue Code of 1986, as amended (the “Code”), the level of achievement shall be determined in a manner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117475</wp:posOffset>
            </wp:positionV>
            <wp:extent cx="596011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280"/>
          </w:cols>
          <w:pgMar w:left="1380" w:top="541" w:right="1239" w:bottom="1440" w:gutter="0" w:footer="0" w:header="0"/>
          <w:type w:val="continuous"/>
        </w:sectPr>
      </w:pPr>
    </w:p>
    <w:bookmarkStart w:id="35" w:name="page36"/>
    <w:bookmarkEnd w:id="35"/>
    <w:p>
      <w:pPr>
        <w:jc w:val="both"/>
        <w:ind w:left="1305" w:right="20"/>
        <w:spacing w:after="0" w:line="218" w:lineRule="auto"/>
        <w:rPr>
          <w:sz w:val="20"/>
          <w:szCs w:val="20"/>
          <w:color w:val="auto"/>
        </w:rPr>
      </w:pPr>
      <w:r>
        <w:rPr>
          <w:rFonts w:ascii="Arial" w:cs="Arial" w:eastAsia="Arial" w:hAnsi="Arial"/>
          <w:sz w:val="20"/>
          <w:szCs w:val="20"/>
          <w:color w:val="auto"/>
        </w:rPr>
        <w:t>satisfies the requirements under Section 162(m) of the Code for performance-based compensation and shall be evidenced by written certification of the Compensation Committee of Avnet’s Board of Directors.</w:t>
      </w:r>
    </w:p>
    <w:p>
      <w:pPr>
        <w:spacing w:after="0" w:line="157" w:lineRule="exact"/>
        <w:rPr>
          <w:sz w:val="20"/>
          <w:szCs w:val="20"/>
          <w:color w:val="auto"/>
        </w:rPr>
      </w:pPr>
    </w:p>
    <w:p>
      <w:pPr>
        <w:jc w:val="both"/>
        <w:ind w:left="645" w:right="20"/>
        <w:spacing w:after="0" w:line="229" w:lineRule="auto"/>
        <w:rPr>
          <w:sz w:val="20"/>
          <w:szCs w:val="20"/>
          <w:color w:val="auto"/>
        </w:rPr>
      </w:pPr>
      <w:r>
        <w:rPr>
          <w:rFonts w:ascii="Arial" w:cs="Arial" w:eastAsia="Arial" w:hAnsi="Arial"/>
          <w:sz w:val="20"/>
          <w:szCs w:val="20"/>
          <w:color w:val="auto"/>
        </w:rPr>
        <w:t>Except as expressly provided otherwise in Sections 4 and 5 herein below, any PSUs that do not vest in accordance with the foregoing shall be forfeited without consideration.</w:t>
      </w:r>
    </w:p>
    <w:p>
      <w:pPr>
        <w:spacing w:after="0" w:line="155" w:lineRule="exact"/>
        <w:rPr>
          <w:sz w:val="20"/>
          <w:szCs w:val="20"/>
          <w:color w:val="auto"/>
        </w:rPr>
      </w:pPr>
    </w:p>
    <w:p>
      <w:pPr>
        <w:jc w:val="both"/>
        <w:ind w:left="645" w:right="20"/>
        <w:spacing w:after="0" w:line="218" w:lineRule="auto"/>
        <w:rPr>
          <w:sz w:val="20"/>
          <w:szCs w:val="20"/>
          <w:color w:val="auto"/>
        </w:rPr>
      </w:pPr>
      <w:r>
        <w:rPr>
          <w:rFonts w:ascii="Arial" w:cs="Arial" w:eastAsia="Arial" w:hAnsi="Arial"/>
          <w:sz w:val="19"/>
          <w:szCs w:val="19"/>
          <w:u w:val="single" w:color="auto"/>
          <w:color w:val="auto"/>
        </w:rPr>
        <w:t>Payout</w:t>
      </w:r>
      <w:r>
        <w:rPr>
          <w:rFonts w:ascii="Arial" w:cs="Arial" w:eastAsia="Arial" w:hAnsi="Arial"/>
          <w:sz w:val="19"/>
          <w:szCs w:val="19"/>
          <w:color w:val="auto"/>
        </w:rPr>
        <w:t>. Following the vesting of all or a portion of the PSUs, one share of Avnet common stock (“Stock”) shall be issuable for each PSU that vests (the “PSU Shares”). Thereafter, Avnet shall transfer such PSU Shares to the Participant. Such transfer shall occur as soon as practicable after the end of the 3-year Performance Period and satisfaction of all required tax withholding obligations, securities law registration, and other requirements, and applicable stock exchange listing, and in any event no later than December 31st of the calendar year in which the 3-year Performance Period ends.</w:t>
      </w:r>
    </w:p>
    <w:p>
      <w:pPr>
        <w:spacing w:after="0" w:line="160" w:lineRule="exact"/>
        <w:rPr>
          <w:sz w:val="20"/>
          <w:szCs w:val="20"/>
          <w:color w:val="auto"/>
        </w:rPr>
      </w:pPr>
    </w:p>
    <w:p>
      <w:pPr>
        <w:ind w:left="645"/>
        <w:spacing w:after="0"/>
        <w:rPr>
          <w:sz w:val="20"/>
          <w:szCs w:val="20"/>
          <w:color w:val="auto"/>
        </w:rPr>
      </w:pPr>
      <w:r>
        <w:rPr>
          <w:rFonts w:ascii="Arial" w:cs="Arial" w:eastAsia="Arial" w:hAnsi="Arial"/>
          <w:sz w:val="20"/>
          <w:szCs w:val="20"/>
          <w:color w:val="auto"/>
        </w:rPr>
        <w:t>No fractional shares shall be issued with respect to vesting of PSUs.</w:t>
      </w:r>
    </w:p>
    <w:p>
      <w:pPr>
        <w:spacing w:after="0" w:line="175" w:lineRule="exact"/>
        <w:rPr>
          <w:sz w:val="20"/>
          <w:szCs w:val="20"/>
          <w:color w:val="auto"/>
        </w:rPr>
      </w:pPr>
    </w:p>
    <w:p>
      <w:pPr>
        <w:jc w:val="both"/>
        <w:ind w:left="645"/>
        <w:spacing w:after="0" w:line="213" w:lineRule="auto"/>
        <w:rPr>
          <w:sz w:val="20"/>
          <w:szCs w:val="20"/>
          <w:color w:val="auto"/>
        </w:rPr>
      </w:pPr>
      <w:r>
        <w:rPr>
          <w:rFonts w:ascii="Arial" w:cs="Arial" w:eastAsia="Arial" w:hAnsi="Arial"/>
          <w:sz w:val="20"/>
          <w:szCs w:val="20"/>
          <w:color w:val="auto"/>
        </w:rPr>
        <w:t>The Participant shall not acquire or have any rights as a shareholder of Avnet by virtue of these Standard Terms and Conditions (or the Award evidenced thereby) until the PSU Shares issuable pursuant to this Award are actually issued and delivered to the Participant in accordance with the terms of the Plan and these Standard Terms and Conditions.</w:t>
      </w:r>
    </w:p>
    <w:p>
      <w:pPr>
        <w:spacing w:after="0" w:line="150" w:lineRule="exact"/>
        <w:rPr>
          <w:sz w:val="20"/>
          <w:szCs w:val="20"/>
          <w:color w:val="auto"/>
        </w:rPr>
      </w:pPr>
    </w:p>
    <w:p>
      <w:pPr>
        <w:ind w:left="545" w:hanging="545"/>
        <w:spacing w:after="0"/>
        <w:tabs>
          <w:tab w:leader="none" w:pos="545"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EMPLOYMENT OR SERVICE</w:t>
      </w:r>
    </w:p>
    <w:p>
      <w:pPr>
        <w:spacing w:after="0" w:line="181" w:lineRule="exact"/>
        <w:rPr>
          <w:sz w:val="20"/>
          <w:szCs w:val="20"/>
          <w:color w:val="auto"/>
        </w:rPr>
      </w:pPr>
    </w:p>
    <w:p>
      <w:pPr>
        <w:jc w:val="both"/>
        <w:ind w:left="645" w:right="20"/>
        <w:spacing w:after="0" w:line="218" w:lineRule="auto"/>
        <w:rPr>
          <w:sz w:val="20"/>
          <w:szCs w:val="20"/>
          <w:color w:val="auto"/>
        </w:rPr>
      </w:pPr>
      <w:r>
        <w:rPr>
          <w:rFonts w:ascii="Arial" w:cs="Arial" w:eastAsia="Arial" w:hAnsi="Arial"/>
          <w:sz w:val="20"/>
          <w:szCs w:val="20"/>
          <w:color w:val="auto"/>
        </w:rPr>
        <w:t>Except as provided below with respect to death, disability, or Retirement, if the Participant ceases to be employed by or in the service of the Company for any reason before the end of the 3-year Performance Period, the Participant shall immediately forfeit all of the PSUs without consideration.</w:t>
      </w:r>
    </w:p>
    <w:p>
      <w:pPr>
        <w:spacing w:after="0" w:line="151" w:lineRule="exact"/>
        <w:rPr>
          <w:sz w:val="20"/>
          <w:szCs w:val="20"/>
          <w:color w:val="auto"/>
        </w:rPr>
      </w:pPr>
    </w:p>
    <w:p>
      <w:pPr>
        <w:ind w:left="585" w:hanging="585"/>
        <w:spacing w:after="0"/>
        <w:tabs>
          <w:tab w:leader="none" w:pos="585"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DEATH OR DISABILITY OF PARTICIPANT</w:t>
      </w:r>
    </w:p>
    <w:p>
      <w:pPr>
        <w:spacing w:after="0" w:line="181" w:lineRule="exact"/>
        <w:rPr>
          <w:sz w:val="20"/>
          <w:szCs w:val="20"/>
          <w:color w:val="auto"/>
        </w:rPr>
      </w:pPr>
    </w:p>
    <w:p>
      <w:pPr>
        <w:jc w:val="both"/>
        <w:ind w:left="645"/>
        <w:spacing w:after="0" w:line="249" w:lineRule="auto"/>
        <w:rPr>
          <w:sz w:val="20"/>
          <w:szCs w:val="20"/>
          <w:color w:val="auto"/>
        </w:rPr>
      </w:pPr>
      <w:r>
        <w:rPr>
          <w:rFonts w:ascii="Arial" w:cs="Arial" w:eastAsia="Arial" w:hAnsi="Arial"/>
          <w:sz w:val="16"/>
          <w:szCs w:val="16"/>
          <w:color w:val="auto"/>
        </w:rPr>
        <w:t>If the Participant’s employment with or service to the Company terminates or ceases by reason of the Participant’s death or disability (as determined by the Administrator in its sole discretion), the Participant shall vest in a pro-rata share of the PSUs equal to the number of PSUs that would have become vested had the Participant remained continuously employed by, or provided services to, the Company through the end of the 3-year Performance Period (based on Avnet’s performance through the end of the 3-year Performance Period), multiplied by a fraction, the numerator of which is the number of full calendar quarters in the Performance Period that have been completed as of the date of death or disability, and the denominator of which is</w:t>
      </w:r>
    </w:p>
    <w:p>
      <w:pPr>
        <w:spacing w:after="0" w:line="3" w:lineRule="exact"/>
        <w:rPr>
          <w:sz w:val="20"/>
          <w:szCs w:val="20"/>
          <w:color w:val="auto"/>
        </w:rPr>
      </w:pPr>
    </w:p>
    <w:p>
      <w:pPr>
        <w:jc w:val="both"/>
        <w:ind w:left="645" w:firstLine="3"/>
        <w:spacing w:after="0" w:line="229" w:lineRule="auto"/>
        <w:tabs>
          <w:tab w:leader="none" w:pos="1016" w:val="left"/>
        </w:tabs>
        <w:numPr>
          <w:ilvl w:val="1"/>
          <w:numId w:val="26"/>
        </w:numPr>
        <w:rPr>
          <w:rFonts w:ascii="Arial" w:cs="Arial" w:eastAsia="Arial" w:hAnsi="Arial"/>
          <w:sz w:val="18"/>
          <w:szCs w:val="18"/>
          <w:color w:val="auto"/>
        </w:rPr>
      </w:pPr>
      <w:r>
        <w:rPr>
          <w:rFonts w:ascii="Arial" w:cs="Arial" w:eastAsia="Arial" w:hAnsi="Arial"/>
          <w:sz w:val="18"/>
          <w:szCs w:val="18"/>
          <w:color w:val="auto"/>
        </w:rPr>
        <w:t>Unless the provisions of Section 5, below, apply, this Section 4 shall apply to a Participant who has not provided services to the Company for twelve consecutive months by reason of long-term disability leave. The number of PSU Shares payable (before application of the pro-ration rule set forth in this Section 4) and the timing of the transfer of such PSU Shares shall be determined in accordance with Section 2, above (without regard to the service requirement set forth therein). All non-vested PSUs shall be forfeited.</w:t>
      </w:r>
    </w:p>
    <w:p>
      <w:pPr>
        <w:spacing w:after="0" w:line="151" w:lineRule="exact"/>
        <w:rPr>
          <w:rFonts w:ascii="Arial" w:cs="Arial" w:eastAsia="Arial" w:hAnsi="Arial"/>
          <w:sz w:val="18"/>
          <w:szCs w:val="18"/>
          <w:color w:val="auto"/>
        </w:rPr>
      </w:pPr>
    </w:p>
    <w:p>
      <w:pPr>
        <w:ind w:left="1145" w:hanging="1145"/>
        <w:spacing w:after="0"/>
        <w:tabs>
          <w:tab w:leader="none" w:pos="1145"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RETIREMENT</w:t>
      </w:r>
    </w:p>
    <w:p>
      <w:pPr>
        <w:spacing w:after="0" w:line="181" w:lineRule="exact"/>
        <w:rPr>
          <w:sz w:val="20"/>
          <w:szCs w:val="20"/>
          <w:color w:val="auto"/>
        </w:rPr>
      </w:pPr>
    </w:p>
    <w:p>
      <w:pPr>
        <w:jc w:val="both"/>
        <w:ind w:left="645" w:right="20"/>
        <w:spacing w:after="0" w:line="228" w:lineRule="auto"/>
        <w:rPr>
          <w:sz w:val="20"/>
          <w:szCs w:val="20"/>
          <w:color w:val="auto"/>
        </w:rPr>
      </w:pPr>
      <w:r>
        <w:rPr>
          <w:rFonts w:ascii="Arial" w:cs="Arial" w:eastAsia="Arial" w:hAnsi="Arial"/>
          <w:sz w:val="18"/>
          <w:szCs w:val="18"/>
          <w:color w:val="auto"/>
        </w:rPr>
        <w:t>If the Participant’s employment or service with the Company terminates by reason of Retirement (as defined herein), the Participant shall vest in the PSUs equal to the number of PSUs that would have become vested had the Participant remained continuously employed by the Company through the end of the 3-year Performance Period (based on Avnet’s relative performance through the end of the 3-year Performance Period). For purposes hereof, a cessation of employment will be treated as a “Retirement” if (and only if) (a) the cessation of employment occurs after (I) the Participant has attained at least age 55 and been credited with at least five years of service with the Company and (II) the combination of the Participant’s age plus years of service is no less than 65; and (b) the Participant has signed a non-competition agreement in a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59601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41" w:right="1239" w:bottom="1440" w:gutter="0" w:footer="0" w:header="0"/>
        </w:sectPr>
      </w:pPr>
    </w:p>
    <w:bookmarkStart w:id="36" w:name="page37"/>
    <w:bookmarkEnd w:id="36"/>
    <w:p>
      <w:pPr>
        <w:jc w:val="both"/>
        <w:ind w:left="645" w:right="20"/>
        <w:spacing w:after="0" w:line="218" w:lineRule="auto"/>
        <w:rPr>
          <w:sz w:val="20"/>
          <w:szCs w:val="20"/>
          <w:color w:val="auto"/>
        </w:rPr>
      </w:pPr>
      <w:r>
        <w:rPr>
          <w:rFonts w:ascii="Arial" w:cs="Arial" w:eastAsia="Arial" w:hAnsi="Arial"/>
          <w:sz w:val="20"/>
          <w:szCs w:val="20"/>
          <w:color w:val="auto"/>
        </w:rPr>
        <w:t>acceptable to the Company. The number of PSU Shares payable and the timing of the transfer of such PSU Shares shall be determined in accordance with Section 2, above (without regard to the service requirement set forth therein). All non-vested PSUs shall be forfeited.</w:t>
      </w:r>
    </w:p>
    <w:p>
      <w:pPr>
        <w:spacing w:after="0" w:line="124" w:lineRule="exact"/>
        <w:rPr>
          <w:sz w:val="20"/>
          <w:szCs w:val="20"/>
          <w:color w:val="auto"/>
        </w:rPr>
      </w:pPr>
    </w:p>
    <w:p>
      <w:pPr>
        <w:ind w:left="5"/>
        <w:spacing w:after="0"/>
        <w:tabs>
          <w:tab w:leader="none" w:pos="1945"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20"/>
          <w:szCs w:val="20"/>
          <w:b w:val="1"/>
          <w:bCs w:val="1"/>
          <w:color w:val="auto"/>
        </w:rPr>
        <w:t>TAXES</w:t>
      </w:r>
    </w:p>
    <w:p>
      <w:pPr>
        <w:spacing w:after="0" w:line="181" w:lineRule="exact"/>
        <w:rPr>
          <w:sz w:val="20"/>
          <w:szCs w:val="20"/>
          <w:color w:val="auto"/>
        </w:rPr>
      </w:pPr>
    </w:p>
    <w:p>
      <w:pPr>
        <w:jc w:val="both"/>
        <w:ind w:left="645"/>
        <w:spacing w:after="0" w:line="206" w:lineRule="auto"/>
        <w:rPr>
          <w:sz w:val="20"/>
          <w:szCs w:val="20"/>
          <w:color w:val="auto"/>
        </w:rPr>
      </w:pPr>
      <w:r>
        <w:rPr>
          <w:rFonts w:ascii="Arial" w:cs="Arial" w:eastAsia="Arial" w:hAnsi="Arial"/>
          <w:sz w:val="20"/>
          <w:szCs w:val="20"/>
          <w:color w:val="auto"/>
        </w:rPr>
        <w:t>The Participant acknowledges that the delivery of PSU Shares will generally give rise to a withholding tax obligation, and that the issuance of shares of Stock hereunder is conditioned on timely satisfying such withholding obligation. The Participant shall make arrangements satisfactory to the Company for satisfying such withholding obligations. For Participants residing in the United States, Canada, Austria, Ireland, Germany, and the United Kingdom, Avnet will issue “net shares,” meaning that shares will be withheld to cover the estimated withholding tax liability. Participants residing in other countries are subject to the laws of the appropriate tax jurisdiction.</w:t>
      </w:r>
    </w:p>
    <w:p>
      <w:pPr>
        <w:spacing w:after="0" w:line="158" w:lineRule="exact"/>
        <w:rPr>
          <w:sz w:val="20"/>
          <w:szCs w:val="20"/>
          <w:color w:val="auto"/>
        </w:rPr>
      </w:pPr>
    </w:p>
    <w:p>
      <w:pPr>
        <w:jc w:val="both"/>
        <w:ind w:left="645"/>
        <w:spacing w:after="0" w:line="221" w:lineRule="auto"/>
        <w:rPr>
          <w:sz w:val="20"/>
          <w:szCs w:val="20"/>
          <w:color w:val="auto"/>
        </w:rPr>
      </w:pPr>
      <w:r>
        <w:rPr>
          <w:rFonts w:ascii="Arial" w:cs="Arial" w:eastAsia="Arial" w:hAnsi="Arial"/>
          <w:sz w:val="19"/>
          <w:szCs w:val="19"/>
          <w:color w:val="auto"/>
        </w:rPr>
        <w:t>These Standard Terms and Conditions shall be interpreted consistent with the intent to comply with, or be exempt from, the requirements of Section 409A of the Internal Revenue Code of 1986, as amended, such that there are no adverse tax consequences, interest, or penalties as a result of any amount paid or payable as a result of the award of the PSUs. Any ambiguity or inconsistency in the provisions of these Standard Terms and Conditions shall be resolved consistent with such intent.</w:t>
      </w:r>
    </w:p>
    <w:p>
      <w:pPr>
        <w:spacing w:after="0" w:line="156" w:lineRule="exact"/>
        <w:rPr>
          <w:sz w:val="20"/>
          <w:szCs w:val="20"/>
          <w:color w:val="auto"/>
        </w:rPr>
      </w:pPr>
    </w:p>
    <w:p>
      <w:pPr>
        <w:jc w:val="both"/>
        <w:ind w:left="645"/>
        <w:spacing w:after="0" w:line="218" w:lineRule="auto"/>
        <w:rPr>
          <w:sz w:val="20"/>
          <w:szCs w:val="20"/>
          <w:color w:val="auto"/>
        </w:rPr>
      </w:pPr>
      <w:r>
        <w:rPr>
          <w:rFonts w:ascii="Arial" w:cs="Arial" w:eastAsia="Arial" w:hAnsi="Arial"/>
          <w:sz w:val="20"/>
          <w:szCs w:val="20"/>
          <w:color w:val="auto"/>
        </w:rPr>
        <w:t>No provision of the Plan, the Term Sheet, or these Standard Terms and Conditions shall be construed to transfer to the Company or any of its affiliates any responsibility of the Participant to pay any income, employment, excise, or other taxes attributable to a PSU.</w:t>
      </w:r>
    </w:p>
    <w:p>
      <w:pPr>
        <w:spacing w:after="0" w:line="151" w:lineRule="exact"/>
        <w:rPr>
          <w:sz w:val="20"/>
          <w:szCs w:val="20"/>
          <w:color w:val="auto"/>
        </w:rPr>
      </w:pPr>
    </w:p>
    <w:p>
      <w:pPr>
        <w:ind w:left="505" w:hanging="505"/>
        <w:spacing w:after="0"/>
        <w:tabs>
          <w:tab w:leader="none" w:pos="505"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THE PLAN; DEFINED TERMS; ENTIRE AGREEMENT</w:t>
      </w:r>
    </w:p>
    <w:p>
      <w:pPr>
        <w:spacing w:after="0" w:line="181" w:lineRule="exact"/>
        <w:rPr>
          <w:sz w:val="20"/>
          <w:szCs w:val="20"/>
          <w:color w:val="auto"/>
        </w:rPr>
      </w:pPr>
    </w:p>
    <w:p>
      <w:pPr>
        <w:jc w:val="both"/>
        <w:ind w:left="645"/>
        <w:spacing w:after="0" w:line="224" w:lineRule="auto"/>
        <w:rPr>
          <w:sz w:val="20"/>
          <w:szCs w:val="20"/>
          <w:color w:val="auto"/>
        </w:rPr>
      </w:pPr>
      <w:r>
        <w:rPr>
          <w:rFonts w:ascii="Arial" w:cs="Arial" w:eastAsia="Arial" w:hAnsi="Arial"/>
          <w:sz w:val="19"/>
          <w:szCs w:val="19"/>
          <w:color w:val="auto"/>
        </w:rPr>
        <w:t>In addition to these Standard Terms and Conditions, the Performance Stock Units shall be subject to the terms of the Plan, which are incorporated into these Standard Terms and Conditions by this reference. Capitalized terms not otherwise defined herein shall have the meaning set forth in the Plan, and the rules of construction set forth in the Plan shall also apply to these Standard Terms and Conditions.</w:t>
      </w:r>
    </w:p>
    <w:p>
      <w:pPr>
        <w:spacing w:after="0" w:line="157" w:lineRule="exact"/>
        <w:rPr>
          <w:sz w:val="20"/>
          <w:szCs w:val="20"/>
          <w:color w:val="auto"/>
        </w:rPr>
      </w:pPr>
    </w:p>
    <w:p>
      <w:pPr>
        <w:jc w:val="both"/>
        <w:ind w:left="645"/>
        <w:spacing w:after="0" w:line="218" w:lineRule="auto"/>
        <w:rPr>
          <w:sz w:val="20"/>
          <w:szCs w:val="20"/>
          <w:color w:val="auto"/>
        </w:rPr>
      </w:pPr>
      <w:r>
        <w:rPr>
          <w:rFonts w:ascii="Arial" w:cs="Arial" w:eastAsia="Arial" w:hAnsi="Arial"/>
          <w:sz w:val="20"/>
          <w:szCs w:val="20"/>
          <w:color w:val="auto"/>
        </w:rPr>
        <w:t>The Term Sheet, these Standard Terms and Conditions, and the Plan constitute the entire understanding between the Participant and the Company regarding the PSUs. Any prior agreements, commitments, or negotiations concerning the PSUs are superseded.</w:t>
      </w:r>
    </w:p>
    <w:p>
      <w:pPr>
        <w:spacing w:after="0" w:line="151" w:lineRule="exact"/>
        <w:rPr>
          <w:sz w:val="20"/>
          <w:szCs w:val="20"/>
          <w:color w:val="auto"/>
        </w:rPr>
      </w:pPr>
    </w:p>
    <w:p>
      <w:pPr>
        <w:ind w:left="725" w:hanging="725"/>
        <w:spacing w:after="0"/>
        <w:tabs>
          <w:tab w:leader="none" w:pos="725"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ON RESALES</w:t>
      </w:r>
    </w:p>
    <w:p>
      <w:pPr>
        <w:spacing w:after="0" w:line="181" w:lineRule="exact"/>
        <w:rPr>
          <w:sz w:val="20"/>
          <w:szCs w:val="20"/>
          <w:color w:val="auto"/>
        </w:rPr>
      </w:pPr>
    </w:p>
    <w:p>
      <w:pPr>
        <w:jc w:val="both"/>
        <w:ind w:left="645"/>
        <w:spacing w:after="0" w:line="217" w:lineRule="auto"/>
        <w:rPr>
          <w:sz w:val="20"/>
          <w:szCs w:val="20"/>
          <w:color w:val="auto"/>
        </w:rPr>
      </w:pPr>
      <w:r>
        <w:rPr>
          <w:rFonts w:ascii="Arial" w:cs="Arial" w:eastAsia="Arial" w:hAnsi="Arial"/>
          <w:sz w:val="19"/>
          <w:szCs w:val="19"/>
          <w:color w:val="auto"/>
        </w:rPr>
        <w:t>The Company may impose such restrictions, conditions, and limitations as it determines appropriate as to the timing and manner of any resales by the Participant or other subsequent transfers by the Participant of any shares of Stock issued pursuant to the PSUs, including (a) restrictions under an insider trading policy, (b) restrictions designed to delay and/or coordinate the timing and manner of sales by the Participant and other holders of awards granted under the Plan, (c) requiring that you acknowledge and accept these Standard Terms and Conditions and the Term Sheet, and (d) restrictions as to the use of a specified brokerage firm for such resales or other transfers.</w:t>
      </w:r>
    </w:p>
    <w:p>
      <w:pPr>
        <w:spacing w:after="0" w:line="151" w:lineRule="exact"/>
        <w:rPr>
          <w:sz w:val="20"/>
          <w:szCs w:val="20"/>
          <w:color w:val="auto"/>
        </w:rPr>
      </w:pPr>
    </w:p>
    <w:p>
      <w:pPr>
        <w:ind w:left="985" w:hanging="985"/>
        <w:spacing w:after="0"/>
        <w:tabs>
          <w:tab w:leader="none" w:pos="985"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NO ASSIGNMENT</w:t>
      </w:r>
    </w:p>
    <w:p>
      <w:pPr>
        <w:spacing w:after="0" w:line="181" w:lineRule="exact"/>
        <w:rPr>
          <w:sz w:val="20"/>
          <w:szCs w:val="20"/>
          <w:color w:val="auto"/>
        </w:rPr>
      </w:pPr>
    </w:p>
    <w:p>
      <w:pPr>
        <w:jc w:val="both"/>
        <w:ind w:left="645"/>
        <w:spacing w:after="0" w:line="213" w:lineRule="auto"/>
        <w:rPr>
          <w:sz w:val="20"/>
          <w:szCs w:val="20"/>
          <w:color w:val="auto"/>
        </w:rPr>
      </w:pPr>
      <w:r>
        <w:rPr>
          <w:rFonts w:ascii="Arial" w:cs="Arial" w:eastAsia="Arial" w:hAnsi="Arial"/>
          <w:sz w:val="20"/>
          <w:szCs w:val="20"/>
          <w:color w:val="auto"/>
        </w:rPr>
        <w:t>Performance Stock Units granted under the Plan may not be sold, transferred, pledged, assigned, exchanged, encumbered, or otherwise alienated or hypothecated until after the PSUs have vested and the corresponding shares of Stock have been issued, except to the limited extent permitted by the Plan and approved by the Administrator in its sole discretion.</w:t>
      </w:r>
    </w:p>
    <w:p>
      <w:pPr>
        <w:spacing w:after="0" w:line="150" w:lineRule="exact"/>
        <w:rPr>
          <w:sz w:val="20"/>
          <w:szCs w:val="20"/>
          <w:color w:val="auto"/>
        </w:rPr>
      </w:pPr>
    </w:p>
    <w:p>
      <w:pPr>
        <w:ind w:left="5"/>
        <w:spacing w:after="0"/>
        <w:tabs>
          <w:tab w:leader="none" w:pos="2105"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596011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41" w:right="1239" w:bottom="1440" w:gutter="0" w:footer="0" w:header="0"/>
        </w:sectPr>
      </w:pPr>
    </w:p>
    <w:bookmarkStart w:id="37" w:name="page38"/>
    <w:bookmarkEnd w:id="37"/>
    <w:p>
      <w:pPr>
        <w:jc w:val="both"/>
        <w:ind w:left="460"/>
        <w:spacing w:after="0" w:line="210" w:lineRule="auto"/>
        <w:rPr>
          <w:sz w:val="20"/>
          <w:szCs w:val="20"/>
          <w:color w:val="auto"/>
        </w:rPr>
      </w:pPr>
      <w:r>
        <w:rPr>
          <w:rFonts w:ascii="Arial" w:cs="Arial" w:eastAsia="Arial" w:hAnsi="Arial"/>
          <w:sz w:val="20"/>
          <w:szCs w:val="20"/>
          <w:color w:val="auto"/>
        </w:rPr>
        <w:t>If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55" w:lineRule="exact"/>
        <w:rPr>
          <w:sz w:val="20"/>
          <w:szCs w:val="20"/>
          <w:color w:val="auto"/>
        </w:rPr>
      </w:pPr>
    </w:p>
    <w:p>
      <w:pPr>
        <w:jc w:val="both"/>
        <w:ind w:left="460"/>
        <w:spacing w:after="0" w:line="218" w:lineRule="auto"/>
        <w:rPr>
          <w:sz w:val="20"/>
          <w:szCs w:val="20"/>
          <w:color w:val="auto"/>
        </w:rPr>
      </w:pPr>
      <w:r>
        <w:rPr>
          <w:rFonts w:ascii="Arial" w:cs="Arial" w:eastAsia="Arial" w:hAnsi="Arial"/>
          <w:sz w:val="20"/>
          <w:szCs w:val="20"/>
          <w:color w:val="auto"/>
        </w:rPr>
        <w:t>The headings preceding the text of the sections hereof are inserted solely for convenience of reference, and shall not constitute a part of these Standard Terms and Conditions, nor shall they affect its meaning, construction, or effect.</w:t>
      </w:r>
    </w:p>
    <w:p>
      <w:pPr>
        <w:spacing w:after="0" w:line="157" w:lineRule="exact"/>
        <w:rPr>
          <w:sz w:val="20"/>
          <w:szCs w:val="20"/>
          <w:color w:val="auto"/>
        </w:rPr>
      </w:pPr>
    </w:p>
    <w:p>
      <w:pPr>
        <w:jc w:val="both"/>
        <w:ind w:left="460"/>
        <w:spacing w:after="0" w:line="229" w:lineRule="auto"/>
        <w:rPr>
          <w:sz w:val="20"/>
          <w:szCs w:val="20"/>
          <w:color w:val="auto"/>
        </w:rPr>
      </w:pPr>
      <w:r>
        <w:rPr>
          <w:rFonts w:ascii="Arial" w:cs="Arial" w:eastAsia="Arial" w:hAnsi="Arial"/>
          <w:sz w:val="20"/>
          <w:szCs w:val="20"/>
          <w:color w:val="auto"/>
        </w:rPr>
        <w:t>These Standard Terms and Conditions shall inure to the benefit of and be binding upon the parties hereto and their respective permitted heirs, beneficiaries, successors, and assigns.</w:t>
      </w:r>
    </w:p>
    <w:p>
      <w:pPr>
        <w:spacing w:after="0" w:line="155" w:lineRule="exact"/>
        <w:rPr>
          <w:sz w:val="20"/>
          <w:szCs w:val="20"/>
          <w:color w:val="auto"/>
        </w:rPr>
      </w:pPr>
    </w:p>
    <w:p>
      <w:pPr>
        <w:jc w:val="both"/>
        <w:ind w:left="460" w:right="20"/>
        <w:spacing w:after="0" w:line="229" w:lineRule="auto"/>
        <w:rPr>
          <w:sz w:val="20"/>
          <w:szCs w:val="20"/>
          <w:color w:val="auto"/>
        </w:rPr>
      </w:pPr>
      <w:r>
        <w:rPr>
          <w:rFonts w:ascii="Arial" w:cs="Arial" w:eastAsia="Arial" w:hAnsi="Arial"/>
          <w:sz w:val="20"/>
          <w:szCs w:val="20"/>
          <w:color w:val="auto"/>
        </w:rPr>
        <w:t>The Participant acknowledges that a copy of the Plan, the Plan prospectus, and Avnet’s most recent annual report to its shareholders has been delivered to the Participant.</w:t>
      </w:r>
    </w:p>
    <w:p>
      <w:pPr>
        <w:spacing w:after="0" w:line="155" w:lineRule="exact"/>
        <w:rPr>
          <w:sz w:val="20"/>
          <w:szCs w:val="20"/>
          <w:color w:val="auto"/>
        </w:rPr>
      </w:pPr>
    </w:p>
    <w:p>
      <w:pPr>
        <w:jc w:val="both"/>
        <w:ind w:left="460"/>
        <w:spacing w:after="0" w:line="218" w:lineRule="auto"/>
        <w:rPr>
          <w:sz w:val="20"/>
          <w:szCs w:val="20"/>
          <w:color w:val="auto"/>
        </w:rPr>
      </w:pPr>
      <w:r>
        <w:rPr>
          <w:rFonts w:ascii="Arial" w:cs="Arial" w:eastAsia="Arial" w:hAnsi="Arial"/>
          <w:sz w:val="19"/>
          <w:szCs w:val="19"/>
          <w:color w:val="auto"/>
        </w:rPr>
        <w:t>Nothing in the Plan, the Term Sheet, these Standard Terms and Conditions, or any other instrument executed pursuant to the Plan shall confer upon the Participant any right to continue in the Company’s employ or service or limit in any way the Company’s right to terminate the Participant’s employment or service at any time and for any reason. As this grant was made in the absolute discretion of management and the Administrator, receipt of this Award does not confer upon the Participant any right to future awards or participation in any equity compensation program.</w:t>
      </w:r>
    </w:p>
    <w:p>
      <w:pPr>
        <w:spacing w:after="0" w:line="160" w:lineRule="exact"/>
        <w:rPr>
          <w:sz w:val="20"/>
          <w:szCs w:val="20"/>
          <w:color w:val="auto"/>
        </w:rPr>
      </w:pPr>
    </w:p>
    <w:p>
      <w:pPr>
        <w:jc w:val="both"/>
        <w:ind w:left="460"/>
        <w:spacing w:after="0" w:line="213" w:lineRule="auto"/>
        <w:rPr>
          <w:sz w:val="20"/>
          <w:szCs w:val="20"/>
          <w:color w:val="auto"/>
        </w:rPr>
      </w:pPr>
      <w:r>
        <w:rPr>
          <w:rFonts w:ascii="Arial" w:cs="Arial" w:eastAsia="Arial" w:hAnsi="Arial"/>
          <w:sz w:val="20"/>
          <w:szCs w:val="20"/>
          <w:color w:val="auto"/>
        </w:rPr>
        <w:t>Neither this Award nor any shares of Stock issuable hereunder shall be included in compensation for purposes of determining the amount payable to or on behalf of the Participant under any pension, savings, retirement, life insurance, severance, or other employee or director benefits arrangement of the Company, unless otherwise determined by the plan sponsor.</w:t>
      </w:r>
    </w:p>
    <w:p>
      <w:pPr>
        <w:spacing w:after="0" w:line="156" w:lineRule="exact"/>
        <w:rPr>
          <w:sz w:val="20"/>
          <w:szCs w:val="20"/>
          <w:color w:val="auto"/>
        </w:rPr>
      </w:pPr>
    </w:p>
    <w:p>
      <w:pPr>
        <w:jc w:val="both"/>
        <w:ind w:left="460"/>
        <w:spacing w:after="0" w:line="218" w:lineRule="auto"/>
        <w:rPr>
          <w:sz w:val="20"/>
          <w:szCs w:val="20"/>
          <w:color w:val="auto"/>
        </w:rPr>
      </w:pPr>
      <w:r>
        <w:rPr>
          <w:rFonts w:ascii="Arial" w:cs="Arial" w:eastAsia="Arial" w:hAnsi="Arial"/>
          <w:sz w:val="20"/>
          <w:szCs w:val="20"/>
          <w:color w:val="auto"/>
        </w:rPr>
        <w:t>The Plan, the Term Sheet, and these Standard Terms and Conditions shall be governed, construed, interpreted, and administered solely in accordance with the laws of the state of New York, without regard to principles of conflicts of law.</w:t>
      </w:r>
    </w:p>
    <w:p>
      <w:pPr>
        <w:spacing w:after="0" w:line="157" w:lineRule="exact"/>
        <w:rPr>
          <w:sz w:val="20"/>
          <w:szCs w:val="20"/>
          <w:color w:val="auto"/>
        </w:rPr>
      </w:pPr>
    </w:p>
    <w:p>
      <w:pPr>
        <w:jc w:val="both"/>
        <w:ind w:left="460"/>
        <w:spacing w:after="0" w:line="210" w:lineRule="auto"/>
        <w:rPr>
          <w:sz w:val="20"/>
          <w:szCs w:val="20"/>
          <w:color w:val="auto"/>
        </w:rPr>
      </w:pPr>
      <w:r>
        <w:rPr>
          <w:rFonts w:ascii="Arial" w:cs="Arial" w:eastAsia="Arial" w:hAnsi="Arial"/>
          <w:sz w:val="20"/>
          <w:szCs w:val="20"/>
          <w:color w:val="auto"/>
        </w:rPr>
        <w:t>All questions arising under the Plan, the Term Sheet, and these Standard Terms and Conditions shall be decided by the Administrator in its total and absolute discretion. It is expressly understood that the Administrator is authorized to administer, construe, and make all determinations necessary or appropriate to the administration of the Plan, the Term Sheet, and these Standard Terms and Conditions; all such determinations shall be binding upon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118110</wp:posOffset>
            </wp:positionV>
            <wp:extent cx="59601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220"/>
          </w:cols>
          <w:pgMar w:left="1440" w:top="541" w:right="12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color w:val="auto"/>
        </w:rPr>
        <w:t>EXHIBIT A</w:t>
      </w:r>
    </w:p>
    <w:p>
      <w:pPr>
        <w:spacing w:after="0" w:line="36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S&amp;P SuperComposite Technology Distributors Index Sub-Industry (excluding Avnet) currently consists of:</w:t>
      </w:r>
    </w:p>
    <w:p>
      <w:pPr>
        <w:spacing w:after="0" w:line="140" w:lineRule="exact"/>
        <w:rPr>
          <w:sz w:val="20"/>
          <w:szCs w:val="20"/>
          <w:color w:val="auto"/>
        </w:rPr>
      </w:pPr>
    </w:p>
    <w:p>
      <w:pPr>
        <w:ind w:left="700" w:hanging="381"/>
        <w:spacing w:after="0"/>
        <w:tabs>
          <w:tab w:leader="none" w:pos="7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Agilysys, Inc.</w:t>
      </w:r>
    </w:p>
    <w:p>
      <w:pPr>
        <w:ind w:left="520" w:hanging="201"/>
        <w:spacing w:after="0" w:line="205" w:lineRule="auto"/>
        <w:tabs>
          <w:tab w:leader="none" w:pos="5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Anixter International Inc.</w:t>
      </w:r>
    </w:p>
    <w:p>
      <w:pPr>
        <w:ind w:left="540" w:hanging="221"/>
        <w:spacing w:after="0" w:line="205" w:lineRule="auto"/>
        <w:tabs>
          <w:tab w:leader="none" w:pos="5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Arrow Electronics, Inc.</w:t>
      </w:r>
    </w:p>
    <w:p>
      <w:pPr>
        <w:ind w:left="620" w:hanging="301"/>
        <w:spacing w:after="0" w:line="205" w:lineRule="auto"/>
        <w:tabs>
          <w:tab w:leader="none" w:pos="6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Ingram Micro Inc.</w:t>
      </w:r>
    </w:p>
    <w:p>
      <w:pPr>
        <w:ind w:left="540" w:hanging="221"/>
        <w:spacing w:after="0" w:line="205" w:lineRule="auto"/>
        <w:tabs>
          <w:tab w:leader="none" w:pos="5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Insight Enterprises, Inc.</w:t>
      </w:r>
    </w:p>
    <w:p>
      <w:pPr>
        <w:ind w:left="620" w:hanging="301"/>
        <w:spacing w:after="0" w:line="205" w:lineRule="auto"/>
        <w:tabs>
          <w:tab w:leader="none" w:pos="6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ScanSource, Inc.</w:t>
      </w:r>
    </w:p>
    <w:p>
      <w:pPr>
        <w:ind w:left="540" w:hanging="221"/>
        <w:spacing w:after="0" w:line="205" w:lineRule="auto"/>
        <w:tabs>
          <w:tab w:leader="none" w:pos="5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SYNNEX Corporation</w:t>
      </w:r>
    </w:p>
    <w:p>
      <w:pPr>
        <w:ind w:left="540" w:hanging="221"/>
        <w:spacing w:after="0"/>
        <w:tabs>
          <w:tab w:leader="none" w:pos="5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Tech Data Corporation</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Note that the companies that make up this index may be revised prior to vesting of the PSUs depending upon, among other items, mergers, acquisitions, and failure to publicly provide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596011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550" w:right="125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10.1(c)</w:t>
      </w:r>
    </w:p>
    <w:p>
      <w:pPr>
        <w:spacing w:after="0" w:line="166" w:lineRule="exact"/>
        <w:rPr>
          <w:sz w:val="20"/>
          <w:szCs w:val="20"/>
          <w:color w:val="auto"/>
        </w:rPr>
      </w:pPr>
    </w:p>
    <w:p>
      <w:pPr>
        <w:jc w:val="center"/>
        <w:ind w:right="-4"/>
        <w:spacing w:after="0"/>
        <w:rPr>
          <w:sz w:val="20"/>
          <w:szCs w:val="20"/>
          <w:color w:val="auto"/>
        </w:rPr>
      </w:pPr>
      <w:r>
        <w:rPr>
          <w:rFonts w:ascii="Arial" w:cs="Arial" w:eastAsia="Arial" w:hAnsi="Arial"/>
          <w:sz w:val="22"/>
          <w:szCs w:val="22"/>
          <w:b w:val="1"/>
          <w:bCs w:val="1"/>
          <w:color w:val="auto"/>
        </w:rPr>
        <w:t>AVNET, INC.</w:t>
      </w:r>
    </w:p>
    <w:p>
      <w:pPr>
        <w:jc w:val="center"/>
        <w:ind w:right="-4"/>
        <w:spacing w:after="0" w:line="205" w:lineRule="auto"/>
        <w:rPr>
          <w:sz w:val="20"/>
          <w:szCs w:val="20"/>
          <w:color w:val="auto"/>
        </w:rPr>
      </w:pPr>
      <w:r>
        <w:rPr>
          <w:rFonts w:ascii="Arial" w:cs="Arial" w:eastAsia="Arial" w:hAnsi="Arial"/>
          <w:sz w:val="22"/>
          <w:szCs w:val="22"/>
          <w:b w:val="1"/>
          <w:bCs w:val="1"/>
          <w:color w:val="auto"/>
        </w:rPr>
        <w:t>STANDARD TERMS AND CONDITIONS</w:t>
      </w:r>
    </w:p>
    <w:p>
      <w:pPr>
        <w:jc w:val="center"/>
        <w:ind w:right="-4"/>
        <w:spacing w:after="0"/>
        <w:rPr>
          <w:sz w:val="20"/>
          <w:szCs w:val="20"/>
          <w:color w:val="auto"/>
        </w:rPr>
      </w:pPr>
      <w:r>
        <w:rPr>
          <w:rFonts w:ascii="Arial" w:cs="Arial" w:eastAsia="Arial" w:hAnsi="Arial"/>
          <w:sz w:val="22"/>
          <w:szCs w:val="22"/>
          <w:b w:val="1"/>
          <w:bCs w:val="1"/>
          <w:color w:val="auto"/>
        </w:rPr>
        <w:t>FOR RESTRICTED STOCK UNITS</w:t>
      </w:r>
    </w:p>
    <w:p>
      <w:pPr>
        <w:spacing w:after="0" w:line="161" w:lineRule="exact"/>
        <w:rPr>
          <w:sz w:val="20"/>
          <w:szCs w:val="20"/>
          <w:color w:val="auto"/>
        </w:rPr>
      </w:pPr>
    </w:p>
    <w:p>
      <w:pPr>
        <w:jc w:val="both"/>
        <w:ind w:left="5" w:right="20"/>
        <w:spacing w:after="0" w:line="234" w:lineRule="auto"/>
        <w:rPr>
          <w:sz w:val="20"/>
          <w:szCs w:val="20"/>
          <w:color w:val="auto"/>
        </w:rPr>
      </w:pPr>
      <w:r>
        <w:rPr>
          <w:rFonts w:ascii="Arial" w:cs="Arial" w:eastAsia="Arial" w:hAnsi="Arial"/>
          <w:sz w:val="21"/>
          <w:szCs w:val="21"/>
          <w:color w:val="auto"/>
        </w:rPr>
        <w:t>These Standard Terms and Conditions for Restricted Stock Units (the “Standard Terms and Conditions”) apply to any restricted stock units granted under the Avnet, Inc. 2013 Stock Compensation and Incentive Plan (the “Plan”) that are identified as incentive or restricted stock units.</w:t>
      </w:r>
    </w:p>
    <w:p>
      <w:pPr>
        <w:spacing w:after="0" w:line="152" w:lineRule="exact"/>
        <w:rPr>
          <w:sz w:val="20"/>
          <w:szCs w:val="20"/>
          <w:color w:val="auto"/>
        </w:rPr>
      </w:pPr>
    </w:p>
    <w:p>
      <w:pPr>
        <w:ind w:left="745" w:hanging="745"/>
        <w:spacing w:after="0"/>
        <w:tabs>
          <w:tab w:leader="none" w:pos="745"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TERMS OF STOCK UNITS</w:t>
      </w:r>
    </w:p>
    <w:p>
      <w:pPr>
        <w:spacing w:after="0" w:line="185" w:lineRule="exact"/>
        <w:rPr>
          <w:sz w:val="20"/>
          <w:szCs w:val="20"/>
          <w:color w:val="auto"/>
        </w:rPr>
      </w:pPr>
    </w:p>
    <w:p>
      <w:pPr>
        <w:jc w:val="both"/>
        <w:ind w:left="645"/>
        <w:spacing w:after="0" w:line="226" w:lineRule="auto"/>
        <w:rPr>
          <w:sz w:val="20"/>
          <w:szCs w:val="20"/>
          <w:color w:val="auto"/>
        </w:rPr>
      </w:pPr>
      <w:r>
        <w:rPr>
          <w:rFonts w:ascii="Arial" w:cs="Arial" w:eastAsia="Arial" w:hAnsi="Arial"/>
          <w:sz w:val="21"/>
          <w:szCs w:val="21"/>
          <w:color w:val="auto"/>
        </w:rPr>
        <w:t>Avnet, Inc. (“Avnet”) has granted to the Participant named in the attached award letter restricted stock units (the “Incentive Stock Units”) covering the number of shares of its common stock (the “Stock”) set forth in the award letter, subject to the conditions set forth in these Standard Terms and Conditions, and the Plan. For purposes of these Standard Terms and Conditions and the award letter, the “Company” refers to Avnet and its subsidiaries.</w:t>
      </w:r>
    </w:p>
    <w:p>
      <w:pPr>
        <w:spacing w:after="0" w:line="154" w:lineRule="exact"/>
        <w:rPr>
          <w:sz w:val="20"/>
          <w:szCs w:val="20"/>
          <w:color w:val="auto"/>
        </w:rPr>
      </w:pPr>
    </w:p>
    <w:p>
      <w:pPr>
        <w:ind w:left="645" w:hanging="645"/>
        <w:spacing w:after="0"/>
        <w:tabs>
          <w:tab w:leader="none" w:pos="645"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PERFORMANCE</w:t>
      </w:r>
    </w:p>
    <w:p>
      <w:pPr>
        <w:spacing w:after="0" w:line="185" w:lineRule="exact"/>
        <w:rPr>
          <w:rFonts w:ascii="Arial" w:cs="Arial" w:eastAsia="Arial" w:hAnsi="Arial"/>
          <w:sz w:val="22"/>
          <w:szCs w:val="22"/>
          <w:b w:val="1"/>
          <w:bCs w:val="1"/>
          <w:color w:val="auto"/>
        </w:rPr>
      </w:pPr>
    </w:p>
    <w:p>
      <w:pPr>
        <w:jc w:val="both"/>
        <w:ind w:left="645"/>
        <w:spacing w:after="0" w:line="212" w:lineRule="auto"/>
        <w:rPr>
          <w:rFonts w:ascii="Arial" w:cs="Arial" w:eastAsia="Arial" w:hAnsi="Arial"/>
          <w:sz w:val="22"/>
          <w:szCs w:val="22"/>
          <w:b w:val="1"/>
          <w:bCs w:val="1"/>
          <w:color w:val="auto"/>
        </w:rPr>
      </w:pPr>
      <w:r>
        <w:rPr>
          <w:rFonts w:ascii="Arial" w:cs="Arial" w:eastAsia="Arial" w:hAnsi="Arial"/>
          <w:sz w:val="22"/>
          <w:szCs w:val="22"/>
          <w:color w:val="auto"/>
        </w:rPr>
        <w:t>Subject to the provisions of these Standard Terms and Conditions, 25% of the Incentive Stock Units will vest on the first business day of January in each of 2016 through 2019. Upon the vesting, one share of Stock shall be issuable for each Incentive Stock Unit that vests. Thereafter, Avnet shall transfer such Stock to the Participant. Such transfer shall occur during the Participant’s tax year in which vesting occurs, as soon as practicable after the satisfaction of all required tax withholding obligations, securities law registration and other requirements, and applicable stock exchange listing.</w:t>
      </w:r>
    </w:p>
    <w:p>
      <w:pPr>
        <w:spacing w:after="0" w:line="164" w:lineRule="exact"/>
        <w:rPr>
          <w:rFonts w:ascii="Arial" w:cs="Arial" w:eastAsia="Arial" w:hAnsi="Arial"/>
          <w:sz w:val="22"/>
          <w:szCs w:val="22"/>
          <w:b w:val="1"/>
          <w:bCs w:val="1"/>
          <w:color w:val="auto"/>
        </w:rPr>
      </w:pPr>
    </w:p>
    <w:p>
      <w:pPr>
        <w:jc w:val="both"/>
        <w:ind w:left="645"/>
        <w:spacing w:after="0" w:line="229" w:lineRule="auto"/>
        <w:rPr>
          <w:rFonts w:ascii="Arial" w:cs="Arial" w:eastAsia="Arial" w:hAnsi="Arial"/>
          <w:sz w:val="22"/>
          <w:szCs w:val="22"/>
          <w:b w:val="1"/>
          <w:bCs w:val="1"/>
          <w:color w:val="auto"/>
        </w:rPr>
      </w:pPr>
      <w:r>
        <w:rPr>
          <w:rFonts w:ascii="Arial" w:cs="Arial" w:eastAsia="Arial" w:hAnsi="Arial"/>
          <w:sz w:val="21"/>
          <w:szCs w:val="21"/>
          <w:color w:val="auto"/>
        </w:rPr>
        <w:t>The Participant shall not acquire or have any rights as a shareholder of Avnet by virtue of these Standard Terms and Conditions (or the Award evidenced thereby) until the shares of Stock issuable pursuant to this Award are actually issued and delivered to the Participant in accordance with the terms of the Plan and these Standard Terms and Conditions.</w:t>
      </w:r>
    </w:p>
    <w:p>
      <w:pPr>
        <w:spacing w:after="0" w:line="152" w:lineRule="exact"/>
        <w:rPr>
          <w:rFonts w:ascii="Arial" w:cs="Arial" w:eastAsia="Arial" w:hAnsi="Arial"/>
          <w:sz w:val="22"/>
          <w:szCs w:val="22"/>
          <w:b w:val="1"/>
          <w:bCs w:val="1"/>
          <w:color w:val="auto"/>
        </w:rPr>
      </w:pPr>
    </w:p>
    <w:p>
      <w:pPr>
        <w:ind w:left="505" w:hanging="505"/>
        <w:spacing w:after="0"/>
        <w:tabs>
          <w:tab w:leader="none" w:pos="505"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OR SERVICE</w:t>
      </w:r>
    </w:p>
    <w:p>
      <w:pPr>
        <w:spacing w:after="0" w:line="185" w:lineRule="exact"/>
        <w:rPr>
          <w:sz w:val="20"/>
          <w:szCs w:val="20"/>
          <w:color w:val="auto"/>
        </w:rPr>
      </w:pPr>
    </w:p>
    <w:p>
      <w:pPr>
        <w:jc w:val="both"/>
        <w:ind w:left="645"/>
        <w:spacing w:after="0" w:line="224" w:lineRule="auto"/>
        <w:rPr>
          <w:sz w:val="20"/>
          <w:szCs w:val="20"/>
          <w:color w:val="auto"/>
        </w:rPr>
      </w:pPr>
      <w:r>
        <w:rPr>
          <w:rFonts w:ascii="Arial" w:cs="Arial" w:eastAsia="Arial" w:hAnsi="Arial"/>
          <w:sz w:val="21"/>
          <w:szCs w:val="21"/>
          <w:color w:val="auto"/>
        </w:rPr>
        <w:t>Except as provided below with respect to death or Retirement (as such term is defined below), if the Participant ceases to be employed by, or ceases providing services to, the Company for any reason before the Incentive Stock Units have vested pursuant to Paragraph 2, the Participant shall immediately forfeit all of the Incentive Stock Units without consideration therefor. This Section 3 shall apply to a Participant who has not provided services to the Company for twelve consecutive months due to long-term disability leave.</w:t>
      </w:r>
    </w:p>
    <w:p>
      <w:pPr>
        <w:spacing w:after="0" w:line="154" w:lineRule="exact"/>
        <w:rPr>
          <w:sz w:val="20"/>
          <w:szCs w:val="20"/>
          <w:color w:val="auto"/>
        </w:rPr>
      </w:pPr>
    </w:p>
    <w:p>
      <w:pPr>
        <w:ind w:left="5"/>
        <w:spacing w:after="0"/>
        <w:tabs>
          <w:tab w:leader="none" w:pos="1805"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22"/>
          <w:szCs w:val="22"/>
          <w:b w:val="1"/>
          <w:bCs w:val="1"/>
          <w:color w:val="auto"/>
        </w:rPr>
        <w:t>DEATH</w:t>
      </w:r>
    </w:p>
    <w:p>
      <w:pPr>
        <w:spacing w:after="0" w:line="185" w:lineRule="exact"/>
        <w:rPr>
          <w:sz w:val="20"/>
          <w:szCs w:val="20"/>
          <w:color w:val="auto"/>
        </w:rPr>
      </w:pPr>
    </w:p>
    <w:p>
      <w:pPr>
        <w:jc w:val="both"/>
        <w:ind w:left="645"/>
        <w:spacing w:after="0" w:line="229" w:lineRule="auto"/>
        <w:rPr>
          <w:sz w:val="20"/>
          <w:szCs w:val="20"/>
          <w:color w:val="auto"/>
        </w:rPr>
      </w:pPr>
      <w:r>
        <w:rPr>
          <w:rFonts w:ascii="Arial" w:cs="Arial" w:eastAsia="Arial" w:hAnsi="Arial"/>
          <w:sz w:val="21"/>
          <w:szCs w:val="21"/>
          <w:color w:val="auto"/>
        </w:rPr>
        <w:t>If the Participant’s employment with the Company terminates by reason of the Participant’s death, the Incentive Stock Units shall become immediately and fully vested and payable, and one share of Stock shall be issued for each Incentive Stock Unit on a date determined by the Company, which date shall be no later than 90 days after the Participant’s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397510</wp:posOffset>
            </wp:positionV>
            <wp:extent cx="5960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31" w:right="1239" w:bottom="1440" w:gutter="0" w:footer="0" w:header="0"/>
        </w:sectPr>
      </w:pPr>
    </w:p>
    <w:bookmarkStart w:id="40" w:name="page41"/>
    <w:bookmarkEnd w:id="40"/>
    <w:p>
      <w:pPr>
        <w:ind w:left="1105" w:hanging="1105"/>
        <w:spacing w:after="0"/>
        <w:tabs>
          <w:tab w:leader="none" w:pos="1105"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RETIREMENT</w:t>
      </w:r>
    </w:p>
    <w:p>
      <w:pPr>
        <w:spacing w:after="0" w:line="185" w:lineRule="exact"/>
        <w:rPr>
          <w:sz w:val="20"/>
          <w:szCs w:val="20"/>
          <w:color w:val="auto"/>
        </w:rPr>
      </w:pPr>
    </w:p>
    <w:p>
      <w:pPr>
        <w:jc w:val="both"/>
        <w:ind w:left="645"/>
        <w:spacing w:after="0"/>
        <w:rPr>
          <w:sz w:val="20"/>
          <w:szCs w:val="20"/>
          <w:color w:val="auto"/>
        </w:rPr>
      </w:pPr>
      <w:r>
        <w:rPr>
          <w:rFonts w:ascii="Arial" w:cs="Arial" w:eastAsia="Arial" w:hAnsi="Arial"/>
          <w:sz w:val="19"/>
          <w:szCs w:val="19"/>
          <w:color w:val="auto"/>
        </w:rPr>
        <w:t>If the Participant’s employment or service with the Company terminates by reason of Retirement, the Incentive Stock Unit shall continue to vest in accordance with the schedule prescribed by Paragraph 2 (subject to acceleration in the event of death pursuant to Paragraph 4). One share of Stock shall be delivered with respect to each vested Incentive Stock Unit at the time prescribed by Paragraph 2 or Paragraph 4, as applicable. For purposes hereof, a cessation of employment will be treated as a “Retirement” if (and only if) (a) the cessation of employment occurs after (I) the Participant has attained at least age 55 and been credited with at least five years of service with the Company and</w:t>
      </w:r>
    </w:p>
    <w:p>
      <w:pPr>
        <w:spacing w:after="0" w:line="1" w:lineRule="exact"/>
        <w:rPr>
          <w:sz w:val="20"/>
          <w:szCs w:val="20"/>
          <w:color w:val="auto"/>
        </w:rPr>
      </w:pPr>
    </w:p>
    <w:p>
      <w:pPr>
        <w:ind w:left="645" w:right="20" w:firstLine="3"/>
        <w:spacing w:after="0" w:line="279" w:lineRule="auto"/>
        <w:tabs>
          <w:tab w:leader="none" w:pos="1017"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combination of the Participant’s age plus years of service is no less than 65; and (b) the Participant has signed a non-competition agreement in a form acceptable to the Company.</w:t>
      </w:r>
    </w:p>
    <w:p>
      <w:pPr>
        <w:spacing w:after="0" w:line="116" w:lineRule="exact"/>
        <w:rPr>
          <w:sz w:val="20"/>
          <w:szCs w:val="20"/>
          <w:color w:val="auto"/>
        </w:rPr>
      </w:pPr>
    </w:p>
    <w:p>
      <w:pPr>
        <w:ind w:left="5"/>
        <w:spacing w:after="0"/>
        <w:tabs>
          <w:tab w:leader="none" w:pos="1885"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22"/>
          <w:szCs w:val="22"/>
          <w:b w:val="1"/>
          <w:bCs w:val="1"/>
          <w:color w:val="auto"/>
        </w:rPr>
        <w:t>TAXES</w:t>
      </w:r>
    </w:p>
    <w:p>
      <w:pPr>
        <w:spacing w:after="0" w:line="185" w:lineRule="exact"/>
        <w:rPr>
          <w:sz w:val="20"/>
          <w:szCs w:val="20"/>
          <w:color w:val="auto"/>
        </w:rPr>
      </w:pPr>
    </w:p>
    <w:p>
      <w:pPr>
        <w:jc w:val="both"/>
        <w:ind w:left="645"/>
        <w:spacing w:after="0" w:line="210" w:lineRule="auto"/>
        <w:rPr>
          <w:sz w:val="20"/>
          <w:szCs w:val="20"/>
          <w:color w:val="auto"/>
        </w:rPr>
      </w:pPr>
      <w:r>
        <w:rPr>
          <w:rFonts w:ascii="Arial" w:cs="Arial" w:eastAsia="Arial" w:hAnsi="Arial"/>
          <w:sz w:val="22"/>
          <w:szCs w:val="22"/>
          <w:color w:val="auto"/>
        </w:rPr>
        <w:t xml:space="preserve">The Participant acknowledges that Incentive Stock Units and shares of Stock provided under this Agreement are subject to income and employment tax withholding obligations and that, in some cases, withholding obligations will arise before shares are deliverable. The Participant shall make arrangements satisfactory to the Company for satisfying such withholding obligations. For Participants residing in the United States, Canada, </w:t>
      </w:r>
      <w:r>
        <w:rPr>
          <w:rFonts w:ascii="Arial" w:cs="Arial" w:eastAsia="Arial" w:hAnsi="Arial"/>
          <w:sz w:val="19"/>
          <w:szCs w:val="19"/>
          <w:color w:val="auto"/>
        </w:rPr>
        <w:t>Austria, Ireland,</w:t>
      </w:r>
      <w:r>
        <w:rPr>
          <w:rFonts w:ascii="Arial" w:cs="Arial" w:eastAsia="Arial" w:hAnsi="Arial"/>
          <w:sz w:val="22"/>
          <w:szCs w:val="22"/>
          <w:color w:val="auto"/>
        </w:rPr>
        <w:t xml:space="preserve"> Germany, and the United Kingdom, Avnet will issue “net shares,” meaning that shares will be withheld to cover estimated withholding tax liability. Participants residing in other countries are subject to the laws of the appropriate tax jurisdiction. No provision of the Plan, the award letter, or these Standard Terms and Conditions shall be construed to transfer to the Company or any of its affiliates any responsibility of the Participant to pay any income, employment, excise, or other taxes attributable to an Incentive Stock Unit.</w:t>
      </w:r>
    </w:p>
    <w:p>
      <w:pPr>
        <w:spacing w:after="0" w:line="152" w:lineRule="exact"/>
        <w:rPr>
          <w:sz w:val="20"/>
          <w:szCs w:val="20"/>
          <w:color w:val="auto"/>
        </w:rPr>
      </w:pPr>
    </w:p>
    <w:p>
      <w:pPr>
        <w:ind w:left="465" w:hanging="465"/>
        <w:spacing w:after="0"/>
        <w:tabs>
          <w:tab w:leader="none" w:pos="465"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THE PLAN; DEFINED TERMS; ENTIRE AGREEMENT</w:t>
      </w:r>
    </w:p>
    <w:p>
      <w:pPr>
        <w:spacing w:after="0" w:line="185" w:lineRule="exact"/>
        <w:rPr>
          <w:sz w:val="20"/>
          <w:szCs w:val="20"/>
          <w:color w:val="auto"/>
        </w:rPr>
      </w:pPr>
    </w:p>
    <w:p>
      <w:pPr>
        <w:jc w:val="both"/>
        <w:ind w:left="645"/>
        <w:spacing w:after="0" w:line="216" w:lineRule="auto"/>
        <w:rPr>
          <w:sz w:val="20"/>
          <w:szCs w:val="20"/>
          <w:color w:val="auto"/>
        </w:rPr>
      </w:pPr>
      <w:r>
        <w:rPr>
          <w:rFonts w:ascii="Arial" w:cs="Arial" w:eastAsia="Arial" w:hAnsi="Arial"/>
          <w:sz w:val="22"/>
          <w:szCs w:val="22"/>
          <w:color w:val="auto"/>
        </w:rPr>
        <w:t>In addition to these Standard Terms and Conditions, the Incentive Stock Units shall be subject to the terms of the Plan, which are incorporated into these Standard Terms and Conditions by this reference. Capitalized terms not otherwise defined herein shall have the meaning set forth in the Plan, and the rules of construction set forth in the Plan shall also apply to these Standard Terms and Conditions.</w:t>
      </w:r>
    </w:p>
    <w:p>
      <w:pPr>
        <w:spacing w:after="0" w:line="158" w:lineRule="exact"/>
        <w:rPr>
          <w:sz w:val="20"/>
          <w:szCs w:val="20"/>
          <w:color w:val="auto"/>
        </w:rPr>
      </w:pPr>
    </w:p>
    <w:p>
      <w:pPr>
        <w:jc w:val="both"/>
        <w:ind w:left="645"/>
        <w:spacing w:after="0" w:line="218" w:lineRule="auto"/>
        <w:rPr>
          <w:sz w:val="20"/>
          <w:szCs w:val="20"/>
          <w:color w:val="auto"/>
        </w:rPr>
      </w:pPr>
      <w:r>
        <w:rPr>
          <w:rFonts w:ascii="Arial" w:cs="Arial" w:eastAsia="Arial" w:hAnsi="Arial"/>
          <w:sz w:val="22"/>
          <w:szCs w:val="22"/>
          <w:color w:val="auto"/>
        </w:rPr>
        <w:t>The award letter, these Standard Terms and Conditions, and the Plan constitute the entire understanding between the Participant and the Company regarding the Incentive Stock Units. Any prior agreements, commitments, or negotiations concerning the Incentive Stock Units are superseded.</w:t>
      </w:r>
    </w:p>
    <w:p>
      <w:pPr>
        <w:spacing w:after="0" w:line="155" w:lineRule="exact"/>
        <w:rPr>
          <w:sz w:val="20"/>
          <w:szCs w:val="20"/>
          <w:color w:val="auto"/>
        </w:rPr>
      </w:pPr>
    </w:p>
    <w:p>
      <w:pPr>
        <w:ind w:left="685" w:hanging="685"/>
        <w:spacing w:after="0"/>
        <w:tabs>
          <w:tab w:leader="none" w:pos="685"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RESALES</w:t>
      </w:r>
    </w:p>
    <w:p>
      <w:pPr>
        <w:spacing w:after="0" w:line="185" w:lineRule="exact"/>
        <w:rPr>
          <w:sz w:val="20"/>
          <w:szCs w:val="20"/>
          <w:color w:val="auto"/>
        </w:rPr>
      </w:pPr>
    </w:p>
    <w:p>
      <w:pPr>
        <w:jc w:val="both"/>
        <w:ind w:left="645"/>
        <w:spacing w:after="0" w:line="252" w:lineRule="auto"/>
        <w:rPr>
          <w:sz w:val="20"/>
          <w:szCs w:val="20"/>
          <w:color w:val="auto"/>
        </w:rPr>
      </w:pPr>
      <w:r>
        <w:rPr>
          <w:rFonts w:ascii="Arial" w:cs="Arial" w:eastAsia="Arial" w:hAnsi="Arial"/>
          <w:sz w:val="19"/>
          <w:szCs w:val="19"/>
          <w:color w:val="auto"/>
        </w:rPr>
        <w:t>The Company may impose such restrictions, conditions, and limitations as it determines appropriate as to the timing and manner of any resales by the Participant or other subsequent transfers by the Participant of any shares of Stock issued pursuant to the Incentive Stock Units, including (a) restrictions under an insider trading policy, (b) restrictions designed to delay and/or coordinate the timing and manner of sales by the Participant and other holders of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59601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963" w:right="1239" w:bottom="1440" w:gutter="0" w:footer="0" w:header="0"/>
        </w:sectPr>
      </w:pPr>
    </w:p>
    <w:bookmarkStart w:id="41" w:name="page42"/>
    <w:bookmarkEnd w:id="41"/>
    <w:p>
      <w:pPr>
        <w:jc w:val="both"/>
        <w:ind w:left="645" w:right="20"/>
        <w:spacing w:after="0" w:line="223" w:lineRule="auto"/>
        <w:rPr>
          <w:sz w:val="20"/>
          <w:szCs w:val="20"/>
          <w:color w:val="auto"/>
        </w:rPr>
      </w:pPr>
      <w:r>
        <w:rPr>
          <w:rFonts w:ascii="Arial" w:cs="Arial" w:eastAsia="Arial" w:hAnsi="Arial"/>
          <w:sz w:val="22"/>
          <w:szCs w:val="22"/>
          <w:color w:val="auto"/>
        </w:rPr>
        <w:t>under the Plan, requiring that you acknowledge and accept these Standard Terms and Conditions, and (c) restrictions as to the use of a specified brokerage firm for such resales or other transfers.</w:t>
      </w:r>
    </w:p>
    <w:p>
      <w:pPr>
        <w:spacing w:after="0" w:line="153" w:lineRule="exact"/>
        <w:rPr>
          <w:sz w:val="20"/>
          <w:szCs w:val="20"/>
          <w:color w:val="auto"/>
        </w:rPr>
      </w:pPr>
    </w:p>
    <w:p>
      <w:pPr>
        <w:ind w:left="1085" w:hanging="1085"/>
        <w:spacing w:after="0"/>
        <w:tabs>
          <w:tab w:leader="none" w:pos="1085"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185" w:lineRule="exact"/>
        <w:rPr>
          <w:sz w:val="20"/>
          <w:szCs w:val="20"/>
          <w:color w:val="auto"/>
        </w:rPr>
      </w:pPr>
    </w:p>
    <w:p>
      <w:pPr>
        <w:jc w:val="both"/>
        <w:ind w:left="645"/>
        <w:spacing w:after="0" w:line="214" w:lineRule="auto"/>
        <w:rPr>
          <w:sz w:val="20"/>
          <w:szCs w:val="20"/>
          <w:color w:val="auto"/>
        </w:rPr>
      </w:pPr>
      <w:r>
        <w:rPr>
          <w:rFonts w:ascii="Arial" w:cs="Arial" w:eastAsia="Arial" w:hAnsi="Arial"/>
          <w:sz w:val="22"/>
          <w:szCs w:val="22"/>
          <w:color w:val="auto"/>
        </w:rPr>
        <w:t>These Standard Terms and Conditions shall be interpreted consistent with the intent to comply with, or be exempt from, the requirements of Section 409A of the Internal Revenue Code of 1986, as amended (the “Code”), such that there are no adverse tax consequences, interest, or penalties as a result of any amount paid or payable as a result of the award of the Incentive Stock Units. Any ambiguity or inconsistency in the provisions of these Standard Terms and Conditions shall be resolved consistent with such intent.</w:t>
      </w:r>
    </w:p>
    <w:p>
      <w:pPr>
        <w:spacing w:after="0" w:line="159" w:lineRule="exact"/>
        <w:rPr>
          <w:sz w:val="20"/>
          <w:szCs w:val="20"/>
          <w:color w:val="auto"/>
        </w:rPr>
      </w:pPr>
    </w:p>
    <w:p>
      <w:pPr>
        <w:jc w:val="both"/>
        <w:ind w:left="645"/>
        <w:spacing w:after="0" w:line="243" w:lineRule="auto"/>
        <w:rPr>
          <w:sz w:val="20"/>
          <w:szCs w:val="20"/>
          <w:color w:val="auto"/>
        </w:rPr>
      </w:pPr>
      <w:r>
        <w:rPr>
          <w:rFonts w:ascii="Arial" w:cs="Arial" w:eastAsia="Arial" w:hAnsi="Arial"/>
          <w:sz w:val="19"/>
          <w:szCs w:val="19"/>
          <w:color w:val="auto"/>
        </w:rPr>
        <w:t>If, as of the Participant’s “separation from service” within the meaning of Section 409A(a)(2)(A)(i) of the Code, as determined by the Company, the Participant is a “specified employee” (as determined by the Company in accordance with its guidelines established pursuant to Treas. Reg.</w:t>
      </w:r>
    </w:p>
    <w:p>
      <w:pPr>
        <w:spacing w:after="0" w:line="3" w:lineRule="exact"/>
        <w:rPr>
          <w:sz w:val="20"/>
          <w:szCs w:val="20"/>
          <w:color w:val="auto"/>
        </w:rPr>
      </w:pPr>
    </w:p>
    <w:p>
      <w:pPr>
        <w:jc w:val="both"/>
        <w:ind w:left="645" w:firstLine="3"/>
        <w:spacing w:after="0" w:line="237" w:lineRule="auto"/>
        <w:tabs>
          <w:tab w:leader="none" w:pos="832" w:val="left"/>
        </w:tabs>
        <w:numPr>
          <w:ilvl w:val="0"/>
          <w:numId w:val="39"/>
        </w:numPr>
        <w:rPr>
          <w:rFonts w:ascii="Arial" w:cs="Arial" w:eastAsia="Arial" w:hAnsi="Arial"/>
          <w:sz w:val="19"/>
          <w:szCs w:val="19"/>
          <w:color w:val="auto"/>
        </w:rPr>
      </w:pPr>
      <w:r>
        <w:rPr>
          <w:rFonts w:ascii="Arial" w:cs="Arial" w:eastAsia="Arial" w:hAnsi="Arial"/>
          <w:sz w:val="19"/>
          <w:szCs w:val="19"/>
          <w:color w:val="auto"/>
        </w:rPr>
        <w:t>1.409A-1(i)), any amount payable to the Participant upon such separation from service shall be subject to the six (6) month delay required by Section 409A(a)(2)(B)(i) of the Code; provided however, that such six (6) month delay shall not be required with respect to any payment for which the payment event is not such separation from service or with respect to any payment that is not</w:t>
      </w:r>
    </w:p>
    <w:p>
      <w:pPr>
        <w:ind w:left="645"/>
        <w:spacing w:after="0" w:line="216" w:lineRule="auto"/>
        <w:rPr>
          <w:sz w:val="20"/>
          <w:szCs w:val="20"/>
          <w:color w:val="auto"/>
        </w:rPr>
      </w:pPr>
      <w:r>
        <w:rPr>
          <w:rFonts w:ascii="Arial" w:cs="Arial" w:eastAsia="Arial" w:hAnsi="Arial"/>
          <w:sz w:val="21"/>
          <w:szCs w:val="21"/>
          <w:color w:val="auto"/>
        </w:rPr>
        <w:t>subject to Section 409A by reason of the “short-term deferral” rule described in Treas. Reg.</w:t>
      </w:r>
    </w:p>
    <w:p>
      <w:pPr>
        <w:ind w:left="805" w:hanging="157"/>
        <w:spacing w:after="0"/>
        <w:tabs>
          <w:tab w:leader="none" w:pos="805" w:val="left"/>
        </w:tabs>
        <w:numPr>
          <w:ilvl w:val="1"/>
          <w:numId w:val="40"/>
        </w:numPr>
        <w:rPr>
          <w:rFonts w:ascii="Arial" w:cs="Arial" w:eastAsia="Arial" w:hAnsi="Arial"/>
          <w:sz w:val="22"/>
          <w:szCs w:val="22"/>
          <w:color w:val="auto"/>
        </w:rPr>
      </w:pPr>
      <w:r>
        <w:rPr>
          <w:rFonts w:ascii="Arial" w:cs="Arial" w:eastAsia="Arial" w:hAnsi="Arial"/>
          <w:sz w:val="22"/>
          <w:szCs w:val="22"/>
          <w:color w:val="auto"/>
        </w:rPr>
        <w:t>1.409A-1(b)(4) or otherwise.</w:t>
      </w:r>
    </w:p>
    <w:p>
      <w:pPr>
        <w:spacing w:after="0" w:line="155" w:lineRule="exact"/>
        <w:rPr>
          <w:rFonts w:ascii="Arial" w:cs="Arial" w:eastAsia="Arial" w:hAnsi="Arial"/>
          <w:sz w:val="22"/>
          <w:szCs w:val="22"/>
          <w:color w:val="auto"/>
        </w:rPr>
      </w:pPr>
    </w:p>
    <w:p>
      <w:pPr>
        <w:ind w:left="1385" w:hanging="1385"/>
        <w:spacing w:after="0"/>
        <w:tabs>
          <w:tab w:leader="none" w:pos="1385"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NO ASSIGNMENT</w:t>
      </w:r>
    </w:p>
    <w:p>
      <w:pPr>
        <w:spacing w:after="0" w:line="185" w:lineRule="exact"/>
        <w:rPr>
          <w:sz w:val="20"/>
          <w:szCs w:val="20"/>
          <w:color w:val="auto"/>
        </w:rPr>
      </w:pPr>
    </w:p>
    <w:p>
      <w:pPr>
        <w:jc w:val="both"/>
        <w:ind w:left="645"/>
        <w:spacing w:after="0" w:line="229" w:lineRule="auto"/>
        <w:rPr>
          <w:sz w:val="20"/>
          <w:szCs w:val="20"/>
          <w:color w:val="auto"/>
        </w:rPr>
      </w:pPr>
      <w:r>
        <w:rPr>
          <w:rFonts w:ascii="Arial" w:cs="Arial" w:eastAsia="Arial" w:hAnsi="Arial"/>
          <w:sz w:val="21"/>
          <w:szCs w:val="21"/>
          <w:color w:val="auto"/>
        </w:rPr>
        <w:t>Incentive Stock Units granted under the Plan may not be sold, transferred, pledged, assigned, exchanged, encumbered, or otherwise alienated or hypothecated until the Incentive Stock Units have vested and the corresponding shares of Stock have been issued, except to the limited extent permitted by the Plan and approved by the Administrator in its sole discretion.</w:t>
      </w:r>
    </w:p>
    <w:p>
      <w:pPr>
        <w:spacing w:after="0" w:line="153" w:lineRule="exact"/>
        <w:rPr>
          <w:sz w:val="20"/>
          <w:szCs w:val="20"/>
          <w:color w:val="auto"/>
        </w:rPr>
      </w:pPr>
    </w:p>
    <w:p>
      <w:pPr>
        <w:ind w:left="5"/>
        <w:spacing w:after="0"/>
        <w:tabs>
          <w:tab w:leader="none" w:pos="2025"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2"/>
          <w:szCs w:val="22"/>
          <w:b w:val="1"/>
          <w:bCs w:val="1"/>
          <w:color w:val="auto"/>
        </w:rPr>
        <w:t>GENERAL</w:t>
      </w:r>
    </w:p>
    <w:p>
      <w:pPr>
        <w:spacing w:after="0" w:line="185" w:lineRule="exact"/>
        <w:rPr>
          <w:sz w:val="20"/>
          <w:szCs w:val="20"/>
          <w:color w:val="auto"/>
        </w:rPr>
      </w:pPr>
    </w:p>
    <w:p>
      <w:pPr>
        <w:jc w:val="both"/>
        <w:ind w:left="645" w:right="20"/>
        <w:spacing w:after="0" w:line="252" w:lineRule="auto"/>
        <w:rPr>
          <w:sz w:val="20"/>
          <w:szCs w:val="20"/>
          <w:color w:val="auto"/>
        </w:rPr>
      </w:pPr>
      <w:r>
        <w:rPr>
          <w:rFonts w:ascii="Arial" w:cs="Arial" w:eastAsia="Arial" w:hAnsi="Arial"/>
          <w:sz w:val="19"/>
          <w:szCs w:val="19"/>
          <w:color w:val="auto"/>
        </w:rPr>
        <w:t>If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49" w:lineRule="exact"/>
        <w:rPr>
          <w:sz w:val="20"/>
          <w:szCs w:val="20"/>
          <w:color w:val="auto"/>
        </w:rPr>
      </w:pPr>
    </w:p>
    <w:p>
      <w:pPr>
        <w:jc w:val="both"/>
        <w:ind w:left="645"/>
        <w:spacing w:after="0" w:line="223" w:lineRule="auto"/>
        <w:rPr>
          <w:sz w:val="20"/>
          <w:szCs w:val="20"/>
          <w:color w:val="auto"/>
        </w:rPr>
      </w:pPr>
      <w:r>
        <w:rPr>
          <w:rFonts w:ascii="Arial" w:cs="Arial" w:eastAsia="Arial" w:hAnsi="Arial"/>
          <w:sz w:val="22"/>
          <w:szCs w:val="22"/>
          <w:color w:val="auto"/>
        </w:rPr>
        <w:t>The headings preceding the text of the sections hereof are inserted solely for convenience of reference, and shall not constitute a part of these Standard Terms and Conditions, nor shall they affect its meaning, construction, or effect.</w:t>
      </w:r>
    </w:p>
    <w:p>
      <w:pPr>
        <w:spacing w:after="0" w:line="159" w:lineRule="exact"/>
        <w:rPr>
          <w:sz w:val="20"/>
          <w:szCs w:val="20"/>
          <w:color w:val="auto"/>
        </w:rPr>
      </w:pPr>
    </w:p>
    <w:p>
      <w:pPr>
        <w:jc w:val="both"/>
        <w:ind w:left="645" w:right="20"/>
        <w:spacing w:after="0" w:line="247" w:lineRule="auto"/>
        <w:rPr>
          <w:sz w:val="20"/>
          <w:szCs w:val="20"/>
          <w:color w:val="auto"/>
        </w:rPr>
      </w:pPr>
      <w:r>
        <w:rPr>
          <w:rFonts w:ascii="Arial" w:cs="Arial" w:eastAsia="Arial" w:hAnsi="Arial"/>
          <w:sz w:val="21"/>
          <w:szCs w:val="21"/>
          <w:color w:val="auto"/>
        </w:rPr>
        <w:t>These Standard Terms and Conditions shall inure to the benefit of and be binding upon the parties hereto and their respective permitted heirs, beneficiaries, successors, and assigns.</w:t>
      </w:r>
    </w:p>
    <w:p>
      <w:pPr>
        <w:spacing w:after="0" w:line="151" w:lineRule="exact"/>
        <w:rPr>
          <w:sz w:val="20"/>
          <w:szCs w:val="20"/>
          <w:color w:val="auto"/>
        </w:rPr>
      </w:pPr>
    </w:p>
    <w:p>
      <w:pPr>
        <w:jc w:val="both"/>
        <w:ind w:left="645" w:right="20"/>
        <w:spacing w:after="0" w:line="298" w:lineRule="auto"/>
        <w:rPr>
          <w:sz w:val="20"/>
          <w:szCs w:val="20"/>
          <w:color w:val="auto"/>
        </w:rPr>
      </w:pPr>
      <w:r>
        <w:rPr>
          <w:rFonts w:ascii="Arial" w:cs="Arial" w:eastAsia="Arial" w:hAnsi="Arial"/>
          <w:sz w:val="19"/>
          <w:szCs w:val="19"/>
          <w:color w:val="auto"/>
        </w:rPr>
        <w:t>The Participant acknowledges that a copy of the Plan, the Plan prospectus, and Avnet’s most recent annual report to its shareholders has been delivered or made available to the Participant.</w:t>
      </w:r>
    </w:p>
    <w:p>
      <w:pPr>
        <w:spacing w:after="0" w:line="106" w:lineRule="exact"/>
        <w:rPr>
          <w:sz w:val="20"/>
          <w:szCs w:val="20"/>
          <w:color w:val="auto"/>
        </w:rPr>
      </w:pPr>
    </w:p>
    <w:p>
      <w:pPr>
        <w:jc w:val="both"/>
        <w:ind w:left="645" w:right="20"/>
        <w:spacing w:after="0" w:line="268" w:lineRule="auto"/>
        <w:rPr>
          <w:sz w:val="20"/>
          <w:szCs w:val="20"/>
          <w:color w:val="auto"/>
        </w:rPr>
      </w:pPr>
      <w:r>
        <w:rPr>
          <w:rFonts w:ascii="Arial" w:cs="Arial" w:eastAsia="Arial" w:hAnsi="Arial"/>
          <w:sz w:val="19"/>
          <w:szCs w:val="19"/>
          <w:color w:val="auto"/>
        </w:rPr>
        <w:t>Nothing in the Plan, the award letter, these Standard Terms and Conditions, or any other instrument executed pursuant to the Plan shall confer upon the Participant any right to continue in the Company’s employ or service or limit in any way the Company’s right to terminate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596011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37" w:right="1239" w:bottom="1440" w:gutter="0" w:footer="0" w:header="0"/>
        </w:sectPr>
      </w:pPr>
    </w:p>
    <w:bookmarkStart w:id="42" w:name="page43"/>
    <w:bookmarkEnd w:id="42"/>
    <w:p>
      <w:pPr>
        <w:jc w:val="both"/>
        <w:ind w:left="460"/>
        <w:spacing w:after="0" w:line="268" w:lineRule="auto"/>
        <w:rPr>
          <w:sz w:val="20"/>
          <w:szCs w:val="20"/>
          <w:color w:val="auto"/>
        </w:rPr>
      </w:pPr>
      <w:r>
        <w:rPr>
          <w:rFonts w:ascii="Arial" w:cs="Arial" w:eastAsia="Arial" w:hAnsi="Arial"/>
          <w:sz w:val="19"/>
          <w:szCs w:val="19"/>
          <w:color w:val="auto"/>
        </w:rPr>
        <w:t>Participant’s employment or service at any time and for any reason. As this grant was made in the absolute discretion of management and the Administrator, receipt of this Award does not confer upon the Participant any right to future awards or participation in any equity compensation program.</w:t>
      </w:r>
    </w:p>
    <w:p>
      <w:pPr>
        <w:spacing w:after="0" w:line="132" w:lineRule="exact"/>
        <w:rPr>
          <w:sz w:val="20"/>
          <w:szCs w:val="20"/>
          <w:color w:val="auto"/>
        </w:rPr>
      </w:pPr>
    </w:p>
    <w:p>
      <w:pPr>
        <w:jc w:val="both"/>
        <w:ind w:left="460"/>
        <w:spacing w:after="0" w:line="257" w:lineRule="auto"/>
        <w:rPr>
          <w:sz w:val="20"/>
          <w:szCs w:val="20"/>
          <w:color w:val="auto"/>
        </w:rPr>
      </w:pPr>
      <w:r>
        <w:rPr>
          <w:rFonts w:ascii="Arial" w:cs="Arial" w:eastAsia="Arial" w:hAnsi="Arial"/>
          <w:sz w:val="19"/>
          <w:szCs w:val="19"/>
          <w:color w:val="auto"/>
        </w:rPr>
        <w:t>Neither this Award nor any shares of Stock issuable hereunder shall be included in compensation for purposes of determining the amount payable to or on behalf of the Participant under any pension, savings, retirement, life insurance, severance, or other employee or director benefits arrangement of the Company, unless otherwise determined by the plan sponsor.</w:t>
      </w:r>
    </w:p>
    <w:p>
      <w:pPr>
        <w:spacing w:after="0" w:line="145" w:lineRule="exact"/>
        <w:rPr>
          <w:sz w:val="20"/>
          <w:szCs w:val="20"/>
          <w:color w:val="auto"/>
        </w:rPr>
      </w:pPr>
    </w:p>
    <w:p>
      <w:pPr>
        <w:jc w:val="both"/>
        <w:ind w:left="460"/>
        <w:spacing w:after="0" w:line="223" w:lineRule="auto"/>
        <w:rPr>
          <w:sz w:val="20"/>
          <w:szCs w:val="20"/>
          <w:color w:val="auto"/>
        </w:rPr>
      </w:pPr>
      <w:r>
        <w:rPr>
          <w:rFonts w:ascii="Arial" w:cs="Arial" w:eastAsia="Arial" w:hAnsi="Arial"/>
          <w:sz w:val="22"/>
          <w:szCs w:val="22"/>
          <w:color w:val="auto"/>
        </w:rPr>
        <w:t>The Plan, the award letter, and these Standard Terms and Conditions shall be governed, construed, interpreted, and administered solely in accordance with the laws of the state of New York, without regard to principles of conflicts of law.</w:t>
      </w:r>
    </w:p>
    <w:p>
      <w:pPr>
        <w:spacing w:after="0" w:line="159" w:lineRule="exact"/>
        <w:rPr>
          <w:sz w:val="20"/>
          <w:szCs w:val="20"/>
          <w:color w:val="auto"/>
        </w:rPr>
      </w:pPr>
    </w:p>
    <w:p>
      <w:pPr>
        <w:jc w:val="both"/>
        <w:ind w:left="460"/>
        <w:spacing w:after="0" w:line="252" w:lineRule="auto"/>
        <w:rPr>
          <w:sz w:val="20"/>
          <w:szCs w:val="20"/>
          <w:color w:val="auto"/>
        </w:rPr>
      </w:pPr>
      <w:r>
        <w:rPr>
          <w:rFonts w:ascii="Arial" w:cs="Arial" w:eastAsia="Arial" w:hAnsi="Arial"/>
          <w:sz w:val="19"/>
          <w:szCs w:val="19"/>
          <w:color w:val="auto"/>
        </w:rPr>
        <w:t>All questions arising under the Plan, the award letter, and these Standard Terms and Conditions shall be decided by the Administrator in its total and absolute discretion. It is expressly understood that the Administrator is authorized to administer, construe, and make all determinations necessary or appropriate to the administration of the Plan, the award letter, and these Standard Terms and Conditions; all such determinations shall be binding upon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3264535</wp:posOffset>
            </wp:positionV>
            <wp:extent cx="5960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220"/>
          </w:cols>
          <w:pgMar w:left="1440" w:top="537" w:right="1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Richard Hamada,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Avnet, Inc.;</w:t>
      </w:r>
    </w:p>
    <w:p>
      <w:pPr>
        <w:spacing w:after="0" w:line="11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sz w:val="20"/>
          <w:szCs w:val="20"/>
          <w:color w:val="auto"/>
        </w:rPr>
      </w:pPr>
    </w:p>
    <w:p>
      <w:pPr>
        <w:ind w:left="460" w:right="24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sz w:val="20"/>
          <w:szCs w:val="20"/>
          <w:color w:val="auto"/>
        </w:rPr>
      </w:pPr>
    </w:p>
    <w:p>
      <w:pPr>
        <w:ind w:left="460" w:right="26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780" w:right="40" w:hanging="134"/>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sz w:val="20"/>
          <w:szCs w:val="20"/>
          <w:color w:val="auto"/>
        </w:rPr>
      </w:pPr>
    </w:p>
    <w:p>
      <w:pPr>
        <w:ind w:left="780" w:right="14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left="780" w:right="24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sz w:val="20"/>
          <w:szCs w:val="20"/>
          <w:color w:val="auto"/>
        </w:rPr>
      </w:pPr>
    </w:p>
    <w:p>
      <w:pPr>
        <w:ind w:left="780" w:right="360" w:hanging="134"/>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jc w:val="both"/>
        <w:ind w:left="460" w:right="40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sz w:val="20"/>
          <w:szCs w:val="20"/>
          <w:color w:val="auto"/>
        </w:rPr>
      </w:pPr>
    </w:p>
    <w:p>
      <w:pPr>
        <w:ind w:left="780" w:right="180" w:hanging="134"/>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sz w:val="20"/>
          <w:szCs w:val="20"/>
          <w:color w:val="auto"/>
        </w:rPr>
      </w:pPr>
    </w:p>
    <w:p>
      <w:pPr>
        <w:ind w:left="780" w:right="5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23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31750</wp:posOffset>
            </wp:positionV>
            <wp:extent cx="33020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661225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Kevin Moriarty,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Avnet, Inc.;</w:t>
      </w:r>
    </w:p>
    <w:p>
      <w:pPr>
        <w:spacing w:after="0" w:line="11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sz w:val="20"/>
          <w:szCs w:val="20"/>
          <w:color w:val="auto"/>
        </w:rPr>
      </w:pPr>
    </w:p>
    <w:p>
      <w:pPr>
        <w:ind w:left="460" w:right="24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sz w:val="20"/>
          <w:szCs w:val="20"/>
          <w:color w:val="auto"/>
        </w:rPr>
      </w:pPr>
    </w:p>
    <w:p>
      <w:pPr>
        <w:ind w:left="460" w:right="26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780" w:right="40" w:hanging="134"/>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sz w:val="20"/>
          <w:szCs w:val="20"/>
          <w:color w:val="auto"/>
        </w:rPr>
      </w:pPr>
    </w:p>
    <w:p>
      <w:pPr>
        <w:ind w:left="780" w:right="14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left="780" w:right="24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sz w:val="20"/>
          <w:szCs w:val="20"/>
          <w:color w:val="auto"/>
        </w:rPr>
      </w:pPr>
    </w:p>
    <w:p>
      <w:pPr>
        <w:ind w:left="780" w:right="360" w:hanging="134"/>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jc w:val="both"/>
        <w:ind w:left="460" w:right="40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sz w:val="20"/>
          <w:szCs w:val="20"/>
          <w:color w:val="auto"/>
        </w:rPr>
      </w:pPr>
    </w:p>
    <w:p>
      <w:pPr>
        <w:ind w:left="780" w:right="180" w:hanging="134"/>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sz w:val="20"/>
          <w:szCs w:val="20"/>
          <w:color w:val="auto"/>
        </w:rPr>
      </w:pPr>
    </w:p>
    <w:p>
      <w:pPr>
        <w:ind w:left="780" w:right="5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KEVIN MORIARTY</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-130810</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661225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October 3, 2015 (the “Report”), I, Richard Hamada, Chief Executive Officer of Avnet, Inc., (the “Company”) hereby certify that:</w:t>
      </w:r>
    </w:p>
    <w:p>
      <w:pPr>
        <w:spacing w:after="0" w:line="62" w:lineRule="exact"/>
        <w:rPr>
          <w:sz w:val="20"/>
          <w:szCs w:val="20"/>
          <w:color w:val="auto"/>
        </w:rPr>
      </w:pPr>
    </w:p>
    <w:p>
      <w:pPr>
        <w:ind w:left="460" w:right="22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as applicable, of the Securities Exchange Act of 1934; and</w:t>
      </w:r>
    </w:p>
    <w:p>
      <w:pPr>
        <w:spacing w:after="0" w:line="62" w:lineRule="exact"/>
        <w:rPr>
          <w:sz w:val="20"/>
          <w:szCs w:val="20"/>
          <w:color w:val="auto"/>
        </w:rPr>
      </w:pPr>
    </w:p>
    <w:p>
      <w:pPr>
        <w:ind w:left="460" w:right="18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14605</wp:posOffset>
            </wp:positionV>
            <wp:extent cx="28384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Richard Hamada</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October 3, 2015 (the “Report”), I, Kevin Moriarty, Chief Financial Officer of Avnet, Inc., (the “Company”) hereby certify that:</w:t>
      </w:r>
    </w:p>
    <w:p>
      <w:pPr>
        <w:spacing w:after="0" w:line="62" w:lineRule="exact"/>
        <w:rPr>
          <w:sz w:val="20"/>
          <w:szCs w:val="20"/>
          <w:color w:val="auto"/>
        </w:rPr>
      </w:pPr>
    </w:p>
    <w:p>
      <w:pPr>
        <w:ind w:left="460" w:right="22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as applicable, of the Securities Exchange Act of 1934; and</w:t>
      </w:r>
    </w:p>
    <w:p>
      <w:pPr>
        <w:spacing w:after="0" w:line="62" w:lineRule="exact"/>
        <w:rPr>
          <w:sz w:val="20"/>
          <w:szCs w:val="20"/>
          <w:color w:val="auto"/>
        </w:rPr>
      </w:pPr>
    </w:p>
    <w:p>
      <w:pPr>
        <w:ind w:left="460" w:right="18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14605</wp:posOffset>
            </wp:positionV>
            <wp:extent cx="28473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Kevin Moriarty</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2"/>
    </w:lvl>
  </w:abstractNum>
  <w:abstractNum w:abstractNumId="10">
    <w:nsid w:val="4353D0CD"/>
    <w:multiLevelType w:val="hybridMultilevel"/>
    <w:lvl w:ilvl="0">
      <w:lvlJc w:val="left"/>
      <w:lvlText w:val="%1."/>
      <w:numFmt w:val="decimal"/>
      <w:start w:val="3"/>
    </w:lvl>
  </w:abstractNum>
  <w:abstractNum w:abstractNumId="11">
    <w:nsid w:val="B03E0C6"/>
    <w:multiLevelType w:val="hybridMultilevel"/>
    <w:lvl w:ilvl="0">
      <w:lvlJc w:val="left"/>
      <w:lvlText w:val="%1."/>
      <w:numFmt w:val="decimal"/>
      <w:start w:val="4"/>
    </w:lvl>
  </w:abstractNum>
  <w:abstractNum w:abstractNumId="12">
    <w:nsid w:val="189A769B"/>
    <w:multiLevelType w:val="hybridMultilevel"/>
    <w:lvl w:ilvl="0">
      <w:lvlJc w:val="left"/>
      <w:lvlText w:val="%1."/>
      <w:numFmt w:val="upperLetter"/>
      <w:start w:val="1"/>
    </w:lvl>
  </w:abstractNum>
  <w:abstractNum w:abstractNumId="13">
    <w:nsid w:val="54E49EB4"/>
    <w:multiLevelType w:val="hybridMultilevel"/>
    <w:lvl w:ilvl="0">
      <w:lvlJc w:val="left"/>
      <w:lvlText w:val="%1."/>
      <w:numFmt w:val="decimal"/>
      <w:start w:val="5"/>
    </w:lvl>
  </w:abstractNum>
  <w:abstractNum w:abstractNumId="14">
    <w:nsid w:val="71F32454"/>
    <w:multiLevelType w:val="hybridMultilevel"/>
    <w:lvl w:ilvl="0">
      <w:lvlJc w:val="left"/>
      <w:lvlText w:val="%1."/>
      <w:numFmt w:val="decimal"/>
      <w:start w:val="7"/>
    </w:lvl>
  </w:abstractNum>
  <w:abstractNum w:abstractNumId="15">
    <w:nsid w:val="2CA88611"/>
    <w:multiLevelType w:val="hybridMultilevel"/>
    <w:lvl w:ilvl="0">
      <w:lvlJc w:val="left"/>
      <w:lvlText w:val="%1."/>
      <w:numFmt w:val="decimal"/>
      <w:start w:val="8"/>
    </w:lvl>
  </w:abstractNum>
  <w:abstractNum w:abstractNumId="16">
    <w:nsid w:val="836C40E"/>
    <w:multiLevelType w:val="hybridMultilevel"/>
    <w:lvl w:ilvl="0">
      <w:lvlJc w:val="left"/>
      <w:lvlText w:val="%1."/>
      <w:numFmt w:val="decimal"/>
      <w:start w:val="9"/>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2"/>
    </w:lvl>
  </w:abstractNum>
  <w:abstractNum w:abstractNumId="19">
    <w:nsid w:val="8138641"/>
    <w:multiLevelType w:val="hybridMultilevel"/>
    <w:lvl w:ilvl="0">
      <w:lvlJc w:val="left"/>
      <w:lvlText w:val="(%1)"/>
      <w:numFmt w:val="lowerLetter"/>
      <w:start w:val="2"/>
    </w:lvl>
  </w:abstractNum>
  <w:abstractNum w:abstractNumId="20">
    <w:nsid w:val="1E7FF521"/>
    <w:multiLevelType w:val="hybridMultilevel"/>
    <w:lvl w:ilvl="0">
      <w:lvlJc w:val="left"/>
      <w:lvlText w:val="(%1)"/>
      <w:numFmt w:val="lowerRoman"/>
      <w:start w:val="1"/>
    </w:lvl>
  </w:abstractNum>
  <w:abstractNum w:abstractNumId="21">
    <w:nsid w:val="7C3DBD3D"/>
    <w:multiLevelType w:val="hybridMultilevel"/>
    <w:lvl w:ilvl="0">
      <w:lvlJc w:val="left"/>
      <w:lvlText w:val="(%1)"/>
      <w:numFmt w:val="lowerRoman"/>
      <w:start w:val="2"/>
    </w:lvl>
  </w:abstractNum>
  <w:abstractNum w:abstractNumId="22">
    <w:nsid w:val="737B8DDC"/>
    <w:multiLevelType w:val="hybridMultilevel"/>
    <w:lvl w:ilvl="0">
      <w:lvlJc w:val="left"/>
      <w:lvlText w:val="(%1)"/>
      <w:numFmt w:val="lowerRoman"/>
      <w:start w:val="3"/>
    </w:lvl>
  </w:abstractNum>
  <w:abstractNum w:abstractNumId="23">
    <w:nsid w:val="6CEAF087"/>
    <w:multiLevelType w:val="hybridMultilevel"/>
    <w:lvl w:ilvl="0">
      <w:lvlJc w:val="left"/>
      <w:lvlText w:val="%1."/>
      <w:numFmt w:val="decimal"/>
      <w:start w:val="3"/>
    </w:lvl>
  </w:abstractNum>
  <w:abstractNum w:abstractNumId="24">
    <w:nsid w:val="22221A70"/>
    <w:multiLevelType w:val="hybridMultilevel"/>
    <w:lvl w:ilvl="0">
      <w:lvlJc w:val="left"/>
      <w:lvlText w:val="%1."/>
      <w:numFmt w:val="decimal"/>
      <w:start w:val="4"/>
    </w:lvl>
  </w:abstractNum>
  <w:abstractNum w:abstractNumId="25">
    <w:nsid w:val="4516DDE9"/>
    <w:multiLevelType w:val="hybridMultilevel"/>
    <w:lvl w:ilvl="0">
      <w:lvlJc w:val="left"/>
      <w:lvlText w:val="%1"/>
      <w:numFmt w:val="decimal"/>
      <w:start w:val="1"/>
    </w:lvl>
    <w:lvl w:ilvl="1">
      <w:lvlJc w:val="left"/>
      <w:lvlText w:val="%2."/>
      <w:numFmt w:val="decimal"/>
      <w:start w:val="12"/>
    </w:lvl>
  </w:abstractNum>
  <w:abstractNum w:abstractNumId="26">
    <w:nsid w:val="3006C83E"/>
    <w:multiLevelType w:val="hybridMultilevel"/>
    <w:lvl w:ilvl="0">
      <w:lvlJc w:val="left"/>
      <w:lvlText w:val="%1."/>
      <w:numFmt w:val="decimal"/>
      <w:start w:val="5"/>
    </w:lvl>
    <w:lvl w:ilvl="1">
      <w:lvlJc w:val="left"/>
      <w:lvlText w:val="%2"/>
      <w:numFmt w:val="decimal"/>
      <w:start w:val="1"/>
    </w:lvl>
  </w:abstractNum>
  <w:abstractNum w:abstractNumId="27">
    <w:nsid w:val="614FD4A1"/>
    <w:multiLevelType w:val="hybridMultilevel"/>
    <w:lvl w:ilvl="0">
      <w:lvlJc w:val="left"/>
      <w:lvlText w:val="%1."/>
      <w:numFmt w:val="decimal"/>
      <w:start w:val="7"/>
    </w:lvl>
  </w:abstractNum>
  <w:abstractNum w:abstractNumId="28">
    <w:nsid w:val="419AC241"/>
    <w:multiLevelType w:val="hybridMultilevel"/>
    <w:lvl w:ilvl="0">
      <w:lvlJc w:val="left"/>
      <w:lvlText w:val="%1."/>
      <w:numFmt w:val="decimal"/>
      <w:start w:val="8"/>
    </w:lvl>
  </w:abstractNum>
  <w:abstractNum w:abstractNumId="29">
    <w:nsid w:val="5577F8E1"/>
    <w:multiLevelType w:val="hybridMultilevel"/>
    <w:lvl w:ilvl="0">
      <w:lvlJc w:val="left"/>
      <w:lvlText w:val="%1."/>
      <w:numFmt w:val="decimal"/>
      <w:start w:val="9"/>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2"/>
    </w:lvl>
  </w:abstractNum>
  <w:abstractNum w:abstractNumId="33">
    <w:nsid w:val="77465F01"/>
    <w:multiLevelType w:val="hybridMultilevel"/>
    <w:lvl w:ilvl="0">
      <w:lvlJc w:val="left"/>
      <w:lvlText w:val="%1."/>
      <w:numFmt w:val="decimal"/>
      <w:start w:val="5"/>
    </w:lvl>
  </w:abstractNum>
  <w:abstractNum w:abstractNumId="34">
    <w:nsid w:val="7724C67E"/>
    <w:multiLevelType w:val="hybridMultilevel"/>
    <w:lvl w:ilvl="0">
      <w:lvlJc w:val="left"/>
      <w:lvlText w:val="(%1)"/>
      <w:numFmt w:val="upperLetter"/>
      <w:start w:val="35"/>
    </w:lvl>
  </w:abstractNum>
  <w:abstractNum w:abstractNumId="35">
    <w:nsid w:val="5C482A97"/>
    <w:multiLevelType w:val="hybridMultilevel"/>
    <w:lvl w:ilvl="0">
      <w:lvlJc w:val="left"/>
      <w:lvlText w:val="%1."/>
      <w:numFmt w:val="decimal"/>
      <w:start w:val="7"/>
    </w:lvl>
  </w:abstractNum>
  <w:abstractNum w:abstractNumId="36">
    <w:nsid w:val="2463B9EA"/>
    <w:multiLevelType w:val="hybridMultilevel"/>
    <w:lvl w:ilvl="0">
      <w:lvlJc w:val="left"/>
      <w:lvlText w:val="%1."/>
      <w:numFmt w:val="decimal"/>
      <w:start w:val="8"/>
    </w:lvl>
  </w:abstractNum>
  <w:abstractNum w:abstractNumId="37">
    <w:nsid w:val="5E884ADC"/>
    <w:multiLevelType w:val="hybridMultilevel"/>
    <w:lvl w:ilvl="0">
      <w:lvlJc w:val="left"/>
      <w:lvlText w:val="%1."/>
      <w:numFmt w:val="decimal"/>
      <w:start w:val="9"/>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2019-12-29T15:47:31Z</dcterms:created>
  <dcterms:modified xsi:type="dcterms:W3CDTF">2019-12-29T15:47:31Z</dcterms:modified>
</cp:coreProperties>
</file>